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cs="Arial"/>
          <w:b/>
          <w:bCs/>
          <w:color w:val="FF0000"/>
          <w:sz w:val="52"/>
          <w:szCs w:val="52"/>
          <w:lang w:val="zh-CN"/>
        </w:rPr>
      </w:pPr>
    </w:p>
    <w:p>
      <w:pPr>
        <w:jc w:val="center"/>
        <w:rPr>
          <w:rFonts w:ascii="Arial" w:hAnsi="Arial" w:eastAsia="黑体" w:cs="Arial"/>
          <w:color w:val="FF0000"/>
          <w:sz w:val="48"/>
          <w:szCs w:val="48"/>
        </w:rPr>
      </w:pPr>
      <w:r>
        <w:rPr>
          <w:rFonts w:ascii="Arial" w:hAnsi="黑体" w:eastAsia="黑体" w:cs="Arial"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235585</wp:posOffset>
            </wp:positionV>
            <wp:extent cx="936625" cy="914400"/>
            <wp:effectExtent l="0" t="0" r="15875" b="0"/>
            <wp:wrapSquare wrapText="bothSides"/>
            <wp:docPr id="42" name="图片 5" descr="bi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 descr="bia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黑体" w:eastAsia="黑体" w:cs="Arial"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212725</wp:posOffset>
                </wp:positionV>
                <wp:extent cx="4279265" cy="883920"/>
                <wp:effectExtent l="0" t="0" r="6985" b="1143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265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sz w:val="48"/>
                                <w:szCs w:val="48"/>
                              </w:rPr>
                              <w:t>中海油东方石化有限责任公司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黑体" w:hAnsi="黑体" w:eastAsia="黑体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化工品生产部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-12pt;margin-top:16.75pt;height:69.6pt;width:336.95pt;z-index:251660288;mso-width-relative:page;mso-height-relative:margin;mso-height-percent:200;" fillcolor="#FFFFFF" filled="t" stroked="f" coordsize="21600,21600" o:gfxdata="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5xpoY9kAAAAKAQAADwAAAAAAAAABACAAAAAi&#10;AAAAZHJzL2Rvd25yZXYueG1sUEsBAhQAFAAAAAgAh07iQGDIvifQAQAAkQMAAA4AAAAAAAAAAQAg&#10;AAAAKAEAAGRycy9lMm9Eb2MueG1sUEsFBgAAAAAGAAYAWQEAAGoFAAAAAA=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sz w:val="48"/>
                          <w:szCs w:val="48"/>
                        </w:rPr>
                        <w:t>中海油东方石化有限责任公司</w:t>
                      </w:r>
                    </w:p>
                    <w:p>
                      <w:pPr>
                        <w:jc w:val="center"/>
                        <w:rPr>
                          <w:rFonts w:hint="default" w:ascii="黑体" w:hAnsi="黑体" w:eastAsia="黑体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sz w:val="48"/>
                          <w:szCs w:val="48"/>
                          <w:lang w:val="en-US" w:eastAsia="zh-CN"/>
                        </w:rPr>
                        <w:t>化工品生产部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黑体" w:hAnsi="黑体" w:eastAsia="黑体"/>
          <w:b/>
          <w:color w:val="FF0000"/>
          <w:sz w:val="44"/>
          <w:szCs w:val="44"/>
        </w:rPr>
      </w:pPr>
      <w:r>
        <w:rPr>
          <w:rFonts w:hint="eastAsia" w:ascii="Arial" w:hAnsi="黑体" w:eastAsia="黑体" w:cs="Arial"/>
          <w:color w:val="FF0000"/>
          <w:sz w:val="36"/>
          <w:szCs w:val="36"/>
        </w:rPr>
        <w:t xml:space="preserve">    </w:t>
      </w:r>
    </w:p>
    <w:p>
      <w:pPr>
        <w:snapToGrid w:val="0"/>
        <w:jc w:val="center"/>
        <w:rPr>
          <w:rFonts w:ascii="Arial" w:hAnsi="黑体" w:eastAsia="黑体" w:cs="Arial"/>
          <w:color w:val="auto"/>
          <w:sz w:val="44"/>
          <w:szCs w:val="44"/>
        </w:rPr>
      </w:pPr>
    </w:p>
    <w:p>
      <w:pPr>
        <w:snapToGrid w:val="0"/>
        <w:spacing w:beforeLines="50" w:afterLines="50"/>
        <w:ind w:firstLine="2200" w:firstLineChars="500"/>
        <w:jc w:val="both"/>
        <w:rPr>
          <w:rFonts w:hint="eastAsia" w:ascii="Arial" w:hAnsi="黑体" w:eastAsia="黑体" w:cs="Arial"/>
          <w:color w:val="auto"/>
          <w:sz w:val="44"/>
          <w:szCs w:val="44"/>
        </w:rPr>
      </w:pPr>
    </w:p>
    <w:p>
      <w:pPr>
        <w:snapToGrid w:val="0"/>
        <w:spacing w:beforeLines="50" w:afterLines="50"/>
        <w:ind w:firstLine="2200" w:firstLineChars="500"/>
        <w:jc w:val="both"/>
        <w:rPr>
          <w:rFonts w:hint="eastAsia" w:ascii="Arial" w:hAnsi="黑体" w:eastAsia="黑体" w:cs="Arial"/>
          <w:color w:val="auto"/>
          <w:sz w:val="44"/>
          <w:szCs w:val="44"/>
        </w:rPr>
      </w:pPr>
      <w:r>
        <w:rPr>
          <w:rFonts w:hint="eastAsia" w:ascii="Arial" w:hAnsi="黑体" w:eastAsia="黑体" w:cs="Arial"/>
          <w:color w:val="auto"/>
          <w:sz w:val="44"/>
          <w:szCs w:val="44"/>
        </w:rPr>
        <w:t>机泵油雾系统尾气治理项目</w:t>
      </w:r>
    </w:p>
    <w:p>
      <w:pPr>
        <w:snapToGrid w:val="0"/>
        <w:spacing w:beforeLines="50" w:afterLines="50"/>
        <w:ind w:firstLine="3520" w:firstLineChars="800"/>
        <w:jc w:val="both"/>
        <w:rPr>
          <w:rFonts w:hint="eastAsia" w:ascii="Arial" w:hAnsi="黑体" w:eastAsia="黑体" w:cs="Arial"/>
          <w:color w:val="auto"/>
          <w:sz w:val="44"/>
          <w:szCs w:val="44"/>
        </w:rPr>
      </w:pPr>
      <w:r>
        <w:rPr>
          <w:rFonts w:hint="eastAsia" w:ascii="Arial" w:hAnsi="黑体" w:eastAsia="黑体" w:cs="Arial"/>
          <w:color w:val="auto"/>
          <w:sz w:val="44"/>
          <w:szCs w:val="44"/>
          <w:lang w:val="en-US" w:eastAsia="zh-CN"/>
        </w:rPr>
        <w:t>技术</w:t>
      </w:r>
      <w:r>
        <w:rPr>
          <w:rFonts w:hint="eastAsia" w:ascii="Arial" w:hAnsi="黑体" w:eastAsia="黑体" w:cs="Arial"/>
          <w:color w:val="auto"/>
          <w:sz w:val="44"/>
          <w:szCs w:val="44"/>
        </w:rPr>
        <w:t>请购文件</w:t>
      </w:r>
    </w:p>
    <w:p>
      <w:pPr>
        <w:snapToGrid w:val="0"/>
        <w:spacing w:beforeLines="50" w:afterLines="50"/>
        <w:ind w:firstLine="2400" w:firstLineChars="800"/>
        <w:jc w:val="both"/>
        <w:rPr>
          <w:rFonts w:ascii="Arial" w:hAnsi="宋体" w:cs="Arial"/>
          <w:color w:val="auto"/>
          <w:sz w:val="30"/>
          <w:szCs w:val="30"/>
        </w:rPr>
      </w:pPr>
      <w:r>
        <w:rPr>
          <w:rFonts w:hint="eastAsia" w:ascii="Arial" w:hAnsi="宋体" w:cs="Arial"/>
          <w:color w:val="auto"/>
          <w:sz w:val="30"/>
          <w:szCs w:val="30"/>
        </w:rPr>
        <w:t>文件编号：</w:t>
      </w:r>
    </w:p>
    <w:p>
      <w:pPr>
        <w:snapToGrid w:val="0"/>
        <w:spacing w:beforeLines="100" w:line="360" w:lineRule="auto"/>
        <w:ind w:firstLine="2240" w:firstLineChars="800"/>
        <w:jc w:val="left"/>
        <w:rPr>
          <w:rFonts w:ascii="华文细黑" w:hAnsi="华文细黑" w:eastAsia="华文细黑" w:cs="Arial"/>
          <w:color w:val="auto"/>
          <w:sz w:val="28"/>
          <w:szCs w:val="28"/>
          <w:u w:val="single"/>
        </w:rPr>
      </w:pPr>
      <w:r>
        <w:rPr>
          <w:rFonts w:hint="eastAsia" w:ascii="华文细黑" w:hAnsi="华文细黑" w:eastAsia="华文细黑" w:cs="Arial"/>
          <w:color w:val="auto"/>
          <w:sz w:val="28"/>
          <w:szCs w:val="28"/>
        </w:rPr>
        <w:t>编      制：</w:t>
      </w:r>
    </w:p>
    <w:p>
      <w:pPr>
        <w:snapToGrid w:val="0"/>
        <w:spacing w:beforeLines="100" w:line="360" w:lineRule="auto"/>
        <w:ind w:firstLine="2240" w:firstLineChars="800"/>
        <w:jc w:val="left"/>
        <w:rPr>
          <w:rFonts w:ascii="华文细黑" w:hAnsi="华文细黑" w:eastAsia="华文细黑" w:cs="Arial"/>
          <w:color w:val="auto"/>
          <w:sz w:val="28"/>
          <w:szCs w:val="28"/>
          <w:u w:val="single"/>
        </w:rPr>
      </w:pPr>
      <w:r>
        <w:rPr>
          <w:rFonts w:hint="eastAsia" w:ascii="华文细黑" w:hAnsi="华文细黑" w:eastAsia="华文细黑" w:cs="Arial"/>
          <w:color w:val="auto"/>
          <w:sz w:val="28"/>
          <w:szCs w:val="28"/>
        </w:rPr>
        <w:t>专业负责人：</w:t>
      </w:r>
    </w:p>
    <w:p>
      <w:pPr>
        <w:snapToGrid w:val="0"/>
        <w:spacing w:beforeLines="100" w:line="360" w:lineRule="auto"/>
        <w:ind w:firstLine="2240" w:firstLineChars="800"/>
        <w:jc w:val="left"/>
        <w:rPr>
          <w:rFonts w:ascii="华文细黑" w:hAnsi="华文细黑" w:eastAsia="华文细黑" w:cs="Arial"/>
          <w:color w:val="auto"/>
          <w:sz w:val="28"/>
          <w:szCs w:val="28"/>
          <w:u w:val="single"/>
        </w:rPr>
      </w:pPr>
      <w:r>
        <w:rPr>
          <w:rFonts w:hint="eastAsia" w:ascii="华文细黑" w:hAnsi="华文细黑" w:eastAsia="华文细黑" w:cs="Arial"/>
          <w:color w:val="auto"/>
          <w:sz w:val="28"/>
          <w:szCs w:val="28"/>
        </w:rPr>
        <w:t>审      核：</w:t>
      </w:r>
    </w:p>
    <w:p>
      <w:pPr>
        <w:snapToGrid w:val="0"/>
        <w:spacing w:beforeLines="100" w:line="360" w:lineRule="auto"/>
        <w:ind w:firstLine="2240" w:firstLineChars="800"/>
        <w:jc w:val="left"/>
        <w:rPr>
          <w:rFonts w:ascii="华文细黑" w:hAnsi="华文细黑" w:eastAsia="华文细黑" w:cs="Arial"/>
          <w:color w:val="auto"/>
          <w:sz w:val="28"/>
          <w:szCs w:val="28"/>
          <w:u w:val="single"/>
        </w:rPr>
      </w:pPr>
      <w:r>
        <w:rPr>
          <w:rFonts w:hint="eastAsia" w:ascii="华文细黑" w:hAnsi="华文细黑" w:eastAsia="华文细黑" w:cs="Arial"/>
          <w:color w:val="auto"/>
          <w:sz w:val="28"/>
          <w:szCs w:val="28"/>
        </w:rPr>
        <w:t>批      准：</w:t>
      </w:r>
    </w:p>
    <w:p>
      <w:pPr>
        <w:snapToGrid w:val="0"/>
        <w:spacing w:line="360" w:lineRule="auto"/>
        <w:jc w:val="center"/>
        <w:rPr>
          <w:rFonts w:ascii="黑体" w:hAnsi="华文仿宋" w:eastAsia="黑体"/>
          <w:color w:val="auto"/>
          <w:sz w:val="36"/>
          <w:szCs w:val="36"/>
        </w:rPr>
      </w:pPr>
    </w:p>
    <w:p>
      <w:pPr>
        <w:snapToGrid w:val="0"/>
        <w:spacing w:line="360" w:lineRule="auto"/>
        <w:ind w:firstLine="2880" w:firstLineChars="800"/>
        <w:jc w:val="both"/>
        <w:rPr>
          <w:rFonts w:hint="eastAsia" w:ascii="黑体" w:hAnsi="华文仿宋" w:eastAsia="黑体"/>
          <w:color w:val="auto"/>
          <w:sz w:val="36"/>
          <w:szCs w:val="36"/>
        </w:rPr>
      </w:pPr>
    </w:p>
    <w:p>
      <w:pPr>
        <w:snapToGrid w:val="0"/>
        <w:spacing w:line="360" w:lineRule="auto"/>
        <w:ind w:firstLine="2880" w:firstLineChars="800"/>
        <w:jc w:val="both"/>
        <w:rPr>
          <w:rFonts w:hint="eastAsia" w:ascii="黑体" w:hAnsi="华文仿宋" w:eastAsia="黑体"/>
          <w:color w:val="auto"/>
          <w:sz w:val="36"/>
          <w:szCs w:val="36"/>
        </w:rPr>
      </w:pPr>
    </w:p>
    <w:p>
      <w:pPr>
        <w:snapToGrid w:val="0"/>
        <w:spacing w:line="360" w:lineRule="auto"/>
        <w:ind w:firstLine="2880" w:firstLineChars="800"/>
        <w:jc w:val="both"/>
        <w:rPr>
          <w:rFonts w:ascii="黑体" w:hAnsi="华文仿宋" w:eastAsia="黑体"/>
          <w:color w:val="auto"/>
          <w:sz w:val="36"/>
          <w:szCs w:val="36"/>
        </w:rPr>
      </w:pPr>
      <w:r>
        <w:rPr>
          <w:rFonts w:hint="eastAsia" w:ascii="黑体" w:hAnsi="华文仿宋" w:eastAsia="黑体"/>
          <w:color w:val="auto"/>
          <w:sz w:val="36"/>
          <w:szCs w:val="36"/>
        </w:rPr>
        <w:t>20</w:t>
      </w:r>
      <w:r>
        <w:rPr>
          <w:rFonts w:hint="eastAsia" w:ascii="黑体" w:hAnsi="华文仿宋" w:eastAsia="黑体"/>
          <w:color w:val="auto"/>
          <w:sz w:val="36"/>
          <w:szCs w:val="36"/>
          <w:lang w:val="en-US" w:eastAsia="zh-CN"/>
        </w:rPr>
        <w:t>25</w:t>
      </w:r>
      <w:r>
        <w:rPr>
          <w:rFonts w:hint="eastAsia" w:ascii="黑体" w:hAnsi="华文仿宋" w:eastAsia="黑体"/>
          <w:color w:val="auto"/>
          <w:sz w:val="36"/>
          <w:szCs w:val="36"/>
        </w:rPr>
        <w:t>年</w:t>
      </w:r>
      <w:r>
        <w:rPr>
          <w:rFonts w:hint="eastAsia" w:ascii="黑体" w:hAnsi="华文仿宋" w:eastAsia="黑体"/>
          <w:color w:val="auto"/>
          <w:sz w:val="36"/>
          <w:szCs w:val="36"/>
          <w:lang w:val="en-US" w:eastAsia="zh-CN"/>
        </w:rPr>
        <w:t>12</w:t>
      </w:r>
      <w:r>
        <w:rPr>
          <w:rFonts w:hint="eastAsia" w:ascii="黑体" w:hAnsi="华文仿宋" w:eastAsia="黑体"/>
          <w:color w:val="auto"/>
          <w:sz w:val="36"/>
          <w:szCs w:val="36"/>
        </w:rPr>
        <w:t>月</w:t>
      </w:r>
      <w:r>
        <w:rPr>
          <w:rFonts w:hint="eastAsia" w:ascii="黑体" w:hAnsi="华文仿宋" w:eastAsia="黑体"/>
          <w:color w:val="auto"/>
          <w:sz w:val="36"/>
          <w:szCs w:val="36"/>
          <w:lang w:val="en-US" w:eastAsia="zh-CN"/>
        </w:rPr>
        <w:t>17</w:t>
      </w:r>
      <w:r>
        <w:rPr>
          <w:rFonts w:hint="eastAsia" w:ascii="黑体" w:hAnsi="华文仿宋" w:eastAsia="黑体"/>
          <w:color w:val="auto"/>
          <w:sz w:val="36"/>
          <w:szCs w:val="36"/>
        </w:rPr>
        <w:t>日</w:t>
      </w: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pStyle w:val="15"/>
        <w:bidi w:val="0"/>
        <w:jc w:val="center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</w:rPr>
        <w:t>目 录</w:t>
      </w:r>
    </w:p>
    <w:p>
      <w:pPr>
        <w:rPr>
          <w:rFonts w:hint="default" w:asciiTheme="minorEastAsia" w:hAnsiTheme="minorEastAsia" w:eastAsiaTheme="minorEastAsia"/>
          <w:color w:val="FF0000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 xml:space="preserve">1  </w:t>
      </w:r>
      <w:r>
        <w:rPr>
          <w:rFonts w:asciiTheme="minorEastAsia" w:hAnsiTheme="minorEastAsia" w:eastAsiaTheme="minorEastAsia"/>
          <w:color w:val="auto"/>
        </w:rPr>
        <w:t>总则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......................................................................................................................................3</w:t>
      </w:r>
    </w:p>
    <w:p>
      <w:pPr>
        <w:rPr>
          <w:rFonts w:hint="default" w:asciiTheme="minorEastAsia" w:hAnsiTheme="minorEastAsia" w:eastAsiaTheme="minorEastAsia"/>
          <w:color w:val="FF0000"/>
          <w:lang w:val="en-US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 xml:space="preserve">2  </w:t>
      </w:r>
      <w:r>
        <w:rPr>
          <w:rFonts w:hint="eastAsia" w:asciiTheme="minorEastAsia" w:hAnsiTheme="minorEastAsia" w:eastAsiaTheme="minorEastAsia"/>
          <w:color w:val="auto"/>
        </w:rPr>
        <w:t>油回收系统的主要标准规范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........................................................................................3</w:t>
      </w:r>
    </w:p>
    <w:p>
      <w:pPr>
        <w:rPr>
          <w:rFonts w:hint="eastAsia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 xml:space="preserve">3  </w:t>
      </w:r>
      <w:r>
        <w:rPr>
          <w:rFonts w:asciiTheme="minorEastAsia" w:hAnsiTheme="minorEastAsia" w:eastAsiaTheme="minorEastAsia"/>
          <w:color w:val="auto"/>
        </w:rPr>
        <w:t>项目地点安装条件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...........................................................................................................5</w:t>
      </w:r>
    </w:p>
    <w:p>
      <w:pPr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>4  回收主机资料....................................................................................................................7</w:t>
      </w:r>
    </w:p>
    <w:p>
      <w:pPr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>5  供货材料清单....................................................................................................................7</w:t>
      </w:r>
    </w:p>
    <w:p>
      <w:pPr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>6  DMU-17回收主机技术要求.........................................................................................8</w:t>
      </w:r>
    </w:p>
    <w:p>
      <w:pPr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>7 卖方工作范围......................................................................................................................9</w:t>
      </w:r>
    </w:p>
    <w:p>
      <w:pPr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>8  涂漆及防锈........................................................................................................................9</w:t>
      </w:r>
    </w:p>
    <w:p>
      <w:pPr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>9  包装及运输.......................................................................................................................10</w:t>
      </w:r>
    </w:p>
    <w:p>
      <w:pPr>
        <w:rPr>
          <w:rFonts w:hint="default" w:eastAsia="宋体" w:asciiTheme="minorEastAsia" w:hAnsi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>10</w:t>
      </w:r>
      <w:r>
        <w:rPr>
          <w:rFonts w:hint="eastAsia"/>
        </w:rPr>
        <w:t>技术培训</w:t>
      </w:r>
      <w:r>
        <w:rPr>
          <w:rFonts w:hint="eastAsia"/>
          <w:lang w:val="en-US" w:eastAsia="zh-CN"/>
        </w:rPr>
        <w:t>.............................................................................................................10</w:t>
      </w:r>
    </w:p>
    <w:p>
      <w:pPr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 xml:space="preserve">11  </w:t>
      </w:r>
      <w:r>
        <w:rPr>
          <w:rFonts w:asciiTheme="minorEastAsia" w:hAnsiTheme="minorEastAsia" w:eastAsiaTheme="minorEastAsia"/>
          <w:color w:val="auto"/>
        </w:rPr>
        <w:t>图纸资料要求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................................................................................................................10</w:t>
      </w:r>
    </w:p>
    <w:p>
      <w:pPr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>12现场服务.............................................................................................................................11</w:t>
      </w: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rPr>
          <w:rFonts w:asciiTheme="minorEastAsia" w:hAnsiTheme="minorEastAsia" w:eastAsiaTheme="minorEastAsia"/>
          <w:color w:val="auto"/>
          <w:sz w:val="24"/>
        </w:rPr>
      </w:pP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  <w:r>
        <w:rPr>
          <w:rFonts w:hint="eastAsia" w:asciiTheme="minorEastAsia" w:hAnsiTheme="minorEastAsia" w:eastAsiaTheme="minorEastAsia"/>
          <w:color w:val="auto"/>
          <w:spacing w:val="-2"/>
          <w:sz w:val="24"/>
          <w:lang w:val="en-US" w:eastAsia="zh-CN"/>
        </w:rPr>
        <w:t>1.</w:t>
      </w:r>
      <w:r>
        <w:rPr>
          <w:rFonts w:hint="eastAsia" w:asciiTheme="minorEastAsia" w:hAnsiTheme="minorEastAsia" w:eastAsiaTheme="minorEastAsia"/>
          <w:color w:val="auto"/>
          <w:spacing w:val="-2"/>
          <w:sz w:val="24"/>
        </w:rPr>
        <w:t>总则</w:t>
      </w:r>
    </w:p>
    <w:p>
      <w:pPr>
        <w:pStyle w:val="12"/>
        <w:spacing w:before="158" w:line="360" w:lineRule="auto"/>
        <w:ind w:left="0" w:right="176" w:firstLine="480"/>
        <w:jc w:val="both"/>
        <w:rPr>
          <w:rFonts w:asciiTheme="minorEastAsia" w:hAnsiTheme="minorEastAsia" w:eastAsiaTheme="minorEastAsia"/>
          <w:color w:val="auto"/>
          <w:lang w:eastAsia="zh-CN"/>
        </w:rPr>
      </w:pPr>
      <w:r>
        <w:rPr>
          <w:rFonts w:asciiTheme="minorEastAsia" w:hAnsiTheme="minorEastAsia" w:eastAsiaTheme="minorEastAsia"/>
          <w:color w:val="auto"/>
          <w:lang w:eastAsia="zh-CN"/>
        </w:rPr>
        <w:t>本请购文件（包括后附数据表、供货商提交的图纸与数据要求等）适用于中海油东方石化有限公司（以下简称“</w:t>
      </w:r>
      <w:r>
        <w:rPr>
          <w:rFonts w:hint="eastAsia" w:asciiTheme="minorEastAsia" w:hAnsiTheme="minorEastAsia" w:eastAsiaTheme="minorEastAsia"/>
          <w:color w:val="auto"/>
          <w:lang w:eastAsia="zh-CN"/>
        </w:rPr>
        <w:t>甲方</w:t>
      </w:r>
      <w:r>
        <w:rPr>
          <w:rFonts w:asciiTheme="minorEastAsia" w:hAnsiTheme="minorEastAsia" w:eastAsiaTheme="minorEastAsia"/>
          <w:color w:val="auto"/>
          <w:lang w:eastAsia="zh-CN"/>
        </w:rPr>
        <w:t>”）</w:t>
      </w:r>
      <w:r>
        <w:rPr>
          <w:rFonts w:hint="eastAsia" w:asciiTheme="minorEastAsia" w:hAnsiTheme="minorEastAsia" w:eastAsiaTheme="minorEastAsia"/>
          <w:color w:val="auto"/>
          <w:lang w:eastAsia="zh-CN"/>
        </w:rPr>
        <w:t>机泵油雾系统尾气治理项目。</w:t>
      </w:r>
    </w:p>
    <w:p>
      <w:pPr>
        <w:pStyle w:val="12"/>
        <w:spacing w:line="360" w:lineRule="auto"/>
        <w:ind w:left="0" w:right="176" w:firstLine="480"/>
        <w:jc w:val="both"/>
        <w:rPr>
          <w:rFonts w:cs="宋体" w:asciiTheme="minorEastAsia" w:hAnsiTheme="minorEastAsia" w:eastAsiaTheme="minorEastAsia"/>
          <w:b w:val="0"/>
          <w:bCs w:val="0"/>
          <w:color w:val="auto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>乙方</w:t>
      </w:r>
      <w:r>
        <w:rPr>
          <w:rFonts w:asciiTheme="minorEastAsia" w:hAnsiTheme="minorEastAsia" w:eastAsiaTheme="minorEastAsia"/>
          <w:color w:val="auto"/>
          <w:lang w:eastAsia="zh-CN"/>
        </w:rPr>
        <w:t>应遵守项目的规范和本请购文件的要求，并保证其分供货商也遵守上述要求。报价的供货商对所报价的设备或材料以及工艺、机械性能负完全责任。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乙方</w:t>
      </w:r>
      <w:r>
        <w:rPr>
          <w:rFonts w:cs="宋体" w:asciiTheme="minorEastAsia" w:hAnsiTheme="minorEastAsia" w:eastAsiaTheme="minorEastAsia"/>
          <w:b w:val="0"/>
          <w:bCs w:val="0"/>
          <w:color w:val="auto"/>
          <w:sz w:val="24"/>
          <w:szCs w:val="24"/>
          <w:lang w:val="en-US" w:eastAsia="zh-CN" w:bidi="ar-SA"/>
        </w:rPr>
        <w:t>所提供的</w:t>
      </w:r>
      <w:r>
        <w:rPr>
          <w:rFonts w:hint="eastAsia" w:cs="宋体" w:asciiTheme="minorEastAsia" w:hAnsiTheme="minorEastAsia" w:eastAsiaTheme="minorEastAsia"/>
          <w:b w:val="0"/>
          <w:bCs w:val="0"/>
          <w:color w:val="auto"/>
          <w:sz w:val="24"/>
          <w:szCs w:val="24"/>
          <w:lang w:val="en-US" w:eastAsia="zh-CN" w:bidi="ar-SA"/>
        </w:rPr>
        <w:t>机泵油雾系统尾气治理项目</w:t>
      </w:r>
      <w:r>
        <w:rPr>
          <w:rFonts w:cs="宋体" w:asciiTheme="minorEastAsia" w:hAnsiTheme="minorEastAsia" w:eastAsiaTheme="minorEastAsia"/>
          <w:b w:val="0"/>
          <w:bCs w:val="0"/>
          <w:color w:val="auto"/>
          <w:sz w:val="24"/>
          <w:szCs w:val="24"/>
          <w:lang w:val="en-US" w:eastAsia="zh-CN" w:bidi="ar-SA"/>
        </w:rPr>
        <w:t>设备必须在供货商的设计和经验范围内，供货商至少应提供三台同类型号的</w:t>
      </w:r>
      <w:r>
        <w:rPr>
          <w:rFonts w:hint="eastAsia" w:cs="宋体" w:asciiTheme="minorEastAsia" w:hAnsiTheme="minorEastAsia" w:eastAsiaTheme="minorEastAsia"/>
          <w:b w:val="0"/>
          <w:bCs w:val="0"/>
          <w:color w:val="auto"/>
          <w:sz w:val="24"/>
          <w:szCs w:val="24"/>
          <w:lang w:val="en-US" w:eastAsia="zh-CN" w:bidi="ar-SA"/>
        </w:rPr>
        <w:t>油气回收设备</w:t>
      </w:r>
      <w:r>
        <w:rPr>
          <w:rFonts w:cs="宋体" w:asciiTheme="minorEastAsia" w:hAnsiTheme="minorEastAsia" w:eastAsiaTheme="minorEastAsia"/>
          <w:b w:val="0"/>
          <w:bCs w:val="0"/>
          <w:color w:val="auto"/>
          <w:sz w:val="24"/>
          <w:szCs w:val="24"/>
          <w:lang w:val="en-US" w:eastAsia="zh-CN" w:bidi="ar-SA"/>
        </w:rPr>
        <w:t>在相同或相似工艺操作条件下可靠运行三年的证明材料。</w:t>
      </w:r>
    </w:p>
    <w:p>
      <w:pPr>
        <w:pStyle w:val="34"/>
        <w:numPr>
          <w:ilvl w:val="0"/>
          <w:numId w:val="0"/>
        </w:numPr>
        <w:tabs>
          <w:tab w:val="left" w:pos="709"/>
        </w:tabs>
        <w:spacing w:line="360" w:lineRule="auto"/>
        <w:ind w:leftChars="0"/>
        <w:textAlignment w:val="center"/>
        <w:rPr>
          <w:rFonts w:hint="eastAsia" w:ascii="等线" w:hAnsi="等线" w:eastAsia="等线" w:cs="等线"/>
          <w:b w:val="0"/>
          <w:bCs/>
        </w:rPr>
      </w:pPr>
      <w:r>
        <w:rPr>
          <w:rFonts w:hint="eastAsia" w:ascii="等线" w:hAnsi="等线" w:eastAsia="等线" w:cs="等线"/>
          <w:b w:val="0"/>
          <w:bCs/>
          <w:color w:val="000000"/>
          <w:lang w:val="en-US" w:eastAsia="zh-CN"/>
        </w:rPr>
        <w:t>2.</w:t>
      </w:r>
      <w:r>
        <w:rPr>
          <w:rFonts w:hint="eastAsia" w:ascii="等线" w:hAnsi="等线" w:eastAsia="等线" w:cs="等线"/>
          <w:b w:val="0"/>
          <w:bCs/>
          <w:color w:val="000000"/>
        </w:rPr>
        <w:t>油回收系统的</w:t>
      </w:r>
      <w:r>
        <w:rPr>
          <w:rFonts w:hint="eastAsia" w:ascii="等线" w:hAnsi="等线" w:eastAsia="等线" w:cs="等线"/>
          <w:b w:val="0"/>
          <w:bCs/>
        </w:rPr>
        <w:t>主要标准规范</w:t>
      </w:r>
    </w:p>
    <w:p>
      <w:pPr>
        <w:pStyle w:val="3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5"/>
        <w:textAlignment w:val="auto"/>
        <w:rPr>
          <w:rFonts w:hint="eastAsia" w:ascii="宋体" w:hAnsi="宋体"/>
        </w:rPr>
      </w:pPr>
      <w:r>
        <w:rPr>
          <w:rFonts w:hint="eastAsia" w:ascii="宋体" w:hAnsi="宋体"/>
        </w:rPr>
        <w:t>本系统设计、制造遵照以下标准：</w:t>
      </w:r>
    </w:p>
    <w:p>
      <w:pPr>
        <w:pStyle w:val="3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5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UL508 《工业控制设备标准》</w:t>
      </w:r>
    </w:p>
    <w:p>
      <w:pPr>
        <w:pStyle w:val="34"/>
        <w:keepNext w:val="0"/>
        <w:keepLines w:val="0"/>
        <w:pageBreakBefore w:val="0"/>
        <w:widowControl w:val="0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kinsoku/>
        <w:wordWrap/>
        <w:overflowPunct/>
        <w:topLinePunct w:val="0"/>
        <w:autoSpaceDE/>
        <w:autoSpaceDN/>
        <w:bidi w:val="0"/>
        <w:spacing w:before="120" w:line="360" w:lineRule="auto"/>
        <w:ind w:left="425" w:right="1127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C22.2No.14 《加拿大工业控制设备标准》</w:t>
      </w:r>
    </w:p>
    <w:p>
      <w:pPr>
        <w:pStyle w:val="34"/>
        <w:keepNext w:val="0"/>
        <w:keepLines w:val="0"/>
        <w:pageBreakBefore w:val="0"/>
        <w:widowControl w:val="0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kinsoku/>
        <w:wordWrap/>
        <w:overflowPunct/>
        <w:topLinePunct w:val="0"/>
        <w:autoSpaceDE/>
        <w:autoSpaceDN/>
        <w:bidi w:val="0"/>
        <w:spacing w:before="120" w:line="360" w:lineRule="auto"/>
        <w:ind w:left="425" w:right="1127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UL1604 用于I 级和II 级，2区 和 III 级危险（分类）地点的电气设备</w:t>
      </w:r>
    </w:p>
    <w:p>
      <w:pPr>
        <w:keepNext w:val="0"/>
        <w:keepLines w:val="0"/>
        <w:pageBreakBefore w:val="0"/>
        <w:widowControl w:val="0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right="70" w:firstLine="480" w:firstLineChars="200"/>
        <w:textAlignment w:val="auto"/>
        <w:outlineLvl w:val="0"/>
        <w:rPr>
          <w:rFonts w:ascii="宋体" w:hAnsi="宋体"/>
        </w:rPr>
      </w:pPr>
      <w:r>
        <w:rPr>
          <w:rFonts w:hint="eastAsia" w:ascii="宋体" w:hAnsi="宋体"/>
        </w:rPr>
        <w:t>C22.2No.213-M1987 用于I 级，2区危险地点的不可燃电气设备</w:t>
      </w:r>
    </w:p>
    <w:p>
      <w:pPr>
        <w:pStyle w:val="34"/>
        <w:keepNext w:val="0"/>
        <w:keepLines w:val="0"/>
        <w:pageBreakBefore w:val="0"/>
        <w:widowControl w:val="0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left="425" w:right="1127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OHSA关于油雾排放标准《职业安全和健康标准》</w:t>
      </w:r>
    </w:p>
    <w:p>
      <w:pPr>
        <w:pStyle w:val="34"/>
        <w:keepNext w:val="0"/>
        <w:keepLines w:val="0"/>
        <w:pageBreakBefore w:val="0"/>
        <w:widowControl w:val="0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left="425" w:right="1127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API610 Centrifugal Pumps for Petroleum,Petrochemical and Natural Gas Industries</w:t>
      </w:r>
    </w:p>
    <w:p>
      <w:pPr>
        <w:pStyle w:val="34"/>
        <w:keepNext w:val="0"/>
        <w:keepLines w:val="0"/>
        <w:pageBreakBefore w:val="0"/>
        <w:widowControl w:val="0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left="425" w:right="1127"/>
        <w:textAlignment w:val="auto"/>
        <w:rPr>
          <w:rFonts w:ascii="宋体" w:hAnsi="宋体"/>
        </w:rPr>
      </w:pPr>
      <w:r>
        <w:rPr>
          <w:rFonts w:ascii="宋体" w:hAnsi="宋体"/>
        </w:rPr>
        <w:t xml:space="preserve">GB16297 </w:t>
      </w:r>
      <w:r>
        <w:rPr>
          <w:rFonts w:hint="eastAsia" w:ascii="宋体" w:hAnsi="宋体"/>
        </w:rPr>
        <w:t>《大气污染物排放标准》</w:t>
      </w:r>
    </w:p>
    <w:p>
      <w:pPr>
        <w:pStyle w:val="34"/>
        <w:keepNext w:val="0"/>
        <w:keepLines w:val="0"/>
        <w:pageBreakBefore w:val="0"/>
        <w:widowControl w:val="0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left="425" w:right="1127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SH/T3406 《石油化工钢制管法兰》</w:t>
      </w:r>
    </w:p>
    <w:p>
      <w:pPr>
        <w:pStyle w:val="34"/>
        <w:keepNext w:val="0"/>
        <w:keepLines w:val="0"/>
        <w:pageBreakBefore w:val="0"/>
        <w:widowControl w:val="0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left="425" w:right="1127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SH/T3405《石油化工企业钢管尺寸系列》</w:t>
      </w:r>
    </w:p>
    <w:p>
      <w:pPr>
        <w:pStyle w:val="34"/>
        <w:keepNext w:val="0"/>
        <w:keepLines w:val="0"/>
        <w:pageBreakBefore w:val="0"/>
        <w:widowControl w:val="0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left="425" w:right="1127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GB3836.1爆炸性环境 第1部分：设备通用部分</w:t>
      </w:r>
    </w:p>
    <w:p>
      <w:pPr>
        <w:pStyle w:val="34"/>
        <w:keepNext w:val="0"/>
        <w:keepLines w:val="0"/>
        <w:pageBreakBefore w:val="0"/>
        <w:widowControl w:val="0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left="425" w:right="1127"/>
        <w:textAlignment w:val="auto"/>
        <w:rPr>
          <w:rFonts w:ascii="宋体" w:hAnsi="宋体"/>
          <w:lang w:val="pt-BR"/>
        </w:rPr>
      </w:pPr>
      <w:r>
        <w:rPr>
          <w:rFonts w:hint="eastAsia" w:ascii="宋体" w:hAnsi="宋体"/>
          <w:lang w:val="pt-BR"/>
        </w:rPr>
        <w:t>GB3836.2爆炸性环境 第2部分：由隔爆外壳“d”保护的设备</w:t>
      </w:r>
    </w:p>
    <w:p>
      <w:pPr>
        <w:pStyle w:val="34"/>
        <w:keepNext w:val="0"/>
        <w:keepLines w:val="0"/>
        <w:pageBreakBefore w:val="0"/>
        <w:widowControl w:val="0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left="425" w:right="1127"/>
        <w:textAlignment w:val="auto"/>
        <w:rPr>
          <w:rFonts w:ascii="幼圆" w:hAnsi="宋体" w:eastAsia="幼圆"/>
          <w:lang w:val="pt-BR"/>
        </w:rPr>
      </w:pPr>
      <w:r>
        <w:rPr>
          <w:rFonts w:hint="eastAsia" w:ascii="宋体" w:hAnsi="宋体"/>
          <w:lang w:val="pt-BR"/>
        </w:rPr>
        <w:t>GB3836.3爆炸性环境 第3部分：由增安型“e”保护的设备</w:t>
      </w:r>
    </w:p>
    <w:p>
      <w:pPr>
        <w:pStyle w:val="34"/>
        <w:keepNext w:val="0"/>
        <w:keepLines w:val="0"/>
        <w:pageBreakBefore w:val="0"/>
        <w:widowControl w:val="0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left="425" w:right="1127"/>
        <w:textAlignment w:val="auto"/>
        <w:rPr>
          <w:rFonts w:ascii="宋体" w:hAnsi="宋体"/>
          <w:lang w:val="pt-BR"/>
        </w:rPr>
      </w:pPr>
      <w:r>
        <w:rPr>
          <w:rFonts w:hint="eastAsia" w:ascii="宋体" w:hAnsi="宋体"/>
          <w:lang w:val="pt-BR"/>
        </w:rPr>
        <w:t>GB3836.14爆炸性气体环境用电气设备 第14部分：危险场所分类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宋体" w:hAnsi="宋体"/>
          <w:lang w:val="pt-BR"/>
        </w:rPr>
      </w:pPr>
      <w:r>
        <w:rPr>
          <w:rFonts w:ascii="Arial" w:hAnsi="Arial" w:cs="Arial"/>
          <w:kern w:val="0"/>
          <w:szCs w:val="21"/>
        </w:rPr>
        <w:t xml:space="preserve">SH3043-2003 </w:t>
      </w:r>
      <w:r>
        <w:rPr>
          <w:rFonts w:hint="eastAsia" w:ascii="宋体" w:hAnsi="Arial" w:cs="宋体"/>
          <w:kern w:val="0"/>
          <w:szCs w:val="21"/>
        </w:rPr>
        <w:t>石油化工设备管道钢结构表面色和标志规定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宋体" w:hAnsi="宋体"/>
          <w:lang w:val="pt-BR"/>
        </w:rPr>
      </w:pPr>
      <w:r>
        <w:rPr>
          <w:rFonts w:hint="eastAsia" w:ascii="宋体" w:hAnsi="宋体"/>
          <w:lang w:val="pt-BR"/>
        </w:rPr>
        <w:t>说明：强制性标准必须执行有效的最新版本标准。如</w:t>
      </w:r>
      <w:r>
        <w:rPr>
          <w:rFonts w:ascii="宋体" w:hAnsi="宋体"/>
        </w:rPr>
        <w:t>GB16297</w:t>
      </w:r>
      <w:r>
        <w:rPr>
          <w:rFonts w:hint="eastAsia" w:ascii="幼圆" w:hAnsi="宋体" w:eastAsia="幼圆"/>
        </w:rPr>
        <w:t xml:space="preserve"> GB150 GB151</w:t>
      </w:r>
      <w:r>
        <w:rPr>
          <w:rFonts w:hint="eastAsia" w:ascii="宋体" w:hAnsi="宋体"/>
          <w:lang w:val="pt-BR"/>
        </w:rPr>
        <w:t xml:space="preserve"> 和GB3836系列标准。在执行上述标准和本协议过程中，当某些条款有矛盾时，卖方有责任通知买方和设计方，由三方协商确定，原则上应采用有利于保证质量和使用性能的较高要求的标准。</w:t>
      </w: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1"/>
        </w:rPr>
      </w:pPr>
      <w:r>
        <w:rPr>
          <w:rFonts w:hint="eastAsia" w:asciiTheme="minorEastAsia" w:hAnsiTheme="minorEastAsia" w:eastAsiaTheme="minorEastAsia"/>
          <w:color w:val="auto"/>
          <w:spacing w:val="-5"/>
          <w:sz w:val="24"/>
          <w:lang w:val="en-US" w:eastAsia="zh-CN"/>
        </w:rPr>
        <w:t>3</w:t>
      </w:r>
      <w:r>
        <w:rPr>
          <w:rFonts w:hint="eastAsia" w:asciiTheme="minorEastAsia" w:hAnsiTheme="minorEastAsia" w:eastAsiaTheme="minorEastAsia"/>
          <w:color w:val="auto"/>
          <w:spacing w:val="-5"/>
          <w:sz w:val="24"/>
        </w:rPr>
        <w:t>项目地点安装条件</w:t>
      </w:r>
    </w:p>
    <w:p>
      <w:pPr>
        <w:pStyle w:val="34"/>
        <w:numPr>
          <w:ilvl w:val="0"/>
          <w:numId w:val="0"/>
        </w:numPr>
        <w:tabs>
          <w:tab w:val="left" w:pos="793"/>
        </w:tabs>
        <w:spacing w:before="1" w:line="360" w:lineRule="auto"/>
        <w:ind w:left="311" w:leftChars="0"/>
        <w:rPr>
          <w:rFonts w:asciiTheme="minorEastAsia" w:hAnsiTheme="minorEastAsia" w:eastAsiaTheme="minorEastAsia"/>
          <w:color w:val="auto"/>
          <w:sz w:val="24"/>
        </w:rPr>
      </w:pPr>
      <w:r>
        <w:rPr>
          <w:rFonts w:hint="eastAsia" w:asciiTheme="minorEastAsia" w:hAnsiTheme="minorEastAsia" w:eastAsiaTheme="minorEastAsia"/>
          <w:color w:val="auto"/>
          <w:sz w:val="24"/>
          <w:lang w:val="en-US" w:eastAsia="zh-CN"/>
        </w:rPr>
        <w:t>3.1</w:t>
      </w:r>
      <w:r>
        <w:rPr>
          <w:rFonts w:asciiTheme="minorEastAsia" w:hAnsiTheme="minorEastAsia" w:eastAsiaTheme="minorEastAsia"/>
          <w:color w:val="auto"/>
          <w:sz w:val="24"/>
        </w:rPr>
        <w:t>安装地点自然条件：</w:t>
      </w:r>
    </w:p>
    <w:p>
      <w:pPr>
        <w:pStyle w:val="12"/>
        <w:tabs>
          <w:tab w:val="left" w:pos="3432"/>
        </w:tabs>
        <w:spacing w:before="131" w:line="360" w:lineRule="auto"/>
        <w:ind w:left="792"/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t>累年年平均气压</w:t>
      </w:r>
      <w:r>
        <w:rPr>
          <w:rFonts w:asciiTheme="minorEastAsia" w:hAnsiTheme="minorEastAsia" w:eastAsiaTheme="minorEastAsia"/>
          <w:color w:val="auto"/>
        </w:rPr>
        <w:tab/>
      </w:r>
      <w:r>
        <w:rPr>
          <w:rFonts w:asciiTheme="minorEastAsia" w:hAnsiTheme="minorEastAsia" w:eastAsiaTheme="minorEastAsia"/>
          <w:color w:val="auto"/>
        </w:rPr>
        <w:t>101.03</w:t>
      </w:r>
      <w:r>
        <w:rPr>
          <w:rFonts w:asciiTheme="minorEastAsia" w:hAnsiTheme="minorEastAsia" w:eastAsiaTheme="minorEastAsia"/>
          <w:color w:val="auto"/>
          <w:spacing w:val="-1"/>
        </w:rPr>
        <w:t xml:space="preserve"> </w:t>
      </w:r>
      <w:r>
        <w:rPr>
          <w:rFonts w:asciiTheme="minorEastAsia" w:hAnsiTheme="minorEastAsia" w:eastAsiaTheme="minorEastAsia"/>
          <w:color w:val="auto"/>
        </w:rPr>
        <w:t>kPa</w:t>
      </w:r>
    </w:p>
    <w:p>
      <w:pPr>
        <w:pStyle w:val="12"/>
        <w:tabs>
          <w:tab w:val="left" w:pos="3552"/>
        </w:tabs>
        <w:spacing w:before="133" w:line="360" w:lineRule="auto"/>
        <w:ind w:left="792"/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t>最高温度</w:t>
      </w:r>
      <w:r>
        <w:rPr>
          <w:rFonts w:asciiTheme="minorEastAsia" w:hAnsiTheme="minorEastAsia" w:eastAsiaTheme="minorEastAsia"/>
          <w:color w:val="auto"/>
        </w:rPr>
        <w:tab/>
      </w:r>
      <w:r>
        <w:rPr>
          <w:rFonts w:asciiTheme="minorEastAsia" w:hAnsiTheme="minorEastAsia" w:eastAsiaTheme="minorEastAsia"/>
          <w:color w:val="auto"/>
        </w:rPr>
        <w:t>38.8℃</w:t>
      </w:r>
    </w:p>
    <w:p>
      <w:pPr>
        <w:pStyle w:val="12"/>
        <w:tabs>
          <w:tab w:val="left" w:pos="3672"/>
        </w:tabs>
        <w:spacing w:before="133" w:line="360" w:lineRule="auto"/>
        <w:ind w:left="792"/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t>最低温度</w:t>
      </w:r>
      <w:r>
        <w:rPr>
          <w:rFonts w:asciiTheme="minorEastAsia" w:hAnsiTheme="minorEastAsia" w:eastAsiaTheme="minorEastAsia"/>
          <w:color w:val="auto"/>
        </w:rPr>
        <w:tab/>
      </w:r>
      <w:r>
        <w:rPr>
          <w:rFonts w:asciiTheme="minorEastAsia" w:hAnsiTheme="minorEastAsia" w:eastAsiaTheme="minorEastAsia"/>
          <w:color w:val="auto"/>
        </w:rPr>
        <w:t>1.4℃</w:t>
      </w:r>
    </w:p>
    <w:p>
      <w:pPr>
        <w:pStyle w:val="12"/>
        <w:tabs>
          <w:tab w:val="left" w:pos="3672"/>
        </w:tabs>
        <w:spacing w:before="132" w:line="360" w:lineRule="auto"/>
        <w:ind w:left="792"/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t>平均相对湿度</w:t>
      </w:r>
      <w:r>
        <w:rPr>
          <w:rFonts w:asciiTheme="minorEastAsia" w:hAnsiTheme="minorEastAsia" w:eastAsiaTheme="minorEastAsia"/>
          <w:color w:val="auto"/>
        </w:rPr>
        <w:tab/>
      </w:r>
      <w:r>
        <w:rPr>
          <w:rFonts w:asciiTheme="minorEastAsia" w:hAnsiTheme="minorEastAsia" w:eastAsiaTheme="minorEastAsia"/>
          <w:color w:val="auto"/>
        </w:rPr>
        <w:t>80%</w:t>
      </w:r>
    </w:p>
    <w:p>
      <w:pPr>
        <w:pStyle w:val="34"/>
        <w:numPr>
          <w:ilvl w:val="0"/>
          <w:numId w:val="0"/>
        </w:numPr>
        <w:tabs>
          <w:tab w:val="left" w:pos="793"/>
        </w:tabs>
        <w:spacing w:before="133" w:line="360" w:lineRule="auto"/>
        <w:ind w:left="311" w:leftChars="0"/>
        <w:rPr>
          <w:rFonts w:asciiTheme="minorEastAsia" w:hAnsiTheme="minorEastAsia" w:eastAsiaTheme="minorEastAsia"/>
          <w:color w:val="auto"/>
          <w:sz w:val="24"/>
        </w:rPr>
      </w:pPr>
      <w:r>
        <w:rPr>
          <w:rFonts w:hint="eastAsia" w:asciiTheme="minorEastAsia" w:hAnsiTheme="minorEastAsia" w:eastAsiaTheme="minorEastAsia"/>
          <w:color w:val="auto"/>
          <w:sz w:val="24"/>
          <w:lang w:val="en-US" w:eastAsia="zh-CN"/>
        </w:rPr>
        <w:t>3.2</w:t>
      </w:r>
      <w:r>
        <w:rPr>
          <w:rFonts w:asciiTheme="minorEastAsia" w:hAnsiTheme="minorEastAsia" w:eastAsiaTheme="minorEastAsia"/>
          <w:color w:val="auto"/>
          <w:sz w:val="24"/>
        </w:rPr>
        <w:t>电气条件</w:t>
      </w:r>
    </w:p>
    <w:p>
      <w:pPr>
        <w:spacing w:line="360" w:lineRule="auto"/>
        <w:textAlignment w:val="center"/>
        <w:rPr>
          <w:rFonts w:hint="eastAsia" w:cs="Times New Roman" w:asciiTheme="minorEastAsia" w:hAnsiTheme="minorEastAsia" w:eastAsiaTheme="minorEastAsia"/>
          <w:color w:val="auto"/>
          <w:sz w:val="24"/>
          <w:szCs w:val="24"/>
          <w:lang w:eastAsia="zh-CN"/>
        </w:rPr>
      </w:pPr>
      <w:r>
        <w:rPr>
          <w:rFonts w:asciiTheme="minorEastAsia" w:hAnsiTheme="minorEastAsia" w:eastAsiaTheme="minorEastAsia"/>
          <w:color w:val="auto"/>
          <w:lang w:eastAsia="zh-CN"/>
        </w:rPr>
        <w:t>低压配电电压</w:t>
      </w:r>
      <w:r>
        <w:rPr>
          <w:rFonts w:asciiTheme="minorEastAsia" w:hAnsiTheme="minorEastAsia" w:eastAsiaTheme="minorEastAsia"/>
          <w:color w:val="auto"/>
          <w:lang w:eastAsia="zh-CN"/>
        </w:rPr>
        <w:tab/>
      </w:r>
      <w:r>
        <w:rPr>
          <w:rFonts w:hint="eastAsia" w:cs="Times New Roman" w:asciiTheme="minorEastAsia" w:hAnsiTheme="minorEastAsia" w:eastAsiaTheme="minorEastAsia"/>
          <w:color w:val="auto"/>
          <w:sz w:val="24"/>
          <w:szCs w:val="24"/>
          <w:lang w:eastAsia="zh-CN"/>
        </w:rPr>
        <w:t xml:space="preserve">380V  </w:t>
      </w:r>
      <w:r>
        <w:rPr>
          <w:rFonts w:cs="Times New Roman" w:asciiTheme="minorEastAsia" w:hAnsiTheme="minorEastAsia" w:eastAsiaTheme="minorEastAsia"/>
          <w:color w:val="auto"/>
          <w:sz w:val="24"/>
          <w:szCs w:val="24"/>
          <w:lang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color w:val="auto"/>
          <w:sz w:val="24"/>
          <w:szCs w:val="24"/>
          <w:lang w:eastAsia="zh-CN"/>
        </w:rPr>
        <w:t>三相 50Hz</w:t>
      </w:r>
    </w:p>
    <w:p>
      <w:pPr>
        <w:spacing w:line="360" w:lineRule="auto"/>
        <w:textAlignment w:val="center"/>
        <w:rPr>
          <w:rFonts w:hint="eastAsia" w:asciiTheme="minorEastAsia" w:hAnsiTheme="minorEastAsia" w:eastAsiaTheme="minorEastAsia"/>
          <w:color w:val="auto"/>
          <w:spacing w:val="-5"/>
          <w:sz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spacing w:val="-5"/>
          <w:sz w:val="24"/>
          <w:lang w:val="en-US" w:eastAsia="zh-CN"/>
        </w:rPr>
        <w:t>4回收主机资料</w:t>
      </w:r>
    </w:p>
    <w:p>
      <w:pPr>
        <w:spacing w:line="360" w:lineRule="auto"/>
        <w:ind w:firstLine="240" w:firstLineChars="100"/>
        <w:rPr>
          <w:rFonts w:hint="eastAsia" w:ascii="宋体" w:hAnsi="宋体" w:eastAsia="宋体" w:cs="Times New Roman"/>
          <w:kern w:val="2"/>
          <w:sz w:val="24"/>
          <w:szCs w:val="24"/>
          <w:lang w:val="pt-BR" w:eastAsia="zh-CN" w:bidi="ar-SA"/>
          <w14:ligatures w14:val="none"/>
        </w:rPr>
      </w:pP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  <w14:ligatures w14:val="none"/>
        </w:rPr>
        <w:t>4.1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pt-BR" w:eastAsia="zh-CN" w:bidi="ar-SA"/>
          <w14:ligatures w14:val="none"/>
        </w:rPr>
        <w:t>油雾回收主机主要包括油箱、油气分离筛、压差表、电机、变频开关等，除了变频开关，其余的部分都集中在一个机柜里，而变频开关挂在机柜的背面。</w:t>
      </w:r>
    </w:p>
    <w:p>
      <w:pPr>
        <w:numPr>
          <w:ilvl w:val="0"/>
          <w:numId w:val="0"/>
        </w:numPr>
        <w:ind w:firstLine="240" w:firstLineChars="100"/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  <w14:ligatures w14:val="none"/>
        </w:rPr>
      </w:pPr>
      <w:r>
        <w:rPr>
          <w:rFonts w:hint="eastAsia" w:ascii="宋体" w:hAnsi="宋体" w:cs="Times New Roman"/>
          <w:color w:val="auto"/>
          <w:kern w:val="2"/>
          <w:sz w:val="24"/>
          <w:szCs w:val="24"/>
          <w:lang w:val="en-US" w:eastAsia="zh-CN" w:bidi="ar-SA"/>
          <w14:ligatures w14:val="none"/>
        </w:rPr>
        <w:t>4.2</w:t>
      </w:r>
      <w:r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  <w14:ligatures w14:val="none"/>
        </w:rPr>
        <w:t>油雾回收主机主要部件</w:t>
      </w:r>
    </w:p>
    <w:p>
      <w:pPr>
        <w:numPr>
          <w:ilvl w:val="0"/>
          <w:numId w:val="0"/>
        </w:numPr>
        <w:rPr>
          <w:rFonts w:hint="default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  <w14:ligatures w14:val="none"/>
        </w:rPr>
      </w:pPr>
      <w:r>
        <w:rPr>
          <w:rFonts w:hint="eastAsia" w:ascii="幼圆" w:hAnsi="幼圆" w:eastAsia="幼圆" w:cs="幼圆"/>
          <w:b/>
          <w:bCs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-5502910</wp:posOffset>
            </wp:positionV>
            <wp:extent cx="5474335" cy="2892425"/>
            <wp:effectExtent l="0" t="0" r="12065" b="317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4"/>
        <w:numPr>
          <w:ilvl w:val="0"/>
          <w:numId w:val="0"/>
        </w:numPr>
        <w:ind w:left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77765" cy="2434590"/>
            <wp:effectExtent l="0" t="0" r="13335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" t="1487" b="2518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0"/>
        </w:numPr>
        <w:ind w:leftChars="0"/>
        <w:rPr>
          <w:rFonts w:hint="eastAsia" w:ascii="宋体" w:hAnsi="宋体"/>
          <w:lang w:val="en-US" w:eastAsia="zh-CN"/>
        </w:rPr>
      </w:pPr>
    </w:p>
    <w:p>
      <w:pPr>
        <w:pStyle w:val="34"/>
        <w:numPr>
          <w:ilvl w:val="0"/>
          <w:numId w:val="0"/>
        </w:numPr>
        <w:ind w:leftChars="0"/>
        <w:rPr>
          <w:rFonts w:hint="eastAsia" w:ascii="宋体" w:hAnsi="宋体"/>
          <w:lang w:val="en-US" w:eastAsia="zh-CN"/>
        </w:rPr>
      </w:pPr>
      <w:r>
        <w:rPr>
          <w:rFonts w:hint="eastAsia" w:ascii="幼圆" w:hAnsi="幼圆" w:eastAsia="幼圆" w:cs="幼圆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110490</wp:posOffset>
            </wp:positionV>
            <wp:extent cx="4333875" cy="2584450"/>
            <wp:effectExtent l="0" t="0" r="9525" b="635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t="25" r="1159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4"/>
        <w:numPr>
          <w:ilvl w:val="0"/>
          <w:numId w:val="0"/>
        </w:numPr>
        <w:ind w:leftChars="0"/>
        <w:rPr>
          <w:rFonts w:hint="eastAsia" w:ascii="宋体" w:hAnsi="宋体"/>
          <w:lang w:val="en-US" w:eastAsia="zh-CN"/>
        </w:rPr>
      </w:pPr>
    </w:p>
    <w:p>
      <w:pPr>
        <w:pStyle w:val="34"/>
        <w:numPr>
          <w:ilvl w:val="0"/>
          <w:numId w:val="0"/>
        </w:numPr>
        <w:ind w:leftChars="0"/>
        <w:rPr>
          <w:rFonts w:hint="eastAsia" w:ascii="宋体" w:hAnsi="宋体"/>
          <w:lang w:val="en-US" w:eastAsia="zh-CN"/>
        </w:rPr>
      </w:pPr>
    </w:p>
    <w:p>
      <w:pPr>
        <w:pStyle w:val="34"/>
        <w:numPr>
          <w:ilvl w:val="0"/>
          <w:numId w:val="0"/>
        </w:numPr>
        <w:ind w:leftChars="0"/>
        <w:rPr>
          <w:rFonts w:hint="eastAsia" w:ascii="宋体" w:hAnsi="宋体"/>
          <w:lang w:val="en-US" w:eastAsia="zh-CN"/>
        </w:rPr>
      </w:pPr>
    </w:p>
    <w:p>
      <w:pPr>
        <w:pStyle w:val="34"/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>
      <w:pPr>
        <w:pStyle w:val="34"/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</w:rPr>
      </w:pPr>
      <w:r>
        <w:rPr>
          <w:rFonts w:hint="eastAsia" w:ascii="等线" w:hAnsi="等线" w:eastAsia="等线" w:cs="等线"/>
          <w:b w:val="0"/>
          <w:bCs w:val="0"/>
          <w:lang w:val="en-US" w:eastAsia="zh-CN"/>
        </w:rPr>
        <w:t>4.3</w:t>
      </w:r>
      <w:r>
        <w:rPr>
          <w:rFonts w:hint="eastAsia" w:ascii="等线" w:hAnsi="等线" w:eastAsia="等线" w:cs="等线"/>
          <w:b w:val="0"/>
          <w:bCs w:val="0"/>
        </w:rPr>
        <w:t>回收主机主要参数</w:t>
      </w:r>
    </w:p>
    <w:tbl>
      <w:tblPr>
        <w:tblStyle w:val="18"/>
        <w:tblW w:w="76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"/>
        <w:gridCol w:w="3370"/>
        <w:gridCol w:w="33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b/>
                <w:bCs/>
                <w:szCs w:val="21"/>
              </w:rPr>
            </w:pPr>
            <w:r>
              <w:rPr>
                <w:rFonts w:hint="eastAsia" w:ascii="幼圆" w:hAnsi="幼圆" w:eastAsia="幼圆" w:cs="幼圆"/>
                <w:b/>
                <w:bCs/>
                <w:szCs w:val="21"/>
              </w:rPr>
              <w:t>序号</w:t>
            </w:r>
          </w:p>
        </w:tc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b/>
                <w:bCs/>
                <w:szCs w:val="21"/>
              </w:rPr>
            </w:pPr>
            <w:r>
              <w:rPr>
                <w:rFonts w:hint="eastAsia" w:ascii="幼圆" w:hAnsi="幼圆" w:eastAsia="幼圆" w:cs="幼圆"/>
                <w:b/>
                <w:bCs/>
                <w:szCs w:val="21"/>
              </w:rPr>
              <w:t>名称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b/>
                <w:bCs/>
                <w:szCs w:val="21"/>
              </w:rPr>
            </w:pPr>
            <w:r>
              <w:rPr>
                <w:rFonts w:hint="eastAsia" w:ascii="幼圆" w:hAnsi="幼圆" w:eastAsia="幼圆" w:cs="幼圆"/>
                <w:b/>
                <w:bCs/>
                <w:szCs w:val="21"/>
              </w:rPr>
              <w:t>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1</w:t>
            </w:r>
          </w:p>
        </w:tc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型号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DMU-17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2</w:t>
            </w:r>
          </w:p>
        </w:tc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油雾回收入口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DN50,PN20,RF不锈钢法兰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3</w:t>
            </w:r>
          </w:p>
        </w:tc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回收原理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油气分离筛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4</w:t>
            </w:r>
          </w:p>
        </w:tc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油箱容积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300 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5</w:t>
            </w:r>
          </w:p>
        </w:tc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主机净重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300 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6</w:t>
            </w:r>
          </w:p>
        </w:tc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电源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380V AC，3相，1.5 kW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7</w:t>
            </w:r>
          </w:p>
        </w:tc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回收主机固定方式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膨胀地脚螺栓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8</w:t>
            </w:r>
          </w:p>
        </w:tc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回收效率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＞95%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9</w:t>
            </w:r>
          </w:p>
        </w:tc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回收电机功率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1.5 kW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10</w:t>
            </w:r>
          </w:p>
        </w:tc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回收电机转速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3000转/分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8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11</w:t>
            </w:r>
          </w:p>
        </w:tc>
        <w:tc>
          <w:tcPr>
            <w:tcW w:w="3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回收主机油箱上部负压</w:t>
            </w:r>
          </w:p>
        </w:tc>
        <w:tc>
          <w:tcPr>
            <w:tcW w:w="3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-0.1~0英寸水柱</w:t>
            </w:r>
          </w:p>
        </w:tc>
      </w:tr>
    </w:tbl>
    <w:p/>
    <w:p>
      <w:pPr>
        <w:pStyle w:val="34"/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lang w:val="en-US" w:eastAsia="zh-CN"/>
        </w:rPr>
        <w:t>4.4回收主机电源</w:t>
      </w:r>
    </w:p>
    <w:p>
      <w:pPr>
        <w:pStyle w:val="4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6" w:hanging="363"/>
        <w:jc w:val="both"/>
        <w:textAlignment w:val="auto"/>
        <w:rPr>
          <w:rFonts w:ascii="幼圆" w:hAnsi="Arial" w:eastAsia="幼圆" w:cs="Arial"/>
        </w:rPr>
      </w:pPr>
      <w:r>
        <w:rPr>
          <w:rFonts w:hint="eastAsia" w:ascii="幼圆" w:eastAsia="幼圆"/>
        </w:rPr>
        <w:t>连接尺寸： 接线盒预留口，3/4</w:t>
      </w:r>
      <w:r>
        <w:rPr>
          <w:rFonts w:ascii="幼圆" w:eastAsia="幼圆"/>
        </w:rPr>
        <w:t>”</w:t>
      </w:r>
      <w:r>
        <w:rPr>
          <w:rFonts w:hint="eastAsia" w:ascii="幼圆" w:eastAsia="幼圆"/>
        </w:rPr>
        <w:t>NPT 螺纹连接 （详见外形图）</w:t>
      </w:r>
    </w:p>
    <w:p>
      <w:pPr>
        <w:pStyle w:val="4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6" w:hanging="363"/>
        <w:jc w:val="both"/>
        <w:textAlignment w:val="auto"/>
        <w:rPr>
          <w:rFonts w:ascii="幼圆" w:hAnsi="Arial" w:eastAsia="幼圆" w:cs="Arial"/>
        </w:rPr>
      </w:pPr>
      <w:r>
        <w:rPr>
          <w:rFonts w:hint="eastAsia" w:ascii="幼圆" w:eastAsia="幼圆"/>
        </w:rPr>
        <w:t xml:space="preserve">输入电压： </w:t>
      </w:r>
      <w:r>
        <w:rPr>
          <w:rFonts w:ascii="幼圆" w:eastAsia="幼圆"/>
        </w:rPr>
        <w:t>38</w:t>
      </w:r>
      <w:r>
        <w:rPr>
          <w:rFonts w:hint="eastAsia" w:ascii="幼圆" w:eastAsia="幼圆"/>
        </w:rPr>
        <w:t xml:space="preserve">0伏交流 ± 10% </w:t>
      </w:r>
    </w:p>
    <w:p>
      <w:pPr>
        <w:pStyle w:val="4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6" w:hanging="363"/>
        <w:jc w:val="both"/>
        <w:textAlignment w:val="auto"/>
        <w:rPr>
          <w:rFonts w:ascii="幼圆" w:eastAsia="幼圆"/>
        </w:rPr>
      </w:pPr>
      <w:r>
        <w:rPr>
          <w:rFonts w:hint="eastAsia" w:ascii="幼圆" w:eastAsia="幼圆"/>
        </w:rPr>
        <w:t xml:space="preserve">输入频率： 50赫兹 </w:t>
      </w:r>
    </w:p>
    <w:p>
      <w:pPr>
        <w:pStyle w:val="4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6" w:hanging="363"/>
        <w:jc w:val="both"/>
        <w:textAlignment w:val="auto"/>
        <w:rPr>
          <w:rFonts w:ascii="幼圆" w:eastAsia="幼圆"/>
        </w:rPr>
      </w:pPr>
      <w:r>
        <w:rPr>
          <w:rFonts w:hint="eastAsia" w:ascii="幼圆" w:eastAsia="幼圆"/>
        </w:rPr>
        <w:t>接地：接地点请见主机外形图标示</w:t>
      </w:r>
    </w:p>
    <w:p>
      <w:pPr>
        <w:pStyle w:val="4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left="726" w:hanging="363"/>
        <w:jc w:val="both"/>
        <w:textAlignment w:val="auto"/>
        <w:rPr>
          <w:rFonts w:ascii="幼圆" w:hAnsi="Arial" w:eastAsia="幼圆" w:cs="Arial"/>
        </w:rPr>
      </w:pPr>
      <w:r>
        <w:rPr>
          <w:rFonts w:hint="eastAsia" w:ascii="幼圆" w:eastAsia="幼圆"/>
        </w:rPr>
        <w:t xml:space="preserve">所需的额定容量： </w:t>
      </w:r>
    </w:p>
    <w:p>
      <w:pPr>
        <w:pStyle w:val="39"/>
        <w:rPr>
          <w:rFonts w:ascii="幼圆" w:hAnsi="Arial" w:eastAsia="幼圆" w:cs="Arial"/>
          <w:color w:val="auto"/>
        </w:rPr>
      </w:pPr>
    </w:p>
    <w:tbl>
      <w:tblPr>
        <w:tblStyle w:val="18"/>
        <w:tblW w:w="73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7"/>
        <w:gridCol w:w="1626"/>
        <w:gridCol w:w="221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atLeast"/>
          <w:jc w:val="center"/>
        </w:trPr>
        <w:tc>
          <w:tcPr>
            <w:tcW w:w="3477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pStyle w:val="39"/>
              <w:jc w:val="center"/>
              <w:rPr>
                <w:rFonts w:ascii="幼圆" w:hAnsi="Arial" w:eastAsia="幼圆" w:cs="Arial"/>
                <w:color w:val="auto"/>
                <w:sz w:val="20"/>
                <w:szCs w:val="20"/>
              </w:rPr>
            </w:pPr>
            <w:r>
              <w:rPr>
                <w:rFonts w:hint="eastAsia" w:ascii="幼圆" w:hAnsi="Arial" w:eastAsia="幼圆" w:cs="Arial"/>
                <w:b/>
                <w:bCs/>
                <w:color w:val="auto"/>
                <w:sz w:val="20"/>
                <w:szCs w:val="20"/>
              </w:rPr>
              <w:t>说明</w:t>
            </w:r>
          </w:p>
        </w:tc>
        <w:tc>
          <w:tcPr>
            <w:tcW w:w="1626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pStyle w:val="39"/>
              <w:jc w:val="center"/>
              <w:rPr>
                <w:rFonts w:ascii="幼圆" w:hAnsi="Arial" w:eastAsia="幼圆" w:cs="Arial"/>
                <w:color w:val="auto"/>
                <w:sz w:val="20"/>
                <w:szCs w:val="20"/>
              </w:rPr>
            </w:pPr>
            <w:r>
              <w:rPr>
                <w:rFonts w:hint="eastAsia" w:ascii="幼圆" w:hAnsi="Arial" w:eastAsia="幼圆" w:cs="Arial"/>
                <w:b/>
                <w:bCs/>
                <w:color w:val="auto"/>
                <w:sz w:val="20"/>
                <w:szCs w:val="20"/>
              </w:rPr>
              <w:t>电压（伏）</w:t>
            </w:r>
          </w:p>
        </w:tc>
        <w:tc>
          <w:tcPr>
            <w:tcW w:w="2215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pStyle w:val="39"/>
              <w:jc w:val="center"/>
              <w:rPr>
                <w:rFonts w:ascii="幼圆" w:hAnsi="Arial" w:eastAsia="幼圆" w:cs="Arial"/>
                <w:color w:val="auto"/>
                <w:sz w:val="20"/>
                <w:szCs w:val="20"/>
              </w:rPr>
            </w:pPr>
            <w:r>
              <w:rPr>
                <w:rFonts w:hint="eastAsia" w:ascii="幼圆" w:hAnsi="Arial" w:eastAsia="幼圆" w:cs="Arial"/>
                <w:b/>
                <w:bCs/>
                <w:color w:val="auto"/>
                <w:sz w:val="20"/>
                <w:szCs w:val="20"/>
              </w:rPr>
              <w:t>额定功率（K</w:t>
            </w:r>
            <w:r>
              <w:rPr>
                <w:rFonts w:ascii="幼圆" w:hAnsi="Arial" w:eastAsia="幼圆" w:cs="Arial"/>
                <w:b/>
                <w:bCs/>
                <w:color w:val="auto"/>
                <w:sz w:val="20"/>
                <w:szCs w:val="20"/>
              </w:rPr>
              <w:t>w</w:t>
            </w:r>
            <w:r>
              <w:rPr>
                <w:rFonts w:hint="eastAsia" w:ascii="幼圆" w:hAnsi="Arial" w:eastAsia="幼圆" w:cs="Arial"/>
                <w:b/>
                <w:bCs/>
                <w:color w:val="auto"/>
                <w:sz w:val="20"/>
                <w:szCs w:val="20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3477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pStyle w:val="39"/>
              <w:jc w:val="center"/>
              <w:rPr>
                <w:rFonts w:ascii="幼圆" w:hAnsi="Arial" w:eastAsia="幼圆" w:cs="Arial"/>
                <w:color w:val="auto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pStyle w:val="39"/>
              <w:jc w:val="center"/>
              <w:rPr>
                <w:rFonts w:ascii="幼圆" w:hAnsi="Arial" w:eastAsia="幼圆" w:cs="Arial"/>
                <w:color w:val="auto"/>
                <w:sz w:val="20"/>
                <w:szCs w:val="20"/>
              </w:rPr>
            </w:pPr>
            <w:r>
              <w:rPr>
                <w:rFonts w:ascii="幼圆" w:hAnsi="Arial" w:eastAsia="幼圆" w:cs="Arial"/>
                <w:color w:val="auto"/>
                <w:sz w:val="20"/>
                <w:szCs w:val="20"/>
              </w:rPr>
              <w:t>380</w:t>
            </w:r>
            <w:r>
              <w:rPr>
                <w:rFonts w:hint="eastAsia" w:ascii="幼圆" w:hAnsi="Arial" w:eastAsia="幼圆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15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pStyle w:val="39"/>
              <w:jc w:val="center"/>
              <w:rPr>
                <w:rFonts w:ascii="幼圆" w:hAnsi="Arial" w:eastAsia="幼圆" w:cs="Arial"/>
                <w:color w:val="auto"/>
                <w:sz w:val="20"/>
                <w:szCs w:val="20"/>
              </w:rPr>
            </w:pPr>
            <w:r>
              <w:rPr>
                <w:rFonts w:hint="eastAsia" w:ascii="幼圆" w:hAnsi="Arial" w:eastAsia="幼圆" w:cs="Arial"/>
                <w:color w:val="auto"/>
                <w:sz w:val="20"/>
                <w:szCs w:val="20"/>
              </w:rPr>
              <w:t xml:space="preserve">1.5 </w:t>
            </w:r>
          </w:p>
        </w:tc>
      </w:tr>
    </w:tbl>
    <w:p/>
    <w:p>
      <w:pPr>
        <w:pStyle w:val="34"/>
        <w:spacing w:before="60" w:line="360" w:lineRule="auto"/>
        <w:ind w:left="425"/>
        <w:rPr>
          <w:rFonts w:ascii="宋体" w:hAnsi="宋体"/>
          <w:b/>
          <w:bCs/>
        </w:rPr>
      </w:pPr>
    </w:p>
    <w:p>
      <w:pPr>
        <w:pStyle w:val="34"/>
        <w:spacing w:before="60" w:line="360" w:lineRule="auto"/>
        <w:ind w:left="425"/>
        <w:rPr>
          <w:rFonts w:ascii="宋体" w:hAnsi="宋体"/>
          <w:b/>
          <w:bCs/>
        </w:rPr>
      </w:pPr>
    </w:p>
    <w:p>
      <w:pPr>
        <w:pStyle w:val="34"/>
        <w:spacing w:before="60" w:line="360" w:lineRule="auto"/>
        <w:ind w:left="425"/>
        <w:rPr>
          <w:rFonts w:ascii="宋体" w:hAnsi="宋体"/>
          <w:b/>
          <w:bCs/>
        </w:rPr>
      </w:pPr>
    </w:p>
    <w:p>
      <w:pPr>
        <w:pStyle w:val="34"/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lang w:val="en-US" w:eastAsia="zh-CN"/>
        </w:rPr>
        <w:t>4.5回收主机带单台示意图及供货范围</w:t>
      </w:r>
    </w:p>
    <w:p>
      <w:pPr>
        <w:tabs>
          <w:tab w:val="left" w:pos="876"/>
        </w:tabs>
        <w:rPr>
          <w:rFonts w:ascii="宋体" w:hAnsi="宋体"/>
        </w:rPr>
      </w:pPr>
      <w:r>
        <w:rPr>
          <w:rFonts w:ascii="宋体" w:hAnsi="宋体"/>
        </w:rPr>
        <w:tab/>
      </w:r>
    </w:p>
    <w:p>
      <w:pPr>
        <w:tabs>
          <w:tab w:val="left" w:pos="876"/>
        </w:tabs>
        <w:jc w:val="center"/>
      </w:pPr>
      <w:r>
        <w:rPr>
          <w:rFonts w:hint="eastAsia"/>
        </w:rPr>
        <w:object>
          <v:shape id="_x0000_i1025" o:spt="75" type="#_x0000_t75" style="height:234pt;width:406.95pt;" o:ole="t" filled="f" o:preferrelative="t" stroked="f" coordsize="21600,21600">
            <v:path/>
            <v:fill on="f" focussize="0,0"/>
            <v:stroke on="f"/>
            <v:imagedata r:id="rId11" cropleft="35272f" croptop="25857f" cropright="17537f" cropbottom="21678f" o:title=""/>
            <o:lock v:ext="edit" aspectratio="t"/>
            <w10:wrap type="none"/>
            <w10:anchorlock/>
          </v:shape>
          <o:OLEObject Type="Embed" ProgID="AutoCAD.Drawing.24" ShapeID="_x0000_i1025" DrawAspect="Content" ObjectID="_1468075725" r:id="rId10">
            <o:LockedField>false</o:LockedField>
          </o:OLEObject>
        </w:objec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4.5.1油雾回收系统共两套，乙苯苯乙烯装置油雾一套，液相柴油加氢装置油雾一套。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4.5.2两套油雾回收系统的撬块设备，主管线，下落连接管线及管件由乙方供货</w:t>
      </w:r>
    </w:p>
    <w:p>
      <w:pPr>
        <w:pStyle w:val="34"/>
        <w:numPr>
          <w:ilvl w:val="0"/>
          <w:numId w:val="0"/>
        </w:numPr>
        <w:rPr>
          <w:rFonts w:hint="eastAsia" w:ascii="等线" w:hAnsi="等线" w:eastAsia="等线" w:cs="等线"/>
          <w:b w:val="0"/>
          <w:bCs w:val="0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lang w:val="en-US" w:eastAsia="zh-CN"/>
        </w:rPr>
        <w:t>4.6回收主机上主要备件清单</w:t>
      </w:r>
      <w:bookmarkStart w:id="1" w:name="_GoBack"/>
      <w:bookmarkEnd w:id="1"/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9"/>
        <w:gridCol w:w="1754"/>
        <w:gridCol w:w="36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序号</w:t>
            </w:r>
          </w:p>
        </w:tc>
        <w:tc>
          <w:tcPr>
            <w:tcW w:w="17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制造厂或分包商名称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17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防爆变频电机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南阳或佳木斯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9" w:type="dxa"/>
          </w:tcPr>
          <w:p>
            <w:pPr>
              <w:jc w:val="center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1754" w:type="dxa"/>
          </w:tcPr>
          <w:p>
            <w:pPr>
              <w:rPr>
                <w:rFonts w:hint="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防爆控制箱</w:t>
            </w:r>
          </w:p>
          <w:p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(内置变频器)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华荣、飞策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17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压差表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布莱迪、威卡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17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油气分离筛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17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除雾衬垫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17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液位计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34"/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color w:val="auto"/>
        </w:rPr>
      </w:pPr>
      <w:r>
        <w:rPr>
          <w:rFonts w:hint="eastAsia" w:ascii="等线" w:hAnsi="等线" w:eastAsia="等线" w:cs="等线"/>
          <w:b w:val="0"/>
          <w:bCs w:val="0"/>
          <w:color w:val="auto"/>
          <w:lang w:val="en-US" w:eastAsia="zh-CN"/>
        </w:rPr>
        <w:t>5.</w:t>
      </w:r>
      <w:r>
        <w:rPr>
          <w:rFonts w:hint="eastAsia" w:ascii="等线" w:hAnsi="等线" w:eastAsia="等线" w:cs="等线"/>
          <w:b w:val="0"/>
          <w:bCs w:val="0"/>
          <w:color w:val="auto"/>
        </w:rPr>
        <w:t>供货材料清单</w:t>
      </w:r>
    </w:p>
    <w:p>
      <w:pPr>
        <w:pStyle w:val="34"/>
        <w:numPr>
          <w:ilvl w:val="0"/>
          <w:numId w:val="0"/>
        </w:numPr>
        <w:ind w:leftChars="0"/>
        <w:rPr>
          <w:rFonts w:hint="eastAsia" w:ascii="等线" w:hAnsi="等线" w:eastAsia="等线" w:cs="等线"/>
          <w:color w:val="auto"/>
          <w:lang w:val="en-US" w:eastAsia="zh-CN"/>
        </w:rPr>
      </w:pPr>
      <w:r>
        <w:rPr>
          <w:rFonts w:hint="eastAsia" w:ascii="等线" w:hAnsi="等线" w:eastAsia="等线" w:cs="等线"/>
          <w:color w:val="auto"/>
          <w:lang w:val="en-US" w:eastAsia="zh-CN"/>
        </w:rPr>
        <w:t>5.1</w:t>
      </w:r>
      <w:r>
        <w:rPr>
          <w:rFonts w:hint="eastAsia" w:ascii="等线" w:hAnsi="等线" w:eastAsia="等线" w:cs="等线"/>
          <w:color w:val="auto"/>
        </w:rPr>
        <w:t>乙烯苯乙烯装置</w:t>
      </w:r>
    </w:p>
    <w:tbl>
      <w:tblPr>
        <w:tblStyle w:val="18"/>
        <w:tblW w:w="83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"/>
        <w:gridCol w:w="2214"/>
        <w:gridCol w:w="2323"/>
        <w:gridCol w:w="1022"/>
        <w:gridCol w:w="8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序号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名称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零件号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数量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单位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回收主机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DMU-17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台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组合件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残雾回收转换块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77600800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件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合金铝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不锈钢管，5/8”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67000850</w:t>
            </w:r>
          </w:p>
        </w:tc>
        <w:tc>
          <w:tcPr>
            <w:tcW w:w="1080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99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米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管接头,5/8T*1/4P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77500763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件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管接头,5/8T*1/2P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77500764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33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件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专用螺纹密封胶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77700011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管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主管道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DN50X3.0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米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450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下落管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DN25X2.5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米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单头螺纹短节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ZG1″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只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等径三通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DN50 X3.0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只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弯头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DN50X90°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只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弯头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DN25X90°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只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变径三通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DN50XDN50XDN20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只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法兰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DN50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对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盲法兰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DN50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管卡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57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钢制镀锌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套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管卡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31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钢制镀锌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套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角铁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50X50X4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Q235A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米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102</w:t>
            </w:r>
          </w:p>
        </w:tc>
      </w:tr>
    </w:tbl>
    <w:p>
      <w:pPr>
        <w:rPr>
          <w:rFonts w:ascii="幼圆" w:hAnsi="宋体" w:eastAsia="幼圆" w:cs="宋体"/>
          <w:b/>
          <w:i/>
          <w:color w:val="FF0000"/>
          <w:sz w:val="21"/>
          <w:szCs w:val="21"/>
        </w:rPr>
      </w:pPr>
    </w:p>
    <w:p>
      <w:pPr>
        <w:pStyle w:val="34"/>
        <w:numPr>
          <w:ilvl w:val="0"/>
          <w:numId w:val="0"/>
        </w:numPr>
        <w:ind w:leftChars="0"/>
        <w:rPr>
          <w:rFonts w:ascii="宋体" w:hAnsi="宋体"/>
          <w:color w:val="auto"/>
        </w:rPr>
      </w:pPr>
      <w:r>
        <w:rPr>
          <w:rFonts w:hint="eastAsia" w:ascii="宋体" w:hAnsi="宋体"/>
          <w:color w:val="auto"/>
          <w:lang w:val="en-US" w:eastAsia="zh-CN"/>
        </w:rPr>
        <w:t>5.2</w:t>
      </w:r>
      <w:r>
        <w:rPr>
          <w:rFonts w:hint="eastAsia" w:ascii="宋体" w:hAnsi="宋体"/>
          <w:color w:val="auto"/>
        </w:rPr>
        <w:t>液相柴油加氢装置</w:t>
      </w:r>
    </w:p>
    <w:tbl>
      <w:tblPr>
        <w:tblStyle w:val="18"/>
        <w:tblW w:w="83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5"/>
        <w:gridCol w:w="2383"/>
        <w:gridCol w:w="1896"/>
        <w:gridCol w:w="1015"/>
        <w:gridCol w:w="1052"/>
        <w:gridCol w:w="13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序号</w:t>
            </w:r>
          </w:p>
        </w:tc>
        <w:tc>
          <w:tcPr>
            <w:tcW w:w="2383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名称</w:t>
            </w: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零件号</w:t>
            </w: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数量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单位</w:t>
            </w:r>
          </w:p>
        </w:tc>
        <w:tc>
          <w:tcPr>
            <w:tcW w:w="1358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1</w:t>
            </w:r>
          </w:p>
        </w:tc>
        <w:tc>
          <w:tcPr>
            <w:tcW w:w="238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回收主机</w:t>
            </w: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DMU-17</w:t>
            </w: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1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台</w:t>
            </w:r>
          </w:p>
        </w:tc>
        <w:tc>
          <w:tcPr>
            <w:tcW w:w="135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组合件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2</w:t>
            </w:r>
          </w:p>
        </w:tc>
        <w:tc>
          <w:tcPr>
            <w:tcW w:w="238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残雾回收转换块</w:t>
            </w: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77600800</w:t>
            </w: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13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件</w:t>
            </w:r>
          </w:p>
        </w:tc>
        <w:tc>
          <w:tcPr>
            <w:tcW w:w="135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合金铝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</w:t>
            </w:r>
          </w:p>
        </w:tc>
        <w:tc>
          <w:tcPr>
            <w:tcW w:w="238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不锈钢管，5/8”</w:t>
            </w: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67000850</w:t>
            </w:r>
          </w:p>
        </w:tc>
        <w:tc>
          <w:tcPr>
            <w:tcW w:w="1015" w:type="dxa"/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39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米</w:t>
            </w:r>
          </w:p>
        </w:tc>
        <w:tc>
          <w:tcPr>
            <w:tcW w:w="135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4</w:t>
            </w:r>
          </w:p>
        </w:tc>
        <w:tc>
          <w:tcPr>
            <w:tcW w:w="238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管接头,5/8T*1/4P</w:t>
            </w: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77500763</w:t>
            </w: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13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件</w:t>
            </w:r>
          </w:p>
        </w:tc>
        <w:tc>
          <w:tcPr>
            <w:tcW w:w="135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5</w:t>
            </w:r>
          </w:p>
        </w:tc>
        <w:tc>
          <w:tcPr>
            <w:tcW w:w="238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管接头,5/8T*1/2P</w:t>
            </w: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77500764</w:t>
            </w: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13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件</w:t>
            </w:r>
          </w:p>
        </w:tc>
        <w:tc>
          <w:tcPr>
            <w:tcW w:w="135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6</w:t>
            </w:r>
          </w:p>
        </w:tc>
        <w:tc>
          <w:tcPr>
            <w:tcW w:w="2383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专用螺纹密封胶</w:t>
            </w:r>
          </w:p>
        </w:tc>
        <w:tc>
          <w:tcPr>
            <w:tcW w:w="189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77700011</w:t>
            </w:r>
          </w:p>
        </w:tc>
        <w:tc>
          <w:tcPr>
            <w:tcW w:w="101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</w:t>
            </w:r>
          </w:p>
        </w:tc>
        <w:tc>
          <w:tcPr>
            <w:tcW w:w="105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管</w:t>
            </w:r>
          </w:p>
        </w:tc>
        <w:tc>
          <w:tcPr>
            <w:tcW w:w="1358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1</w:t>
            </w:r>
          </w:p>
        </w:tc>
        <w:tc>
          <w:tcPr>
            <w:tcW w:w="2383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主管道</w:t>
            </w:r>
          </w:p>
        </w:tc>
        <w:tc>
          <w:tcPr>
            <w:tcW w:w="1896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DN50X3.0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304</w:t>
            </w:r>
          </w:p>
        </w:tc>
        <w:tc>
          <w:tcPr>
            <w:tcW w:w="1052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米</w:t>
            </w:r>
          </w:p>
        </w:tc>
        <w:tc>
          <w:tcPr>
            <w:tcW w:w="1358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170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2</w:t>
            </w:r>
          </w:p>
        </w:tc>
        <w:tc>
          <w:tcPr>
            <w:tcW w:w="2383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下落管</w:t>
            </w:r>
          </w:p>
        </w:tc>
        <w:tc>
          <w:tcPr>
            <w:tcW w:w="1896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DN25X2.5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304</w:t>
            </w:r>
          </w:p>
        </w:tc>
        <w:tc>
          <w:tcPr>
            <w:tcW w:w="1052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米</w:t>
            </w:r>
          </w:p>
        </w:tc>
        <w:tc>
          <w:tcPr>
            <w:tcW w:w="1358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108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</w:t>
            </w:r>
          </w:p>
        </w:tc>
        <w:tc>
          <w:tcPr>
            <w:tcW w:w="2383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单头螺纹短节</w:t>
            </w:r>
          </w:p>
        </w:tc>
        <w:tc>
          <w:tcPr>
            <w:tcW w:w="1896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ZG1″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304</w:t>
            </w:r>
          </w:p>
        </w:tc>
        <w:tc>
          <w:tcPr>
            <w:tcW w:w="1052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只</w:t>
            </w:r>
          </w:p>
        </w:tc>
        <w:tc>
          <w:tcPr>
            <w:tcW w:w="1358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4</w:t>
            </w:r>
          </w:p>
        </w:tc>
        <w:tc>
          <w:tcPr>
            <w:tcW w:w="2383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等径三通</w:t>
            </w:r>
          </w:p>
        </w:tc>
        <w:tc>
          <w:tcPr>
            <w:tcW w:w="1896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DN50 X3.0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304</w:t>
            </w:r>
          </w:p>
        </w:tc>
        <w:tc>
          <w:tcPr>
            <w:tcW w:w="1052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只</w:t>
            </w:r>
          </w:p>
        </w:tc>
        <w:tc>
          <w:tcPr>
            <w:tcW w:w="1358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5</w:t>
            </w:r>
          </w:p>
        </w:tc>
        <w:tc>
          <w:tcPr>
            <w:tcW w:w="2383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弯头</w:t>
            </w:r>
          </w:p>
        </w:tc>
        <w:tc>
          <w:tcPr>
            <w:tcW w:w="1896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DN50X90°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304</w:t>
            </w:r>
          </w:p>
        </w:tc>
        <w:tc>
          <w:tcPr>
            <w:tcW w:w="1052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只</w:t>
            </w:r>
          </w:p>
        </w:tc>
        <w:tc>
          <w:tcPr>
            <w:tcW w:w="1358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6</w:t>
            </w:r>
          </w:p>
        </w:tc>
        <w:tc>
          <w:tcPr>
            <w:tcW w:w="2383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弯头</w:t>
            </w:r>
          </w:p>
        </w:tc>
        <w:tc>
          <w:tcPr>
            <w:tcW w:w="1896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DN25X90°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304</w:t>
            </w:r>
          </w:p>
        </w:tc>
        <w:tc>
          <w:tcPr>
            <w:tcW w:w="1052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只</w:t>
            </w:r>
          </w:p>
        </w:tc>
        <w:tc>
          <w:tcPr>
            <w:tcW w:w="1358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7</w:t>
            </w:r>
          </w:p>
        </w:tc>
        <w:tc>
          <w:tcPr>
            <w:tcW w:w="2383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变径三通</w:t>
            </w:r>
          </w:p>
        </w:tc>
        <w:tc>
          <w:tcPr>
            <w:tcW w:w="1896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DN50XDN50XDN20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304</w:t>
            </w:r>
          </w:p>
        </w:tc>
        <w:tc>
          <w:tcPr>
            <w:tcW w:w="1052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只</w:t>
            </w:r>
          </w:p>
        </w:tc>
        <w:tc>
          <w:tcPr>
            <w:tcW w:w="1358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8</w:t>
            </w:r>
          </w:p>
        </w:tc>
        <w:tc>
          <w:tcPr>
            <w:tcW w:w="2383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法兰</w:t>
            </w:r>
          </w:p>
        </w:tc>
        <w:tc>
          <w:tcPr>
            <w:tcW w:w="1896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DN50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304</w:t>
            </w:r>
          </w:p>
        </w:tc>
        <w:tc>
          <w:tcPr>
            <w:tcW w:w="1052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对</w:t>
            </w:r>
          </w:p>
        </w:tc>
        <w:tc>
          <w:tcPr>
            <w:tcW w:w="1358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9</w:t>
            </w:r>
          </w:p>
        </w:tc>
        <w:tc>
          <w:tcPr>
            <w:tcW w:w="2383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盲法兰</w:t>
            </w:r>
          </w:p>
        </w:tc>
        <w:tc>
          <w:tcPr>
            <w:tcW w:w="1896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DN50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304</w:t>
            </w:r>
          </w:p>
        </w:tc>
        <w:tc>
          <w:tcPr>
            <w:tcW w:w="1052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片</w:t>
            </w:r>
          </w:p>
        </w:tc>
        <w:tc>
          <w:tcPr>
            <w:tcW w:w="1358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10</w:t>
            </w:r>
          </w:p>
        </w:tc>
        <w:tc>
          <w:tcPr>
            <w:tcW w:w="2383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管卡</w:t>
            </w:r>
          </w:p>
        </w:tc>
        <w:tc>
          <w:tcPr>
            <w:tcW w:w="1896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57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钢制镀锌</w:t>
            </w:r>
          </w:p>
        </w:tc>
        <w:tc>
          <w:tcPr>
            <w:tcW w:w="1052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套</w:t>
            </w:r>
          </w:p>
        </w:tc>
        <w:tc>
          <w:tcPr>
            <w:tcW w:w="1358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11</w:t>
            </w:r>
          </w:p>
        </w:tc>
        <w:tc>
          <w:tcPr>
            <w:tcW w:w="2383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管卡</w:t>
            </w:r>
          </w:p>
        </w:tc>
        <w:tc>
          <w:tcPr>
            <w:tcW w:w="1896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31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钢制镀锌</w:t>
            </w:r>
          </w:p>
        </w:tc>
        <w:tc>
          <w:tcPr>
            <w:tcW w:w="1052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套</w:t>
            </w:r>
          </w:p>
        </w:tc>
        <w:tc>
          <w:tcPr>
            <w:tcW w:w="1358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6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12</w:t>
            </w:r>
          </w:p>
        </w:tc>
        <w:tc>
          <w:tcPr>
            <w:tcW w:w="2383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角铁</w:t>
            </w:r>
          </w:p>
        </w:tc>
        <w:tc>
          <w:tcPr>
            <w:tcW w:w="1896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50X50X4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Q235A</w:t>
            </w:r>
          </w:p>
        </w:tc>
        <w:tc>
          <w:tcPr>
            <w:tcW w:w="1052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米</w:t>
            </w:r>
          </w:p>
        </w:tc>
        <w:tc>
          <w:tcPr>
            <w:tcW w:w="1358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  <w14:ligatures w14:val="none"/>
              </w:rPr>
              <w:t>48</w:t>
            </w:r>
          </w:p>
        </w:tc>
      </w:tr>
    </w:tbl>
    <w:p>
      <w:pPr>
        <w:pStyle w:val="34"/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lang w:val="en-US" w:eastAsia="zh-CN"/>
        </w:rPr>
      </w:pPr>
    </w:p>
    <w:p>
      <w:pPr>
        <w:pStyle w:val="34"/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lang w:val="en-US" w:eastAsia="zh-CN"/>
        </w:rPr>
      </w:pPr>
    </w:p>
    <w:p>
      <w:pPr>
        <w:pStyle w:val="34"/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</w:rPr>
      </w:pPr>
      <w:r>
        <w:rPr>
          <w:rFonts w:hint="eastAsia" w:ascii="等线" w:hAnsi="等线" w:eastAsia="等线" w:cs="等线"/>
          <w:b w:val="0"/>
          <w:bCs w:val="0"/>
          <w:lang w:val="en-US" w:eastAsia="zh-CN"/>
        </w:rPr>
        <w:t xml:space="preserve">6 </w:t>
      </w:r>
      <w:r>
        <w:rPr>
          <w:rFonts w:hint="eastAsia" w:ascii="等线" w:hAnsi="等线" w:eastAsia="等线" w:cs="等线"/>
          <w:b w:val="0"/>
          <w:bCs w:val="0"/>
        </w:rPr>
        <w:t>DMU-17回收主机技术要求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6.1</w:t>
      </w:r>
      <w:r>
        <w:rPr>
          <w:rFonts w:hint="eastAsia" w:ascii="宋体" w:hAnsi="宋体" w:eastAsia="宋体" w:cs="宋体"/>
        </w:rPr>
        <w:t>油雾回收主机技术来源于LSC，与现场目前使用的油雾润滑系统出自于同一家公司，具有更好适配性和兼容性，既能回收从</w:t>
      </w:r>
      <w:r>
        <w:rPr>
          <w:rFonts w:hint="eastAsia" w:ascii="宋体" w:hAnsi="宋体" w:eastAsia="宋体" w:cs="宋体"/>
          <w:lang w:val="en-US" w:eastAsia="zh-CN"/>
        </w:rPr>
        <w:t>轴承</w:t>
      </w:r>
      <w:r>
        <w:rPr>
          <w:rFonts w:hint="eastAsia" w:ascii="宋体" w:hAnsi="宋体" w:eastAsia="宋体" w:cs="宋体"/>
        </w:rPr>
        <w:t>箱排出的油雾，又能确保上游的油雾润滑系统的安全性和稳定。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6.2</w:t>
      </w:r>
      <w:r>
        <w:rPr>
          <w:rFonts w:hint="eastAsia" w:ascii="宋体" w:hAnsi="宋体" w:eastAsia="宋体" w:cs="宋体"/>
        </w:rPr>
        <w:t>回收主机采用油气分离筛的原理，用电机带动油气分离筛旋转进行油气分离。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6.3</w:t>
      </w:r>
      <w:r>
        <w:rPr>
          <w:rFonts w:hint="eastAsia" w:ascii="宋体" w:hAnsi="宋体" w:eastAsia="宋体" w:cs="宋体"/>
        </w:rPr>
        <w:t>回收主机不允许采用负压回收的原理，以免给现有的油雾润滑系统带来不确定的隐患。负压回收原理包括采用真空泵、压缩风/仪表风、排风扇等方式。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6.4</w:t>
      </w:r>
      <w:r>
        <w:rPr>
          <w:rFonts w:hint="eastAsia" w:ascii="宋体" w:hAnsi="宋体" w:eastAsia="宋体" w:cs="宋体"/>
        </w:rPr>
        <w:t>回收主机启动后，不允许在油雾回收管线以及机泵的轴承箱内产生负压。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6.5</w:t>
      </w:r>
      <w:r>
        <w:rPr>
          <w:rFonts w:hint="eastAsia" w:ascii="宋体" w:hAnsi="宋体" w:eastAsia="宋体" w:cs="宋体"/>
        </w:rPr>
        <w:t>回收主机启动后，在回收主机油箱上部空间形成的负压应限于-0.1英寸~0英寸水柱，并可以调节。回收主机要有压差调节回路，用于调节负压，应配置可以观察此压力的差压表。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6.6</w:t>
      </w:r>
      <w:r>
        <w:rPr>
          <w:rFonts w:hint="eastAsia" w:ascii="宋体" w:hAnsi="宋体" w:eastAsia="宋体" w:cs="宋体"/>
        </w:rPr>
        <w:t>回收主机内的凝油媒介应具有再生功能，能保证在一个大修周期内不更换也不会影响回收效果。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6.7</w:t>
      </w:r>
      <w:r>
        <w:rPr>
          <w:rFonts w:hint="eastAsia" w:ascii="宋体" w:hAnsi="宋体" w:eastAsia="宋体" w:cs="宋体"/>
        </w:rPr>
        <w:t>回收主机的噪声、振动应满足行业内的基本要求。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6.8</w:t>
      </w:r>
      <w:r>
        <w:rPr>
          <w:rFonts w:hint="eastAsia" w:ascii="宋体" w:hAnsi="宋体" w:eastAsia="宋体" w:cs="宋体"/>
        </w:rPr>
        <w:t>回收主机排放口，应无肉眼明显可见油雾排出。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6.9</w:t>
      </w:r>
      <w:r>
        <w:rPr>
          <w:rFonts w:hint="eastAsia" w:ascii="宋体" w:hAnsi="宋体" w:eastAsia="宋体" w:cs="宋体"/>
          <w:lang w:eastAsia="zh-CN"/>
        </w:rPr>
        <w:t>乙方所提供油气回收系统所有电气、仪表要满足现场防爆区域的要求，需要有国家权威机构认证的整机防爆证书，证书在有效期内、可查验并承诺防爆等级不低于Exd ⅡCT4。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6.10 防爆电动机：能效等级不低于最新国家标准要求的一级能效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防爆等级不低于</w:t>
      </w:r>
      <w:r>
        <w:rPr>
          <w:rFonts w:hint="eastAsia" w:ascii="宋体" w:hAnsi="宋体" w:eastAsia="宋体" w:cs="宋体"/>
          <w:lang w:eastAsia="zh-CN"/>
        </w:rPr>
        <w:t>Exd ⅡC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eastAsia="zh-CN"/>
        </w:rPr>
        <w:t>T4，</w:t>
      </w:r>
      <w:r>
        <w:rPr>
          <w:rFonts w:hint="eastAsia" w:ascii="宋体" w:hAnsi="宋体" w:eastAsia="宋体" w:cs="宋体"/>
          <w:lang w:val="en-US" w:eastAsia="zh-CN"/>
        </w:rPr>
        <w:t>防护等级不低于IP55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户外湿热环境THWF1，接线盒配置不锈钢防爆铠装格兰。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6.11</w:t>
      </w:r>
      <w:r>
        <w:rPr>
          <w:rFonts w:hint="eastAsia" w:ascii="宋体" w:hAnsi="宋体" w:eastAsia="宋体" w:cs="宋体"/>
        </w:rPr>
        <w:t>油雾回收主机</w:t>
      </w:r>
      <w:r>
        <w:rPr>
          <w:rFonts w:hint="eastAsia" w:ascii="宋体" w:hAnsi="宋体" w:eastAsia="宋体" w:cs="宋体"/>
          <w:lang w:val="en-US" w:eastAsia="zh-CN"/>
        </w:rPr>
        <w:t>应设置</w:t>
      </w:r>
      <w:r>
        <w:rPr>
          <w:rFonts w:hint="eastAsia" w:ascii="宋体" w:hAnsi="宋体" w:eastAsia="宋体" w:cs="宋体"/>
        </w:rPr>
        <w:t>在油雾主机附近。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6.12</w:t>
      </w:r>
      <w:r>
        <w:rPr>
          <w:rFonts w:hint="eastAsia" w:ascii="宋体" w:hAnsi="宋体" w:eastAsia="宋体" w:cs="宋体"/>
        </w:rPr>
        <w:t>需要为回收主机做混凝土基础，不</w:t>
      </w:r>
      <w:r>
        <w:rPr>
          <w:rFonts w:hint="eastAsia" w:ascii="宋体" w:hAnsi="宋体" w:eastAsia="宋体" w:cs="宋体"/>
          <w:lang w:val="en-US" w:eastAsia="zh-CN"/>
        </w:rPr>
        <w:t>能</w:t>
      </w:r>
      <w:r>
        <w:rPr>
          <w:rFonts w:hint="eastAsia" w:ascii="宋体" w:hAnsi="宋体" w:eastAsia="宋体" w:cs="宋体"/>
        </w:rPr>
        <w:t>直接将回收主机放置在装置的原有地面（回收主机里面有旋转设备——电机）。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6.13</w:t>
      </w:r>
      <w:r>
        <w:rPr>
          <w:rFonts w:hint="eastAsia" w:ascii="宋体" w:hAnsi="宋体" w:eastAsia="宋体" w:cs="宋体"/>
        </w:rPr>
        <w:t>回收主机启动后，其排放口的油雾将变为不可见，这是由于残雾中的小油滴已经被回收，排放的是清洁的几乎不含油的干净的仪表风。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6.14</w:t>
      </w:r>
      <w:r>
        <w:rPr>
          <w:rFonts w:hint="eastAsia" w:ascii="宋体" w:hAnsi="宋体" w:eastAsia="宋体" w:cs="宋体"/>
        </w:rPr>
        <w:t>回收主机运行一段时间后，在回收主机的油箱内，将可看到回收的液态的润滑油。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6.15</w:t>
      </w:r>
      <w:r>
        <w:rPr>
          <w:rFonts w:hint="eastAsia" w:ascii="宋体" w:hAnsi="宋体" w:eastAsia="宋体" w:cs="宋体"/>
        </w:rPr>
        <w:t>回收主机正常运行时，主机的噪声不大于85dB，主机各方向测得的振动速度不大于4.5mm/s，振动加速度不大于15mm/s2。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eastAsia="宋体"/>
          <w:lang w:val="en-US" w:eastAsia="zh-CN"/>
        </w:rPr>
      </w:pPr>
    </w:p>
    <w:p>
      <w:pPr>
        <w:pStyle w:val="34"/>
        <w:numPr>
          <w:ilvl w:val="0"/>
          <w:numId w:val="0"/>
        </w:numPr>
        <w:spacing w:line="360" w:lineRule="auto"/>
        <w:ind w:leftChars="0"/>
        <w:rPr>
          <w:rFonts w:hint="eastAsia" w:ascii="等线" w:hAnsi="等线" w:eastAsia="等线" w:cs="等线"/>
          <w:b w:val="0"/>
          <w:bCs w:val="0"/>
        </w:rPr>
      </w:pPr>
      <w:r>
        <w:rPr>
          <w:rFonts w:hint="eastAsia" w:ascii="等线" w:hAnsi="等线" w:eastAsia="等线" w:cs="等线"/>
          <w:b w:val="0"/>
          <w:bCs w:val="0"/>
          <w:lang w:val="en-US" w:eastAsia="zh-CN"/>
        </w:rPr>
        <w:t>7</w:t>
      </w:r>
      <w:r>
        <w:rPr>
          <w:rFonts w:hint="eastAsia" w:ascii="等线" w:hAnsi="等线" w:eastAsia="等线" w:cs="等线"/>
          <w:b w:val="0"/>
          <w:bCs w:val="0"/>
        </w:rPr>
        <w:t>卖方工作范围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7.1</w:t>
      </w:r>
      <w:r>
        <w:rPr>
          <w:rFonts w:hint="eastAsia" w:ascii="宋体" w:hAnsi="宋体" w:eastAsia="宋体" w:cs="宋体"/>
        </w:rPr>
        <w:t>卖方作为整个回收系统的成套供货商，应对供货范围内设备的性能、质量、生产进度、设计、工厂检验和试验、制造、包装、运输、资料交付等承担全部责任。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7.2</w:t>
      </w:r>
      <w:r>
        <w:rPr>
          <w:rFonts w:hint="eastAsia" w:ascii="宋体" w:hAnsi="宋体" w:eastAsia="宋体" w:cs="宋体"/>
        </w:rPr>
        <w:t>分包商、卖方与买方之间的各类信息技术、数据和图纸的传递、交换以及进度控制工作由卖方负责，并对分供货商（或第三方）供货的各类辅助设备、附属件、零/部件的质量承担责任。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7.3过来指导甲方设备安装，设备调试直到设备运行平稳，外排油气符合要求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7.4</w:t>
      </w:r>
      <w:r>
        <w:rPr>
          <w:rFonts w:hint="eastAsia" w:ascii="宋体" w:hAnsi="宋体" w:eastAsia="宋体" w:cs="宋体"/>
        </w:rPr>
        <w:t>设计职责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3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卖方承担回收系统的设计职责包括但不限于以下所述：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7.4.1</w:t>
      </w:r>
      <w:r>
        <w:rPr>
          <w:rFonts w:hint="eastAsia" w:ascii="宋体" w:hAnsi="宋体" w:eastAsia="宋体" w:cs="宋体"/>
        </w:rPr>
        <w:t>根据装置现场设备布置情况，最终确定本项目新增的残雾回收主机、残雾回收配件等的安装位置。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7.4.2</w:t>
      </w:r>
      <w:r>
        <w:rPr>
          <w:rFonts w:hint="eastAsia" w:ascii="宋体" w:hAnsi="宋体" w:eastAsia="宋体" w:cs="宋体"/>
        </w:rPr>
        <w:t>在施工过程中，卖方应提供技术指导，并根据需要补充必要的图纸资料，所有图纸的深度应满足买方的要求，具体要求由卖方向买方确认。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7.4.3</w:t>
      </w:r>
      <w:r>
        <w:rPr>
          <w:rFonts w:hint="eastAsia" w:ascii="宋体" w:hAnsi="宋体" w:eastAsia="宋体" w:cs="宋体"/>
        </w:rPr>
        <w:t>负责协调并合理匹配供货范围内由分包商（或第三方）供货的各类辅助设备。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7.4.4</w:t>
      </w:r>
      <w:r>
        <w:rPr>
          <w:rFonts w:hint="eastAsia" w:ascii="宋体" w:hAnsi="宋体" w:eastAsia="宋体" w:cs="宋体"/>
        </w:rPr>
        <w:t>检查和落实分包商遵守/执行与其有关的各类技术规定和要求。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7.4.5</w:t>
      </w:r>
      <w:r>
        <w:rPr>
          <w:rFonts w:hint="eastAsia" w:ascii="宋体" w:hAnsi="宋体" w:eastAsia="宋体" w:cs="宋体"/>
        </w:rPr>
        <w:t>参加买方与卖方（含卖方的分包商）之间的技术磋商会议。</w:t>
      </w:r>
    </w:p>
    <w:p>
      <w:pPr>
        <w:pStyle w:val="34"/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</w:rPr>
      </w:pPr>
      <w:r>
        <w:rPr>
          <w:rFonts w:hint="eastAsia" w:ascii="等线" w:hAnsi="等线" w:eastAsia="等线" w:cs="等线"/>
          <w:b w:val="0"/>
          <w:bCs w:val="0"/>
          <w:lang w:val="en-US" w:eastAsia="zh-CN"/>
        </w:rPr>
        <w:t>8.</w:t>
      </w:r>
      <w:r>
        <w:rPr>
          <w:rFonts w:hint="eastAsia" w:ascii="等线" w:hAnsi="等线" w:eastAsia="等线" w:cs="等线"/>
          <w:b w:val="0"/>
          <w:bCs w:val="0"/>
        </w:rPr>
        <w:t>涂漆及防锈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油</w:t>
      </w:r>
      <w:r>
        <w:rPr>
          <w:rFonts w:hint="eastAsia" w:ascii="宋体" w:hAnsi="宋体" w:eastAsia="宋体" w:cs="宋体"/>
        </w:rPr>
        <w:t>雾回收主机本体为304不锈钢，到货时为原色，不进行涂漆处理。所有的其它专有零/部件均为304不锈钢，可用在腐蚀性场合，到货时也是原色，不进行涂漆处理。</w:t>
      </w:r>
    </w:p>
    <w:p>
      <w:pPr>
        <w:pStyle w:val="34"/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</w:rPr>
      </w:pPr>
      <w:r>
        <w:rPr>
          <w:rFonts w:hint="eastAsia" w:ascii="等线" w:hAnsi="等线" w:eastAsia="等线" w:cs="等线"/>
          <w:b w:val="0"/>
          <w:bCs w:val="0"/>
          <w:lang w:val="en-US" w:eastAsia="zh-CN"/>
        </w:rPr>
        <w:t>9</w:t>
      </w:r>
      <w:r>
        <w:rPr>
          <w:rFonts w:hint="eastAsia" w:ascii="等线" w:hAnsi="等线" w:eastAsia="等线" w:cs="等线"/>
          <w:b w:val="0"/>
          <w:bCs w:val="0"/>
        </w:rPr>
        <w:t>包装及运输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bookmarkStart w:id="0" w:name="_Hlk46477422"/>
      <w:r>
        <w:rPr>
          <w:rFonts w:hint="eastAsia" w:ascii="宋体" w:hAnsi="宋体" w:eastAsia="宋体" w:cs="宋体"/>
          <w:lang w:val="en-US" w:eastAsia="zh-CN"/>
        </w:rPr>
        <w:t>9.1</w:t>
      </w:r>
      <w:r>
        <w:rPr>
          <w:rFonts w:hint="eastAsia" w:ascii="宋体" w:hAnsi="宋体" w:eastAsia="宋体" w:cs="宋体"/>
        </w:rPr>
        <w:t>卖方应根据设备的结构特点、运输工具及运输线路和用户当地环境等因素，在报价中提出包装及运输计划供买方审查，并在准备包装前与买方详细讨论确定，买方有提出改善意见的权利。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9.2</w:t>
      </w:r>
      <w:r>
        <w:rPr>
          <w:rFonts w:hint="eastAsia" w:ascii="宋体" w:hAnsi="宋体" w:eastAsia="宋体" w:cs="宋体"/>
        </w:rPr>
        <w:t>设备的包装及运输应符合安全、经济、不受损等原则。从装运时算起，设备的包装应保证其可以在室外至少存放6个月而不受损。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9.3</w:t>
      </w:r>
      <w:r>
        <w:rPr>
          <w:rFonts w:hint="eastAsia" w:ascii="宋体" w:hAnsi="宋体" w:eastAsia="宋体" w:cs="宋体"/>
        </w:rPr>
        <w:t>设备经过检验合格后，设备内部保证干燥、清洁、并且所有的开口都应该封闭后方可进行包装、发货。所有带法兰的开口都要用盲板封死，所有不带法兰的开口均应采用堵头加以封闭。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9.4</w:t>
      </w:r>
      <w:r>
        <w:rPr>
          <w:rFonts w:hint="eastAsia" w:ascii="宋体" w:hAnsi="宋体" w:eastAsia="宋体" w:cs="宋体"/>
        </w:rPr>
        <w:t>装箱或包覆应根据设备结构尺寸、重量大小、路程远近、运输方法等特点分类进行，并遵循适于运输，便于安装和查找的原则。超限尺寸和重量的限制由双方合同生效后进一步协商确定。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9.5</w:t>
      </w:r>
      <w:r>
        <w:rPr>
          <w:rFonts w:hint="eastAsia" w:ascii="宋体" w:hAnsi="宋体" w:eastAsia="宋体" w:cs="宋体"/>
        </w:rPr>
        <w:t>所有部件均应适当地包装盒固定，以防在运输过程中造成损坏。运输时应有防止变形、擦伤及碰撞等的措施。备品备件应单独装箱发货。</w:t>
      </w:r>
    </w:p>
    <w:bookmarkEnd w:id="0"/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>10</w:t>
      </w:r>
      <w:r>
        <w:rPr>
          <w:rFonts w:hint="eastAsia" w:ascii="等线" w:hAnsi="等线" w:eastAsia="等线" w:cs="等线"/>
        </w:rPr>
        <w:t>技术培训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10.1乙方</w:t>
      </w:r>
      <w:r>
        <w:rPr>
          <w:rFonts w:hint="eastAsia" w:ascii="宋体" w:hAnsi="宋体" w:eastAsia="宋体" w:cs="宋体"/>
          <w:lang w:eastAsia="zh-CN"/>
        </w:rPr>
        <w:t>对油雾回收系统使用和维修技术咨询提供良好的保证，保证其指定技术服务与维修的部门在接到业主电话（传真）后8小时内对业主提出的问题给予答复（电话或传真），必要时24小时内派专人到业主所在地，直问题解决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10.2</w:t>
      </w:r>
      <w:r>
        <w:rPr>
          <w:rFonts w:hint="eastAsia" w:ascii="宋体" w:hAnsi="宋体" w:eastAsia="宋体" w:cs="宋体"/>
          <w:lang w:eastAsia="zh-CN"/>
        </w:rPr>
        <w:t>针对油雾回收系统的安装维护使用，免费培训设备操作及检修人员。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10.3</w:t>
      </w:r>
      <w:r>
        <w:rPr>
          <w:rFonts w:hint="eastAsia" w:ascii="宋体" w:hAnsi="宋体" w:eastAsia="宋体" w:cs="宋体"/>
          <w:lang w:eastAsia="zh-CN"/>
        </w:rPr>
        <w:t>供应商对所提供技术的有效性和合法性负全部责任。</w:t>
      </w:r>
    </w:p>
    <w:p>
      <w:pPr>
        <w:pStyle w:val="34"/>
        <w:numPr>
          <w:ilvl w:val="0"/>
          <w:numId w:val="0"/>
        </w:numPr>
        <w:tabs>
          <w:tab w:val="left" w:pos="547"/>
        </w:tabs>
        <w:spacing w:before="66" w:line="360" w:lineRule="auto"/>
        <w:rPr>
          <w:rFonts w:hint="eastAsia" w:asciiTheme="minorEastAsia" w:hAnsiTheme="minorEastAsia" w:eastAsiaTheme="minorEastAsia"/>
          <w:spacing w:val="-5"/>
          <w:sz w:val="24"/>
        </w:rPr>
      </w:pPr>
      <w:r>
        <w:rPr>
          <w:rFonts w:hint="eastAsia" w:asciiTheme="minorEastAsia" w:hAnsiTheme="minorEastAsia" w:eastAsiaTheme="minorEastAsia"/>
          <w:spacing w:val="-5"/>
          <w:sz w:val="24"/>
          <w:lang w:val="en-US" w:eastAsia="zh-CN"/>
        </w:rPr>
        <w:t>11</w:t>
      </w:r>
      <w:r>
        <w:rPr>
          <w:rFonts w:hint="eastAsia" w:asciiTheme="minorEastAsia" w:hAnsiTheme="minorEastAsia" w:eastAsiaTheme="minorEastAsia"/>
          <w:spacing w:val="-5"/>
          <w:sz w:val="24"/>
        </w:rPr>
        <w:t>图纸资料要求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54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6" w:line="360" w:lineRule="auto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供货商应按下表规定提供图纸和资料。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2400" w:firstLineChars="10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供货商提供的图纸资料清单</w:t>
      </w:r>
    </w:p>
    <w:tbl>
      <w:tblPr>
        <w:tblStyle w:val="18"/>
        <w:tblpPr w:leftFromText="180" w:rightFromText="180" w:vertAnchor="text" w:horzAnchor="page" w:tblpX="1573" w:tblpY="459"/>
        <w:tblOverlap w:val="never"/>
        <w:tblW w:w="879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8"/>
        <w:gridCol w:w="4016"/>
        <w:gridCol w:w="1274"/>
        <w:gridCol w:w="1602"/>
        <w:gridCol w:w="14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488" w:type="dxa"/>
          </w:tcPr>
          <w:p>
            <w:pPr>
              <w:pStyle w:val="44"/>
              <w:spacing w:before="91" w:line="360" w:lineRule="auto"/>
              <w:ind w:left="107" w:right="99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序号</w:t>
            </w:r>
          </w:p>
        </w:tc>
        <w:tc>
          <w:tcPr>
            <w:tcW w:w="4016" w:type="dxa"/>
          </w:tcPr>
          <w:p>
            <w:pPr>
              <w:pStyle w:val="44"/>
              <w:spacing w:before="91" w:line="360" w:lineRule="auto"/>
              <w:ind w:left="1472" w:right="146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文件名称</w:t>
            </w:r>
          </w:p>
        </w:tc>
        <w:tc>
          <w:tcPr>
            <w:tcW w:w="1274" w:type="dxa"/>
          </w:tcPr>
          <w:p>
            <w:pPr>
              <w:pStyle w:val="44"/>
              <w:spacing w:before="91" w:line="360" w:lineRule="auto"/>
              <w:ind w:left="300" w:right="293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随报价</w:t>
            </w:r>
          </w:p>
        </w:tc>
        <w:tc>
          <w:tcPr>
            <w:tcW w:w="1602" w:type="dxa"/>
          </w:tcPr>
          <w:p>
            <w:pPr>
              <w:pStyle w:val="44"/>
              <w:spacing w:before="91" w:line="360" w:lineRule="auto"/>
              <w:ind w:left="255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先期确认版</w:t>
            </w:r>
          </w:p>
        </w:tc>
        <w:tc>
          <w:tcPr>
            <w:tcW w:w="1417" w:type="dxa"/>
          </w:tcPr>
          <w:p>
            <w:pPr>
              <w:pStyle w:val="44"/>
              <w:spacing w:before="91" w:line="360" w:lineRule="auto"/>
              <w:ind w:left="267" w:right="259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最终资料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1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1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油雾回收主机结构图，基础图</w:t>
            </w:r>
          </w:p>
        </w:tc>
        <w:tc>
          <w:tcPr>
            <w:tcW w:w="1274" w:type="dxa"/>
          </w:tcPr>
          <w:p>
            <w:pPr>
              <w:pStyle w:val="44"/>
              <w:spacing w:before="61" w:line="360" w:lineRule="auto"/>
              <w:ind w:left="300" w:right="290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602" w:type="dxa"/>
          </w:tcPr>
          <w:p>
            <w:pPr>
              <w:pStyle w:val="44"/>
              <w:spacing w:before="61" w:line="360" w:lineRule="auto"/>
              <w:ind w:left="255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1" w:line="360" w:lineRule="auto"/>
              <w:ind w:left="267" w:right="25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488" w:type="dxa"/>
          </w:tcPr>
          <w:p>
            <w:pPr>
              <w:pStyle w:val="44"/>
              <w:spacing w:before="134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2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油雾回收原理图，电气仪表接线图</w:t>
            </w:r>
          </w:p>
        </w:tc>
        <w:tc>
          <w:tcPr>
            <w:tcW w:w="1274" w:type="dxa"/>
          </w:tcPr>
          <w:p>
            <w:pPr>
              <w:pStyle w:val="44"/>
              <w:spacing w:before="134" w:line="360" w:lineRule="auto"/>
              <w:ind w:left="300" w:right="291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602" w:type="dxa"/>
          </w:tcPr>
          <w:p>
            <w:pPr>
              <w:pStyle w:val="44"/>
              <w:spacing w:before="134" w:line="360" w:lineRule="auto"/>
              <w:ind w:left="255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134" w:line="360" w:lineRule="auto"/>
              <w:ind w:left="267" w:right="25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2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3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</w:rPr>
              <w:t>油</w:t>
            </w:r>
            <w:r>
              <w:rPr>
                <w:rFonts w:hint="eastAsia" w:asciiTheme="minorEastAsia" w:hAnsiTheme="minorEastAsia" w:eastAsiaTheme="minorEastAsia"/>
                <w:sz w:val="21"/>
                <w:lang w:val="en-US" w:eastAsia="zh-CN"/>
              </w:rPr>
              <w:t>雾</w:t>
            </w:r>
            <w:r>
              <w:rPr>
                <w:rFonts w:hint="eastAsia" w:asciiTheme="minorEastAsia" w:hAnsiTheme="minorEastAsia" w:eastAsiaTheme="minorEastAsia"/>
                <w:sz w:val="21"/>
              </w:rPr>
              <w:t>回收图示意图、材料清单</w:t>
            </w:r>
          </w:p>
        </w:tc>
        <w:tc>
          <w:tcPr>
            <w:tcW w:w="1274" w:type="dxa"/>
          </w:tcPr>
          <w:p>
            <w:pPr>
              <w:pStyle w:val="44"/>
              <w:spacing w:before="62" w:line="360" w:lineRule="auto"/>
              <w:ind w:left="300" w:right="290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602" w:type="dxa"/>
          </w:tcPr>
          <w:p>
            <w:pPr>
              <w:pStyle w:val="44"/>
              <w:spacing w:before="62" w:line="360" w:lineRule="auto"/>
              <w:ind w:left="255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2" w:line="360" w:lineRule="auto"/>
              <w:ind w:left="267" w:right="25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2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4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公用工程消耗清单</w:t>
            </w:r>
          </w:p>
        </w:tc>
        <w:tc>
          <w:tcPr>
            <w:tcW w:w="1274" w:type="dxa"/>
          </w:tcPr>
          <w:p>
            <w:pPr>
              <w:pStyle w:val="44"/>
              <w:spacing w:before="62" w:line="360" w:lineRule="auto"/>
              <w:ind w:left="300" w:right="290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602" w:type="dxa"/>
          </w:tcPr>
          <w:p>
            <w:pPr>
              <w:pStyle w:val="44"/>
              <w:spacing w:before="62" w:line="360" w:lineRule="auto"/>
              <w:ind w:left="255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2" w:line="360" w:lineRule="auto"/>
              <w:ind w:left="267" w:right="25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488" w:type="dxa"/>
          </w:tcPr>
          <w:p>
            <w:pPr>
              <w:pStyle w:val="44"/>
              <w:spacing w:before="62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5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安装、使用、维护说明书等</w:t>
            </w:r>
          </w:p>
        </w:tc>
        <w:tc>
          <w:tcPr>
            <w:tcW w:w="1274" w:type="dxa"/>
          </w:tcPr>
          <w:p>
            <w:pPr>
              <w:pStyle w:val="44"/>
              <w:spacing w:line="360" w:lineRule="auto"/>
              <w:rPr>
                <w:rFonts w:asciiTheme="minorEastAsia" w:hAnsiTheme="minorEastAsia" w:eastAsiaTheme="minorEastAsia"/>
                <w:sz w:val="20"/>
                <w:lang w:eastAsia="zh-CN"/>
              </w:rPr>
            </w:pPr>
          </w:p>
        </w:tc>
        <w:tc>
          <w:tcPr>
            <w:tcW w:w="1602" w:type="dxa"/>
          </w:tcPr>
          <w:p>
            <w:pPr>
              <w:pStyle w:val="44"/>
              <w:spacing w:before="62" w:line="360" w:lineRule="auto"/>
              <w:ind w:left="254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2" w:line="360" w:lineRule="auto"/>
              <w:ind w:left="267" w:right="25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1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6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</w:rPr>
              <w:t>产品合格证书</w:t>
            </w:r>
          </w:p>
        </w:tc>
        <w:tc>
          <w:tcPr>
            <w:tcW w:w="1274" w:type="dxa"/>
          </w:tcPr>
          <w:p>
            <w:pPr>
              <w:pStyle w:val="44"/>
              <w:spacing w:line="360" w:lineRule="auto"/>
              <w:rPr>
                <w:rFonts w:asciiTheme="minorEastAsia" w:hAnsiTheme="minorEastAsia" w:eastAsiaTheme="minorEastAsia"/>
                <w:sz w:val="20"/>
                <w:lang w:eastAsia="zh-CN"/>
              </w:rPr>
            </w:pPr>
          </w:p>
        </w:tc>
        <w:tc>
          <w:tcPr>
            <w:tcW w:w="1602" w:type="dxa"/>
          </w:tcPr>
          <w:p>
            <w:pPr>
              <w:pStyle w:val="44"/>
              <w:spacing w:before="61" w:line="360" w:lineRule="auto"/>
              <w:ind w:left="254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1" w:line="360" w:lineRule="auto"/>
              <w:ind w:left="267" w:right="25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1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7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外购件单体产品合格证书</w:t>
            </w:r>
          </w:p>
        </w:tc>
        <w:tc>
          <w:tcPr>
            <w:tcW w:w="1274" w:type="dxa"/>
          </w:tcPr>
          <w:p>
            <w:pPr>
              <w:pStyle w:val="44"/>
              <w:spacing w:line="360" w:lineRule="auto"/>
              <w:rPr>
                <w:rFonts w:asciiTheme="minorEastAsia" w:hAnsiTheme="minorEastAsia" w:eastAsiaTheme="minorEastAsia"/>
                <w:sz w:val="20"/>
                <w:lang w:eastAsia="zh-CN"/>
              </w:rPr>
            </w:pPr>
          </w:p>
        </w:tc>
        <w:tc>
          <w:tcPr>
            <w:tcW w:w="1602" w:type="dxa"/>
          </w:tcPr>
          <w:p>
            <w:pPr>
              <w:pStyle w:val="44"/>
              <w:spacing w:before="61" w:line="360" w:lineRule="auto"/>
              <w:ind w:left="254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1" w:line="360" w:lineRule="auto"/>
              <w:ind w:left="267" w:right="25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1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8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电器元件单体防爆合格证书</w:t>
            </w:r>
          </w:p>
        </w:tc>
        <w:tc>
          <w:tcPr>
            <w:tcW w:w="1274" w:type="dxa"/>
          </w:tcPr>
          <w:p>
            <w:pPr>
              <w:pStyle w:val="44"/>
              <w:spacing w:line="360" w:lineRule="auto"/>
              <w:rPr>
                <w:rFonts w:asciiTheme="minorEastAsia" w:hAnsiTheme="minorEastAsia" w:eastAsiaTheme="minorEastAsia"/>
                <w:sz w:val="20"/>
                <w:lang w:eastAsia="zh-CN"/>
              </w:rPr>
            </w:pPr>
          </w:p>
        </w:tc>
        <w:tc>
          <w:tcPr>
            <w:tcW w:w="1602" w:type="dxa"/>
          </w:tcPr>
          <w:p>
            <w:pPr>
              <w:pStyle w:val="44"/>
              <w:spacing w:before="61" w:line="360" w:lineRule="auto"/>
              <w:ind w:left="254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1" w:line="360" w:lineRule="auto"/>
              <w:ind w:left="267" w:right="25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2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9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</w:rPr>
              <w:t>整机防爆合格证书</w:t>
            </w:r>
          </w:p>
        </w:tc>
        <w:tc>
          <w:tcPr>
            <w:tcW w:w="1274" w:type="dxa"/>
          </w:tcPr>
          <w:p>
            <w:pPr>
              <w:pStyle w:val="44"/>
              <w:spacing w:before="62" w:line="360" w:lineRule="auto"/>
              <w:ind w:left="300" w:right="290"/>
              <w:jc w:val="center"/>
              <w:rPr>
                <w:rFonts w:asciiTheme="minorEastAsia" w:hAnsiTheme="minorEastAsia" w:eastAsiaTheme="minorEastAsia"/>
                <w:sz w:val="21"/>
              </w:rPr>
            </w:pPr>
          </w:p>
        </w:tc>
        <w:tc>
          <w:tcPr>
            <w:tcW w:w="1602" w:type="dxa"/>
          </w:tcPr>
          <w:p>
            <w:pPr>
              <w:pStyle w:val="44"/>
              <w:spacing w:before="62" w:line="360" w:lineRule="auto"/>
              <w:ind w:left="255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2" w:line="360" w:lineRule="auto"/>
              <w:ind w:left="267" w:right="25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2" w:line="360" w:lineRule="auto"/>
              <w:ind w:left="106" w:right="99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10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其它常规出厂随机资料</w:t>
            </w:r>
          </w:p>
        </w:tc>
        <w:tc>
          <w:tcPr>
            <w:tcW w:w="1274" w:type="dxa"/>
          </w:tcPr>
          <w:p>
            <w:pPr>
              <w:pStyle w:val="44"/>
              <w:spacing w:line="360" w:lineRule="auto"/>
              <w:rPr>
                <w:rFonts w:asciiTheme="minorEastAsia" w:hAnsiTheme="minorEastAsia" w:eastAsiaTheme="minorEastAsia"/>
                <w:sz w:val="20"/>
                <w:lang w:eastAsia="zh-CN"/>
              </w:rPr>
            </w:pPr>
          </w:p>
        </w:tc>
        <w:tc>
          <w:tcPr>
            <w:tcW w:w="1602" w:type="dxa"/>
          </w:tcPr>
          <w:p>
            <w:pPr>
              <w:pStyle w:val="44"/>
              <w:spacing w:before="62" w:line="360" w:lineRule="auto"/>
              <w:ind w:left="255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</w:p>
        </w:tc>
        <w:tc>
          <w:tcPr>
            <w:tcW w:w="1417" w:type="dxa"/>
          </w:tcPr>
          <w:p>
            <w:pPr>
              <w:pStyle w:val="44"/>
              <w:spacing w:before="62" w:line="360" w:lineRule="auto"/>
              <w:ind w:left="267" w:right="25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</w:tbl>
    <w:p>
      <w:pPr>
        <w:pStyle w:val="12"/>
        <w:spacing w:before="6" w:after="1" w:line="360" w:lineRule="auto"/>
        <w:ind w:left="0"/>
        <w:rPr>
          <w:rFonts w:asciiTheme="minorEastAsia" w:hAnsiTheme="minorEastAsia" w:eastAsiaTheme="minorEastAsia"/>
          <w:sz w:val="12"/>
          <w:lang w:eastAsia="zh-CN"/>
        </w:rPr>
      </w:pPr>
    </w:p>
    <w:p>
      <w:pPr>
        <w:pStyle w:val="12"/>
        <w:spacing w:before="1" w:line="360" w:lineRule="auto"/>
        <w:ind w:left="1032" w:right="234" w:hanging="720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说明：1.符号：P——复印件（或蓝图）,E——签署扫描电子文件                         2.</w:t>
      </w:r>
      <w:r>
        <w:rPr>
          <w:rFonts w:asciiTheme="minorEastAsia" w:hAnsiTheme="minorEastAsia" w:eastAsiaTheme="minorEastAsia"/>
          <w:spacing w:val="-3"/>
          <w:lang w:eastAsia="zh-CN"/>
        </w:rPr>
        <w:t>供货商提交的需要石化工程公司审批、确认的技术文件、图纸</w:t>
      </w:r>
      <w:r>
        <w:rPr>
          <w:rFonts w:asciiTheme="minorEastAsia" w:hAnsiTheme="minorEastAsia" w:eastAsiaTheme="minorEastAsia"/>
          <w:lang w:eastAsia="zh-CN"/>
        </w:rPr>
        <w:t>(A3)</w:t>
      </w:r>
      <w:r>
        <w:rPr>
          <w:rFonts w:asciiTheme="minorEastAsia" w:hAnsiTheme="minorEastAsia" w:eastAsiaTheme="minorEastAsia"/>
          <w:spacing w:val="-2"/>
          <w:lang w:eastAsia="zh-CN"/>
        </w:rPr>
        <w:t>和资料以纸质并必须</w:t>
      </w:r>
      <w:r>
        <w:rPr>
          <w:rFonts w:asciiTheme="minorEastAsia" w:hAnsiTheme="minorEastAsia" w:eastAsiaTheme="minorEastAsia"/>
          <w:spacing w:val="-9"/>
          <w:lang w:eastAsia="zh-CN"/>
        </w:rPr>
        <w:t xml:space="preserve">具有完善的签署及目标章为准，同时，为加快项目的进度在寄出纸质文件同时通过 </w:t>
      </w:r>
      <w:r>
        <w:rPr>
          <w:rFonts w:asciiTheme="minorEastAsia" w:hAnsiTheme="minorEastAsia" w:eastAsiaTheme="minorEastAsia"/>
          <w:spacing w:val="-3"/>
          <w:lang w:eastAsia="zh-CN"/>
        </w:rPr>
        <w:t xml:space="preserve">E-mail </w:t>
      </w:r>
      <w:r>
        <w:rPr>
          <w:rFonts w:asciiTheme="minorEastAsia" w:hAnsiTheme="minorEastAsia" w:eastAsiaTheme="minorEastAsia"/>
          <w:lang w:eastAsia="zh-CN"/>
        </w:rPr>
        <w:t>发送电子版文件。</w:t>
      </w:r>
    </w:p>
    <w:p>
      <w:pPr>
        <w:pStyle w:val="34"/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34"/>
        <w:numPr>
          <w:ilvl w:val="0"/>
          <w:numId w:val="0"/>
        </w:numPr>
        <w:ind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>12</w:t>
      </w:r>
      <w:r>
        <w:rPr>
          <w:rFonts w:hint="eastAsia" w:ascii="等线" w:hAnsi="等线" w:eastAsia="等线" w:cs="等线"/>
        </w:rPr>
        <w:t>现场服务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12.1</w:t>
      </w:r>
      <w:r>
        <w:rPr>
          <w:rFonts w:hint="eastAsia" w:ascii="宋体" w:hAnsi="宋体" w:eastAsia="宋体" w:cs="宋体"/>
        </w:rPr>
        <w:t>卖方应为整个设备的安装、试运行工作提供技术指导，并负责设备在现场的调试、必要的拆检和维护工作，对设备质保期内的设备质量负责。质保期外对由于由设计或质量问题而引起的设备故障，卖方应进一步负责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12.2</w:t>
      </w:r>
      <w:r>
        <w:rPr>
          <w:rFonts w:hint="eastAsia" w:ascii="宋体" w:hAnsi="宋体" w:eastAsia="宋体" w:cs="宋体"/>
        </w:rPr>
        <w:t>卖方派遣的合格的指导人员至少有安装和调试同类设备5年以上的工作经验。</w:t>
      </w:r>
    </w:p>
    <w:p>
      <w:pPr>
        <w:pStyle w:val="3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12.3</w:t>
      </w:r>
      <w:r>
        <w:rPr>
          <w:rFonts w:hint="eastAsia" w:ascii="宋体" w:hAnsi="宋体" w:eastAsia="宋体" w:cs="宋体"/>
        </w:rPr>
        <w:t>卖方必须在接到买方通知后2天内派上述有关人员到达现场，在没有得到买方允许前，卖方不能更换或撤走任何一个指导人员。卖方参加指导安装、检验及试验、调试及试运行人员费用（包括差旅费）应计入投标总价，该费用及人工时清单需在商务合同中体现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0F4F7A"/>
    <w:multiLevelType w:val="multilevel"/>
    <w:tmpl w:val="470F4F7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322"/>
    <w:rsid w:val="000A7475"/>
    <w:rsid w:val="000F7F9F"/>
    <w:rsid w:val="00126968"/>
    <w:rsid w:val="001A26CE"/>
    <w:rsid w:val="002B52F1"/>
    <w:rsid w:val="002D0DDD"/>
    <w:rsid w:val="00353C04"/>
    <w:rsid w:val="00356DDE"/>
    <w:rsid w:val="003761FB"/>
    <w:rsid w:val="00480059"/>
    <w:rsid w:val="00495B04"/>
    <w:rsid w:val="005278A6"/>
    <w:rsid w:val="00584F69"/>
    <w:rsid w:val="005E1B76"/>
    <w:rsid w:val="0069324D"/>
    <w:rsid w:val="00777150"/>
    <w:rsid w:val="00790C59"/>
    <w:rsid w:val="00882078"/>
    <w:rsid w:val="00975ADF"/>
    <w:rsid w:val="00994768"/>
    <w:rsid w:val="009E7E6C"/>
    <w:rsid w:val="00A118DE"/>
    <w:rsid w:val="00A502D0"/>
    <w:rsid w:val="00A8088A"/>
    <w:rsid w:val="00B4045E"/>
    <w:rsid w:val="00B5182A"/>
    <w:rsid w:val="00CE0430"/>
    <w:rsid w:val="00D65E8A"/>
    <w:rsid w:val="00DA008E"/>
    <w:rsid w:val="00DB12AF"/>
    <w:rsid w:val="00DB73F7"/>
    <w:rsid w:val="00EB7AA9"/>
    <w:rsid w:val="00F2679C"/>
    <w:rsid w:val="00F26F22"/>
    <w:rsid w:val="00FF5322"/>
    <w:rsid w:val="04916FA0"/>
    <w:rsid w:val="0CCB5371"/>
    <w:rsid w:val="0EA87391"/>
    <w:rsid w:val="0F9E7544"/>
    <w:rsid w:val="0FDB31EB"/>
    <w:rsid w:val="0FE95E1B"/>
    <w:rsid w:val="19BA363E"/>
    <w:rsid w:val="237B37A9"/>
    <w:rsid w:val="2525742B"/>
    <w:rsid w:val="272F225A"/>
    <w:rsid w:val="293F14EA"/>
    <w:rsid w:val="2E1A06B6"/>
    <w:rsid w:val="2FDC3D2E"/>
    <w:rsid w:val="33806E3D"/>
    <w:rsid w:val="33FA3228"/>
    <w:rsid w:val="348516D5"/>
    <w:rsid w:val="3AAC1E33"/>
    <w:rsid w:val="3AAF547F"/>
    <w:rsid w:val="3B1E2207"/>
    <w:rsid w:val="41733933"/>
    <w:rsid w:val="47CC5748"/>
    <w:rsid w:val="4F49421D"/>
    <w:rsid w:val="55C0633B"/>
    <w:rsid w:val="5B7976B8"/>
    <w:rsid w:val="5DC52608"/>
    <w:rsid w:val="6D7F7D01"/>
    <w:rsid w:val="73606517"/>
    <w:rsid w:val="7818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3"/>
    <w:semiHidden/>
    <w:qFormat/>
    <w:uiPriority w:val="0"/>
    <w:pPr>
      <w:adjustRightInd w:val="0"/>
      <w:spacing w:line="360" w:lineRule="atLeast"/>
      <w:jc w:val="left"/>
      <w:textAlignment w:val="baseline"/>
    </w:pPr>
    <w:rPr>
      <w:kern w:val="0"/>
      <w:szCs w:val="20"/>
    </w:rPr>
  </w:style>
  <w:style w:type="paragraph" w:styleId="12">
    <w:name w:val="Body Text"/>
    <w:basedOn w:val="1"/>
    <w:qFormat/>
    <w:uiPriority w:val="1"/>
    <w:pPr>
      <w:ind w:left="312"/>
    </w:pPr>
    <w:rPr>
      <w:sz w:val="24"/>
      <w:szCs w:val="24"/>
    </w:rPr>
  </w:style>
  <w:style w:type="paragraph" w:styleId="13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1"/>
    <w:pPr>
      <w:spacing w:before="159"/>
      <w:ind w:left="553" w:hanging="479"/>
    </w:pPr>
    <w:rPr>
      <w:rFonts w:ascii="黑体" w:hAnsi="黑体" w:eastAsia="黑体" w:cs="黑体"/>
      <w:b/>
      <w:bCs/>
      <w:sz w:val="24"/>
      <w:szCs w:val="24"/>
    </w:rPr>
  </w:style>
  <w:style w:type="paragraph" w:styleId="16">
    <w:name w:val="Subtitle"/>
    <w:basedOn w:val="1"/>
    <w:next w:val="1"/>
    <w:link w:val="31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">
    <w:name w:val="Title"/>
    <w:basedOn w:val="1"/>
    <w:next w:val="1"/>
    <w:link w:val="30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9">
    <w:name w:val="Table Grid"/>
    <w:basedOn w:val="1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1">
    <w:name w:val="标题 1 字符"/>
    <w:basedOn w:val="20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2">
    <w:name w:val="标题 2 字符"/>
    <w:basedOn w:val="20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3">
    <w:name w:val="标题 3 字符"/>
    <w:basedOn w:val="20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4">
    <w:name w:val="标题 4 字符"/>
    <w:basedOn w:val="20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5">
    <w:name w:val="标题 5 字符"/>
    <w:basedOn w:val="20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6">
    <w:name w:val="标题 6 字符"/>
    <w:basedOn w:val="20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7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字符"/>
    <w:basedOn w:val="20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1">
    <w:name w:val="副标题 字符"/>
    <w:basedOn w:val="20"/>
    <w:link w:val="16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2">
    <w:name w:val="Quote"/>
    <w:basedOn w:val="1"/>
    <w:next w:val="1"/>
    <w:link w:val="33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引用 字符"/>
    <w:basedOn w:val="20"/>
    <w:link w:val="32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character" w:customStyle="1" w:styleId="35">
    <w:name w:val="Intense Emphasis"/>
    <w:basedOn w:val="20"/>
    <w:qFormat/>
    <w:uiPriority w:val="21"/>
    <w:rPr>
      <w:i/>
      <w:iCs/>
      <w:color w:val="2F5597" w:themeColor="accent1" w:themeShade="BF"/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7">
    <w:name w:val="明显引用 字符"/>
    <w:basedOn w:val="20"/>
    <w:link w:val="36"/>
    <w:qFormat/>
    <w:uiPriority w:val="30"/>
    <w:rPr>
      <w:i/>
      <w:iCs/>
      <w:color w:val="2F5597" w:themeColor="accent1" w:themeShade="BF"/>
    </w:rPr>
  </w:style>
  <w:style w:type="character" w:customStyle="1" w:styleId="38">
    <w:name w:val="Intense Reference"/>
    <w:basedOn w:val="20"/>
    <w:qFormat/>
    <w:uiPriority w:val="32"/>
    <w:rPr>
      <w:b/>
      <w:bCs/>
      <w:smallCaps/>
      <w:color w:val="2F5597" w:themeColor="accent1" w:themeShade="BF"/>
      <w:spacing w:val="5"/>
    </w:rPr>
  </w:style>
  <w:style w:type="paragraph" w:customStyle="1" w:styleId="39">
    <w:name w:val="Defaul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eastAsia="宋体" w:cs="Helvetica"/>
      <w:color w:val="000000"/>
      <w:kern w:val="0"/>
      <w:sz w:val="24"/>
      <w:szCs w:val="24"/>
      <w:lang w:val="en-US" w:eastAsia="zh-CN" w:bidi="ar-SA"/>
      <w14:ligatures w14:val="none"/>
    </w:rPr>
  </w:style>
  <w:style w:type="paragraph" w:customStyle="1" w:styleId="40">
    <w:name w:val="CM18"/>
    <w:basedOn w:val="39"/>
    <w:next w:val="39"/>
    <w:qFormat/>
    <w:uiPriority w:val="0"/>
    <w:rPr>
      <w:rFonts w:cs="Times New Roman"/>
      <w:color w:val="auto"/>
    </w:rPr>
  </w:style>
  <w:style w:type="character" w:customStyle="1" w:styleId="41">
    <w:name w:val="页眉 字符"/>
    <w:basedOn w:val="20"/>
    <w:link w:val="14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  <w:style w:type="character" w:customStyle="1" w:styleId="42">
    <w:name w:val="页脚 字符"/>
    <w:basedOn w:val="20"/>
    <w:link w:val="13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  <w:style w:type="character" w:customStyle="1" w:styleId="43">
    <w:name w:val="批注文字 字符"/>
    <w:basedOn w:val="20"/>
    <w:link w:val="11"/>
    <w:semiHidden/>
    <w:qFormat/>
    <w:uiPriority w:val="0"/>
    <w:rPr>
      <w:rFonts w:ascii="Times New Roman" w:hAnsi="Times New Roman" w:eastAsia="宋体" w:cs="Times New Roman"/>
      <w:kern w:val="0"/>
      <w:sz w:val="24"/>
      <w:szCs w:val="20"/>
      <w14:ligatures w14:val="none"/>
    </w:rPr>
  </w:style>
  <w:style w:type="paragraph" w:customStyle="1" w:styleId="44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w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441</Words>
  <Characters>1802</Characters>
  <Lines>24</Lines>
  <Paragraphs>6</Paragraphs>
  <TotalTime>23</TotalTime>
  <ScaleCrop>false</ScaleCrop>
  <LinksUpToDate>false</LinksUpToDate>
  <CharactersWithSpaces>1852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2025-12-08T03:51:00Z</dcterms:created>
  <dc:creator>Qiang Li</dc:creator>
  <cp:lastModifiedBy>周诚</cp:lastModifiedBy>
  <dcterms:modified xsi:type="dcterms:W3CDTF">2026-03-10T01:37:45Z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4F721B96A61C4B788F51D63029D09226</vt:lpwstr>
  </property>
  <property fmtid="{D5CDD505-2E9C-101B-9397-08002B2CF9AE}" pid="4" name="KSOTemplateDocerSaveRecord">
    <vt:lpwstr>eyJoZGlkIjoiMzJkOTNlMDM0NTE2YTVkNjE5NTNmZDMzMWU1ODE0OGQiLCJ1c2VySWQiOiIzNTYwNjM2OTYifQ==</vt:lpwstr>
  </property>
</Properties>
</file>