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  <w:lang w:eastAsia="zh-CN"/>
        </w:rPr>
      </w:pPr>
      <w:bookmarkStart w:id="0" w:name="OLE_LINK1"/>
      <w:r>
        <w:rPr>
          <w:rFonts w:ascii="Times New Roman" w:hAnsi="Times New Roman" w:eastAsia="方正小标宋简体" w:cs="Times New Roman"/>
          <w:bCs/>
          <w:color w:val="auto"/>
          <w:kern w:val="44"/>
          <w:sz w:val="44"/>
          <w:szCs w:val="44"/>
          <w:highlight w:val="none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color w:val="auto"/>
          <w:sz w:val="32"/>
          <w:highlight w:val="none"/>
        </w:rPr>
      </w:pP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采办包名称：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海油发展-化工品类部-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工程技术公司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2025-2026年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生物解聚剂物资采购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专有协议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采办计划公开如下：</w:t>
      </w:r>
    </w:p>
    <w:tbl>
      <w:tblPr>
        <w:tblStyle w:val="9"/>
        <w:tblW w:w="93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00"/>
        <w:gridCol w:w="1785"/>
        <w:gridCol w:w="1782"/>
        <w:gridCol w:w="1567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采办包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采购范围与主要技术指标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预计发标时间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供应商资质基本要求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4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7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>工程技术公司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2025-2026年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>生物解聚剂物资采购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u w:val="single"/>
                <w:lang w:eastAsia="zh-CN"/>
              </w:rPr>
              <w:t>协议</w:t>
            </w:r>
          </w:p>
        </w:tc>
        <w:tc>
          <w:tcPr>
            <w:tcW w:w="17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</w:p>
        </w:tc>
        <w:tc>
          <w:tcPr>
            <w:tcW w:w="17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  <w:t>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  <w:t>见附件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2</w:t>
            </w:r>
          </w:p>
        </w:tc>
        <w:tc>
          <w:tcPr>
            <w:tcW w:w="86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该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采办包的系统用户可在集团公司采办系统中提交反馈材料。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请感兴趣的供应商于2026年1月27日17:00前，与我方联系人接洽。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联系人：吴迪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电  话：022-25803746</w:t>
      </w:r>
    </w:p>
    <w:p>
      <w:pPr>
        <w:numPr>
          <w:ilvl w:val="0"/>
          <w:numId w:val="0"/>
        </w:num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邮  箱：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instrText xml:space="preserve"> HYPERLINK "mailto:liufx2@cnooc.com.cn" </w:instrTex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wudi13@cnooc.com.cn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fldChar w:fldCharType="end"/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如对上述公开内容真实、有效性存疑，请拨打社会监督电话：022-25802262，其他事项不受理。</w:t>
      </w:r>
    </w:p>
    <w:p>
      <w:pPr>
        <w:pStyle w:val="4"/>
        <w:ind w:firstLine="640"/>
        <w:rPr>
          <w:highlight w:val="none"/>
        </w:rPr>
      </w:pPr>
    </w:p>
    <w:p>
      <w:pPr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320" w:firstLine="960" w:firstLineChars="3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 </w:t>
      </w:r>
    </w:p>
    <w:bookmarkEnd w:id="0"/>
    <w:p>
      <w:pPr>
        <w:rPr>
          <w:color w:val="auto"/>
          <w:highlight w:val="none"/>
        </w:rPr>
      </w:pPr>
      <w:r>
        <w:rPr>
          <w:color w:val="auto"/>
          <w:highlight w:val="none"/>
        </w:rPr>
        <w:br w:type="page"/>
      </w:r>
      <w:bookmarkStart w:id="3" w:name="_GoBack"/>
      <w:bookmarkEnd w:id="3"/>
    </w:p>
    <w:p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采购范围与主要技术指标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Chars="0"/>
        <w:textAlignment w:val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1" w:name="_Toc13248928"/>
      <w:bookmarkStart w:id="2" w:name="_Toc13249325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需求一览表</w:t>
      </w:r>
      <w:bookmarkEnd w:id="1"/>
      <w:bookmarkEnd w:id="2"/>
    </w:p>
    <w:tbl>
      <w:tblPr>
        <w:tblStyle w:val="9"/>
        <w:tblW w:w="9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65"/>
        <w:gridCol w:w="1069"/>
        <w:gridCol w:w="1434"/>
        <w:gridCol w:w="947"/>
        <w:gridCol w:w="722"/>
        <w:gridCol w:w="769"/>
        <w:gridCol w:w="759"/>
        <w:gridCol w:w="1003"/>
        <w:gridCol w:w="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96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物资编码</w:t>
            </w:r>
          </w:p>
        </w:tc>
        <w:tc>
          <w:tcPr>
            <w:tcW w:w="106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品类编码</w:t>
            </w:r>
          </w:p>
        </w:tc>
        <w:tc>
          <w:tcPr>
            <w:tcW w:w="143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物资名称</w:t>
            </w:r>
          </w:p>
        </w:tc>
        <w:tc>
          <w:tcPr>
            <w:tcW w:w="94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规格型号</w:t>
            </w:r>
          </w:p>
        </w:tc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76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5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交货期</w:t>
            </w:r>
          </w:p>
        </w:tc>
        <w:tc>
          <w:tcPr>
            <w:tcW w:w="100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交货地点</w:t>
            </w:r>
          </w:p>
        </w:tc>
        <w:tc>
          <w:tcPr>
            <w:tcW w:w="91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8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65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85029518</w:t>
            </w:r>
          </w:p>
        </w:tc>
        <w:tc>
          <w:tcPr>
            <w:tcW w:w="106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A030701</w:t>
            </w:r>
          </w:p>
        </w:tc>
        <w:tc>
          <w:tcPr>
            <w:tcW w:w="1434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生物解聚剂</w:t>
            </w:r>
          </w:p>
        </w:tc>
        <w:tc>
          <w:tcPr>
            <w:tcW w:w="947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生物解聚剂\SWJJJ\生物酶\液体</w:t>
            </w:r>
          </w:p>
        </w:tc>
        <w:tc>
          <w:tcPr>
            <w:tcW w:w="722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540000</w:t>
            </w:r>
          </w:p>
          <w:p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KG</w:t>
            </w:r>
          </w:p>
        </w:tc>
        <w:tc>
          <w:tcPr>
            <w:tcW w:w="75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合同签订后一年内，以买方到货通知为准</w:t>
            </w:r>
          </w:p>
        </w:tc>
        <w:tc>
          <w:tcPr>
            <w:tcW w:w="1003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天津市滨海新区工程技术公司增产库房</w:t>
            </w:r>
          </w:p>
        </w:tc>
        <w:tc>
          <w:tcPr>
            <w:tcW w:w="919" w:type="dxa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0"/>
                <w:kern w:val="2"/>
                <w:sz w:val="21"/>
                <w:szCs w:val="21"/>
                <w:lang w:val="en-US" w:eastAsia="zh-CN" w:bidi="ar-SA"/>
              </w:rPr>
              <w:t>最小送货量1000KG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备注：合同有效期内，分批次送货，一次性结算。</w:t>
      </w:r>
    </w:p>
    <w:p>
      <w:pPr>
        <w:pStyle w:val="3"/>
        <w:numPr>
          <w:ilvl w:val="0"/>
          <w:numId w:val="2"/>
        </w:numPr>
        <w:spacing w:line="257" w:lineRule="auto"/>
        <w:ind w:left="0" w:leftChars="0" w:right="122" w:firstLine="0" w:firstLineChars="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技术要求</w:t>
      </w:r>
    </w:p>
    <w:p>
      <w:pPr>
        <w:pStyle w:val="11"/>
        <w:numPr>
          <w:ilvl w:val="0"/>
          <w:numId w:val="3"/>
        </w:numPr>
        <w:spacing w:before="120" w:after="120" w:line="360" w:lineRule="auto"/>
        <w:outlineLvl w:val="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★技术指标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1. 产品技术参数</w:t>
      </w:r>
    </w:p>
    <w:p>
      <w:pPr>
        <w:pStyle w:val="2"/>
        <w:shd w:val="clear" w:color="auto" w:fill="auto"/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主要成分为活性生物酶、生物酶培养液、活性互溶剂、去离子水等，且不限于以上成分。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1.1生物解聚剂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【下述要求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为本产品的具体性能指标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】</w:t>
      </w:r>
    </w:p>
    <w:p>
      <w:pPr>
        <w:pStyle w:val="2"/>
        <w:shd w:val="clear" w:color="auto" w:fill="auto"/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取本产品与蒸馏水（GB/T 6682-2008三级水）按质量比1：1稀释，制成待测试样，按照下列技术要求检测。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1）线性聚合物降粘率（60℃，4h）：≥99%，参照以下方法测定：</w:t>
      </w:r>
    </w:p>
    <w:p>
      <w:pPr>
        <w:pStyle w:val="2"/>
        <w:shd w:val="clear" w:color="auto" w:fill="auto"/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①线性聚丙烯酰胺（PAM）溶液配制：使用精度0.0001 g电子天平准确称取5.000 g‌ 干燥恒重后的线性聚丙烯酰胺（分子量1200万-1800万）粉末；量取约800 mL水（GB/T 6682-2008三级水）注入1 L烧杯中，烧杯中启动磁力搅拌器，调节转速至80-120 rpm，形成稳定漩涡；将聚丙烯酰胺粉末均匀撒入漩涡中心，分5–8次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‌，每次少量（约0.5–0.7 g），持续搅拌60–90分钟，直至溶液完全透明、无颗粒或絮状物；补水至1 L，混匀，静置10分钟消泡；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经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100–200目滤网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过滤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后转移至洁净试剂瓶，贴标签注明浓度、日期、类型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，备用。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②取400ml上述制备的线性聚丙烯酰胺聚合物溶液（5000ppm），用ZND六速旋转粘度计测其粘度η1；测其粘度后，在上述溶液中加入400ml的待测试样，玻璃棒搅拌均匀，置于水浴中60℃降解4小时，测其粘度η2。线性聚合物降粘率X2计，数值以%表示，按下式计算：</w:t>
      </w:r>
    </w:p>
    <w:p>
      <w:pP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position w:val="-30"/>
          <w:sz w:val="21"/>
          <w:szCs w:val="21"/>
          <w:highlight w:val="none"/>
          <w:lang w:val="en-US" w:eastAsia="zh-CN" w:bidi="ar-SA"/>
        </w:rPr>
        <w:object>
          <v:shape id="_x0000_i1032" o:spt="75" type="#_x0000_t75" style="height:34.9pt;width:100.5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32" DrawAspect="Content" ObjectID="_1468075725" r:id="rId4">
            <o:LockedField>false</o:LockedField>
          </o:OLEObject>
        </w:objec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式中：η1—初始聚合物粘度，单位为mpa.s；η2—降解后聚合物粘度，单位为mpa.s。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2）交联聚合物降粘率（60℃，4h）：≥99%，参照以下方法测定：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①部分水解聚丙烯酰胺（HPAM）母液配制：使用精度0.0001 g电子天平准确称取5.000 g‌ 干燥恒重后的部分水解聚丙烯酰胺（分子量1400万-1800万）粉末；量取约800 mL水（GB/T 6682-2008三级水）注入1 L烧杯中，烧杯中启动磁力搅拌器，调节转速至80-120 rpm，形成稳定漩涡；将部分水解聚丙烯酰胺粉末均匀撒入漩涡中心，分5–8次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‌，每次少量（约0.5–0.7 g），持续搅拌60–90分钟，直至溶液完全透明、无颗粒或絮状物；补水至1 L，混匀，静置10分钟消泡；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经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100–200目滤网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过滤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后转移至洁净试剂瓶，贴标签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备用。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② 柠檬酸铝交联剂配制：称取 50.00 g 柠檬酸（分析纯），溶于 50 mL 去离子水，加热至 60℃ 搅拌至完全溶解；在60-80℃恒温下，‌缓慢分批‌加入偏铝酸钠固体（摩尔比 Al:Cit = 1:3），持续搅拌至溶液澄清；用浓氨水（质量分数25%）调节 pH 至 ‌6.0–8.0‌，过滤除去不溶物；得到铝离子浓度 ‌30–40 g/L‌ 的柠檬酸铝交联剂溶液，避光冷藏保存（72 小时内使用）。</w:t>
      </w:r>
    </w:p>
    <w:p>
      <w:pPr>
        <w:pStyle w:val="2"/>
        <w:shd w:val="clear" w:color="auto" w:fill="auto"/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③交联反应配制交联聚合物：部分水解聚丙烯酰胺（HPAM）母液与柠檬酸铝交联剂溶液按‌交联比 10：50‌（质量比）混合；将交联剂溶液缓慢滴加至 HPAM 母液中，滴加时间 ≥ 5 分钟；混合后以 60 rpm 低速搅拌 10 分钟，确保均匀；转移至恒温水浴，设定温度 ‌30–60℃‌（根据目标凝胶时间调整）；静置反应 ‌24–72 小时‌，期间避免扰动。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 xml:space="preserve">④取400ml上述交联聚合物溶液，用ZND六速旋转粘度计测其粘度η1；测其粘度后，在上述溶液中加入400ml的待测试样，使用玻璃棒搅拌均匀，置于水浴中60℃降解4小时，测其粘度η2。交联聚合物降粘率X2计，数值以%表示，按下式计算： </w:t>
      </w:r>
    </w:p>
    <w:p>
      <w:pP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auto"/>
          <w:kern w:val="0"/>
          <w:position w:val="-30"/>
          <w:sz w:val="21"/>
          <w:szCs w:val="21"/>
          <w:highlight w:val="none"/>
          <w:lang w:val="en-US" w:eastAsia="zh-CN" w:bidi="ar-SA"/>
        </w:rPr>
        <w:object>
          <v:shape id="_x0000_i1035" o:spt="75" type="#_x0000_t75" style="height:34.9pt;width:100.5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35" DrawAspect="Content" ObjectID="_1468075726" r:id="rId6">
            <o:LockedField>false</o:LockedField>
          </o:OLEObject>
        </w:objec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式中：η1—初始聚合物粘度，单位为mpa.s；η2—降解后聚合物粘度，单位为mpa.s。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★3）腐蚀速率（60℃，2h）：≤6g/（m2· h），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参照《SY/T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5405-2019酸化用缓蚀剂性能试验方法及评价指标》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中5.常压静态腐蚀速率测定方法及评价指标</w:t>
      </w:r>
      <w:r>
        <w:rPr>
          <w:rFonts w:hint="default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测定</w:t>
      </w: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具体实验步骤和试验方法如下：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①试剂、材料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N80挂片。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柠檬酸三铵：化学纯。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丙酮：化学纯。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无水乙醇：化学纯。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②仪器、设备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常温静态腐蚀实验装置。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游标卡尺：精度±0.02mm。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量筒：1000ml。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反应容器（玻璃瓶、塑料瓶）：1000ml。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恒温水浴锅：精度±1℃。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③分析步骤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挂片标记：穿戴称量手套，用游标卡尺测量挂片尺寸（挂片制备应符合SY/T 5405-2019的要求） ，然后记录其挂片自身编号与相对应的几何尺寸和质量。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根据每平方厘米挂片表面积待测试样用量20mL计算所需待测试样的量，将待测试样用1000mL量筒量取并倒入反应容器，连接好装置，将反应容器放入恒温水浴，打开水浴加热电源，使反应容器中的待测试样升温至60℃。将挂片单片吊挂，三片一组，放入待测试样中，保证挂片全部表面与待测试样接触，且挂片不与容器壁接触，记录反应开始时间反应2h，切断电源取出挂片，观察腐蚀状况并作详细记录。观察后将挂片立即用水冲洗，再用软毛刷刷洗；如果不能清洗干净，再用10%柠檬酸三铵清洗；最后用丙酮、无水乙醇逐片洗净，并将挂片放在干净的滤纸上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挂片称量：用冷风吹干，放在干燥器内干燥20min后称量，精确至0.0001g。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结果分析：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腐蚀速率按下式计算：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sSubPr>
            <m:e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v</m:t>
              </m: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e>
            <m:sub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i</m:t>
              </m: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sub>
          </m:sSub>
          <m:r>
            <m:rPr>
              <m:sty m:val="p"/>
            </m:rPr>
            <w:rPr>
              <w:rFonts w:hint="eastAsia" w:ascii="DejaVu Math TeX Gyre" w:hAnsi="DejaVu Math TeX Gyre" w:eastAsia="CESI仿宋-GB2312" w:cs="CESI仿宋-GB2312"/>
              <w:spacing w:val="0"/>
              <w:kern w:val="2"/>
              <w:sz w:val="24"/>
              <w:szCs w:val="24"/>
              <w:lang w:val="en-US" w:eastAsia="zh-CN" w:bidi="ar-SA"/>
            </w:rPr>
            <m:t>=</m:t>
          </m:r>
          <m:f>
            <m:fP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p>
                <m:sSupP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10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6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×∆m</m:t>
              </m: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A×∆t</m:t>
              </m: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</m:oMath>
      </m:oMathPara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式中：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vi-单片腐蚀速率，g/(m2·h)；</w:t>
      </w:r>
      <m:oMath>
        <m:r>
          <m:rPr>
            <m:sty m:val="p"/>
          </m:rPr>
          <w:rPr>
            <w:rFonts w:hint="eastAsia" w:ascii="DejaVu Math TeX Gyre" w:hAnsi="DejaVu Math TeX Gyre" w:eastAsia="CESI仿宋-GB2312" w:cs="CESI仿宋-GB2312"/>
            <w:spacing w:val="0"/>
            <w:kern w:val="2"/>
            <w:sz w:val="24"/>
            <w:szCs w:val="24"/>
            <w:lang w:val="en-US" w:eastAsia="zh-CN" w:bidi="ar-SA"/>
          </w:rPr>
          <m:t>∆t</m:t>
        </m:r>
      </m:oMath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-反应时间，h；</w:t>
      </w:r>
      <m:oMath>
        <m:r>
          <m:rPr>
            <m:sty m:val="p"/>
          </m:rPr>
          <w:rPr>
            <w:rFonts w:hint="eastAsia" w:ascii="DejaVu Math TeX Gyre" w:hAnsi="DejaVu Math TeX Gyre" w:eastAsia="CESI仿宋-GB2312" w:cs="CESI仿宋-GB2312"/>
            <w:spacing w:val="0"/>
            <w:kern w:val="2"/>
            <w:sz w:val="24"/>
            <w:szCs w:val="24"/>
            <w:lang w:val="en-US" w:eastAsia="zh-CN" w:bidi="ar-SA"/>
          </w:rPr>
          <m:t>∆m</m:t>
        </m:r>
      </m:oMath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-挂片腐蚀失量，g；A-挂片表面积，mm2。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挂片表面积按下式计算：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m:oMathPara>
        <m:oMath>
          <m:r>
            <m:rPr>
              <m:sty m:val="p"/>
            </m:rPr>
            <w:rPr>
              <w:rFonts w:hint="eastAsia" w:ascii="DejaVu Math TeX Gyre" w:hAnsi="DejaVu Math TeX Gyre" w:eastAsia="CESI仿宋-GB2312" w:cs="CESI仿宋-GB2312"/>
              <w:spacing w:val="0"/>
              <w:kern w:val="2"/>
              <w:sz w:val="24"/>
              <w:szCs w:val="24"/>
              <w:lang w:val="en-US" w:eastAsia="zh-CN" w:bidi="ar-SA"/>
            </w:rPr>
            <m:t>A=(L×a+a×b+b×L)×2</m:t>
          </m:r>
        </m:oMath>
      </m:oMathPara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式中：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L-挂片长，mm；a-挂片宽，mm；b-挂片厚，mm。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平均腐蚀速率按下式计算：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m:oMathPara>
        <m:oMath>
          <m:r>
            <m:rPr>
              <m:sty m:val="p"/>
            </m:rPr>
            <w:rPr>
              <w:rFonts w:hint="eastAsia" w:ascii="DejaVu Math TeX Gyre" w:hAnsi="DejaVu Math TeX Gyre" w:eastAsia="CESI仿宋-GB2312" w:cs="CESI仿宋-GB2312"/>
              <w:spacing w:val="0"/>
              <w:kern w:val="2"/>
              <w:sz w:val="24"/>
              <w:szCs w:val="24"/>
              <w:lang w:val="en-US" w:eastAsia="zh-CN" w:bidi="ar-SA"/>
            </w:rPr>
            <m:t>v=</m:t>
          </m:r>
          <m:f>
            <m:fP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fPr>
            <m:num>
              <m:sSub>
                <m:sSubP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v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1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b>
                <m:sSubP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v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b>
                <m:sSubP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v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  <m:t>3</m:t>
                  </m:r>
                  <m:ctrlPr>
                    <w:rPr>
                      <w:rFonts w:hint="eastAsia" w:ascii="DejaVu Math TeX Gyre" w:hAnsi="DejaVu Math TeX Gyre" w:eastAsia="CESI仿宋-GB2312" w:cs="CESI仿宋-GB2312"/>
                      <w:spacing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b>
              </m:sSub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  <m:t>3</m:t>
              </m:r>
              <m:ctrlPr>
                <w:rPr>
                  <w:rFonts w:hint="eastAsia" w:ascii="DejaVu Math TeX Gyre" w:hAnsi="DejaVu Math TeX Gyre" w:eastAsia="CESI仿宋-GB2312" w:cs="CESI仿宋-GB2312"/>
                  <w:spacing w:val="0"/>
                  <w:kern w:val="2"/>
                  <w:sz w:val="24"/>
                  <w:szCs w:val="24"/>
                  <w:lang w:val="en-US" w:eastAsia="zh-CN" w:bidi="ar-SA"/>
                </w:rPr>
              </m:ctrlPr>
            </m:den>
          </m:f>
        </m:oMath>
      </m:oMathPara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式中：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v-每组平行样平均单片腐蚀速率，g/(m2·h)；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  <w:t>v1，v2，v3-同组的三块挂片的腐蚀速率，g/(m2·h)。</w:t>
      </w:r>
    </w:p>
    <w:p>
      <w:pPr>
        <w:pStyle w:val="2"/>
        <w:shd w:val="clear" w:color="auto" w:fil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ESI仿宋-GB2312" w:hAnsi="CESI仿宋-GB2312" w:eastAsia="CESI仿宋-GB2312" w:cs="CESI仿宋-GB2312"/>
          <w:spacing w:val="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供应商资质基本要求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8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5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资质要求</w:t>
            </w:r>
          </w:p>
          <w:p>
            <w:pPr>
              <w:pStyle w:val="12"/>
              <w:spacing w:line="300" w:lineRule="exact"/>
              <w:jc w:val="center"/>
              <w:rPr>
                <w:rFonts w:hint="eastAsia" w:ascii="仿宋" w:hAnsi="仿宋" w:eastAsia="仿宋" w:cs="Calibri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2.申请人须是中华人民共和国境内具有独立承担民事责任能力的法人，或具备国家认可经营资格的其他组织。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3.本项目仅限制造商参与，申请人须提供制造商相关证明材料，如有效期内的质量管理认证体系、厂房或库房房产证明材料、相关生产设备证明材料。</w:t>
            </w:r>
          </w:p>
        </w:tc>
      </w:tr>
    </w:tbl>
    <w:p>
      <w:pPr>
        <w:pStyle w:val="7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outlineLvl w:val="0"/>
        <w:rPr>
          <w:rFonts w:ascii="Times New Roman" w:hAnsi="Times New Roman" w:eastAsia="仿宋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S Mincho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ACB79"/>
    <w:multiLevelType w:val="singleLevel"/>
    <w:tmpl w:val="FDEACB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B50C9A"/>
    <w:multiLevelType w:val="singleLevel"/>
    <w:tmpl w:val="1EB50C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7900891"/>
    <w:multiLevelType w:val="singleLevel"/>
    <w:tmpl w:val="5790089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798A7"/>
    <w:rsid w:val="3BEF633E"/>
    <w:rsid w:val="3CFE1055"/>
    <w:rsid w:val="46BB5C51"/>
    <w:rsid w:val="4A1947CF"/>
    <w:rsid w:val="4F6E853F"/>
    <w:rsid w:val="67EFFCFA"/>
    <w:rsid w:val="6FF7C6E3"/>
    <w:rsid w:val="724E6F24"/>
    <w:rsid w:val="76ECFE8D"/>
    <w:rsid w:val="77B2995C"/>
    <w:rsid w:val="79AF811E"/>
    <w:rsid w:val="7B096C74"/>
    <w:rsid w:val="7EF363FF"/>
    <w:rsid w:val="A1FFEC88"/>
    <w:rsid w:val="A6F4E9A6"/>
    <w:rsid w:val="AF7BAA25"/>
    <w:rsid w:val="B13ACC7F"/>
    <w:rsid w:val="BFBB32D6"/>
    <w:rsid w:val="CFFF7BBB"/>
    <w:rsid w:val="D1DCE082"/>
    <w:rsid w:val="D6FB3967"/>
    <w:rsid w:val="DA9853B0"/>
    <w:rsid w:val="DB773DDB"/>
    <w:rsid w:val="DFF9C582"/>
    <w:rsid w:val="DFFF78E4"/>
    <w:rsid w:val="E3C3B5A9"/>
    <w:rsid w:val="ECFC8467"/>
    <w:rsid w:val="EEB8FCDA"/>
    <w:rsid w:val="EEED05F1"/>
    <w:rsid w:val="F93E7E12"/>
    <w:rsid w:val="FB6F86BF"/>
    <w:rsid w:val="FE4FA82B"/>
    <w:rsid w:val="FEB31551"/>
    <w:rsid w:val="FEFE5ED4"/>
    <w:rsid w:val="FEFF3786"/>
    <w:rsid w:val="FF2F2082"/>
    <w:rsid w:val="FF63CF15"/>
    <w:rsid w:val="FF7D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79" w:lineRule="exact"/>
      <w:outlineLvl w:val="1"/>
    </w:pPr>
    <w:rPr>
      <w:rFonts w:ascii="Microsoft YaHei UI" w:hAnsi="Microsoft YaHei UI" w:eastAsia="Microsoft YaHei UI"/>
      <w:spacing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firstLine="200" w:firstLineChars="200"/>
    </w:pPr>
    <w:rPr>
      <w:rFonts w:ascii="Microsoft YaHei UI" w:hAnsi="Microsoft YaHei UI" w:eastAsia="Microsoft YaHei UI"/>
      <w:szCs w:val="21"/>
    </w:rPr>
  </w:style>
  <w:style w:type="paragraph" w:styleId="4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ind w:firstLine="567"/>
    </w:pPr>
  </w:style>
  <w:style w:type="table" w:styleId="9">
    <w:name w:val="Table Grid"/>
    <w:basedOn w:val="8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table" w:customStyle="1" w:styleId="13">
    <w:name w:val="网格型3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2018-07-16T23:11:00Z</dcterms:created>
  <dc:creator>d</dc:creator>
  <cp:lastModifiedBy>wudi13</cp:lastModifiedBy>
  <dcterms:modified xsi:type="dcterms:W3CDTF">2026-01-20T17:52:40Z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F8230E7D290F4682BFFDFCE545D79E16</vt:lpwstr>
  </property>
</Properties>
</file>