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5"/>
        <w:gridCol w:w="436"/>
        <w:gridCol w:w="5689"/>
        <w:gridCol w:w="436"/>
        <w:gridCol w:w="436"/>
        <w:gridCol w:w="654"/>
        <w:gridCol w:w="436"/>
      </w:tblGrid>
      <w:tr w14:paraId="6EE14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19" w:type="pct"/>
            <w:noWrap w:val="0"/>
            <w:vAlign w:val="center"/>
          </w:tcPr>
          <w:p w14:paraId="022BB28E">
            <w:pPr>
              <w:widowControl/>
              <w:spacing w:line="240" w:lineRule="auto"/>
              <w:ind w:left="0" w:firstLine="0"/>
              <w:jc w:val="center"/>
              <w:rPr>
                <w:rFonts w:ascii="宋体" w:hAnsi="宋体" w:cs="宋体"/>
                <w:b/>
                <w:bCs/>
                <w:color w:val="000000"/>
                <w:kern w:val="0"/>
                <w:sz w:val="22"/>
                <w:szCs w:val="22"/>
              </w:rPr>
            </w:pPr>
            <w:r>
              <w:rPr>
                <w:rFonts w:hint="eastAsia" w:ascii="宋体" w:hAnsi="宋体" w:cs="宋体"/>
                <w:b/>
                <w:bCs/>
                <w:color w:val="000000"/>
                <w:kern w:val="0"/>
                <w:sz w:val="22"/>
                <w:szCs w:val="22"/>
              </w:rPr>
              <w:t>序号</w:t>
            </w:r>
          </w:p>
        </w:tc>
        <w:tc>
          <w:tcPr>
            <w:tcW w:w="461" w:type="pct"/>
            <w:noWrap w:val="0"/>
            <w:vAlign w:val="center"/>
          </w:tcPr>
          <w:p w14:paraId="215EFC64">
            <w:pPr>
              <w:widowControl/>
              <w:spacing w:line="240" w:lineRule="auto"/>
              <w:ind w:left="0" w:firstLine="0"/>
              <w:jc w:val="center"/>
              <w:rPr>
                <w:rFonts w:hint="eastAsia" w:ascii="宋体" w:hAnsi="宋体" w:cs="宋体"/>
                <w:b/>
                <w:bCs/>
                <w:color w:val="000000"/>
                <w:kern w:val="0"/>
                <w:sz w:val="22"/>
                <w:szCs w:val="22"/>
              </w:rPr>
            </w:pPr>
            <w:r>
              <w:rPr>
                <w:rFonts w:hint="eastAsia" w:ascii="宋体" w:hAnsi="宋体" w:cs="宋体"/>
                <w:b/>
                <w:bCs/>
                <w:color w:val="000000"/>
                <w:kern w:val="0"/>
                <w:sz w:val="22"/>
                <w:szCs w:val="22"/>
              </w:rPr>
              <w:t>标的物名称</w:t>
            </w:r>
          </w:p>
        </w:tc>
        <w:tc>
          <w:tcPr>
            <w:tcW w:w="2299" w:type="pct"/>
            <w:noWrap w:val="0"/>
            <w:vAlign w:val="center"/>
          </w:tcPr>
          <w:p w14:paraId="160C606F">
            <w:pPr>
              <w:widowControl/>
              <w:spacing w:line="240" w:lineRule="auto"/>
              <w:ind w:left="0" w:firstLine="0"/>
              <w:jc w:val="center"/>
              <w:rPr>
                <w:rFonts w:hint="eastAsia" w:ascii="宋体" w:hAnsi="宋体" w:cs="宋体"/>
                <w:b/>
                <w:bCs/>
                <w:color w:val="000000"/>
                <w:kern w:val="0"/>
                <w:sz w:val="22"/>
                <w:szCs w:val="22"/>
              </w:rPr>
            </w:pPr>
            <w:r>
              <w:rPr>
                <w:rFonts w:hint="eastAsia" w:ascii="宋体" w:hAnsi="宋体" w:cs="宋体"/>
                <w:b/>
                <w:bCs/>
                <w:color w:val="000000"/>
                <w:kern w:val="0"/>
                <w:sz w:val="22"/>
                <w:szCs w:val="22"/>
              </w:rPr>
              <w:t>技术参数指标（功能配置）要求</w:t>
            </w:r>
          </w:p>
        </w:tc>
        <w:tc>
          <w:tcPr>
            <w:tcW w:w="554" w:type="pct"/>
            <w:noWrap w:val="0"/>
            <w:vAlign w:val="center"/>
          </w:tcPr>
          <w:p w14:paraId="2E40C370">
            <w:pPr>
              <w:widowControl/>
              <w:spacing w:line="240" w:lineRule="auto"/>
              <w:ind w:left="0" w:firstLine="0"/>
              <w:jc w:val="center"/>
              <w:rPr>
                <w:rFonts w:hint="eastAsia" w:ascii="宋体" w:hAnsi="宋体" w:cs="宋体"/>
                <w:b/>
                <w:bCs/>
                <w:color w:val="000000"/>
                <w:kern w:val="0"/>
                <w:sz w:val="22"/>
                <w:szCs w:val="22"/>
              </w:rPr>
            </w:pPr>
            <w:r>
              <w:rPr>
                <w:rFonts w:hint="eastAsia" w:ascii="宋体" w:hAnsi="宋体" w:cs="宋体"/>
                <w:b/>
                <w:bCs/>
                <w:color w:val="000000"/>
                <w:kern w:val="0"/>
                <w:sz w:val="22"/>
                <w:szCs w:val="22"/>
              </w:rPr>
              <w:t>数量</w:t>
            </w:r>
          </w:p>
        </w:tc>
        <w:tc>
          <w:tcPr>
            <w:tcW w:w="331" w:type="pct"/>
            <w:noWrap w:val="0"/>
            <w:vAlign w:val="center"/>
          </w:tcPr>
          <w:p w14:paraId="63B517D7">
            <w:pPr>
              <w:widowControl/>
              <w:spacing w:line="240" w:lineRule="auto"/>
              <w:ind w:left="0" w:firstLine="0"/>
              <w:jc w:val="center"/>
              <w:rPr>
                <w:rFonts w:hint="eastAsia" w:ascii="宋体" w:hAnsi="宋体" w:cs="宋体"/>
                <w:b/>
                <w:bCs/>
                <w:color w:val="000000"/>
                <w:kern w:val="0"/>
                <w:sz w:val="22"/>
                <w:szCs w:val="22"/>
              </w:rPr>
            </w:pPr>
            <w:r>
              <w:rPr>
                <w:rFonts w:hint="eastAsia" w:ascii="宋体" w:hAnsi="宋体" w:cs="宋体"/>
                <w:b/>
                <w:bCs/>
                <w:color w:val="000000"/>
                <w:kern w:val="0"/>
                <w:sz w:val="22"/>
                <w:szCs w:val="22"/>
              </w:rPr>
              <w:t>单位</w:t>
            </w:r>
          </w:p>
        </w:tc>
        <w:tc>
          <w:tcPr>
            <w:tcW w:w="586" w:type="pct"/>
            <w:noWrap w:val="0"/>
            <w:vAlign w:val="center"/>
          </w:tcPr>
          <w:p w14:paraId="4914E10A">
            <w:pPr>
              <w:widowControl/>
              <w:spacing w:line="240" w:lineRule="auto"/>
              <w:ind w:left="0" w:firstLine="0"/>
              <w:jc w:val="center"/>
              <w:rPr>
                <w:rFonts w:hint="eastAsia" w:ascii="宋体" w:hAnsi="宋体" w:cs="宋体"/>
                <w:b/>
                <w:bCs/>
                <w:color w:val="000000"/>
                <w:kern w:val="0"/>
                <w:sz w:val="22"/>
                <w:szCs w:val="22"/>
              </w:rPr>
            </w:pPr>
            <w:r>
              <w:rPr>
                <w:rFonts w:hint="eastAsia" w:ascii="宋体" w:hAnsi="宋体" w:cs="宋体"/>
                <w:b/>
                <w:bCs/>
                <w:color w:val="000000"/>
                <w:kern w:val="0"/>
                <w:sz w:val="22"/>
                <w:szCs w:val="22"/>
              </w:rPr>
              <w:t>所属行业</w:t>
            </w:r>
          </w:p>
        </w:tc>
        <w:tc>
          <w:tcPr>
            <w:tcW w:w="447" w:type="pct"/>
            <w:noWrap w:val="0"/>
            <w:vAlign w:val="center"/>
          </w:tcPr>
          <w:p w14:paraId="5F0E9417">
            <w:pPr>
              <w:widowControl/>
              <w:spacing w:line="240" w:lineRule="auto"/>
              <w:ind w:left="0" w:firstLine="0"/>
              <w:jc w:val="center"/>
              <w:rPr>
                <w:rFonts w:hint="eastAsia" w:ascii="宋体" w:hAnsi="宋体" w:cs="宋体"/>
                <w:b/>
                <w:bCs/>
                <w:color w:val="000000"/>
                <w:kern w:val="0"/>
                <w:sz w:val="22"/>
                <w:szCs w:val="22"/>
              </w:rPr>
            </w:pPr>
            <w:r>
              <w:rPr>
                <w:rFonts w:hint="eastAsia" w:ascii="宋体" w:hAnsi="宋体" w:cs="宋体"/>
                <w:b/>
                <w:bCs/>
                <w:color w:val="000000"/>
                <w:kern w:val="0"/>
                <w:sz w:val="22"/>
                <w:szCs w:val="22"/>
              </w:rPr>
              <w:t>类型</w:t>
            </w:r>
          </w:p>
        </w:tc>
      </w:tr>
      <w:tr w14:paraId="4D137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19" w:type="pct"/>
            <w:noWrap w:val="0"/>
            <w:vAlign w:val="center"/>
          </w:tcPr>
          <w:p w14:paraId="2BC9DA7D">
            <w:pPr>
              <w:widowControl/>
              <w:spacing w:line="240" w:lineRule="auto"/>
              <w:ind w:left="0" w:firstLine="0"/>
              <w:jc w:val="center"/>
              <w:rPr>
                <w:rFonts w:hint="eastAsia" w:ascii="宋体" w:hAnsi="宋体" w:cs="宋体"/>
                <w:color w:val="000000"/>
                <w:kern w:val="0"/>
                <w:sz w:val="22"/>
                <w:szCs w:val="22"/>
              </w:rPr>
            </w:pPr>
            <w:r>
              <w:rPr>
                <w:rFonts w:hint="eastAsia" w:ascii="宋体" w:hAnsi="宋体" w:cs="宋体"/>
                <w:color w:val="000000"/>
                <w:kern w:val="0"/>
                <w:sz w:val="22"/>
                <w:szCs w:val="22"/>
              </w:rPr>
              <w:t>1</w:t>
            </w:r>
          </w:p>
        </w:tc>
        <w:tc>
          <w:tcPr>
            <w:tcW w:w="461" w:type="pct"/>
            <w:noWrap w:val="0"/>
            <w:vAlign w:val="center"/>
          </w:tcPr>
          <w:p w14:paraId="19E39C67">
            <w:pPr>
              <w:widowControl/>
              <w:spacing w:line="240" w:lineRule="auto"/>
              <w:ind w:left="0" w:firstLine="0"/>
              <w:jc w:val="left"/>
              <w:rPr>
                <w:rFonts w:hint="eastAsia" w:ascii="宋体" w:hAnsi="宋体" w:cs="宋体"/>
                <w:color w:val="000000"/>
                <w:kern w:val="0"/>
                <w:sz w:val="22"/>
                <w:szCs w:val="22"/>
              </w:rPr>
            </w:pPr>
            <w:r>
              <w:rPr>
                <w:rFonts w:hint="eastAsia" w:ascii="宋体" w:hAnsi="宋体" w:cs="宋体"/>
                <w:color w:val="000000"/>
                <w:kern w:val="0"/>
                <w:sz w:val="22"/>
                <w:szCs w:val="22"/>
              </w:rPr>
              <w:t>工业沙盘场景开发实训设备及国产信创工业场景应用课程套件</w:t>
            </w:r>
          </w:p>
        </w:tc>
        <w:tc>
          <w:tcPr>
            <w:tcW w:w="2299" w:type="pct"/>
            <w:noWrap w:val="0"/>
            <w:vAlign w:val="center"/>
          </w:tcPr>
          <w:p w14:paraId="631597D3">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1.鸿蒙工业沙盘场景开发实训设备（硬件部分）</w:t>
            </w:r>
          </w:p>
          <w:p w14:paraId="2F44AC23">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1.1 平板终端，数量：2个，要求使用国产平台，支持国产信创的厂商，如瑞星微等，支持OpenHarmony3.2 及以上版本，10.1英寸高清显示屏，1920x1200 FHD；电容屏，支持多点触摸，最多可支持10点触摸，支持2.4G+5G WiFi，支持蓝牙5.0协议，支持重力传感、光线传感、距离传感；</w:t>
            </w:r>
          </w:p>
          <w:p w14:paraId="5348C588">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1.2 信标，数量：1个，低功耗蓝牙信标，传输距离≥70m，工作寿命≥5年，尺寸不大于50*20mm；</w:t>
            </w:r>
          </w:p>
          <w:p w14:paraId="14B954E2">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1.3 适配器，数量：1套，要求支持百兆网口上传数据，支持网口自适应，512MB+4GB, 搭载OpenHarmony操作系统；</w:t>
            </w:r>
          </w:p>
          <w:p w14:paraId="0BF4BFC5">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1.4 桌面机械臂，数量：1套，小型机械臂，台面安装，室内，本体重8kg, 额定负载500g，额定功率150W；</w:t>
            </w:r>
          </w:p>
          <w:p w14:paraId="39EC8168">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1.5 迷你气泵盒，数量：1套，尺寸不小于163mm*143mm*53mm，气压范围- 70~110 kPa，气管接头ф4mm，IP20；</w:t>
            </w:r>
          </w:p>
          <w:p w14:paraId="571C70AD">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1.6 传送带，数量：1套，尺寸不小于长1000mm * 高200mm，（每分钟2-15 米）* 调速电机 + 调速器；</w:t>
            </w:r>
          </w:p>
          <w:p w14:paraId="35B1D358">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1.7 条形补光灯，数量：1个，白光，色温6500-7500K，发光尺寸≥150x30mm；</w:t>
            </w:r>
          </w:p>
          <w:p w14:paraId="12882AC2">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1.8 视觉光源控制器，</w:t>
            </w:r>
            <w:bookmarkStart w:id="0" w:name="_GoBack"/>
            <w:r>
              <w:rPr>
                <w:rFonts w:hint="eastAsia" w:ascii="宋体" w:hAnsi="宋体" w:cs="宋体"/>
                <w:b w:val="0"/>
                <w:bCs w:val="0"/>
                <w:color w:val="000000"/>
                <w:kern w:val="0"/>
                <w:sz w:val="22"/>
                <w:szCs w:val="22"/>
              </w:rPr>
              <w:t>数量：1套，最大电流 (Amax) 1.2A，输出电压 DC17-24V；</w:t>
            </w:r>
          </w:p>
          <w:p w14:paraId="1E3D5F31">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1.9 补光灯支架，数量：1个，机器视觉安装固定支架，跑道侧面安装，固定相机及相机补光灯；</w:t>
            </w:r>
          </w:p>
          <w:p w14:paraId="21DEB170">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1.10 工业相机，数量：1个，像素不低于230万，彩色，支持USB3.0接口，分辨率不低于1920 (H) × 1200 (V)；</w:t>
            </w:r>
          </w:p>
          <w:p w14:paraId="6F96D26E">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1.11 相机镜头，数量：1个，焦距8mm；</w:t>
            </w:r>
          </w:p>
          <w:p w14:paraId="3DAF16E8">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1.12 边缘网关，数量：1个，采用RK3588芯片，搭载国产信创操作系统，内存不低于4+64G；</w:t>
            </w:r>
          </w:p>
          <w:p w14:paraId="401C55BF">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1.13 HDMI 显示器，数量：1台，尺寸：不低于23.8 英寸，分辨率：不低于1920*1080；</w:t>
            </w:r>
          </w:p>
          <w:p w14:paraId="43A270C0">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1.14 鼠标，数量：1个，黑色，线长不小于2m；</w:t>
            </w:r>
          </w:p>
          <w:p w14:paraId="2873F613">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1.15 手持终端，数量：1个，屏幕尺寸不小于5英寸，不低于分辨率720x1280，采用RK3568芯片, 搭载国产信创操作系统，不低于4+64G, IP65；</w:t>
            </w:r>
          </w:p>
          <w:p w14:paraId="3DB7AD46">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1.16 HDMI线，数量：2根，双屏蔽，线长1.5-2m，高清线，镀金材质；</w:t>
            </w:r>
          </w:p>
          <w:p w14:paraId="677C3E0B">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1.17 4G 路由器，数量：1台，三网通，Wi-Fi 4无线协议，可插卡，即插即用；</w:t>
            </w:r>
          </w:p>
          <w:p w14:paraId="1AD7014D">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1.18 交换机，数量：1台，接口</w:t>
            </w:r>
            <w:bookmarkEnd w:id="0"/>
            <w:r>
              <w:rPr>
                <w:rFonts w:hint="eastAsia" w:ascii="宋体" w:hAnsi="宋体" w:cs="宋体"/>
                <w:b w:val="0"/>
                <w:bCs w:val="0"/>
                <w:color w:val="000000"/>
                <w:kern w:val="0"/>
                <w:sz w:val="22"/>
                <w:szCs w:val="22"/>
              </w:rPr>
              <w:t>数量不少于8个，千兆以太网交换机；</w:t>
            </w:r>
          </w:p>
          <w:p w14:paraId="6FC84976">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1.19 网线，数量：4根，五类网线，黑色，线长1-2米；</w:t>
            </w:r>
          </w:p>
          <w:p w14:paraId="6E9239B0">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1.20 插线排01，数量：2个，8位总控，线长1.8-2.5米，支持防过载；</w:t>
            </w:r>
          </w:p>
          <w:p w14:paraId="3E6A27CD">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1.21 插线排02，数量：1个，5位总控，线长2.8 -3.5米（圆五孔）；</w:t>
            </w:r>
          </w:p>
          <w:p w14:paraId="4810F6AE">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1.22 PLC控制柜及控制程序：</w:t>
            </w:r>
          </w:p>
          <w:p w14:paraId="34F559F7">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1.22.1 PLC：具备可编程控制器；</w:t>
            </w:r>
          </w:p>
          <w:p w14:paraId="1C5D96E0">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1.22.1.1电源：AC 220V（85~264V 宽电压），内置防反接保护;</w:t>
            </w:r>
          </w:p>
          <w:p w14:paraId="230053B0">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1.22.1.2数字量输入/输出：14点数字量输入（DC 20~28V，NPN/PNP 通用） + 10点继电器输出（2A /点）；</w:t>
            </w:r>
          </w:p>
          <w:p w14:paraId="3684D8BD">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1.22.1.3模拟量输入 / 输出： 2 路输入（0-10V/0-20mA，12 位精度） + 1 路输出（电压/电流可调）；</w:t>
            </w:r>
          </w:p>
          <w:p w14:paraId="27510950">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1.22.1.4通讯：2×RS485（支持MODBUS RTU、PPI、USS协议）；1 ×RJ45，通讯速率10/100Mbps，支持MODBUS TCP、S7、自由通信 ；</w:t>
            </w:r>
          </w:p>
          <w:p w14:paraId="7D559804">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1.22.1.5 安装方式：35-40mm DIN 导轨；</w:t>
            </w:r>
          </w:p>
          <w:p w14:paraId="2E56EC6C">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1.22.2 HMI屏：不小于7寸HMI，本机HMI 直接连接的PLC；</w:t>
            </w:r>
          </w:p>
          <w:p w14:paraId="60637433">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1.22.3 4个按钮开关，1个急停开关，1个旋钮开关；</w:t>
            </w:r>
          </w:p>
          <w:p w14:paraId="5A9F4580">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1.22.3.1 支持按钮开关用于手动发送控制信号，并将输入信号传送到PLC的输入端子，以实现系统的启动和停止等功能；</w:t>
            </w:r>
          </w:p>
          <w:p w14:paraId="10188E03">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1.22.3.2 支持旋钮开关用于手动/自动、本地/远程等模式的切换和选择；</w:t>
            </w:r>
          </w:p>
          <w:p w14:paraId="734C97E7">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1.22.3.3 支持急停开关用于立即快速停止整个设备。</w:t>
            </w:r>
          </w:p>
          <w:p w14:paraId="0B7AEBC2">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1.22.4 PLC内置软件：</w:t>
            </w:r>
          </w:p>
          <w:p w14:paraId="20F18E92">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1.22.4.1 PLC控制程序：PLC程序可以控制10路IO量的输出，10路IO量的输入；</w:t>
            </w:r>
          </w:p>
          <w:p w14:paraId="152D4372">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1.22.4.2 开启MODBUS服务器，可以使用远程MODBUS客户端对10路IO的输出和10路IO量的输入监控；</w:t>
            </w:r>
          </w:p>
          <w:p w14:paraId="06B6C769">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1.22.4.3 可以控制10路IO量的输出；且远程和本地控制IO量不冲突；</w:t>
            </w:r>
          </w:p>
          <w:p w14:paraId="689DE23F">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1.22.4.4 支持PLC中string类型的多个寄存器通过远程MODBUS客户端的访问可以进行写入和擦除。</w:t>
            </w:r>
          </w:p>
          <w:p w14:paraId="06FAB8AE">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2.鸿蒙工业沙盘场景开发实训设备（软件部分）</w:t>
            </w:r>
          </w:p>
          <w:p w14:paraId="4607BAC8">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2.1 工业数字孪生：将工业生产过程中的各种数据实时映射到虚拟模型中，实现对生产现场的全方位可视化监控。包含生产区、配料区、库房区、集控中心、机房等区域。</w:t>
            </w:r>
          </w:p>
          <w:p w14:paraId="1395352A">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2.2 工业场景 APP</w:t>
            </w:r>
          </w:p>
          <w:p w14:paraId="1328014B">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2.2.1 访客系统：利用平板的蓝牙和定制工业互联神经总线能力，以及定制开源鸿蒙应用进行结合，完成对访客入场的登记。</w:t>
            </w:r>
          </w:p>
          <w:p w14:paraId="0AA3FBAB">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 xml:space="preserve">2.2.2 产品能效等级分拣 </w:t>
            </w:r>
          </w:p>
          <w:p w14:paraId="3B6402A9">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机械臂控制：利用定制工业互联神经总线功能，完成平板对机械臂的互联互通与设备监控。</w:t>
            </w:r>
          </w:p>
          <w:p w14:paraId="58298721">
            <w:pPr>
              <w:widowControl/>
              <w:spacing w:line="240" w:lineRule="auto"/>
              <w:ind w:left="0" w:firstLine="0"/>
              <w:jc w:val="left"/>
              <w:rPr>
                <w:rFonts w:hint="eastAsia" w:ascii="宋体" w:hAnsi="宋体" w:cs="宋体"/>
                <w:b w:val="0"/>
                <w:bCs w:val="0"/>
                <w:color w:val="000000"/>
                <w:kern w:val="0"/>
                <w:sz w:val="22"/>
                <w:szCs w:val="22"/>
                <w:lang w:eastAsia="zh-CN"/>
              </w:rPr>
            </w:pPr>
            <w:r>
              <w:rPr>
                <w:rFonts w:hint="eastAsia" w:ascii="宋体" w:hAnsi="宋体" w:cs="宋体"/>
                <w:b w:val="0"/>
                <w:bCs w:val="0"/>
                <w:color w:val="000000"/>
                <w:kern w:val="0"/>
                <w:sz w:val="22"/>
                <w:szCs w:val="22"/>
              </w:rPr>
              <w:t>工业视觉检测：利用 RK3588 开发板的神经网络处理器，结合计算机视觉与深度学习技术，实现视频流数据采集与能效标签识别。</w:t>
            </w:r>
          </w:p>
          <w:p w14:paraId="40DF2ADB">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2.2.3 产品入库：利用工业扫码头与国产信创的分布式任务调度，结合定制工业互联神经总线功能，完成手持终端的信息采集与数据上发。</w:t>
            </w:r>
          </w:p>
          <w:p w14:paraId="69E3442C">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2.2.4 生产监控</w:t>
            </w:r>
          </w:p>
          <w:p w14:paraId="46E9D73E">
            <w:pPr>
              <w:widowControl/>
              <w:spacing w:line="240" w:lineRule="auto"/>
              <w:ind w:left="0" w:firstLine="0"/>
              <w:jc w:val="left"/>
              <w:rPr>
                <w:rFonts w:hint="eastAsia" w:ascii="宋体" w:hAnsi="宋体" w:cs="宋体"/>
                <w:b w:val="0"/>
                <w:bCs w:val="0"/>
                <w:color w:val="000000"/>
                <w:kern w:val="0"/>
                <w:sz w:val="22"/>
                <w:szCs w:val="22"/>
                <w:lang w:eastAsia="zh-CN"/>
              </w:rPr>
            </w:pPr>
            <w:r>
              <w:rPr>
                <w:rFonts w:hint="eastAsia" w:ascii="宋体" w:hAnsi="宋体" w:cs="宋体"/>
                <w:b w:val="0"/>
                <w:bCs w:val="0"/>
                <w:color w:val="000000"/>
                <w:kern w:val="0"/>
                <w:sz w:val="22"/>
                <w:szCs w:val="22"/>
              </w:rPr>
              <w:t>生产监视：利用开源鸿蒙的分布式任务调度、定制工业互联神经总线功能，实现对工业控制柜数据的实时监视。</w:t>
            </w:r>
          </w:p>
          <w:p w14:paraId="78D00522">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远程控制：利用定制的工业互联神经总线，与信息系统连接，完成数据采集与远程控制。</w:t>
            </w:r>
          </w:p>
          <w:p w14:paraId="3C90E4E8">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3.工业沙盘场景开发实训设备《国产信创工业场景应用》课程</w:t>
            </w:r>
          </w:p>
          <w:p w14:paraId="23B80C78">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3.1．国产信创工业场景应用课程应包含数字工厂国产信创应用实践课程概述及教学大纲、数字工厂国产信创应用实践课程绪论、数字工厂国产信创场景介绍、工业国产信创互联软总线应用、工业国产信创边缘设备使用和数据采集、工业国产信创APP开发和场景实践、工业国产信创人工智能应用等内容；</w:t>
            </w:r>
          </w:p>
          <w:p w14:paraId="7EDC57D5">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3.2．需提供课程提供讲义、课件、实验源码及实验手册；</w:t>
            </w:r>
          </w:p>
          <w:p w14:paraId="3310B9ED">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3.3．数字工厂国产信创场景介绍内容需包含智能制造、数字工厂和数字工厂国产信创场景介绍等内容；</w:t>
            </w:r>
          </w:p>
          <w:p w14:paraId="6FE811C2">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3.4．工业国产信创互联软总线应用需包含国产信创分布式软总线、国产信创分布式数据管理、国产信创分布式任务调度、分布式硬件、工业设备数据近场读取与控制应用开发等讲义内容，提供源码及首选项(Preferences)接口调用实验手册、关系型数据库(RationalStore)接口调用实验手册、 关系型数据库跨设备同步(DistributedRdb)实验手册、键值型数据库跨设备同步(DistributedDataGobang-kv)实验手册、跨应用数据同步(CrossAppDataShare)实验手册、分布式数据对象跨设备数据同步(DistributedNote)实验手册、工业设备数据近场读取与控制应用运行状态开发实验手册等内容；</w:t>
            </w:r>
          </w:p>
          <w:p w14:paraId="16134CF2">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3.5．工业国产信创边缘设备使用和数据采集需包含工业国产信创设备介绍、工业智能网关设备介绍、工业设备数据上云等讲义内容，提供实验工业国产信创边缘设备使用和数据采集_MQTT实验手册、工业国产信创边缘设备使用和数据采集_OPCUA实验手册等内容；</w:t>
            </w:r>
          </w:p>
          <w:p w14:paraId="40B78DEF">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3.6．工业国产信创APP开发和场景实践需包含产品生产与库存管理流程介绍、服务器接口介绍、库存管理应用开发、生产管理应用开发等讲义内容，提供源码及库存管理国产信创应用开发实验手册、生产管理国产信创应用开发实验手册等内容；</w:t>
            </w:r>
          </w:p>
          <w:p w14:paraId="518B318F">
            <w:pPr>
              <w:widowControl/>
              <w:spacing w:line="240" w:lineRule="auto"/>
              <w:ind w:left="0" w:firstLine="0"/>
              <w:jc w:val="left"/>
              <w:rPr>
                <w:rFonts w:hint="eastAsia" w:ascii="宋体" w:hAnsi="宋体" w:cs="宋体"/>
                <w:b w:val="0"/>
                <w:bCs w:val="0"/>
                <w:color w:val="000000"/>
                <w:kern w:val="0"/>
                <w:sz w:val="22"/>
                <w:szCs w:val="22"/>
              </w:rPr>
            </w:pPr>
            <w:r>
              <w:rPr>
                <w:rFonts w:hint="eastAsia" w:ascii="宋体" w:hAnsi="宋体" w:cs="宋体"/>
                <w:b w:val="0"/>
                <w:bCs w:val="0"/>
                <w:color w:val="000000"/>
                <w:kern w:val="0"/>
                <w:sz w:val="22"/>
                <w:szCs w:val="22"/>
              </w:rPr>
              <w:t>3.7．工业国产信创人工智能应用需包含技术概述、能效标签检测场景、能效标签AI模型训练环境部署、能效标签AI模型训练和转换、能效标签AI检测应用开发等讲义内容，提供源码及实验AI模型训练环境搭建说明、能效标签数据标记实验手册、能效标签检测模型训练实验手册、pt模型转onnx模型实验手册、onnx模型转rknn模型实验手册、rknn模型转ms模型实验手册、AI能效标签检测应用开发实验手册等内容。</w:t>
            </w:r>
          </w:p>
        </w:tc>
        <w:tc>
          <w:tcPr>
            <w:tcW w:w="554" w:type="pct"/>
            <w:noWrap w:val="0"/>
            <w:vAlign w:val="center"/>
          </w:tcPr>
          <w:p w14:paraId="7965F2DD">
            <w:pPr>
              <w:widowControl/>
              <w:spacing w:line="240" w:lineRule="auto"/>
              <w:ind w:left="0" w:firstLine="0"/>
              <w:jc w:val="center"/>
              <w:rPr>
                <w:rFonts w:hint="eastAsia" w:ascii="宋体" w:hAnsi="宋体" w:eastAsia="宋体" w:cs="宋体"/>
                <w:kern w:val="0"/>
                <w:sz w:val="20"/>
                <w:szCs w:val="20"/>
                <w:lang w:val="en-US" w:eastAsia="zh-CN"/>
              </w:rPr>
            </w:pPr>
            <w:r>
              <w:rPr>
                <w:rFonts w:ascii="宋体" w:hAnsi="宋体" w:cs="宋体"/>
                <w:kern w:val="0"/>
                <w:sz w:val="20"/>
                <w:szCs w:val="20"/>
              </w:rPr>
              <w:t>1</w:t>
            </w:r>
          </w:p>
        </w:tc>
        <w:tc>
          <w:tcPr>
            <w:tcW w:w="331" w:type="pct"/>
            <w:noWrap w:val="0"/>
            <w:vAlign w:val="center"/>
          </w:tcPr>
          <w:p w14:paraId="54BDA5C0">
            <w:pPr>
              <w:widowControl/>
              <w:spacing w:line="240" w:lineRule="auto"/>
              <w:ind w:left="0" w:firstLine="0"/>
              <w:jc w:val="center"/>
              <w:rPr>
                <w:rFonts w:hint="eastAsia" w:ascii="宋体" w:hAnsi="宋体" w:cs="宋体"/>
                <w:kern w:val="0"/>
                <w:sz w:val="22"/>
                <w:szCs w:val="22"/>
              </w:rPr>
            </w:pPr>
            <w:r>
              <w:rPr>
                <w:rFonts w:hint="eastAsia" w:ascii="宋体" w:hAnsi="宋体" w:cs="宋体"/>
                <w:kern w:val="0"/>
                <w:sz w:val="22"/>
                <w:szCs w:val="22"/>
              </w:rPr>
              <w:t>套</w:t>
            </w:r>
          </w:p>
        </w:tc>
        <w:tc>
          <w:tcPr>
            <w:tcW w:w="586" w:type="pct"/>
            <w:noWrap/>
            <w:vAlign w:val="center"/>
          </w:tcPr>
          <w:p w14:paraId="56A75A38">
            <w:pPr>
              <w:widowControl/>
              <w:spacing w:line="240" w:lineRule="auto"/>
              <w:ind w:left="0" w:firstLine="0"/>
              <w:jc w:val="center"/>
              <w:rPr>
                <w:rFonts w:hint="eastAsia" w:ascii="宋体" w:hAnsi="宋体" w:cs="宋体"/>
                <w:color w:val="000000"/>
                <w:kern w:val="0"/>
                <w:sz w:val="22"/>
                <w:szCs w:val="22"/>
              </w:rPr>
            </w:pPr>
            <w:r>
              <w:rPr>
                <w:rFonts w:hint="eastAsia" w:ascii="宋体" w:hAnsi="宋体" w:cs="宋体"/>
                <w:color w:val="000000"/>
                <w:kern w:val="0"/>
                <w:sz w:val="22"/>
                <w:szCs w:val="22"/>
              </w:rPr>
              <w:t>工业</w:t>
            </w:r>
          </w:p>
        </w:tc>
        <w:tc>
          <w:tcPr>
            <w:tcW w:w="447" w:type="pct"/>
            <w:noWrap w:val="0"/>
            <w:vAlign w:val="center"/>
          </w:tcPr>
          <w:p w14:paraId="219B52AB">
            <w:pPr>
              <w:widowControl/>
              <w:spacing w:line="240" w:lineRule="auto"/>
              <w:ind w:left="0" w:firstLine="0"/>
              <w:jc w:val="center"/>
              <w:rPr>
                <w:rFonts w:hint="eastAsia" w:ascii="宋体" w:hAnsi="宋体" w:cs="宋体"/>
                <w:color w:val="000000"/>
                <w:kern w:val="0"/>
                <w:sz w:val="22"/>
                <w:szCs w:val="22"/>
              </w:rPr>
            </w:pPr>
            <w:r>
              <w:rPr>
                <w:rFonts w:hint="eastAsia" w:ascii="宋体" w:hAnsi="宋体" w:cs="宋体"/>
                <w:color w:val="000000"/>
                <w:kern w:val="0"/>
                <w:sz w:val="22"/>
                <w:szCs w:val="22"/>
              </w:rPr>
              <w:t>货物类</w:t>
            </w:r>
          </w:p>
        </w:tc>
      </w:tr>
      <w:tr w14:paraId="4BCD7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19" w:type="pct"/>
            <w:noWrap w:val="0"/>
            <w:vAlign w:val="center"/>
          </w:tcPr>
          <w:p w14:paraId="1657EE68">
            <w:pPr>
              <w:widowControl/>
              <w:spacing w:line="240" w:lineRule="auto"/>
              <w:ind w:left="0" w:firstLine="0"/>
              <w:jc w:val="center"/>
              <w:rPr>
                <w:rFonts w:hint="eastAsia" w:ascii="宋体" w:hAnsi="宋体" w:cs="宋体"/>
                <w:color w:val="000000"/>
                <w:kern w:val="0"/>
                <w:sz w:val="22"/>
                <w:szCs w:val="22"/>
              </w:rPr>
            </w:pPr>
          </w:p>
        </w:tc>
        <w:tc>
          <w:tcPr>
            <w:tcW w:w="461" w:type="pct"/>
            <w:noWrap w:val="0"/>
            <w:vAlign w:val="center"/>
          </w:tcPr>
          <w:p w14:paraId="37BDC4A5">
            <w:pPr>
              <w:widowControl/>
              <w:spacing w:line="240" w:lineRule="auto"/>
              <w:ind w:left="0" w:firstLine="0"/>
              <w:jc w:val="left"/>
              <w:rPr>
                <w:rFonts w:hint="eastAsia" w:ascii="宋体" w:hAnsi="宋体" w:cs="宋体"/>
                <w:color w:val="000000"/>
                <w:kern w:val="0"/>
                <w:sz w:val="22"/>
                <w:szCs w:val="22"/>
              </w:rPr>
            </w:pPr>
            <w:r>
              <w:rPr>
                <w:rFonts w:hint="eastAsia" w:ascii="宋体" w:hAnsi="宋体" w:eastAsia="宋体"/>
                <w:szCs w:val="21"/>
                <w:lang w:val="en-US" w:eastAsia="zh-CN"/>
              </w:rPr>
              <w:t>全场景智教平台</w:t>
            </w:r>
          </w:p>
        </w:tc>
        <w:tc>
          <w:tcPr>
            <w:tcW w:w="2299" w:type="pct"/>
            <w:noWrap w:val="0"/>
            <w:vAlign w:val="center"/>
          </w:tcPr>
          <w:p w14:paraId="7D30E336">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硬件产品参数要求:</w:t>
            </w:r>
          </w:p>
          <w:p w14:paraId="75A4E243">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1.1主板参数要求:</w:t>
            </w:r>
          </w:p>
          <w:p w14:paraId="33F274C2">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1.1.1主处理器：主芯片平台必须使用国产芯片，且能够支持OpenHarmony4.0及以上版本的操作系统，主频不低于1.8GHz</w:t>
            </w:r>
          </w:p>
          <w:p w14:paraId="61EC70EE">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1.1.2 GPU:须支持 OpenGL ES 1.1/2.0/3.2，OpenCL 2.0，Vulkan 1.1，须支持2D 加速硬件</w:t>
            </w:r>
          </w:p>
          <w:p w14:paraId="78D1443E">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1.1.3NPU:须支持支持</w:t>
            </w:r>
          </w:p>
          <w:p w14:paraId="099676DF">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Caffe/TensorFlow/TFLite/ONNX/PyTorch/Keras/Darknet 主流架构模型的一键转换，不低于1TOPS算力支持；</w:t>
            </w:r>
          </w:p>
          <w:p w14:paraId="18F85733">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1.1.4以太网接口：须支持双千兆以太网；</w:t>
            </w:r>
          </w:p>
          <w:p w14:paraId="4AB9A7F9">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1.1.5无线网：须支持BT4.2及以上版本，支持2.4G/5.0G双频WiFi；</w:t>
            </w:r>
          </w:p>
          <w:p w14:paraId="26AAC530">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1.1.6存储器：内存技术参数不低于LPDDR4，频率不低于1600Mhz，内存容量不低于4GB，存储容量不低于32GB；</w:t>
            </w:r>
          </w:p>
          <w:p w14:paraId="439263F8">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1.1.8扩展接口：USB3.0 需支持至少2路，USB2.0 需支持不少于4路，UART 需支持至少3路，RS232不低于4路，RS485不低于2路，CAN接口不低于2路；</w:t>
            </w:r>
          </w:p>
          <w:p w14:paraId="05F46D55">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1.1.9显示屏：屏幕尺寸不低于10寸；</w:t>
            </w:r>
          </w:p>
          <w:p w14:paraId="4CC9EB35">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1.2无线通信模块参数要求：</w:t>
            </w:r>
          </w:p>
          <w:p w14:paraId="39C209DF">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1.2.1整体要求：模块可拆，要求磁吸式设计，可以与不同的传感器模块进行组合编程，方便管理；</w:t>
            </w:r>
          </w:p>
          <w:p w14:paraId="47B94532">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1.2.2至少支持以下几类通信方式：WiFi、Lora、NB-Iot、BLE、Zigbee；</w:t>
            </w:r>
          </w:p>
          <w:p w14:paraId="2B96DD86">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1.3传感器模块要求：</w:t>
            </w:r>
          </w:p>
          <w:p w14:paraId="285F4E5E">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1.3.1整体要求：模块可拆，要求磁吸式设计，可以与不同的通信模块进行组合编程，方便管理；</w:t>
            </w:r>
          </w:p>
          <w:p w14:paraId="3F99A1AC">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1.3.2须支持如下的传感器：</w:t>
            </w:r>
          </w:p>
          <w:p w14:paraId="177DC0CC">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（1）温湿度传感器</w:t>
            </w:r>
          </w:p>
          <w:p w14:paraId="2AB3BA33">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（2）风扇</w:t>
            </w:r>
          </w:p>
          <w:p w14:paraId="54EE5CD3">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（3）光照传感器</w:t>
            </w:r>
          </w:p>
          <w:p w14:paraId="44D3743B">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（5）压强传感器</w:t>
            </w:r>
          </w:p>
          <w:p w14:paraId="767CDB4F">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（6）二氧化碳传感器</w:t>
            </w:r>
          </w:p>
          <w:p w14:paraId="45515C3D">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（9）声光报警</w:t>
            </w:r>
          </w:p>
          <w:p w14:paraId="6AC5B0EE">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（10）电磁水阀</w:t>
            </w:r>
          </w:p>
          <w:p w14:paraId="6625A4F6">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（11）红外反射式光电开关</w:t>
            </w:r>
          </w:p>
          <w:p w14:paraId="5644B09A">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（12）超声波测距模块</w:t>
            </w:r>
          </w:p>
          <w:p w14:paraId="77CF4C2B">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（14）点阵屏</w:t>
            </w:r>
          </w:p>
          <w:p w14:paraId="38A53C1A">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（15）LED 灯</w:t>
            </w:r>
          </w:p>
          <w:p w14:paraId="049ABDE7">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（16）数码管。</w:t>
            </w:r>
          </w:p>
          <w:p w14:paraId="02463CAF">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1.4物联网底板</w:t>
            </w:r>
          </w:p>
          <w:p w14:paraId="32B39526">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1.4.1整体要求：须支持独立供电，支持液晶显示，支持通信模块和传感器模块之间的通信；</w:t>
            </w:r>
          </w:p>
          <w:p w14:paraId="0593EC21">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（1）须支持通信模块和传感器的接口；</w:t>
            </w:r>
          </w:p>
          <w:p w14:paraId="51183A3E">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（2）支持USB转串口接口；</w:t>
            </w:r>
          </w:p>
          <w:p w14:paraId="5A9AA881">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（3）支持reset按键、自定义LED、独立电源开关；</w:t>
            </w:r>
          </w:p>
          <w:p w14:paraId="4721638F">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1.5自定义展示区</w:t>
            </w:r>
          </w:p>
          <w:p w14:paraId="4C657FF2">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整体要求：支持自定义输入文本展示，可配置可修改；</w:t>
            </w:r>
          </w:p>
          <w:p w14:paraId="738655FA">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提供硬件资源图片等证明材料。</w:t>
            </w:r>
          </w:p>
          <w:p w14:paraId="14C28116">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1.6实验箱箱体结构</w:t>
            </w:r>
          </w:p>
          <w:p w14:paraId="6B63107E">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整体要求：上下两层一体式设计，上层板载固定安装实验所需硬件，下层收纳放置配套电源适配器、线材、配件等设备。</w:t>
            </w:r>
          </w:p>
          <w:p w14:paraId="4F4B2AE7">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软件参数要求:</w:t>
            </w:r>
          </w:p>
          <w:p w14:paraId="40DC8BE3">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2.1操作系统基本要求∶基于OpenHarmony L2级别的操作系统。版本必须为V4.0及以上版本。</w:t>
            </w:r>
          </w:p>
          <w:p w14:paraId="180642EB">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2.2操作系统具体要求如下：</w:t>
            </w:r>
          </w:p>
          <w:p w14:paraId="38016F56">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2.2.1需要通过第三方认证机构的国产自主可控检测认证；</w:t>
            </w:r>
          </w:p>
          <w:p w14:paraId="1934B3C3">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2.2.2自主可控测评评分70分以上；</w:t>
            </w:r>
          </w:p>
          <w:p w14:paraId="0915477F">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2.2.3自主可控等级达到L3级别；</w:t>
            </w:r>
          </w:p>
          <w:p w14:paraId="7BCF2004">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2.2.4系统核心代码自研率达到100%；</w:t>
            </w:r>
          </w:p>
          <w:p w14:paraId="72FA4B01">
            <w:pPr>
              <w:widowControl/>
              <w:spacing w:line="240" w:lineRule="auto"/>
              <w:ind w:left="0" w:firstLine="0"/>
              <w:jc w:val="left"/>
              <w:rPr>
                <w:rFonts w:hint="eastAsia" w:ascii="宋体" w:hAnsi="宋体" w:eastAsia="宋体" w:cs="宋体"/>
                <w:b w:val="0"/>
                <w:bCs w:val="0"/>
                <w:color w:val="000000"/>
                <w:kern w:val="0"/>
                <w:sz w:val="22"/>
                <w:szCs w:val="22"/>
                <w:lang w:eastAsia="zh-CN"/>
              </w:rPr>
            </w:pPr>
            <w:r>
              <w:rPr>
                <w:rFonts w:hint="eastAsia" w:ascii="宋体" w:hAnsi="宋体" w:eastAsia="宋体" w:cs="宋体"/>
                <w:b w:val="0"/>
                <w:bCs w:val="0"/>
                <w:color w:val="000000"/>
                <w:kern w:val="0"/>
                <w:sz w:val="22"/>
                <w:szCs w:val="22"/>
              </w:rPr>
              <w:t>2.3提供物联网基础云平台</w:t>
            </w:r>
            <w:r>
              <w:rPr>
                <w:rFonts w:hint="eastAsia" w:ascii="宋体" w:hAnsi="宋体" w:eastAsia="宋体" w:cs="宋体"/>
                <w:b w:val="0"/>
                <w:bCs w:val="0"/>
                <w:color w:val="000000"/>
                <w:kern w:val="0"/>
                <w:sz w:val="22"/>
                <w:szCs w:val="22"/>
                <w:lang w:eastAsia="zh-CN"/>
              </w:rPr>
              <w:t>：</w:t>
            </w:r>
          </w:p>
          <w:p w14:paraId="75E9E84B">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2.3.1平台能够接收并存储传感器和执行器的实时数据，模块在线状态；</w:t>
            </w:r>
          </w:p>
          <w:p w14:paraId="49BF7810">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2.3.2须支持端-边多协议通讯方式任意组合，包括LoRa、NB-IoT、ZigBee、BLE、WiFi；</w:t>
            </w:r>
          </w:p>
          <w:p w14:paraId="0BACF236">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2.3.3云平台须支持物联网硬件多协议接入，提供云平台数据可视化功能，支持曲线图、列表等多种展示方式；</w:t>
            </w:r>
          </w:p>
          <w:p w14:paraId="645DD481">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2.4物联网软件功能模块</w:t>
            </w:r>
          </w:p>
          <w:p w14:paraId="0A210A84">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2.4.1智慧工业-温湿度监控：</w:t>
            </w:r>
          </w:p>
          <w:p w14:paraId="1BBCE2F6">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须支持温湿度传感器数据采集，并实时上传至云平台和APP端。云平台提供监测点列表显示（包括点位名称、温度、湿度），须支持手动刷新数据、报警阈值设置、报警记录查询以及四位数码管显示内容配置。APP端须实时显示温湿度数据，并在超过阈值时提供报警提示。系统须支持根据温湿度阈值自动控制风扇启停，并通过数码管显示相关内容；</w:t>
            </w:r>
          </w:p>
          <w:p w14:paraId="175FB6EA">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2.4.2智慧工业-红外感应自动照明：</w:t>
            </w:r>
          </w:p>
          <w:p w14:paraId="6EA0B836">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须支持人体感应传感器数据采集，并实时上传至云平台和APP端。云平台显示监测点列表（包括点位名称、亮灯状态），须支持手动刷新数据、亮灯延时时长设置（3s、10s、30s）以及不响应时段设置，并提供历史记录查询功能。APP端须显示感应结果及感应记录。系统根据人体感应信号自动控制LED灯，并在无感应时按设定延时关闭；</w:t>
            </w:r>
          </w:p>
          <w:p w14:paraId="047CB2BA">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2.4.3智慧工业-货物感应计数：</w:t>
            </w:r>
          </w:p>
          <w:p w14:paraId="4168B20F">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须支持红外反射式光电开关数据采集，并实时上传至APP端。APP端须显示感应结果及监控记录，点阵屏显示箭头图案。系统须具备货物计数功能，每次感应到物体时计数加1，并在APP端实时显示计数值；</w:t>
            </w:r>
          </w:p>
          <w:p w14:paraId="54F9C3A7">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2.4.4智慧工业-引导车避障：</w:t>
            </w:r>
          </w:p>
          <w:p w14:paraId="53AEE7EA">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须支持超声波测距模块数据采集，并实时上传至云平台和APP端。云平台显示小车位置（经纬度）、报警记录，并须支持报警提示接口以及设置遇障报警阈值（10cm、20cm、30cm）。APP端须显示障碍物距离及小车经纬度信息，并在检测到障碍物时提供报警提示；</w:t>
            </w:r>
          </w:p>
          <w:p w14:paraId="0CF0E479">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2.4.5智慧农业-智能灌溉：</w:t>
            </w:r>
          </w:p>
          <w:p w14:paraId="6C275B16">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须支持温湿度传感器数据采集，并实时上传至云平台和APP端。云平台提供监测点列表显示（包括点位名称、温湿度），须支持批量灌溉操作，并提供灌溉策略配置功能，包括基准温度、湿度、灌水量及经验系数设置。APP端须实时显示土壤温湿度数据及灌溉状态，包括当前灌溉状态和灌溉时长；</w:t>
            </w:r>
          </w:p>
          <w:p w14:paraId="7C92BEBA">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2.4.6智慧农业-光强调节：</w:t>
            </w:r>
          </w:p>
          <w:p w14:paraId="46552BD4">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须支持光照传感器数据采集，并实时上传至云平台和APP端。云平台显示监测点列表（包括点位名称、光强），并须支持补光策略配置，包括补光阈值设置和光强变化时补光设备亮度调节。APP端须实时显示光照强度数据及补光设备亮度；</w:t>
            </w:r>
          </w:p>
          <w:p w14:paraId="4E4CFCFF">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2.4.7智慧农业-作物环境监测：</w:t>
            </w:r>
          </w:p>
          <w:p w14:paraId="2FB15233">
            <w:pPr>
              <w:widowControl/>
              <w:spacing w:line="240" w:lineRule="auto"/>
              <w:ind w:left="0" w:firstLine="0"/>
              <w:jc w:val="left"/>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须支持光照、温湿度、压强、CO₂传感器数据采集，并实时上传至云平台和APP端。云平台须提供监测点实时数据展示及历史曲线查询功能，包括光照、温度、湿度、压强、CO₂数据的按天或按小时统计曲线。APP端须实时显示各传感器数据；</w:t>
            </w:r>
          </w:p>
        </w:tc>
        <w:tc>
          <w:tcPr>
            <w:tcW w:w="554" w:type="pct"/>
            <w:noWrap w:val="0"/>
            <w:vAlign w:val="center"/>
          </w:tcPr>
          <w:p w14:paraId="6FF5AF12">
            <w:pPr>
              <w:widowControl/>
              <w:spacing w:line="240" w:lineRule="auto"/>
              <w:ind w:left="0" w:firstLine="0"/>
              <w:jc w:val="center"/>
              <w:rPr>
                <w:rFonts w:hint="eastAsia" w:ascii="宋体" w:hAnsi="宋体" w:eastAsia="宋体" w:cs="宋体"/>
                <w:kern w:val="0"/>
                <w:sz w:val="20"/>
                <w:szCs w:val="20"/>
                <w:lang w:val="en-US" w:eastAsia="zh-CN"/>
              </w:rPr>
            </w:pPr>
            <w:r>
              <w:rPr>
                <w:rFonts w:hint="eastAsia" w:ascii="宋体" w:hAnsi="宋体" w:cs="宋体"/>
                <w:kern w:val="0"/>
                <w:sz w:val="20"/>
                <w:szCs w:val="20"/>
                <w:lang w:val="en-US" w:eastAsia="zh-CN"/>
              </w:rPr>
              <w:t>2</w:t>
            </w:r>
          </w:p>
        </w:tc>
        <w:tc>
          <w:tcPr>
            <w:tcW w:w="331" w:type="pct"/>
            <w:noWrap w:val="0"/>
            <w:vAlign w:val="center"/>
          </w:tcPr>
          <w:p w14:paraId="5E90F5FF">
            <w:pPr>
              <w:widowControl/>
              <w:spacing w:line="240" w:lineRule="auto"/>
              <w:ind w:left="0" w:firstLine="0"/>
              <w:jc w:val="center"/>
              <w:rPr>
                <w:rFonts w:hint="eastAsia" w:ascii="宋体" w:hAnsi="宋体" w:eastAsia="宋体" w:cs="宋体"/>
                <w:kern w:val="0"/>
                <w:sz w:val="22"/>
                <w:szCs w:val="22"/>
                <w:lang w:val="en-US" w:eastAsia="zh-CN"/>
              </w:rPr>
            </w:pPr>
            <w:r>
              <w:rPr>
                <w:rFonts w:hint="eastAsia" w:ascii="宋体" w:hAnsi="宋体" w:cs="宋体"/>
                <w:kern w:val="0"/>
                <w:sz w:val="22"/>
                <w:szCs w:val="22"/>
                <w:lang w:val="en-US" w:eastAsia="zh-CN"/>
              </w:rPr>
              <w:t>台</w:t>
            </w:r>
          </w:p>
        </w:tc>
        <w:tc>
          <w:tcPr>
            <w:tcW w:w="586" w:type="pct"/>
            <w:noWrap/>
            <w:vAlign w:val="center"/>
          </w:tcPr>
          <w:p w14:paraId="4757ABE6">
            <w:pPr>
              <w:widowControl/>
              <w:spacing w:line="240" w:lineRule="auto"/>
              <w:ind w:left="0" w:firstLine="0"/>
              <w:jc w:val="center"/>
              <w:rPr>
                <w:rFonts w:hint="eastAsia" w:ascii="宋体" w:hAnsi="宋体" w:cs="宋体"/>
                <w:color w:val="000000"/>
                <w:kern w:val="0"/>
                <w:sz w:val="22"/>
                <w:szCs w:val="22"/>
              </w:rPr>
            </w:pPr>
            <w:r>
              <w:rPr>
                <w:rFonts w:hint="eastAsia" w:ascii="宋体" w:hAnsi="宋体" w:cs="宋体"/>
                <w:color w:val="000000"/>
                <w:kern w:val="0"/>
                <w:sz w:val="22"/>
                <w:szCs w:val="22"/>
              </w:rPr>
              <w:t>工业</w:t>
            </w:r>
          </w:p>
        </w:tc>
        <w:tc>
          <w:tcPr>
            <w:tcW w:w="447" w:type="pct"/>
            <w:noWrap w:val="0"/>
            <w:vAlign w:val="center"/>
          </w:tcPr>
          <w:p w14:paraId="7684E206">
            <w:pPr>
              <w:widowControl/>
              <w:spacing w:line="240" w:lineRule="auto"/>
              <w:ind w:left="0" w:firstLine="0"/>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货物</w:t>
            </w:r>
          </w:p>
        </w:tc>
      </w:tr>
    </w:tbl>
    <w:p w14:paraId="0E91CDB4"/>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F3351A"/>
    <w:rsid w:val="55882014"/>
    <w:rsid w:val="7FF335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ind w:left="420" w:hanging="42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4431</Words>
  <Characters>5548</Characters>
  <Lines>0</Lines>
  <Paragraphs>0</Paragraphs>
  <TotalTime>13</TotalTime>
  <ScaleCrop>false</ScaleCrop>
  <LinksUpToDate>false</LinksUpToDate>
  <CharactersWithSpaces>5655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2026-05-20T10:44:00Z</dcterms:created>
  <dc:creator>葛建军</dc:creator>
  <cp:lastModifiedBy>Lianie</cp:lastModifiedBy>
  <dcterms:modified xsi:type="dcterms:W3CDTF">2026-05-21T07:47:39Z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FD066B998BFA4E58BE5B78399672A5B2_13</vt:lpwstr>
  </property>
</Properties>
</file>