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FB5A0">
      <w:pPr>
        <w:jc w:val="center"/>
        <w:rPr>
          <w:rFonts w:hint="eastAsia" w:ascii="仿宋" w:hAnsi="仿宋" w:eastAsia="仿宋"/>
          <w:b/>
          <w:color w:val="auto"/>
          <w:sz w:val="36"/>
          <w:szCs w:val="36"/>
          <w:highlight w:val="none"/>
        </w:rPr>
      </w:pPr>
      <w:r>
        <w:rPr>
          <w:rFonts w:hint="eastAsia" w:ascii="仿宋" w:hAnsi="仿宋" w:eastAsia="仿宋"/>
          <w:b/>
          <w:color w:val="auto"/>
          <w:sz w:val="36"/>
          <w:szCs w:val="36"/>
          <w:highlight w:val="none"/>
        </w:rPr>
        <w:t>中铁建工集团</w:t>
      </w:r>
      <w:r>
        <w:rPr>
          <w:rFonts w:hint="eastAsia" w:ascii="仿宋" w:hAnsi="仿宋" w:eastAsia="仿宋"/>
          <w:b/>
          <w:color w:val="auto"/>
          <w:sz w:val="36"/>
          <w:szCs w:val="36"/>
          <w:highlight w:val="none"/>
          <w:lang w:val="en-US" w:eastAsia="zh-CN"/>
        </w:rPr>
        <w:t>第五建设</w:t>
      </w:r>
      <w:r>
        <w:rPr>
          <w:rFonts w:hint="eastAsia" w:ascii="仿宋" w:hAnsi="仿宋" w:eastAsia="仿宋"/>
          <w:b/>
          <w:color w:val="auto"/>
          <w:sz w:val="36"/>
          <w:szCs w:val="36"/>
          <w:highlight w:val="none"/>
        </w:rPr>
        <w:t>有限公司</w:t>
      </w:r>
    </w:p>
    <w:p w14:paraId="54A7E50A">
      <w:pPr>
        <w:jc w:val="center"/>
        <w:rPr>
          <w:rFonts w:hint="eastAsia" w:ascii="仿宋" w:hAnsi="仿宋" w:eastAsia="仿宋"/>
          <w:b/>
          <w:color w:val="auto"/>
          <w:sz w:val="36"/>
          <w:szCs w:val="36"/>
          <w:highlight w:val="none"/>
        </w:rPr>
      </w:pPr>
      <w:r>
        <w:rPr>
          <w:rFonts w:hint="eastAsia" w:ascii="仿宋" w:hAnsi="仿宋" w:eastAsia="仿宋"/>
          <w:b/>
          <w:color w:val="auto"/>
          <w:sz w:val="36"/>
          <w:szCs w:val="36"/>
          <w:highlight w:val="none"/>
        </w:rPr>
        <w:t>塔式起重机框架协议二阶段报价</w:t>
      </w:r>
      <w:r>
        <w:rPr>
          <w:rFonts w:hint="eastAsia" w:ascii="仿宋" w:hAnsi="仿宋" w:eastAsia="仿宋"/>
          <w:b/>
          <w:color w:val="auto"/>
          <w:sz w:val="36"/>
          <w:szCs w:val="36"/>
          <w:highlight w:val="none"/>
          <w:lang w:val="en-US" w:eastAsia="zh-CN"/>
        </w:rPr>
        <w:t>邀请书</w:t>
      </w:r>
    </w:p>
    <w:p w14:paraId="480AA3A6">
      <w:pPr>
        <w:jc w:val="center"/>
        <w:rPr>
          <w:rFonts w:hint="eastAsia" w:ascii="仿宋" w:hAnsi="仿宋" w:eastAsia="仿宋"/>
          <w:b/>
          <w:color w:val="auto"/>
          <w:sz w:val="30"/>
          <w:szCs w:val="30"/>
          <w:highlight w:val="none"/>
          <w:lang w:val="en-US" w:eastAsia="zh-CN"/>
        </w:rPr>
      </w:pPr>
      <w:r>
        <w:rPr>
          <w:rFonts w:hint="eastAsia" w:ascii="仿宋" w:hAnsi="仿宋" w:eastAsia="仿宋"/>
          <w:b/>
          <w:color w:val="auto"/>
          <w:sz w:val="30"/>
          <w:szCs w:val="30"/>
          <w:highlight w:val="none"/>
        </w:rPr>
        <w:t>编号：</w:t>
      </w:r>
      <w:r>
        <w:rPr>
          <w:rFonts w:hint="eastAsia" w:ascii="仿宋" w:hAnsi="仿宋" w:eastAsia="仿宋"/>
          <w:b/>
          <w:color w:val="auto"/>
          <w:sz w:val="30"/>
          <w:szCs w:val="30"/>
          <w:highlight w:val="none"/>
          <w:lang w:eastAsia="zh-CN"/>
        </w:rPr>
        <w:t>WGS-WZ-LC-2025-KJ-B-274</w:t>
      </w:r>
    </w:p>
    <w:p w14:paraId="5B34EA2D">
      <w:pPr>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一、报价依据</w:t>
      </w:r>
    </w:p>
    <w:p w14:paraId="18089625">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shd w:val="clear"/>
        </w:rPr>
        <w:t>《</w:t>
      </w:r>
      <w:r>
        <w:rPr>
          <w:rFonts w:hint="eastAsia" w:ascii="仿宋" w:hAnsi="仿宋" w:eastAsia="仿宋" w:cs="仿宋"/>
          <w:color w:val="auto"/>
          <w:sz w:val="28"/>
          <w:szCs w:val="28"/>
          <w:highlight w:val="none"/>
          <w:shd w:val="clear"/>
          <w:lang w:eastAsia="zh-CN"/>
        </w:rPr>
        <w:t>中铁建工集团有限公司</w:t>
      </w:r>
      <w:r>
        <w:rPr>
          <w:rFonts w:hint="eastAsia" w:ascii="仿宋" w:hAnsi="仿宋" w:eastAsia="仿宋" w:cs="仿宋"/>
          <w:color w:val="auto"/>
          <w:sz w:val="28"/>
          <w:szCs w:val="28"/>
          <w:highlight w:val="none"/>
          <w:shd w:val="clear"/>
        </w:rPr>
        <w:t>2025-2026年度广东区域机械租赁（塔式起重机、施工电梯）框架协议采购结果》</w:t>
      </w:r>
      <w:r>
        <w:rPr>
          <w:rFonts w:hint="eastAsia" w:ascii="仿宋" w:hAnsi="仿宋" w:eastAsia="仿宋" w:cs="仿宋"/>
          <w:color w:val="auto"/>
          <w:sz w:val="28"/>
          <w:szCs w:val="28"/>
          <w:highlight w:val="none"/>
        </w:rPr>
        <w:t>，现对框架协议 A-01包件所有供应商发出二阶段报价单通知书，进行二阶段报价。对所有供应商二阶段报价进行由低到高的排名，按利益最大化原则最终确定供应商签订租赁合同。</w:t>
      </w:r>
    </w:p>
    <w:p w14:paraId="0C924DB6">
      <w:pPr>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项目设备进场时间预计为2025年9月-11月份，具体以实际为准。</w:t>
      </w:r>
    </w:p>
    <w:p w14:paraId="4560B677">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二、项目工程概况</w:t>
      </w:r>
    </w:p>
    <w:p w14:paraId="161CD3C1">
      <w:pPr>
        <w:ind w:firstLine="6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val="en-US" w:eastAsia="zh-CN"/>
        </w:rPr>
        <w:t>位于</w:t>
      </w:r>
      <w:r>
        <w:rPr>
          <w:rFonts w:hint="eastAsia" w:ascii="仿宋" w:hAnsi="仿宋" w:eastAsia="仿宋" w:cs="仿宋"/>
          <w:color w:val="auto"/>
          <w:sz w:val="28"/>
          <w:szCs w:val="28"/>
          <w:highlight w:val="none"/>
        </w:rPr>
        <w:t>东莞市滨海湾新区交椅湾板块中海路西北侧</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用地面积约为45144.33平方米，拟建总建筑面积约97580平方米。项目建设内容主要包括1号教学楼、2号体育馆、3号宿舍楼及食堂(A座学生宿舍楼)、3号宿舍楼及食堂（B座教师宿舍楼)、4号教学楼和裙房、连廊、地下停车场、人行天桥及室外配套工程等;结构形式为1号教学楼和4号教学楼均为框架结构、2号体育馆为框架剪力墙、3号宿舍楼及食堂（A座学生宿舍楼)、3号宿舍楼及食堂（B座教师宿舍楼）均为框支剪力墙。最大层数为26层，最大建筑高度约为99.5米，最大结构跨度约为38.6米。基础形式拟采用桩基础。场地北侧布设1层地下室，基坑开挖深度约5.0m。</w:t>
      </w:r>
    </w:p>
    <w:p w14:paraId="6CEB297E">
      <w:pPr>
        <w:ind w:firstLine="600"/>
        <w:rPr>
          <w:rFonts w:hint="eastAsia" w:ascii="仿宋" w:hAnsi="仿宋" w:eastAsia="仿宋" w:cs="仿宋"/>
          <w:color w:val="auto"/>
          <w:spacing w:val="10"/>
          <w:sz w:val="29"/>
          <w:szCs w:val="29"/>
          <w:highlight w:val="none"/>
        </w:rPr>
      </w:pPr>
      <w:r>
        <w:rPr>
          <w:rFonts w:hint="eastAsia" w:ascii="仿宋" w:hAnsi="仿宋" w:eastAsia="仿宋" w:cs="仿宋"/>
          <w:b/>
          <w:color w:val="auto"/>
          <w:sz w:val="28"/>
          <w:szCs w:val="28"/>
          <w:highlight w:val="none"/>
        </w:rPr>
        <w:t>三、付款条件</w:t>
      </w:r>
    </w:p>
    <w:p w14:paraId="14A3C388">
      <w:pPr>
        <w:ind w:firstLine="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1、支付方式:</w:t>
      </w:r>
      <w:r>
        <w:rPr>
          <w:rFonts w:hint="eastAsia" w:ascii="仿宋" w:hAnsi="仿宋" w:eastAsia="仿宋" w:cs="仿宋"/>
          <w:color w:val="auto"/>
          <w:spacing w:val="5"/>
          <w:sz w:val="29"/>
          <w:szCs w:val="29"/>
          <w:highlight w:val="none"/>
        </w:rPr>
        <w:t>每月20日办理结算（第一个月），第四个月支付第一个月结算金额的60%，第九个月支付至第一个月结算金额的80%，供货全部结束并完成结算后六个月内付至结算总金额的97%，余款3%作为质保金，质保期满后60日内无息付清。乙方需于结算完成后5日内向甲方提供与结算金额等额的增值税发票（含抵税联）。甲方款项支付不免除乙方对交付标的物质量保证责任。如甲方出现资金困难，乙方同意给予3个月的付款宽限期，在此宽限期间内不视为甲方违约且不计息，乙方不得以此为由中断本项目的货物供应。</w:t>
      </w:r>
    </w:p>
    <w:p w14:paraId="6990FC84">
      <w:pPr>
        <w:spacing w:before="2" w:line="397" w:lineRule="auto"/>
        <w:ind w:right="13" w:firstLine="580" w:firstLineChars="200"/>
        <w:rPr>
          <w:rFonts w:hint="eastAsia" w:ascii="仿宋" w:hAnsi="仿宋" w:eastAsia="仿宋" w:cs="仿宋"/>
          <w:color w:val="auto"/>
          <w:sz w:val="29"/>
          <w:szCs w:val="29"/>
          <w:highlight w:val="none"/>
        </w:rPr>
      </w:pPr>
      <w:r>
        <w:rPr>
          <w:rFonts w:ascii="仿宋" w:hAnsi="仿宋" w:eastAsia="仿宋" w:cs="仿宋"/>
          <w:color w:val="auto"/>
          <w:sz w:val="29"/>
          <w:szCs w:val="29"/>
          <w:highlight w:val="none"/>
        </w:rPr>
        <w:t>支付方式：银行转账，除银行转账之外，甲方有权选择非现金支付方式进行合同价款支付，包括但不限于转账支票、电汇、银行承兑汇票、商业承兑汇票、建行E信通、中铁E信、云信、天星粮票等支付方式支付，采取非现金支付的情况下，最长账期不超过一年，使用非现金支付的情况下，甲方不承担兑现费用。投标人应具</w:t>
      </w:r>
      <w:r>
        <w:rPr>
          <w:rFonts w:ascii="仿宋" w:hAnsi="仿宋" w:eastAsia="仿宋" w:cs="仿宋"/>
          <w:color w:val="auto"/>
          <w:spacing w:val="10"/>
          <w:sz w:val="29"/>
          <w:szCs w:val="29"/>
          <w:highlight w:val="none"/>
        </w:rPr>
        <w:t>备一般纳</w:t>
      </w:r>
      <w:r>
        <w:rPr>
          <w:rFonts w:ascii="仿宋" w:hAnsi="仿宋" w:eastAsia="仿宋" w:cs="仿宋"/>
          <w:color w:val="auto"/>
          <w:spacing w:val="7"/>
          <w:sz w:val="29"/>
          <w:szCs w:val="29"/>
          <w:highlight w:val="none"/>
        </w:rPr>
        <w:t>税</w:t>
      </w:r>
      <w:r>
        <w:rPr>
          <w:rFonts w:ascii="仿宋" w:hAnsi="仿宋" w:eastAsia="仿宋" w:cs="仿宋"/>
          <w:color w:val="auto"/>
          <w:spacing w:val="5"/>
          <w:sz w:val="29"/>
          <w:szCs w:val="29"/>
          <w:highlight w:val="none"/>
        </w:rPr>
        <w:t>人资格并提供增值税专用发票。</w:t>
      </w:r>
    </w:p>
    <w:p w14:paraId="7A34320F">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四、报价单发出时间、递交时间及地点</w:t>
      </w:r>
    </w:p>
    <w:p w14:paraId="3F716F0C">
      <w:pPr>
        <w:ind w:firstLine="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供应商须登陆中国中铁采购电子商务平台（</w:t>
      </w:r>
      <w:r>
        <w:rPr>
          <w:color w:val="auto"/>
          <w:highlight w:val="none"/>
        </w:rPr>
        <w:fldChar w:fldCharType="begin"/>
      </w:r>
      <w:r>
        <w:rPr>
          <w:color w:val="auto"/>
          <w:highlight w:val="none"/>
        </w:rPr>
        <w:instrText xml:space="preserve"> HYPERLINK "http://www.crecgec.com/" </w:instrText>
      </w:r>
      <w:r>
        <w:rPr>
          <w:color w:val="auto"/>
          <w:highlight w:val="none"/>
        </w:rPr>
        <w:fldChar w:fldCharType="separate"/>
      </w:r>
      <w:r>
        <w:rPr>
          <w:rFonts w:hint="eastAsia" w:ascii="仿宋" w:hAnsi="仿宋" w:eastAsia="仿宋" w:cs="仿宋"/>
          <w:color w:val="auto"/>
          <w:sz w:val="28"/>
          <w:szCs w:val="28"/>
          <w:highlight w:val="none"/>
        </w:rPr>
        <w:t>www.crecgec.com</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或www.lubanec.com）响应本次招标，获取二阶段报价通知书。</w:t>
      </w:r>
    </w:p>
    <w:p w14:paraId="7DBDF41A">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中国中铁采购电子商务平台（</w:t>
      </w:r>
      <w:r>
        <w:rPr>
          <w:color w:val="auto"/>
          <w:highlight w:val="none"/>
        </w:rPr>
        <w:fldChar w:fldCharType="begin"/>
      </w:r>
      <w:r>
        <w:rPr>
          <w:color w:val="auto"/>
          <w:highlight w:val="none"/>
        </w:rPr>
        <w:instrText xml:space="preserve"> HYPERLINK "http://www.crecgec.com/" </w:instrText>
      </w:r>
      <w:r>
        <w:rPr>
          <w:color w:val="auto"/>
          <w:highlight w:val="none"/>
        </w:rPr>
        <w:fldChar w:fldCharType="separate"/>
      </w:r>
      <w:r>
        <w:rPr>
          <w:rFonts w:hint="eastAsia" w:ascii="仿宋" w:hAnsi="仿宋" w:eastAsia="仿宋" w:cs="仿宋"/>
          <w:color w:val="auto"/>
          <w:sz w:val="28"/>
          <w:szCs w:val="28"/>
          <w:highlight w:val="none"/>
        </w:rPr>
        <w:t>www.crecgec.com</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）网上投标报价与上传电子版报价单截止时间：</w:t>
      </w:r>
      <w:r>
        <w:rPr>
          <w:rFonts w:hint="eastAsia" w:ascii="仿宋" w:hAnsi="仿宋" w:eastAsia="仿宋" w:cs="仿宋"/>
          <w:color w:val="auto"/>
          <w:sz w:val="28"/>
          <w:szCs w:val="28"/>
          <w:highlight w:val="none"/>
          <w:lang w:eastAsia="zh-CN"/>
        </w:rPr>
        <w:t>2025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27</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点00分。</w:t>
      </w:r>
    </w:p>
    <w:p w14:paraId="7B4A73FD">
      <w:pPr>
        <w:ind w:firstLine="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二阶段报价单于</w:t>
      </w:r>
      <w:r>
        <w:rPr>
          <w:rFonts w:hint="eastAsia" w:ascii="仿宋" w:hAnsi="仿宋" w:eastAsia="仿宋" w:cs="仿宋"/>
          <w:color w:val="auto"/>
          <w:sz w:val="28"/>
          <w:szCs w:val="28"/>
          <w:highlight w:val="none"/>
          <w:lang w:eastAsia="zh-CN"/>
        </w:rPr>
        <w:t>2025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rPr>
        <w:t>日发出，请所有入围单位于</w:t>
      </w:r>
      <w:r>
        <w:rPr>
          <w:rFonts w:hint="eastAsia" w:ascii="仿宋" w:hAnsi="仿宋" w:eastAsia="仿宋" w:cs="仿宋"/>
          <w:color w:val="auto"/>
          <w:sz w:val="28"/>
          <w:szCs w:val="28"/>
          <w:highlight w:val="none"/>
          <w:lang w:eastAsia="zh-CN"/>
        </w:rPr>
        <w:t>2025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27</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时00分前（即开标时间），将二阶段报价单（盖章签字扫描版）上传至中国中铁采购电子商务平台（</w:t>
      </w:r>
      <w:r>
        <w:rPr>
          <w:color w:val="auto"/>
          <w:highlight w:val="none"/>
        </w:rPr>
        <w:fldChar w:fldCharType="begin"/>
      </w:r>
      <w:r>
        <w:rPr>
          <w:color w:val="auto"/>
          <w:highlight w:val="none"/>
        </w:rPr>
        <w:instrText xml:space="preserve"> HYPERLINK "http://www.crecgec.com/" </w:instrText>
      </w:r>
      <w:r>
        <w:rPr>
          <w:color w:val="auto"/>
          <w:highlight w:val="none"/>
        </w:rPr>
        <w:fldChar w:fldCharType="separate"/>
      </w:r>
      <w:r>
        <w:rPr>
          <w:rFonts w:hint="eastAsia" w:ascii="仿宋" w:hAnsi="仿宋" w:eastAsia="仿宋" w:cs="仿宋"/>
          <w:color w:val="auto"/>
          <w:sz w:val="28"/>
          <w:szCs w:val="28"/>
          <w:highlight w:val="none"/>
        </w:rPr>
        <w:t>www.crecgec.com</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）。（如有入围单位的二阶段报价单逾期未上传的，视为同等付款条件下价格按入围单位投标期的价格执行。）</w:t>
      </w:r>
    </w:p>
    <w:p w14:paraId="7250BC80">
      <w:pPr>
        <w:ind w:firstLine="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开标地址：中国中铁采购电子商务平台（www.crecgec.com）开标大厅。</w:t>
      </w:r>
    </w:p>
    <w:p w14:paraId="1E5C63A0">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五、报价单开启时间及地点</w:t>
      </w:r>
    </w:p>
    <w:p w14:paraId="5966C4F8">
      <w:pPr>
        <w:ind w:firstLine="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开启时间：202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27</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时00分（即开标时间）</w:t>
      </w:r>
    </w:p>
    <w:p w14:paraId="569F41BF">
      <w:pPr>
        <w:ind w:firstLine="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开启地点：中国中铁采购电子商务平台（www.crecgec.com）</w:t>
      </w:r>
    </w:p>
    <w:p w14:paraId="36AA2C8E">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六、其他要求</w:t>
      </w:r>
    </w:p>
    <w:p w14:paraId="397C1A34">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w:t>
      </w:r>
      <w:r>
        <w:rPr>
          <w:rFonts w:ascii="仿宋" w:hAnsi="仿宋" w:eastAsia="仿宋" w:cs="仿宋"/>
          <w:color w:val="auto"/>
          <w:spacing w:val="5"/>
          <w:sz w:val="29"/>
          <w:szCs w:val="29"/>
          <w:highlight w:val="none"/>
        </w:rPr>
        <w:t>所有报价均以中国中铁采购电子商务平台上传的盖章签</w:t>
      </w:r>
      <w:r>
        <w:rPr>
          <w:rFonts w:ascii="仿宋" w:hAnsi="仿宋" w:eastAsia="仿宋" w:cs="仿宋"/>
          <w:color w:val="auto"/>
          <w:spacing w:val="11"/>
          <w:sz w:val="29"/>
          <w:szCs w:val="29"/>
          <w:highlight w:val="none"/>
        </w:rPr>
        <w:t>字扫描版电子报价单为准。如未上传，或未盖章签字,视为报</w:t>
      </w:r>
      <w:r>
        <w:rPr>
          <w:rFonts w:ascii="仿宋" w:hAnsi="仿宋" w:eastAsia="仿宋" w:cs="仿宋"/>
          <w:color w:val="auto"/>
          <w:spacing w:val="10"/>
          <w:sz w:val="29"/>
          <w:szCs w:val="29"/>
          <w:highlight w:val="none"/>
        </w:rPr>
        <w:t>价</w:t>
      </w:r>
      <w:r>
        <w:rPr>
          <w:rFonts w:ascii="仿宋" w:hAnsi="仿宋" w:eastAsia="仿宋" w:cs="仿宋"/>
          <w:color w:val="auto"/>
          <w:spacing w:val="-2"/>
          <w:sz w:val="29"/>
          <w:szCs w:val="29"/>
          <w:highlight w:val="none"/>
        </w:rPr>
        <w:t>无</w:t>
      </w:r>
      <w:r>
        <w:rPr>
          <w:rFonts w:ascii="仿宋" w:hAnsi="仿宋" w:eastAsia="仿宋" w:cs="仿宋"/>
          <w:color w:val="auto"/>
          <w:spacing w:val="-1"/>
          <w:sz w:val="29"/>
          <w:szCs w:val="29"/>
          <w:highlight w:val="none"/>
        </w:rPr>
        <w:t>效。</w:t>
      </w:r>
    </w:p>
    <w:p w14:paraId="690615D4">
      <w:pPr>
        <w:pStyle w:val="2"/>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6.2塔式起重机使用权期限或机械自身的有效使用期限必须满足租赁期限的要求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塔式起重机</w:t>
      </w:r>
      <w:r>
        <w:rPr>
          <w:rFonts w:hint="eastAsia" w:ascii="仿宋" w:hAnsi="仿宋" w:eastAsia="仿宋" w:cs="仿宋"/>
          <w:color w:val="auto"/>
          <w:sz w:val="28"/>
          <w:szCs w:val="28"/>
          <w:highlight w:val="none"/>
          <w:lang w:val="en-US" w:eastAsia="zh-CN"/>
        </w:rPr>
        <w:t>年限不得超过3年（合格证上注明的出厂日期至实际安装日）</w:t>
      </w:r>
      <w:r>
        <w:rPr>
          <w:rFonts w:hint="eastAsia" w:ascii="仿宋" w:hAnsi="仿宋" w:eastAsia="仿宋" w:cs="仿宋"/>
          <w:color w:val="auto"/>
          <w:sz w:val="28"/>
          <w:szCs w:val="28"/>
          <w:highlight w:val="none"/>
        </w:rPr>
        <w:t>；机械设备采用的专利技术依法取得。</w:t>
      </w:r>
    </w:p>
    <w:p w14:paraId="29805729">
      <w:pPr>
        <w:pStyle w:val="2"/>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6.3塔式起重机必须产权清晰、具有合格证、技术状态完好，必须要有机械设备地方技术监督部门检验合格等证明文件，有检验资料报告</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主要结构件有设备厂家盖章的可追溯性唯一编码表等验证资料</w:t>
      </w:r>
      <w:r>
        <w:rPr>
          <w:rFonts w:hint="eastAsia" w:ascii="仿宋" w:hAnsi="仿宋" w:eastAsia="仿宋" w:cs="仿宋"/>
          <w:color w:val="auto"/>
          <w:sz w:val="28"/>
          <w:szCs w:val="28"/>
          <w:highlight w:val="none"/>
        </w:rPr>
        <w:t>。</w:t>
      </w:r>
    </w:p>
    <w:p w14:paraId="21C5AE41">
      <w:pPr>
        <w:pStyle w:val="2"/>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6.4.所有塔机必须为平头塔，塔吊基础节及标准节必须为销轴连接，基础预埋件为固定支腿形式，不允许反挡制动型塔吊，所有塔吊必须能满足甲方指定的塔吊安全监控防碰撞系统（北京萨达）的安装和接入。</w:t>
      </w:r>
    </w:p>
    <w:p w14:paraId="0B92985B">
      <w:pPr>
        <w:pStyle w:val="2"/>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 xml:space="preserve">本次项目工期计划暂定起止时间以项目实际需求为准。  </w:t>
      </w:r>
    </w:p>
    <w:p w14:paraId="3B9C7E03">
      <w:pPr>
        <w:pStyle w:val="2"/>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6.6本次包件A-01招标控制总价为不含税1623000.00元。</w:t>
      </w:r>
      <w:r>
        <w:rPr>
          <w:rFonts w:hint="eastAsia" w:ascii="仿宋" w:hAnsi="仿宋" w:eastAsia="仿宋" w:cs="仿宋"/>
          <w:color w:val="auto"/>
          <w:sz w:val="28"/>
          <w:szCs w:val="28"/>
          <w:highlight w:val="none"/>
        </w:rPr>
        <w:t xml:space="preserve">   </w:t>
      </w:r>
    </w:p>
    <w:p w14:paraId="490D4093">
      <w:pPr>
        <w:rPr>
          <w:rFonts w:hint="eastAsia"/>
          <w:color w:val="auto"/>
          <w:highlight w:val="none"/>
        </w:rPr>
      </w:pPr>
    </w:p>
    <w:p w14:paraId="16E0BB44">
      <w:pPr>
        <w:rPr>
          <w:rFonts w:hint="eastAsia"/>
          <w:color w:val="auto"/>
          <w:highlight w:val="none"/>
        </w:rPr>
      </w:pPr>
    </w:p>
    <w:p w14:paraId="7D9B02D1">
      <w:pPr>
        <w:pStyle w:val="2"/>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3EC801F0">
      <w:pPr>
        <w:pStyle w:val="2"/>
        <w:jc w:val="righ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中铁建工集团第五建设有限公司</w:t>
      </w:r>
    </w:p>
    <w:p w14:paraId="05807744">
      <w:pPr>
        <w:pStyle w:val="2"/>
        <w:ind w:firstLine="560"/>
        <w:jc w:val="cente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2025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22日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87549"/>
    <w:rsid w:val="23287549"/>
    <w:rsid w:val="7E824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1569</Words>
  <Characters>1778</Characters>
  <Lines>0</Lines>
  <Paragraphs>0</Paragraphs>
  <TotalTime>0</TotalTime>
  <ScaleCrop>false</ScaleCrop>
  <LinksUpToDate>false</LinksUpToDate>
  <CharactersWithSpaces>1839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2025-08-21T15:31:00Z</dcterms:created>
  <dc:creator>Mr lion</dc:creator>
  <cp:lastModifiedBy>Mr lion</cp:lastModifiedBy>
  <dcterms:modified xsi:type="dcterms:W3CDTF">2025-08-21T15:36:57Z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FBE9D94A56DC44C0B9356A6D0A7DF25C_11</vt:lpwstr>
  </property>
  <property fmtid="{D5CDD505-2E9C-101B-9397-08002B2CF9AE}" pid="4" name="KSOTemplateDocerSaveRecord">
    <vt:lpwstr>eyJoZGlkIjoiOWU2NDI4NzU1OTBlYzI4ZmNmNmJkNTJmOGNkYWJkZGYiLCJ1c2VySWQiOiIzODU1MTIzMzUifQ==</vt:lpwstr>
  </property>
</Properties>
</file>