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20" w:after="120"/>
        <w:outlineLvl w:val="0"/>
        <w:rPr>
          <w:rFonts w:hint="eastAsia" w:ascii="微软雅黑" w:hAnsi="微软雅黑" w:eastAsia="微软雅黑" w:cs="Times New Roman"/>
          <w:bCs/>
          <w:color w:val="auto"/>
          <w:sz w:val="32"/>
          <w:szCs w:val="32"/>
        </w:rPr>
      </w:pPr>
      <w:bookmarkStart w:id="0" w:name="_Toc13248927"/>
      <w:bookmarkStart w:id="1" w:name="_Toc13249324"/>
      <w:r>
        <w:rPr>
          <w:rFonts w:hint="eastAsia" w:ascii="Arial Unicode MS" w:eastAsia="Arial Unicode MS" w:cs="Arial Unicode MS"/>
          <w:b/>
          <w:spacing w:val="2"/>
          <w:w w:val="99"/>
          <w:sz w:val="52"/>
          <w:szCs w:val="52"/>
          <w:lang w:val="en-US" w:eastAsia="zh-CN"/>
        </w:rPr>
        <w:t xml:space="preserve"> </w:t>
      </w:r>
      <w:r>
        <w:rPr>
          <w:rFonts w:ascii="微软雅黑" w:hAnsi="微软雅黑" w:eastAsia="微软雅黑" w:cs="Times New Roman"/>
          <w:bCs/>
          <w:color w:val="auto"/>
          <w:sz w:val="32"/>
          <w:szCs w:val="32"/>
        </w:rPr>
        <w:t>一、项目概况及总体要求</w:t>
      </w:r>
      <w:bookmarkEnd w:id="0"/>
      <w:bookmarkEnd w:id="1"/>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近年区域内下部分采管柱打捞作业逐渐增大，其中有较多情况下需要穿过2.313"滑套切割下部2-7/8"~4-1/2"油管，由于尺寸限制，以往作业只能使用电缆切割工艺，而部分井由于井斜较大，电缆无法下入，只能采取更为复杂的套铣、磨铣等打捞手段，增加了作业周期与风险。根据调研，目前市场上有一种较为成熟的过油管水力割刀可以特殊工况下的需求。该种工具作业井况复杂，作业难度大，高度依赖于工具本身性能，目前公司尚无该特殊规格的成熟产品，特立项采购过油管水力割刀工具。</w:t>
      </w:r>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本次采购为特殊的过油管割刀，目前无相关标准。部分要求可参考石油天然气行业标准</w:t>
      </w:r>
      <w:r>
        <w:rPr>
          <w:rFonts w:ascii="微软雅黑" w:hAnsi="微软雅黑" w:eastAsia="微软雅黑"/>
          <w:lang w:eastAsia="zh-CN"/>
        </w:rPr>
        <w:t>SY/T 5070-2012</w:t>
      </w:r>
      <w:r>
        <w:rPr>
          <w:rFonts w:hint="eastAsia" w:ascii="微软雅黑" w:hAnsi="微软雅黑" w:eastAsia="微软雅黑"/>
          <w:lang w:eastAsia="zh-CN"/>
        </w:rPr>
        <w:t>钻井、修井用割刀。</w:t>
      </w:r>
    </w:p>
    <w:p>
      <w:pPr>
        <w:pStyle w:val="21"/>
        <w:spacing w:before="120" w:after="120"/>
        <w:outlineLvl w:val="0"/>
        <w:rPr>
          <w:rFonts w:hint="eastAsia" w:ascii="微软雅黑" w:hAnsi="微软雅黑" w:eastAsia="微软雅黑" w:cs="Times New Roman"/>
          <w:bCs/>
          <w:color w:val="auto"/>
          <w:sz w:val="32"/>
          <w:szCs w:val="32"/>
        </w:rPr>
      </w:pPr>
      <w:bookmarkStart w:id="2" w:name="_Toc13248928"/>
      <w:bookmarkStart w:id="3" w:name="_Toc13249325"/>
      <w:r>
        <w:rPr>
          <w:rFonts w:ascii="微软雅黑" w:hAnsi="微软雅黑" w:eastAsia="微软雅黑" w:cs="Times New Roman"/>
          <w:bCs/>
          <w:color w:val="auto"/>
          <w:sz w:val="32"/>
          <w:szCs w:val="32"/>
        </w:rPr>
        <w:t>二、需求一览表</w:t>
      </w:r>
      <w:bookmarkEnd w:id="2"/>
      <w:bookmarkEnd w:id="3"/>
    </w:p>
    <w:tbl>
      <w:tblPr>
        <w:tblStyle w:val="12"/>
        <w:tblW w:w="8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034"/>
        <w:gridCol w:w="1841"/>
        <w:gridCol w:w="1056"/>
        <w:gridCol w:w="1135"/>
        <w:gridCol w:w="967"/>
        <w:gridCol w:w="90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序号</w:t>
            </w:r>
          </w:p>
        </w:tc>
        <w:tc>
          <w:tcPr>
            <w:tcW w:w="1034"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物资名称</w:t>
            </w:r>
          </w:p>
        </w:tc>
        <w:tc>
          <w:tcPr>
            <w:tcW w:w="1841"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规格型号</w:t>
            </w:r>
          </w:p>
        </w:tc>
        <w:tc>
          <w:tcPr>
            <w:tcW w:w="1056"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主数据编码</w:t>
            </w:r>
          </w:p>
        </w:tc>
        <w:tc>
          <w:tcPr>
            <w:tcW w:w="1135"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物资编码</w:t>
            </w:r>
          </w:p>
        </w:tc>
        <w:tc>
          <w:tcPr>
            <w:tcW w:w="967"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数量</w:t>
            </w:r>
          </w:p>
        </w:tc>
        <w:tc>
          <w:tcPr>
            <w:tcW w:w="90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单位</w:t>
            </w:r>
          </w:p>
        </w:tc>
        <w:tc>
          <w:tcPr>
            <w:tcW w:w="80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1</w:t>
            </w:r>
          </w:p>
        </w:tc>
        <w:tc>
          <w:tcPr>
            <w:tcW w:w="1034"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过油管水力割刀</w:t>
            </w:r>
          </w:p>
        </w:tc>
        <w:tc>
          <w:tcPr>
            <w:tcW w:w="1841"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过油管水力割刀，外径2-1/8"，最大切割尺寸4-1/2"，连接扣型1.5"AMMT BOX，输送方式：连续油管/钻杆，抗拉强度大于50klbs</w:t>
            </w:r>
          </w:p>
        </w:tc>
        <w:tc>
          <w:tcPr>
            <w:tcW w:w="1056" w:type="dxa"/>
            <w:vAlign w:val="center"/>
          </w:tcPr>
          <w:p>
            <w:pPr>
              <w:keepNext w:val="0"/>
              <w:keepLines w:val="0"/>
              <w:widowControl/>
              <w:suppressLineNumbers w:val="0"/>
              <w:jc w:val="center"/>
              <w:textAlignment w:val="center"/>
              <w:rPr>
                <w:rFonts w:hint="eastAsia" w:ascii="宋体" w:hAnsi="宋体" w:eastAsia="宋体" w:cs="宋体"/>
                <w:spacing w:val="0"/>
                <w:sz w:val="21"/>
                <w:szCs w:val="21"/>
              </w:rPr>
            </w:pPr>
            <w:r>
              <w:rPr>
                <w:rFonts w:hint="eastAsia" w:ascii="宋体" w:hAnsi="宋体" w:eastAsia="宋体" w:cs="宋体"/>
                <w:i w:val="0"/>
                <w:iCs w:val="0"/>
                <w:color w:val="000000"/>
                <w:kern w:val="0"/>
                <w:sz w:val="21"/>
                <w:szCs w:val="21"/>
                <w:u w:val="none"/>
                <w:lang w:val="en-US" w:eastAsia="zh-CN" w:bidi="ar"/>
              </w:rPr>
              <w:t>A410811</w:t>
            </w:r>
          </w:p>
        </w:tc>
        <w:tc>
          <w:tcPr>
            <w:tcW w:w="1135"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99999999</w:t>
            </w:r>
          </w:p>
        </w:tc>
        <w:tc>
          <w:tcPr>
            <w:tcW w:w="967" w:type="dxa"/>
            <w:vAlign w:val="center"/>
          </w:tcPr>
          <w:p>
            <w:pPr>
              <w:pStyle w:val="4"/>
              <w:adjustRightInd w:val="0"/>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0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lang w:val="en-US" w:eastAsia="zh-CN"/>
              </w:rPr>
              <w:t>EA</w:t>
            </w:r>
          </w:p>
        </w:tc>
        <w:tc>
          <w:tcPr>
            <w:tcW w:w="800" w:type="dxa"/>
            <w:vAlign w:val="center"/>
          </w:tcPr>
          <w:p>
            <w:pPr>
              <w:pStyle w:val="4"/>
              <w:adjustRightInd w:val="0"/>
              <w:snapToGrid w:val="0"/>
              <w:spacing w:line="240" w:lineRule="auto"/>
              <w:jc w:val="center"/>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2</w:t>
            </w:r>
          </w:p>
        </w:tc>
        <w:tc>
          <w:tcPr>
            <w:tcW w:w="1034"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过油管水力割刀刀片</w:t>
            </w:r>
          </w:p>
        </w:tc>
        <w:tc>
          <w:tcPr>
            <w:tcW w:w="1841"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2-1/8"×4-1/2"割刀刀片，用于切割4-1/2"油管，刀翼为碳合金材质，1个含3支刀片</w:t>
            </w:r>
          </w:p>
        </w:tc>
        <w:tc>
          <w:tcPr>
            <w:tcW w:w="1056" w:type="dxa"/>
            <w:vAlign w:val="center"/>
          </w:tcPr>
          <w:p>
            <w:pPr>
              <w:keepNext w:val="0"/>
              <w:keepLines w:val="0"/>
              <w:widowControl/>
              <w:suppressLineNumbers w:val="0"/>
              <w:jc w:val="center"/>
              <w:textAlignment w:val="center"/>
              <w:rPr>
                <w:rFonts w:hint="eastAsia" w:ascii="宋体" w:hAnsi="宋体" w:eastAsia="宋体" w:cs="宋体"/>
                <w:spacing w:val="0"/>
                <w:sz w:val="21"/>
                <w:szCs w:val="21"/>
              </w:rPr>
            </w:pPr>
            <w:r>
              <w:rPr>
                <w:rFonts w:hint="eastAsia" w:ascii="宋体" w:hAnsi="宋体" w:eastAsia="宋体" w:cs="宋体"/>
                <w:i w:val="0"/>
                <w:iCs w:val="0"/>
                <w:color w:val="000000"/>
                <w:kern w:val="0"/>
                <w:sz w:val="21"/>
                <w:szCs w:val="21"/>
                <w:u w:val="none"/>
                <w:lang w:val="en-US" w:eastAsia="zh-CN" w:bidi="ar"/>
              </w:rPr>
              <w:t>A410903</w:t>
            </w:r>
          </w:p>
        </w:tc>
        <w:tc>
          <w:tcPr>
            <w:tcW w:w="1135"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99999999</w:t>
            </w:r>
          </w:p>
        </w:tc>
        <w:tc>
          <w:tcPr>
            <w:tcW w:w="967"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900" w:type="dxa"/>
            <w:vAlign w:val="center"/>
          </w:tcPr>
          <w:p>
            <w:pPr>
              <w:pStyle w:val="4"/>
              <w:adjustRightInd w:val="0"/>
              <w:snapToGrid w:val="0"/>
              <w:spacing w:line="240" w:lineRule="auto"/>
              <w:ind w:firstLine="214" w:firstLineChars="100"/>
              <w:jc w:val="center"/>
              <w:rPr>
                <w:rFonts w:hint="eastAsia" w:ascii="宋体" w:hAnsi="宋体" w:eastAsia="宋体" w:cs="宋体"/>
                <w:spacing w:val="0"/>
                <w:sz w:val="21"/>
                <w:szCs w:val="21"/>
              </w:rPr>
            </w:pPr>
            <w:r>
              <w:rPr>
                <w:rFonts w:hint="eastAsia" w:ascii="宋体" w:hAnsi="宋体" w:eastAsia="宋体" w:cs="宋体"/>
                <w:color w:val="000000"/>
                <w:sz w:val="21"/>
                <w:szCs w:val="21"/>
                <w:lang w:val="en-US" w:eastAsia="zh-CN"/>
              </w:rPr>
              <w:t>EA</w:t>
            </w:r>
          </w:p>
        </w:tc>
        <w:tc>
          <w:tcPr>
            <w:tcW w:w="800" w:type="dxa"/>
            <w:vAlign w:val="center"/>
          </w:tcPr>
          <w:p>
            <w:pPr>
              <w:pStyle w:val="4"/>
              <w:adjustRightInd w:val="0"/>
              <w:snapToGrid w:val="0"/>
              <w:spacing w:line="240" w:lineRule="auto"/>
              <w:jc w:val="center"/>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3</w:t>
            </w:r>
          </w:p>
        </w:tc>
        <w:tc>
          <w:tcPr>
            <w:tcW w:w="1034"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过油管水力割刀刀片</w:t>
            </w:r>
          </w:p>
        </w:tc>
        <w:tc>
          <w:tcPr>
            <w:tcW w:w="1841"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2-1/8"×3-1/2"割刀刀片，用于切割3-1/2"油管，刀翼为碳合金材质，1个含3支刀片</w:t>
            </w:r>
          </w:p>
        </w:tc>
        <w:tc>
          <w:tcPr>
            <w:tcW w:w="1056" w:type="dxa"/>
            <w:vAlign w:val="center"/>
          </w:tcPr>
          <w:p>
            <w:pPr>
              <w:keepNext w:val="0"/>
              <w:keepLines w:val="0"/>
              <w:widowControl/>
              <w:suppressLineNumbers w:val="0"/>
              <w:jc w:val="center"/>
              <w:textAlignment w:val="center"/>
              <w:rPr>
                <w:rFonts w:hint="eastAsia" w:ascii="宋体" w:hAnsi="宋体" w:eastAsia="宋体" w:cs="宋体"/>
                <w:spacing w:val="0"/>
                <w:sz w:val="21"/>
                <w:szCs w:val="21"/>
              </w:rPr>
            </w:pPr>
            <w:r>
              <w:rPr>
                <w:rFonts w:hint="eastAsia" w:ascii="宋体" w:hAnsi="宋体" w:eastAsia="宋体" w:cs="宋体"/>
                <w:i w:val="0"/>
                <w:iCs w:val="0"/>
                <w:color w:val="000000"/>
                <w:kern w:val="0"/>
                <w:sz w:val="21"/>
                <w:szCs w:val="21"/>
                <w:u w:val="none"/>
                <w:lang w:val="en-US" w:eastAsia="zh-CN" w:bidi="ar"/>
              </w:rPr>
              <w:t>A410903</w:t>
            </w:r>
          </w:p>
        </w:tc>
        <w:tc>
          <w:tcPr>
            <w:tcW w:w="1135"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99999999</w:t>
            </w:r>
          </w:p>
        </w:tc>
        <w:tc>
          <w:tcPr>
            <w:tcW w:w="967"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90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lang w:val="en-US" w:eastAsia="zh-CN"/>
              </w:rPr>
              <w:t>EA</w:t>
            </w:r>
          </w:p>
        </w:tc>
        <w:tc>
          <w:tcPr>
            <w:tcW w:w="800" w:type="dxa"/>
            <w:vAlign w:val="center"/>
          </w:tcPr>
          <w:p>
            <w:pPr>
              <w:pStyle w:val="4"/>
              <w:adjustRightInd w:val="0"/>
              <w:snapToGrid w:val="0"/>
              <w:spacing w:line="240" w:lineRule="auto"/>
              <w:jc w:val="center"/>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4</w:t>
            </w:r>
          </w:p>
        </w:tc>
        <w:tc>
          <w:tcPr>
            <w:tcW w:w="1034"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过油管水力割刀刀片</w:t>
            </w:r>
          </w:p>
        </w:tc>
        <w:tc>
          <w:tcPr>
            <w:tcW w:w="1841"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2-1/8"×2-7/8"割刀刀片，用于切割2-7/8"油管，刀翼为碳合金材质，1个含3支刀片</w:t>
            </w:r>
          </w:p>
        </w:tc>
        <w:tc>
          <w:tcPr>
            <w:tcW w:w="1056" w:type="dxa"/>
            <w:vAlign w:val="center"/>
          </w:tcPr>
          <w:p>
            <w:pPr>
              <w:keepNext w:val="0"/>
              <w:keepLines w:val="0"/>
              <w:widowControl/>
              <w:suppressLineNumbers w:val="0"/>
              <w:jc w:val="center"/>
              <w:textAlignment w:val="center"/>
              <w:rPr>
                <w:rFonts w:hint="eastAsia" w:ascii="宋体" w:hAnsi="宋体" w:eastAsia="宋体" w:cs="宋体"/>
                <w:spacing w:val="0"/>
                <w:sz w:val="21"/>
                <w:szCs w:val="21"/>
              </w:rPr>
            </w:pPr>
            <w:r>
              <w:rPr>
                <w:rFonts w:hint="eastAsia" w:ascii="宋体" w:hAnsi="宋体" w:eastAsia="宋体" w:cs="宋体"/>
                <w:i w:val="0"/>
                <w:iCs w:val="0"/>
                <w:color w:val="000000"/>
                <w:kern w:val="0"/>
                <w:sz w:val="21"/>
                <w:szCs w:val="21"/>
                <w:u w:val="none"/>
                <w:lang w:val="en-US" w:eastAsia="zh-CN" w:bidi="ar"/>
              </w:rPr>
              <w:t>A410903</w:t>
            </w:r>
          </w:p>
        </w:tc>
        <w:tc>
          <w:tcPr>
            <w:tcW w:w="1135"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99999999</w:t>
            </w:r>
          </w:p>
        </w:tc>
        <w:tc>
          <w:tcPr>
            <w:tcW w:w="967"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00"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lang w:val="en-US" w:eastAsia="zh-CN"/>
              </w:rPr>
              <w:t>EA</w:t>
            </w:r>
          </w:p>
        </w:tc>
        <w:tc>
          <w:tcPr>
            <w:tcW w:w="800" w:type="dxa"/>
            <w:vAlign w:val="center"/>
          </w:tcPr>
          <w:p>
            <w:pPr>
              <w:pStyle w:val="4"/>
              <w:adjustRightInd w:val="0"/>
              <w:snapToGrid w:val="0"/>
              <w:spacing w:line="240" w:lineRule="auto"/>
              <w:jc w:val="center"/>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34"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过油管水力割刀易损维修包</w:t>
            </w:r>
          </w:p>
        </w:tc>
        <w:tc>
          <w:tcPr>
            <w:tcW w:w="1841" w:type="dxa"/>
            <w:vAlign w:val="center"/>
          </w:tcPr>
          <w:p>
            <w:pPr>
              <w:pStyle w:val="4"/>
              <w:adjustRightInd w:val="0"/>
              <w:snapToGrid w:val="0"/>
              <w:spacing w:line="240" w:lineRule="auto"/>
              <w:jc w:val="center"/>
              <w:rPr>
                <w:rFonts w:hint="eastAsia" w:ascii="宋体" w:hAnsi="宋体" w:eastAsia="宋体" w:cs="宋体"/>
                <w:spacing w:val="0"/>
                <w:sz w:val="21"/>
                <w:szCs w:val="21"/>
              </w:rPr>
            </w:pPr>
            <w:r>
              <w:rPr>
                <w:rFonts w:hint="eastAsia" w:ascii="宋体" w:hAnsi="宋体" w:eastAsia="宋体" w:cs="宋体"/>
                <w:color w:val="000000"/>
                <w:sz w:val="21"/>
                <w:szCs w:val="21"/>
              </w:rPr>
              <w:t>2-1/8"×4-1/2"割刀易损维修包，含固定螺钉、O圈、水力分向盘总成、动力活塞总成</w:t>
            </w:r>
          </w:p>
        </w:tc>
        <w:tc>
          <w:tcPr>
            <w:tcW w:w="1056" w:type="dxa"/>
            <w:vAlign w:val="center"/>
          </w:tcPr>
          <w:p>
            <w:pPr>
              <w:keepNext w:val="0"/>
              <w:keepLines w:val="0"/>
              <w:widowControl/>
              <w:suppressLineNumbers w:val="0"/>
              <w:jc w:val="center"/>
              <w:textAlignment w:val="center"/>
              <w:rPr>
                <w:rFonts w:hint="eastAsia" w:ascii="宋体" w:hAnsi="宋体" w:eastAsia="宋体" w:cs="宋体"/>
                <w:spacing w:val="0"/>
                <w:sz w:val="21"/>
                <w:szCs w:val="21"/>
              </w:rPr>
            </w:pPr>
            <w:r>
              <w:rPr>
                <w:rFonts w:hint="eastAsia" w:ascii="宋体" w:hAnsi="宋体" w:eastAsia="宋体" w:cs="宋体"/>
                <w:i w:val="0"/>
                <w:iCs w:val="0"/>
                <w:color w:val="000000"/>
                <w:kern w:val="0"/>
                <w:sz w:val="21"/>
                <w:szCs w:val="21"/>
                <w:u w:val="none"/>
                <w:lang w:val="en-US" w:eastAsia="zh-CN" w:bidi="ar"/>
              </w:rPr>
              <w:t>A410903</w:t>
            </w:r>
          </w:p>
        </w:tc>
        <w:tc>
          <w:tcPr>
            <w:tcW w:w="1135" w:type="dxa"/>
            <w:vAlign w:val="center"/>
          </w:tcPr>
          <w:p>
            <w:pPr>
              <w:pStyle w:val="4"/>
              <w:adjustRightInd w:val="0"/>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99999999</w:t>
            </w:r>
          </w:p>
        </w:tc>
        <w:tc>
          <w:tcPr>
            <w:tcW w:w="967" w:type="dxa"/>
            <w:vAlign w:val="center"/>
          </w:tcPr>
          <w:p>
            <w:pPr>
              <w:pStyle w:val="4"/>
              <w:adjustRightInd w:val="0"/>
              <w:snapToGrid w:val="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00" w:type="dxa"/>
            <w:vAlign w:val="center"/>
          </w:tcPr>
          <w:p>
            <w:pPr>
              <w:pStyle w:val="4"/>
              <w:adjustRightInd w:val="0"/>
              <w:snapToGrid w:val="0"/>
              <w:spacing w:line="240" w:lineRule="auto"/>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EA</w:t>
            </w:r>
          </w:p>
        </w:tc>
        <w:tc>
          <w:tcPr>
            <w:tcW w:w="800" w:type="dxa"/>
            <w:vAlign w:val="center"/>
          </w:tcPr>
          <w:p>
            <w:pPr>
              <w:pStyle w:val="4"/>
              <w:adjustRightInd w:val="0"/>
              <w:snapToGrid w:val="0"/>
              <w:spacing w:line="240" w:lineRule="auto"/>
              <w:jc w:val="center"/>
              <w:rPr>
                <w:rFonts w:hint="eastAsia" w:ascii="宋体" w:hAnsi="宋体" w:eastAsia="宋体" w:cs="宋体"/>
                <w:spacing w:val="0"/>
                <w:sz w:val="21"/>
                <w:szCs w:val="21"/>
              </w:rPr>
            </w:pPr>
          </w:p>
        </w:tc>
      </w:tr>
    </w:tbl>
    <w:p>
      <w:pPr>
        <w:pStyle w:val="6"/>
        <w:spacing w:line="257" w:lineRule="auto"/>
        <w:ind w:left="220" w:right="122" w:firstLine="420"/>
        <w:rPr>
          <w:rFonts w:hint="eastAsia" w:ascii="微软雅黑" w:hAnsi="微软雅黑" w:eastAsia="微软雅黑"/>
          <w:lang w:eastAsia="zh-CN"/>
        </w:rPr>
      </w:pPr>
      <w:r>
        <w:rPr>
          <w:rFonts w:ascii="微软雅黑" w:hAnsi="微软雅黑" w:eastAsia="微软雅黑"/>
          <w:lang w:eastAsia="zh-CN"/>
        </w:rPr>
        <w:t>备注</w:t>
      </w:r>
      <w:r>
        <w:rPr>
          <w:rFonts w:hint="eastAsia" w:ascii="微软雅黑" w:hAnsi="微软雅黑" w:eastAsia="微软雅黑"/>
          <w:lang w:eastAsia="zh-CN"/>
        </w:rPr>
        <w:t>：</w:t>
      </w:r>
      <w:r>
        <w:rPr>
          <w:rFonts w:ascii="微软雅黑" w:hAnsi="微软雅黑" w:eastAsia="微软雅黑"/>
          <w:lang w:eastAsia="zh-CN"/>
        </w:rPr>
        <w:t>可视采购产品特性补充采购明细项</w:t>
      </w:r>
      <w:r>
        <w:rPr>
          <w:rFonts w:hint="eastAsia" w:ascii="微软雅黑" w:hAnsi="微软雅黑" w:eastAsia="微软雅黑"/>
          <w:lang w:eastAsia="zh-CN"/>
        </w:rPr>
        <w:t>，</w:t>
      </w:r>
      <w:r>
        <w:rPr>
          <w:rFonts w:ascii="微软雅黑" w:hAnsi="微软雅黑" w:eastAsia="微软雅黑"/>
          <w:lang w:eastAsia="zh-CN"/>
        </w:rPr>
        <w:t>如最小送货量等</w:t>
      </w:r>
      <w:r>
        <w:rPr>
          <w:rFonts w:hint="eastAsia" w:ascii="微软雅黑" w:hAnsi="微软雅黑" w:eastAsia="微软雅黑"/>
          <w:lang w:eastAsia="zh-CN"/>
        </w:rPr>
        <w:t>。</w:t>
      </w:r>
    </w:p>
    <w:p>
      <w:pPr>
        <w:pStyle w:val="21"/>
        <w:spacing w:before="120" w:after="120"/>
        <w:outlineLvl w:val="0"/>
        <w:rPr>
          <w:rFonts w:hint="eastAsia" w:ascii="微软雅黑" w:hAnsi="微软雅黑" w:eastAsia="微软雅黑" w:cs="Times New Roman"/>
          <w:bCs/>
          <w:color w:val="auto"/>
          <w:sz w:val="32"/>
          <w:szCs w:val="32"/>
        </w:rPr>
      </w:pPr>
      <w:bookmarkStart w:id="4" w:name="_Toc13248929"/>
      <w:bookmarkStart w:id="5" w:name="_Toc13249326"/>
      <w:r>
        <w:rPr>
          <w:rFonts w:hint="eastAsia" w:ascii="微软雅黑" w:hAnsi="微软雅黑" w:eastAsia="微软雅黑" w:cs="Times New Roman"/>
          <w:bCs/>
          <w:color w:val="auto"/>
          <w:sz w:val="32"/>
          <w:szCs w:val="32"/>
        </w:rPr>
        <w:t>三、执行标准/规范</w:t>
      </w:r>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石油天然气行业标准</w:t>
      </w:r>
      <w:r>
        <w:rPr>
          <w:rFonts w:ascii="微软雅黑" w:hAnsi="微软雅黑" w:eastAsia="微软雅黑"/>
          <w:lang w:eastAsia="zh-CN"/>
        </w:rPr>
        <w:t>SY/T 5070-2012</w:t>
      </w:r>
      <w:r>
        <w:rPr>
          <w:rFonts w:hint="eastAsia" w:ascii="微软雅黑" w:hAnsi="微软雅黑" w:eastAsia="微软雅黑"/>
          <w:lang w:eastAsia="zh-CN"/>
        </w:rPr>
        <w:t>钻井、修井用割刀</w:t>
      </w:r>
    </w:p>
    <w:p>
      <w:pPr>
        <w:pStyle w:val="21"/>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四、设计/使用条件</w:t>
      </w:r>
    </w:p>
    <w:p>
      <w:pPr>
        <w:pStyle w:val="6"/>
        <w:spacing w:line="257" w:lineRule="auto"/>
        <w:ind w:right="122" w:firstLine="199" w:firstLineChars="95"/>
        <w:rPr>
          <w:rFonts w:hint="eastAsia" w:ascii="微软雅黑" w:hAnsi="微软雅黑" w:eastAsia="微软雅黑"/>
          <w:lang w:eastAsia="zh-CN"/>
        </w:rPr>
      </w:pPr>
      <w:r>
        <w:rPr>
          <w:rFonts w:hint="eastAsia" w:ascii="微软雅黑" w:hAnsi="微软雅黑" w:eastAsia="微软雅黑"/>
          <w:lang w:eastAsia="zh-CN"/>
        </w:rPr>
        <w:t>适用于穿过上部2.313"滑套，切割下方2-7/8"~4-1/2"套管；</w:t>
      </w:r>
    </w:p>
    <w:p>
      <w:pPr>
        <w:pStyle w:val="6"/>
        <w:spacing w:line="257" w:lineRule="auto"/>
        <w:ind w:right="122" w:firstLine="199" w:firstLineChars="95"/>
        <w:rPr>
          <w:rFonts w:hint="eastAsia" w:ascii="微软雅黑" w:hAnsi="微软雅黑" w:eastAsia="微软雅黑"/>
          <w:lang w:eastAsia="zh-CN"/>
        </w:rPr>
      </w:pPr>
      <w:r>
        <w:rPr>
          <w:rFonts w:hint="eastAsia" w:ascii="微软雅黑" w:hAnsi="微软雅黑" w:eastAsia="微软雅黑"/>
          <w:lang w:eastAsia="zh-CN"/>
        </w:rPr>
        <w:t>最大外径：</w:t>
      </w:r>
      <w:r>
        <w:rPr>
          <w:rFonts w:hint="eastAsia" w:ascii="微软雅黑" w:hAnsi="微软雅黑" w:eastAsia="微软雅黑"/>
          <w:lang w:eastAsia="zh-CN"/>
        </w:rPr>
        <w:tab/>
      </w:r>
      <w:r>
        <w:rPr>
          <w:rFonts w:hint="eastAsia" w:ascii="微软雅黑" w:hAnsi="微软雅黑" w:eastAsia="微软雅黑"/>
          <w:lang w:eastAsia="zh-CN"/>
        </w:rPr>
        <w:t>2-1/8"</w:t>
      </w:r>
    </w:p>
    <w:p>
      <w:pPr>
        <w:pStyle w:val="6"/>
        <w:spacing w:line="257" w:lineRule="auto"/>
        <w:ind w:right="122" w:firstLine="199" w:firstLineChars="95"/>
        <w:rPr>
          <w:rFonts w:hint="eastAsia" w:ascii="微软雅黑" w:hAnsi="微软雅黑" w:eastAsia="微软雅黑"/>
          <w:lang w:eastAsia="zh-CN"/>
        </w:rPr>
      </w:pPr>
      <w:r>
        <w:rPr>
          <w:rFonts w:hint="eastAsia" w:ascii="微软雅黑" w:hAnsi="微软雅黑" w:eastAsia="微软雅黑"/>
          <w:lang w:eastAsia="zh-CN"/>
        </w:rPr>
        <w:t>切割尺寸：</w:t>
      </w:r>
      <w:r>
        <w:rPr>
          <w:rFonts w:hint="eastAsia" w:ascii="微软雅黑" w:hAnsi="微软雅黑" w:eastAsia="微软雅黑"/>
          <w:lang w:eastAsia="zh-CN"/>
        </w:rPr>
        <w:tab/>
      </w:r>
      <w:r>
        <w:rPr>
          <w:rFonts w:hint="eastAsia" w:ascii="微软雅黑" w:hAnsi="微软雅黑" w:eastAsia="微软雅黑"/>
          <w:lang w:eastAsia="zh-CN"/>
        </w:rPr>
        <w:t>2-7/8"–4-1/2"</w:t>
      </w:r>
    </w:p>
    <w:p>
      <w:pPr>
        <w:pStyle w:val="6"/>
        <w:spacing w:line="257" w:lineRule="auto"/>
        <w:ind w:right="122" w:firstLine="199" w:firstLineChars="95"/>
        <w:rPr>
          <w:rFonts w:hint="eastAsia" w:ascii="微软雅黑" w:hAnsi="微软雅黑" w:eastAsia="微软雅黑"/>
          <w:lang w:eastAsia="zh-CN"/>
        </w:rPr>
      </w:pPr>
      <w:r>
        <w:rPr>
          <w:rFonts w:hint="eastAsia" w:ascii="微软雅黑" w:hAnsi="微软雅黑" w:eastAsia="微软雅黑"/>
          <w:lang w:eastAsia="zh-CN"/>
        </w:rPr>
        <w:t>抗拉强度：</w:t>
      </w:r>
      <w:r>
        <w:rPr>
          <w:rFonts w:hint="eastAsia" w:ascii="微软雅黑" w:hAnsi="微软雅黑" w:eastAsia="微软雅黑"/>
          <w:lang w:eastAsia="zh-CN"/>
        </w:rPr>
        <w:tab/>
      </w:r>
      <w:r>
        <w:rPr>
          <w:rFonts w:hint="eastAsia" w:ascii="微软雅黑" w:hAnsi="微软雅黑" w:eastAsia="微软雅黑"/>
          <w:lang w:eastAsia="zh-CN"/>
        </w:rPr>
        <w:t>&gt;50klbs</w:t>
      </w:r>
    </w:p>
    <w:p>
      <w:pPr>
        <w:pStyle w:val="6"/>
        <w:spacing w:line="257" w:lineRule="auto"/>
        <w:ind w:right="122" w:firstLine="199" w:firstLineChars="95"/>
        <w:rPr>
          <w:rFonts w:hint="eastAsia" w:ascii="微软雅黑" w:hAnsi="微软雅黑" w:eastAsia="微软雅黑"/>
          <w:lang w:eastAsia="zh-CN"/>
        </w:rPr>
      </w:pPr>
      <w:r>
        <w:rPr>
          <w:rFonts w:hint="eastAsia" w:ascii="微软雅黑" w:hAnsi="微软雅黑" w:eastAsia="微软雅黑"/>
          <w:lang w:eastAsia="zh-CN"/>
        </w:rPr>
        <w:t>传输方式：</w:t>
      </w:r>
      <w:r>
        <w:rPr>
          <w:rFonts w:hint="eastAsia" w:ascii="微软雅黑" w:hAnsi="微软雅黑" w:eastAsia="微软雅黑"/>
          <w:lang w:eastAsia="zh-CN"/>
        </w:rPr>
        <w:tab/>
      </w:r>
      <w:r>
        <w:rPr>
          <w:rFonts w:hint="eastAsia" w:ascii="微软雅黑" w:hAnsi="微软雅黑" w:eastAsia="微软雅黑"/>
          <w:lang w:eastAsia="zh-CN"/>
        </w:rPr>
        <w:t>连续油管、钻杆</w:t>
      </w:r>
    </w:p>
    <w:p>
      <w:pPr>
        <w:pStyle w:val="6"/>
        <w:spacing w:line="257" w:lineRule="auto"/>
        <w:ind w:right="122" w:firstLine="199" w:firstLineChars="95"/>
        <w:rPr>
          <w:rFonts w:hint="eastAsia" w:ascii="微软雅黑" w:hAnsi="微软雅黑" w:eastAsia="微软雅黑"/>
          <w:lang w:eastAsia="zh-CN"/>
        </w:rPr>
      </w:pPr>
      <w:r>
        <w:rPr>
          <w:rFonts w:hint="eastAsia" w:ascii="微软雅黑" w:hAnsi="微软雅黑" w:eastAsia="微软雅黑"/>
          <w:lang w:eastAsia="zh-CN"/>
        </w:rPr>
        <w:t>触发方式：</w:t>
      </w:r>
      <w:r>
        <w:rPr>
          <w:rFonts w:hint="eastAsia" w:ascii="微软雅黑" w:hAnsi="微软雅黑" w:eastAsia="微软雅黑"/>
          <w:lang w:eastAsia="zh-CN"/>
        </w:rPr>
        <w:tab/>
      </w:r>
      <w:r>
        <w:rPr>
          <w:rFonts w:hint="eastAsia" w:ascii="微软雅黑" w:hAnsi="微软雅黑" w:eastAsia="微软雅黑"/>
          <w:lang w:eastAsia="zh-CN"/>
        </w:rPr>
        <w:t>液压</w:t>
      </w:r>
    </w:p>
    <w:p>
      <w:pPr>
        <w:pStyle w:val="6"/>
        <w:spacing w:line="257" w:lineRule="auto"/>
        <w:ind w:right="122" w:firstLine="199" w:firstLineChars="95"/>
        <w:rPr>
          <w:rFonts w:hint="eastAsia" w:ascii="微软雅黑" w:hAnsi="微软雅黑" w:eastAsia="微软雅黑"/>
          <w:lang w:eastAsia="zh-CN"/>
        </w:rPr>
      </w:pPr>
      <w:r>
        <w:rPr>
          <w:rFonts w:hint="eastAsia" w:ascii="微软雅黑" w:hAnsi="微软雅黑" w:eastAsia="微软雅黑"/>
          <w:lang w:eastAsia="zh-CN"/>
        </w:rPr>
        <w:t>工作温度：</w:t>
      </w:r>
      <w:r>
        <w:rPr>
          <w:rFonts w:hint="eastAsia" w:ascii="微软雅黑" w:hAnsi="微软雅黑" w:eastAsia="微软雅黑"/>
          <w:lang w:eastAsia="zh-CN"/>
        </w:rPr>
        <w:tab/>
      </w:r>
      <w:r>
        <w:rPr>
          <w:rFonts w:hint="eastAsia" w:ascii="微软雅黑" w:hAnsi="微软雅黑" w:eastAsia="微软雅黑"/>
          <w:lang w:eastAsia="zh-CN"/>
        </w:rPr>
        <w:t>150℃</w:t>
      </w:r>
    </w:p>
    <w:p>
      <w:pPr>
        <w:pStyle w:val="21"/>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五</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技术要求</w:t>
      </w:r>
    </w:p>
    <w:p>
      <w:pPr>
        <w:pStyle w:val="6"/>
        <w:snapToGrid w:val="0"/>
        <w:spacing w:line="360" w:lineRule="auto"/>
        <w:ind w:right="119" w:firstLine="199" w:firstLineChars="95"/>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1.</w:t>
      </w:r>
      <w:r>
        <w:rPr>
          <w:rFonts w:hint="eastAsia"/>
          <w:lang w:eastAsia="zh-CN"/>
        </w:rPr>
        <w:t xml:space="preserve"> </w:t>
      </w:r>
      <w:r>
        <w:rPr>
          <w:rFonts w:hint="eastAsia" w:ascii="微软雅黑" w:hAnsi="微软雅黑" w:eastAsia="微软雅黑" w:cs="Times New Roman"/>
          <w:lang w:eastAsia="zh-CN"/>
        </w:rPr>
        <w:t>过油管水力割刀</w:t>
      </w:r>
    </w:p>
    <w:p>
      <w:pPr>
        <w:pStyle w:val="6"/>
        <w:numPr>
          <w:ilvl w:val="0"/>
          <w:numId w:val="1"/>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1套过油管水力割刀应包括割刀刀体、水力分向盘总成、动力活塞总成，及配套的固定螺钉、O圈，在安装刀片后即能实现切割作业。</w:t>
      </w:r>
    </w:p>
    <w:p>
      <w:pPr>
        <w:pStyle w:val="6"/>
        <w:numPr>
          <w:ilvl w:val="0"/>
          <w:numId w:val="1"/>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过油管水力割刀刀体部分引用</w:t>
      </w:r>
      <w:r>
        <w:rPr>
          <w:rFonts w:hint="eastAsia" w:ascii="微软雅黑" w:hAnsi="微软雅黑" w:eastAsia="微软雅黑"/>
          <w:lang w:eastAsia="zh-CN"/>
        </w:rPr>
        <w:t>石油天然气行业标准《</w:t>
      </w:r>
      <w:r>
        <w:rPr>
          <w:rFonts w:ascii="微软雅黑" w:hAnsi="微软雅黑" w:eastAsia="微软雅黑"/>
          <w:lang w:eastAsia="zh-CN"/>
        </w:rPr>
        <w:t>SY/T 5070-2012</w:t>
      </w:r>
      <w:r>
        <w:rPr>
          <w:rFonts w:hint="eastAsia" w:ascii="微软雅黑" w:hAnsi="微软雅黑" w:eastAsia="微软雅黑"/>
          <w:lang w:eastAsia="zh-CN"/>
        </w:rPr>
        <w:t>钻井、修井用割刀》文件中第3页5.1内割刀的心轴和外割刀的上接头、外筒等主要零件热处理后材料的力学性能应符合表3的规定。</w:t>
      </w:r>
    </w:p>
    <w:p>
      <w:pPr>
        <w:pStyle w:val="6"/>
        <w:snapToGrid w:val="0"/>
        <w:spacing w:line="360" w:lineRule="auto"/>
        <w:ind w:left="640" w:right="119" w:firstLine="0" w:firstLineChars="0"/>
        <w:jc w:val="left"/>
        <w:rPr>
          <w:rFonts w:hint="eastAsia" w:ascii="微软雅黑" w:hAnsi="微软雅黑" w:eastAsia="微软雅黑" w:cs="Times New Roman"/>
          <w:lang w:eastAsia="zh-CN"/>
        </w:rPr>
      </w:pPr>
      <w:r>
        <w:drawing>
          <wp:inline distT="0" distB="0" distL="0" distR="0">
            <wp:extent cx="5274310" cy="1096645"/>
            <wp:effectExtent l="0" t="0" r="2540" b="8255"/>
            <wp:docPr id="2059470618" name="图片 1" descr="一些文字和图片的手机截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70618" name="图片 1" descr="一些文字和图片的手机截图&#10;&#10;AI 生成的内容可能不正确。"/>
                    <pic:cNvPicPr>
                      <a:picLocks noChangeAspect="1"/>
                    </pic:cNvPicPr>
                  </pic:nvPicPr>
                  <pic:blipFill>
                    <a:blip r:embed="rId4"/>
                    <a:stretch>
                      <a:fillRect/>
                    </a:stretch>
                  </pic:blipFill>
                  <pic:spPr>
                    <a:xfrm>
                      <a:off x="0" y="0"/>
                      <a:ext cx="5274310" cy="1096645"/>
                    </a:xfrm>
                    <a:prstGeom prst="rect">
                      <a:avLst/>
                    </a:prstGeom>
                  </pic:spPr>
                </pic:pic>
              </a:graphicData>
            </a:graphic>
          </wp:inline>
        </w:drawing>
      </w:r>
    </w:p>
    <w:p>
      <w:pPr>
        <w:pStyle w:val="6"/>
        <w:numPr>
          <w:ilvl w:val="0"/>
          <w:numId w:val="1"/>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尺寸要求：割刀本体最大外径2-1/8"。</w:t>
      </w:r>
    </w:p>
    <w:p>
      <w:pPr>
        <w:pStyle w:val="6"/>
        <w:numPr>
          <w:ilvl w:val="0"/>
          <w:numId w:val="1"/>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切割尺寸要求：安装配套刀片后，能满足最大切割尺寸4-1/2"。</w:t>
      </w:r>
    </w:p>
    <w:p>
      <w:pPr>
        <w:pStyle w:val="6"/>
        <w:numPr>
          <w:ilvl w:val="0"/>
          <w:numId w:val="1"/>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连接扣型：1.5"AMMT BOX。</w:t>
      </w:r>
    </w:p>
    <w:p>
      <w:pPr>
        <w:pStyle w:val="6"/>
        <w:numPr>
          <w:ilvl w:val="0"/>
          <w:numId w:val="1"/>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输送方式：连续油管/钻杆。</w:t>
      </w:r>
    </w:p>
    <w:p>
      <w:pPr>
        <w:pStyle w:val="6"/>
        <w:numPr>
          <w:ilvl w:val="0"/>
          <w:numId w:val="1"/>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割刀本体抗拉强度：大于50klbs。</w:t>
      </w:r>
    </w:p>
    <w:p>
      <w:pPr>
        <w:pStyle w:val="6"/>
        <w:snapToGrid w:val="0"/>
        <w:spacing w:line="360" w:lineRule="auto"/>
        <w:ind w:right="119" w:firstLine="199" w:firstLineChars="95"/>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2.</w:t>
      </w:r>
      <w:r>
        <w:rPr>
          <w:rFonts w:hint="eastAsia"/>
          <w:lang w:eastAsia="zh-CN"/>
        </w:rPr>
        <w:t xml:space="preserve"> </w:t>
      </w:r>
      <w:r>
        <w:rPr>
          <w:rFonts w:hint="eastAsia" w:ascii="微软雅黑" w:hAnsi="微软雅黑" w:eastAsia="微软雅黑" w:cs="Times New Roman"/>
          <w:lang w:eastAsia="zh-CN"/>
        </w:rPr>
        <w:t>2-1/8"×4-1/2"割刀刀片</w:t>
      </w:r>
    </w:p>
    <w:p>
      <w:pPr>
        <w:pStyle w:val="6"/>
        <w:numPr>
          <w:ilvl w:val="0"/>
          <w:numId w:val="2"/>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过油管水力割刀刀体部分引用</w:t>
      </w:r>
      <w:r>
        <w:rPr>
          <w:rFonts w:hint="eastAsia" w:ascii="微软雅黑" w:hAnsi="微软雅黑" w:eastAsia="微软雅黑"/>
          <w:lang w:eastAsia="zh-CN"/>
        </w:rPr>
        <w:t>石油天然气行业标准《</w:t>
      </w:r>
      <w:r>
        <w:rPr>
          <w:rFonts w:ascii="微软雅黑" w:hAnsi="微软雅黑" w:eastAsia="微软雅黑"/>
          <w:lang w:eastAsia="zh-CN"/>
        </w:rPr>
        <w:t>SY/T 5070-2012</w:t>
      </w:r>
      <w:r>
        <w:rPr>
          <w:rFonts w:hint="eastAsia" w:ascii="微软雅黑" w:hAnsi="微软雅黑" w:eastAsia="微软雅黑"/>
          <w:lang w:eastAsia="zh-CN"/>
        </w:rPr>
        <w:t>钻井、修井用割刀》文件中第3页5.3</w:t>
      </w:r>
      <w:r>
        <w:rPr>
          <w:rFonts w:hint="eastAsia" w:ascii="微软雅黑" w:hAnsi="微软雅黑" w:eastAsia="微软雅黑" w:cs="Times New Roman"/>
          <w:lang w:eastAsia="zh-CN"/>
        </w:rPr>
        <w:t>刀头采用高速工具钢及以上材质制作，刀头热处理后的刃部硬度应为55HRC~65HRC。刀头采用碳化钨硬质合金焊条堆敷焊的，堆焊层不得有未熔透、裂纹等曲线，焊料与硬质合金、刀体结合需良好。</w:t>
      </w:r>
    </w:p>
    <w:p>
      <w:pPr>
        <w:pStyle w:val="6"/>
        <w:numPr>
          <w:ilvl w:val="0"/>
          <w:numId w:val="2"/>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切割尺寸：切割尺寸4-1/2"。</w:t>
      </w:r>
    </w:p>
    <w:p>
      <w:pPr>
        <w:pStyle w:val="6"/>
        <w:numPr>
          <w:ilvl w:val="0"/>
          <w:numId w:val="2"/>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材质要求：刀翼为碳合金材质。</w:t>
      </w:r>
    </w:p>
    <w:p>
      <w:pPr>
        <w:pStyle w:val="6"/>
        <w:numPr>
          <w:ilvl w:val="0"/>
          <w:numId w:val="2"/>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组成形式：1套刀片含3支刀片，满足一次切割作业需求。</w:t>
      </w:r>
    </w:p>
    <w:p>
      <w:pPr>
        <w:pStyle w:val="6"/>
        <w:snapToGrid w:val="0"/>
        <w:spacing w:line="360" w:lineRule="auto"/>
        <w:ind w:right="119" w:firstLine="199" w:firstLineChars="95"/>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3</w:t>
      </w:r>
      <w:r>
        <w:rPr>
          <w:rFonts w:hint="eastAsia"/>
          <w:lang w:eastAsia="zh-CN"/>
        </w:rPr>
        <w:t xml:space="preserve"> </w:t>
      </w:r>
      <w:r>
        <w:rPr>
          <w:rFonts w:hint="eastAsia" w:ascii="微软雅黑" w:hAnsi="微软雅黑" w:eastAsia="微软雅黑" w:cs="Times New Roman"/>
          <w:lang w:eastAsia="zh-CN"/>
        </w:rPr>
        <w:t>2-1/8"×3-1/2"割刀刀片</w:t>
      </w:r>
    </w:p>
    <w:p>
      <w:pPr>
        <w:pStyle w:val="6"/>
        <w:numPr>
          <w:ilvl w:val="0"/>
          <w:numId w:val="3"/>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过油管水力割刀刀体部分引用</w:t>
      </w:r>
      <w:r>
        <w:rPr>
          <w:rFonts w:hint="eastAsia" w:ascii="微软雅黑" w:hAnsi="微软雅黑" w:eastAsia="微软雅黑"/>
          <w:lang w:eastAsia="zh-CN"/>
        </w:rPr>
        <w:t>石油天然气行业标准《</w:t>
      </w:r>
      <w:r>
        <w:rPr>
          <w:rFonts w:ascii="微软雅黑" w:hAnsi="微软雅黑" w:eastAsia="微软雅黑"/>
          <w:lang w:eastAsia="zh-CN"/>
        </w:rPr>
        <w:t>SY/T 5070-2012</w:t>
      </w:r>
      <w:r>
        <w:rPr>
          <w:rFonts w:hint="eastAsia" w:ascii="微软雅黑" w:hAnsi="微软雅黑" w:eastAsia="微软雅黑"/>
          <w:lang w:eastAsia="zh-CN"/>
        </w:rPr>
        <w:t>钻井、修井用割刀》文件中第3页5.3</w:t>
      </w:r>
      <w:r>
        <w:rPr>
          <w:rFonts w:hint="eastAsia" w:ascii="微软雅黑" w:hAnsi="微软雅黑" w:eastAsia="微软雅黑" w:cs="Times New Roman"/>
          <w:lang w:eastAsia="zh-CN"/>
        </w:rPr>
        <w:t>刀头采用高速工具钢及以上材质制作，刀头热处理后的刃部硬度应为55HRC~65HRC。刀头采用碳化钨硬质合金焊条堆敷焊的，堆焊层不得有未熔透、裂纹等曲线，焊料与硬质合金、刀体结合需良好。</w:t>
      </w:r>
    </w:p>
    <w:p>
      <w:pPr>
        <w:pStyle w:val="6"/>
        <w:numPr>
          <w:ilvl w:val="0"/>
          <w:numId w:val="3"/>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切割尺寸：切割尺寸3-1/2"</w:t>
      </w:r>
    </w:p>
    <w:p>
      <w:pPr>
        <w:pStyle w:val="6"/>
        <w:numPr>
          <w:ilvl w:val="0"/>
          <w:numId w:val="3"/>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材质要求：刀翼为碳合金材质，。</w:t>
      </w:r>
    </w:p>
    <w:p>
      <w:pPr>
        <w:pStyle w:val="6"/>
        <w:numPr>
          <w:ilvl w:val="0"/>
          <w:numId w:val="3"/>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组成形式：1套刀片含3支刀片，满足一次切割作业需求。</w:t>
      </w:r>
    </w:p>
    <w:p>
      <w:pPr>
        <w:pStyle w:val="6"/>
        <w:snapToGrid w:val="0"/>
        <w:spacing w:line="360" w:lineRule="auto"/>
        <w:ind w:right="119" w:firstLine="199" w:firstLineChars="95"/>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4.</w:t>
      </w:r>
      <w:r>
        <w:rPr>
          <w:rFonts w:hint="eastAsia"/>
          <w:lang w:eastAsia="zh-CN"/>
        </w:rPr>
        <w:t xml:space="preserve"> </w:t>
      </w:r>
      <w:r>
        <w:rPr>
          <w:rFonts w:hint="eastAsia" w:ascii="微软雅黑" w:hAnsi="微软雅黑" w:eastAsia="微软雅黑" w:cs="Times New Roman"/>
          <w:lang w:eastAsia="zh-CN"/>
        </w:rPr>
        <w:t>2-1/8"×2-7/8"割刀刀片</w:t>
      </w:r>
    </w:p>
    <w:p>
      <w:pPr>
        <w:pStyle w:val="6"/>
        <w:numPr>
          <w:ilvl w:val="0"/>
          <w:numId w:val="4"/>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过油管水力割刀刀体部分引用</w:t>
      </w:r>
      <w:r>
        <w:rPr>
          <w:rFonts w:hint="eastAsia" w:ascii="微软雅黑" w:hAnsi="微软雅黑" w:eastAsia="微软雅黑"/>
          <w:lang w:eastAsia="zh-CN"/>
        </w:rPr>
        <w:t>石油天然气行业标准《</w:t>
      </w:r>
      <w:r>
        <w:rPr>
          <w:rFonts w:ascii="微软雅黑" w:hAnsi="微软雅黑" w:eastAsia="微软雅黑"/>
          <w:lang w:eastAsia="zh-CN"/>
        </w:rPr>
        <w:t>SY/T 5070-2012</w:t>
      </w:r>
      <w:r>
        <w:rPr>
          <w:rFonts w:hint="eastAsia" w:ascii="微软雅黑" w:hAnsi="微软雅黑" w:eastAsia="微软雅黑"/>
          <w:lang w:eastAsia="zh-CN"/>
        </w:rPr>
        <w:t>钻井、修井用割刀》文件中第3页5.3</w:t>
      </w:r>
      <w:r>
        <w:rPr>
          <w:rFonts w:hint="eastAsia" w:ascii="微软雅黑" w:hAnsi="微软雅黑" w:eastAsia="微软雅黑" w:cs="Times New Roman"/>
          <w:lang w:eastAsia="zh-CN"/>
        </w:rPr>
        <w:t>刀头采用高速工具钢及以上材质制作，刀头热处理后的刃部硬度应为55HRC~65HRC。刀头采用碳化钨硬质合金焊条堆敷焊的，堆焊层不得有未熔透、裂纹等曲线，焊料与硬质合金、刀体结合需良好。</w:t>
      </w:r>
    </w:p>
    <w:p>
      <w:pPr>
        <w:pStyle w:val="6"/>
        <w:numPr>
          <w:ilvl w:val="0"/>
          <w:numId w:val="4"/>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切割尺寸：切割尺寸2-7/8"</w:t>
      </w:r>
    </w:p>
    <w:p>
      <w:pPr>
        <w:pStyle w:val="6"/>
        <w:numPr>
          <w:ilvl w:val="0"/>
          <w:numId w:val="4"/>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材质要求：刀头采用高速工具钢及以上材质制作，刀头热处理后的刃部硬度应为55HRC~65HRC，刀翼为碳合金材质，堆焊层不得有未熔透、裂纹等曲线。焊料与硬质合金、刀体结合需良好。</w:t>
      </w:r>
    </w:p>
    <w:p>
      <w:pPr>
        <w:pStyle w:val="6"/>
        <w:numPr>
          <w:ilvl w:val="0"/>
          <w:numId w:val="4"/>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组成形式：1套刀片含3支刀片，满足一次切割作业需求。</w:t>
      </w:r>
    </w:p>
    <w:p>
      <w:pPr>
        <w:pStyle w:val="6"/>
        <w:snapToGrid w:val="0"/>
        <w:spacing w:line="360" w:lineRule="auto"/>
        <w:ind w:right="119" w:firstLine="199" w:firstLineChars="95"/>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5.</w:t>
      </w:r>
      <w:r>
        <w:rPr>
          <w:rFonts w:hint="eastAsia"/>
          <w:lang w:eastAsia="zh-CN"/>
        </w:rPr>
        <w:t xml:space="preserve"> 过油管水力</w:t>
      </w:r>
      <w:r>
        <w:rPr>
          <w:rFonts w:hint="eastAsia" w:ascii="微软雅黑" w:hAnsi="微软雅黑" w:eastAsia="微软雅黑" w:cs="Times New Roman"/>
          <w:lang w:eastAsia="zh-CN"/>
        </w:rPr>
        <w:t>割刀易损维修包</w:t>
      </w:r>
    </w:p>
    <w:p>
      <w:pPr>
        <w:pStyle w:val="6"/>
        <w:numPr>
          <w:ilvl w:val="0"/>
          <w:numId w:val="5"/>
        </w:numPr>
        <w:snapToGrid w:val="0"/>
        <w:spacing w:line="360" w:lineRule="auto"/>
        <w:ind w:right="119"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组成：含固定螺钉1套、O圈1套、水力分向盘总成1个、动力活塞总成1个，能够满足除割刀本体损坏外的其他维修需求。</w:t>
      </w:r>
    </w:p>
    <w:p>
      <w:pPr>
        <w:pStyle w:val="21"/>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六、检测和试验</w:t>
      </w:r>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明确产品检测或试验要求，可明确相应的检测标准和试验</w:t>
      </w:r>
      <w:r>
        <w:rPr>
          <w:rFonts w:ascii="微软雅黑" w:hAnsi="微软雅黑" w:eastAsia="微软雅黑"/>
          <w:lang w:eastAsia="zh-CN"/>
        </w:rPr>
        <w:t>方法，优先考虑采用公认的或已颁布的标准检验方法</w:t>
      </w:r>
      <w:r>
        <w:rPr>
          <w:rFonts w:hint="eastAsia" w:ascii="微软雅黑" w:hAnsi="微软雅黑" w:eastAsia="微软雅黑"/>
          <w:lang w:eastAsia="zh-CN"/>
        </w:rPr>
        <w:t>：</w:t>
      </w:r>
    </w:p>
    <w:p>
      <w:pPr>
        <w:pStyle w:val="6"/>
        <w:numPr>
          <w:ilvl w:val="0"/>
          <w:numId w:val="6"/>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结构参数</w:t>
      </w:r>
    </w:p>
    <w:p>
      <w:pPr>
        <w:pStyle w:val="6"/>
        <w:spacing w:line="257" w:lineRule="auto"/>
        <w:ind w:left="640" w:right="122" w:firstLine="0" w:firstLineChars="0"/>
        <w:rPr>
          <w:rFonts w:hint="eastAsia" w:ascii="微软雅黑" w:hAnsi="微软雅黑" w:eastAsia="微软雅黑"/>
          <w:lang w:eastAsia="zh-CN"/>
        </w:rPr>
      </w:pPr>
      <w:r>
        <w:rPr>
          <w:rFonts w:hint="eastAsia" w:ascii="微软雅黑" w:hAnsi="微软雅黑" w:eastAsia="微软雅黑"/>
          <w:lang w:eastAsia="zh-CN"/>
        </w:rPr>
        <w:t>割刀本体外径最大不得大于2-1/8"，装配4-1/2"规格刀片后最大伸出外径应大于4-1/2"。</w:t>
      </w:r>
    </w:p>
    <w:p>
      <w:pPr>
        <w:pStyle w:val="6"/>
        <w:numPr>
          <w:ilvl w:val="0"/>
          <w:numId w:val="6"/>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无损探伤</w:t>
      </w:r>
    </w:p>
    <w:p>
      <w:pPr>
        <w:pStyle w:val="6"/>
        <w:spacing w:line="257" w:lineRule="auto"/>
        <w:ind w:left="640" w:right="122" w:firstLine="0" w:firstLineChars="0"/>
        <w:rPr>
          <w:rFonts w:hint="eastAsia" w:ascii="微软雅黑" w:hAnsi="微软雅黑" w:eastAsia="微软雅黑"/>
          <w:lang w:eastAsia="zh-CN"/>
        </w:rPr>
      </w:pPr>
      <w:r>
        <w:rPr>
          <w:rFonts w:hint="eastAsia" w:ascii="微软雅黑" w:hAnsi="微软雅黑" w:eastAsia="微软雅黑"/>
          <w:lang w:eastAsia="zh-CN"/>
        </w:rPr>
        <w:t>割刀本体、刀片应进行无损探伤检验。超声探伤不应有超过JB/T4730.3锻件超声检测规定的Ⅱ级缺陷，磁粉探伤不应有超过JB/T 4730.4锻件磁粉检测规定的Ⅱ级缺陷，供货时，应提供无损探伤报告。</w:t>
      </w:r>
    </w:p>
    <w:p>
      <w:pPr>
        <w:pStyle w:val="6"/>
        <w:numPr>
          <w:ilvl w:val="0"/>
          <w:numId w:val="6"/>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运动灵活性</w:t>
      </w:r>
    </w:p>
    <w:p>
      <w:pPr>
        <w:pStyle w:val="6"/>
        <w:snapToGrid w:val="0"/>
        <w:spacing w:line="360" w:lineRule="auto"/>
        <w:ind w:left="640" w:right="119" w:firstLine="0" w:firstLineChars="0"/>
        <w:jc w:val="left"/>
        <w:rPr>
          <w:rFonts w:hint="eastAsia" w:ascii="微软雅黑" w:hAnsi="微软雅黑" w:eastAsia="微软雅黑" w:cs="Times New Roman"/>
          <w:lang w:eastAsia="zh-CN"/>
        </w:rPr>
      </w:pPr>
      <w:r>
        <w:rPr>
          <w:rFonts w:hint="eastAsia" w:ascii="微软雅黑" w:hAnsi="微软雅黑" w:eastAsia="微软雅黑" w:cs="Times New Roman"/>
          <w:lang w:eastAsia="zh-CN"/>
        </w:rPr>
        <w:t>引用</w:t>
      </w:r>
      <w:r>
        <w:rPr>
          <w:rFonts w:hint="eastAsia" w:ascii="微软雅黑" w:hAnsi="微软雅黑" w:eastAsia="微软雅黑"/>
          <w:lang w:eastAsia="zh-CN"/>
        </w:rPr>
        <w:t>石油天然气行业标准《</w:t>
      </w:r>
      <w:r>
        <w:rPr>
          <w:rFonts w:ascii="微软雅黑" w:hAnsi="微软雅黑" w:eastAsia="微软雅黑"/>
          <w:lang w:eastAsia="zh-CN"/>
        </w:rPr>
        <w:t>SY/T 5070-2012</w:t>
      </w:r>
      <w:r>
        <w:rPr>
          <w:rFonts w:hint="eastAsia" w:ascii="微软雅黑" w:hAnsi="微软雅黑" w:eastAsia="微软雅黑"/>
          <w:lang w:eastAsia="zh-CN"/>
        </w:rPr>
        <w:t>钻井、修井用割刀》文件中第3页5.6项要求，个相对转动或相对移动零部件应运动灵活，不得有卡滞现象。刀头完全伸出时，内割刀的刀尖应大于落鱼外径8mm以上。刀头复位时应无卡阻。</w:t>
      </w:r>
    </w:p>
    <w:p>
      <w:pPr>
        <w:pStyle w:val="21"/>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七、标识、包装、运输和存储</w:t>
      </w:r>
    </w:p>
    <w:p>
      <w:pPr>
        <w:pStyle w:val="4"/>
        <w:rPr>
          <w:rFonts w:hint="eastAsia"/>
          <w:sz w:val="24"/>
          <w:szCs w:val="24"/>
        </w:rPr>
      </w:pPr>
      <w:r>
        <w:rPr>
          <w:rFonts w:hint="eastAsia"/>
          <w:sz w:val="24"/>
          <w:szCs w:val="24"/>
        </w:rPr>
        <w:t>1. 产品标识</w:t>
      </w:r>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割刀本体应至少打印以下标志：</w:t>
      </w:r>
    </w:p>
    <w:p>
      <w:pPr>
        <w:pStyle w:val="6"/>
        <w:numPr>
          <w:ilvl w:val="0"/>
          <w:numId w:val="7"/>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制造厂代号或商标</w:t>
      </w:r>
    </w:p>
    <w:p>
      <w:pPr>
        <w:pStyle w:val="6"/>
        <w:numPr>
          <w:ilvl w:val="0"/>
          <w:numId w:val="7"/>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产品型号</w:t>
      </w:r>
    </w:p>
    <w:p>
      <w:pPr>
        <w:pStyle w:val="6"/>
        <w:numPr>
          <w:ilvl w:val="0"/>
          <w:numId w:val="7"/>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接头螺纹代号</w:t>
      </w:r>
    </w:p>
    <w:p>
      <w:pPr>
        <w:pStyle w:val="6"/>
        <w:numPr>
          <w:ilvl w:val="0"/>
          <w:numId w:val="7"/>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出厂编号或日期</w:t>
      </w:r>
    </w:p>
    <w:p>
      <w:pPr>
        <w:pStyle w:val="4"/>
        <w:rPr>
          <w:rFonts w:hint="eastAsia"/>
          <w:sz w:val="24"/>
          <w:szCs w:val="24"/>
        </w:rPr>
      </w:pPr>
      <w:r>
        <w:rPr>
          <w:rFonts w:hint="eastAsia"/>
          <w:sz w:val="24"/>
          <w:szCs w:val="24"/>
        </w:rPr>
        <w:t>2. 产品包装</w:t>
      </w:r>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产品外表面及连接螺纹表面应采取防锈蚀措施。接头螺纹应配戴螺纹保护器。</w:t>
      </w:r>
    </w:p>
    <w:p>
      <w:pPr>
        <w:pStyle w:val="4"/>
        <w:rPr>
          <w:rFonts w:hint="eastAsia"/>
          <w:sz w:val="24"/>
          <w:szCs w:val="24"/>
        </w:rPr>
      </w:pPr>
      <w:r>
        <w:rPr>
          <w:rFonts w:hint="eastAsia"/>
          <w:sz w:val="24"/>
          <w:szCs w:val="24"/>
        </w:rPr>
        <w:t>3. 产品运输</w:t>
      </w:r>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产品包装应符合公路、海上运输的有关规定。</w:t>
      </w:r>
    </w:p>
    <w:p>
      <w:pPr>
        <w:pStyle w:val="4"/>
        <w:rPr>
          <w:rFonts w:hint="eastAsia"/>
          <w:sz w:val="24"/>
          <w:szCs w:val="24"/>
        </w:rPr>
      </w:pPr>
      <w:r>
        <w:rPr>
          <w:rFonts w:hint="eastAsia"/>
          <w:sz w:val="24"/>
          <w:szCs w:val="24"/>
        </w:rPr>
        <w:t>4. 产品存储</w:t>
      </w:r>
    </w:p>
    <w:p>
      <w:pPr>
        <w:pStyle w:val="6"/>
        <w:spacing w:line="257" w:lineRule="auto"/>
        <w:ind w:left="220" w:right="122" w:firstLine="420"/>
        <w:rPr>
          <w:rFonts w:hint="eastAsia" w:ascii="微软雅黑" w:hAnsi="微软雅黑" w:eastAsia="微软雅黑"/>
          <w:lang w:eastAsia="zh-CN"/>
        </w:rPr>
      </w:pPr>
      <w:r>
        <w:rPr>
          <w:rFonts w:hint="eastAsia" w:ascii="微软雅黑" w:hAnsi="微软雅黑" w:eastAsia="微软雅黑"/>
          <w:lang w:eastAsia="zh-CN"/>
        </w:rPr>
        <w:t>产品应存放在干燥、清洁通风的库房内。橡胶密封件应存放在干燥、阴凉的库房内。</w:t>
      </w:r>
    </w:p>
    <w:p>
      <w:pPr>
        <w:pStyle w:val="21"/>
        <w:numPr>
          <w:ilvl w:val="0"/>
          <w:numId w:val="8"/>
        </w:numPr>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技术文件</w:t>
      </w:r>
    </w:p>
    <w:p>
      <w:pPr>
        <w:pStyle w:val="6"/>
        <w:numPr>
          <w:ilvl w:val="0"/>
          <w:numId w:val="9"/>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提供技术参数响应/偏离表、产品照片；提供工具材质说明或证明。</w:t>
      </w:r>
    </w:p>
    <w:p>
      <w:pPr>
        <w:pStyle w:val="6"/>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2. 送货文件应包括：</w:t>
      </w:r>
    </w:p>
    <w:p>
      <w:pPr>
        <w:pStyle w:val="6"/>
        <w:numPr>
          <w:ilvl w:val="0"/>
          <w:numId w:val="10"/>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产品合格证</w:t>
      </w:r>
    </w:p>
    <w:p>
      <w:pPr>
        <w:pStyle w:val="6"/>
        <w:numPr>
          <w:ilvl w:val="0"/>
          <w:numId w:val="10"/>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产品出厂检验报告</w:t>
      </w:r>
    </w:p>
    <w:p>
      <w:pPr>
        <w:pStyle w:val="6"/>
        <w:numPr>
          <w:ilvl w:val="0"/>
          <w:numId w:val="10"/>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使用说明书</w:t>
      </w:r>
    </w:p>
    <w:p>
      <w:pPr>
        <w:pStyle w:val="6"/>
        <w:numPr>
          <w:ilvl w:val="0"/>
          <w:numId w:val="10"/>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装箱清单</w:t>
      </w:r>
    </w:p>
    <w:p>
      <w:pPr>
        <w:pStyle w:val="21"/>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九、工作进度、监造和现场验收</w:t>
      </w:r>
    </w:p>
    <w:p>
      <w:pPr>
        <w:pStyle w:val="6"/>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1. 完成合同签订后180天内供货。</w:t>
      </w:r>
    </w:p>
    <w:p>
      <w:pPr>
        <w:pStyle w:val="6"/>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2. 随同产品装运应附有清单、产品质量合格证、说明书，包装完好，工具丝扣需提供护丝，运送至甲方指定交货地点：</w:t>
      </w:r>
    </w:p>
    <w:p>
      <w:pPr>
        <w:pStyle w:val="6"/>
        <w:spacing w:line="257" w:lineRule="auto"/>
        <w:ind w:right="122" w:firstLineChars="0"/>
        <w:rPr>
          <w:rFonts w:hint="eastAsia" w:ascii="微软雅黑" w:hAnsi="微软雅黑" w:eastAsia="微软雅黑"/>
          <w:lang w:eastAsia="zh-CN"/>
        </w:rPr>
      </w:pPr>
      <w:r>
        <w:rPr>
          <w:rFonts w:hint="eastAsia" w:ascii="微软雅黑" w:hAnsi="微软雅黑" w:eastAsia="微软雅黑"/>
          <w:lang w:val="en-US" w:eastAsia="zh-CN"/>
        </w:rPr>
        <w:t xml:space="preserve"> </w:t>
      </w:r>
      <w:r>
        <w:rPr>
          <w:rFonts w:hint="eastAsia" w:ascii="微软雅黑" w:hAnsi="微软雅黑" w:eastAsia="微软雅黑"/>
          <w:lang w:eastAsia="zh-CN"/>
        </w:rPr>
        <w:t>交货地点：</w:t>
      </w:r>
      <w:r>
        <w:rPr>
          <w:rFonts w:hint="eastAsia" w:ascii="微软雅黑" w:hAnsi="微软雅黑" w:eastAsia="微软雅黑"/>
          <w:lang w:eastAsia="zh-CN"/>
        </w:rPr>
        <w:tab/>
      </w:r>
      <w:r>
        <w:rPr>
          <w:rFonts w:hint="eastAsia" w:ascii="微软雅黑" w:hAnsi="微软雅黑" w:eastAsia="微软雅黑"/>
          <w:lang w:eastAsia="zh-CN"/>
        </w:rPr>
        <w:t>广东省惠州市大亚湾石化区中海油惠州物流基地W21库。</w:t>
      </w:r>
    </w:p>
    <w:p>
      <w:pPr>
        <w:pStyle w:val="6"/>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3. 提供物资要求与技术要求书一致，满足检验和检测要求，提供工具质检合格等有关证书。</w:t>
      </w:r>
    </w:p>
    <w:p>
      <w:pPr>
        <w:pStyle w:val="21"/>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十、技术服务与售后服务</w:t>
      </w:r>
    </w:p>
    <w:p>
      <w:pPr>
        <w:pStyle w:val="6"/>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1.在工具使用阶段，若出现工具异常情况，卖方负责进行技术支持和指导；</w:t>
      </w:r>
    </w:p>
    <w:p>
      <w:pPr>
        <w:pStyle w:val="21"/>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十一、质量保证</w:t>
      </w:r>
    </w:p>
    <w:p>
      <w:pPr>
        <w:pStyle w:val="6"/>
        <w:numPr>
          <w:ilvl w:val="0"/>
          <w:numId w:val="11"/>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关于质保，在正常使用过程中，产品如出现质量缺陷损坏，甲方可在替换或退货中任选其中一种方式，由此产生的费用，由乙方承担。</w:t>
      </w:r>
    </w:p>
    <w:p>
      <w:pPr>
        <w:pStyle w:val="6"/>
        <w:numPr>
          <w:ilvl w:val="0"/>
          <w:numId w:val="11"/>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质保期为自验收合格之日起6个月。</w:t>
      </w:r>
    </w:p>
    <w:p>
      <w:pPr>
        <w:pStyle w:val="6"/>
        <w:numPr>
          <w:ilvl w:val="0"/>
          <w:numId w:val="11"/>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考核、罚则、赔偿等特殊要求：如工具在使用过程中发生因工具本身问题造成的井下事故，我方有权终止合同执行，并无条件退货，且因此造成的损失，由卖方全部承担。</w:t>
      </w:r>
    </w:p>
    <w:bookmarkEnd w:id="4"/>
    <w:bookmarkEnd w:id="5"/>
    <w:p>
      <w:pPr>
        <w:pStyle w:val="21"/>
        <w:spacing w:before="120" w:after="120"/>
        <w:outlineLvl w:val="0"/>
        <w:rPr>
          <w:rFonts w:hint="eastAsia" w:ascii="微软雅黑" w:hAnsi="微软雅黑" w:eastAsia="微软雅黑" w:cs="Times New Roman"/>
          <w:bCs/>
          <w:color w:val="auto"/>
          <w:sz w:val="32"/>
          <w:szCs w:val="32"/>
        </w:rPr>
      </w:pPr>
      <w:bookmarkStart w:id="6" w:name="_Toc13249328"/>
      <w:bookmarkStart w:id="7" w:name="_Toc13248931"/>
      <w:r>
        <w:rPr>
          <w:rFonts w:hint="eastAsia" w:ascii="微软雅黑" w:hAnsi="微软雅黑" w:eastAsia="微软雅黑" w:cs="Times New Roman"/>
          <w:bCs/>
          <w:color w:val="auto"/>
          <w:sz w:val="32"/>
          <w:szCs w:val="32"/>
        </w:rPr>
        <w:t>十二</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其他</w:t>
      </w:r>
      <w:r>
        <w:rPr>
          <w:rFonts w:ascii="微软雅黑" w:hAnsi="微软雅黑" w:eastAsia="微软雅黑" w:cs="Times New Roman"/>
          <w:bCs/>
          <w:color w:val="auto"/>
          <w:sz w:val="32"/>
          <w:szCs w:val="32"/>
        </w:rPr>
        <w:t>要求</w:t>
      </w:r>
      <w:bookmarkEnd w:id="6"/>
      <w:bookmarkEnd w:id="7"/>
    </w:p>
    <w:p>
      <w:pPr>
        <w:pStyle w:val="6"/>
        <w:numPr>
          <w:ilvl w:val="0"/>
          <w:numId w:val="12"/>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val="en-US" w:eastAsia="zh-CN"/>
        </w:rPr>
        <w:t xml:space="preserve"> </w:t>
      </w:r>
      <w:bookmarkStart w:id="8" w:name="_GoBack"/>
      <w:bookmarkEnd w:id="8"/>
      <w:r>
        <w:rPr>
          <w:rFonts w:hint="eastAsia" w:ascii="微软雅黑" w:hAnsi="微软雅黑" w:eastAsia="微软雅黑"/>
          <w:lang w:eastAsia="zh-CN"/>
        </w:rPr>
        <w:t>付款方式：</w:t>
      </w:r>
      <w:r>
        <w:rPr>
          <w:rFonts w:hint="eastAsia" w:ascii="微软雅黑" w:hAnsi="微软雅黑" w:eastAsia="微软雅黑"/>
          <w:lang w:eastAsia="zh-CN"/>
        </w:rPr>
        <w:tab/>
      </w:r>
      <w:r>
        <w:rPr>
          <w:rFonts w:hint="eastAsia" w:ascii="微软雅黑" w:hAnsi="微软雅黑" w:eastAsia="微软雅黑"/>
          <w:lang w:eastAsia="zh-CN"/>
        </w:rPr>
        <w:t>银行电汇；</w:t>
      </w:r>
    </w:p>
    <w:p>
      <w:pPr>
        <w:pStyle w:val="6"/>
        <w:numPr>
          <w:ilvl w:val="0"/>
          <w:numId w:val="12"/>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付款周期：</w:t>
      </w:r>
      <w:r>
        <w:rPr>
          <w:rFonts w:hint="eastAsia" w:ascii="微软雅黑" w:hAnsi="微软雅黑" w:eastAsia="微软雅黑"/>
          <w:lang w:eastAsia="zh-CN"/>
        </w:rPr>
        <w:tab/>
      </w:r>
      <w:r>
        <w:rPr>
          <w:rFonts w:hint="eastAsia" w:ascii="微软雅黑" w:hAnsi="微软雅黑" w:eastAsia="微软雅黑"/>
          <w:lang w:eastAsia="zh-CN"/>
        </w:rPr>
        <w:t>接到发票45天内付款；</w:t>
      </w:r>
    </w:p>
    <w:p>
      <w:pPr>
        <w:pStyle w:val="6"/>
        <w:numPr>
          <w:ilvl w:val="0"/>
          <w:numId w:val="12"/>
        </w:numPr>
        <w:spacing w:line="257" w:lineRule="auto"/>
        <w:ind w:right="122" w:firstLineChars="0"/>
        <w:rPr>
          <w:rFonts w:hint="eastAsia" w:ascii="微软雅黑" w:hAnsi="微软雅黑" w:eastAsia="微软雅黑"/>
          <w:lang w:eastAsia="zh-CN"/>
        </w:rPr>
      </w:pPr>
      <w:r>
        <w:rPr>
          <w:rFonts w:hint="eastAsia" w:ascii="微软雅黑" w:hAnsi="微软雅黑" w:eastAsia="微软雅黑"/>
          <w:lang w:eastAsia="zh-CN"/>
        </w:rPr>
        <w:t>结算方式：通过验收后，支付合同全部款项。</w:t>
      </w:r>
    </w:p>
    <w:p>
      <w:pPr>
        <w:widowControl/>
        <w:rPr>
          <w:rFonts w:hint="eastAsia" w:ascii="微软雅黑" w:hAnsi="微软雅黑" w:eastAsia="微软雅黑"/>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404DB"/>
    <w:multiLevelType w:val="multilevel"/>
    <w:tmpl w:val="065404DB"/>
    <w:lvl w:ilvl="0" w:tentative="0">
      <w:start w:val="1"/>
      <w:numFmt w:val="low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FE19CD"/>
    <w:multiLevelType w:val="multilevel"/>
    <w:tmpl w:val="0CFE19CD"/>
    <w:lvl w:ilvl="0" w:tentative="0">
      <w:start w:val="1"/>
      <w:numFmt w:val="lowerLetter"/>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3">
    <w:nsid w:val="100542CD"/>
    <w:multiLevelType w:val="multilevel"/>
    <w:tmpl w:val="100542CD"/>
    <w:lvl w:ilvl="0" w:tentative="0">
      <w:start w:val="1"/>
      <w:numFmt w:val="lowerLetter"/>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26DC0ECB"/>
    <w:multiLevelType w:val="multilevel"/>
    <w:tmpl w:val="26DC0EC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2FF9117F"/>
    <w:multiLevelType w:val="multilevel"/>
    <w:tmpl w:val="2FF9117F"/>
    <w:lvl w:ilvl="0" w:tentative="0">
      <w:start w:val="1"/>
      <w:numFmt w:val="lowerLetter"/>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6">
    <w:nsid w:val="36F63864"/>
    <w:multiLevelType w:val="multilevel"/>
    <w:tmpl w:val="36F63864"/>
    <w:lvl w:ilvl="0" w:tentative="0">
      <w:start w:val="1"/>
      <w:numFmt w:val="lowerLetter"/>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7">
    <w:nsid w:val="38F54D35"/>
    <w:multiLevelType w:val="multilevel"/>
    <w:tmpl w:val="38F54D35"/>
    <w:lvl w:ilvl="0" w:tentative="0">
      <w:start w:val="1"/>
      <w:numFmt w:val="lowerLetter"/>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8">
    <w:nsid w:val="4B165BE1"/>
    <w:multiLevelType w:val="multilevel"/>
    <w:tmpl w:val="4B165BE1"/>
    <w:lvl w:ilvl="0" w:tentative="0">
      <w:start w:val="1"/>
      <w:numFmt w:val="lowerLetter"/>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9">
    <w:nsid w:val="534664A5"/>
    <w:multiLevelType w:val="multilevel"/>
    <w:tmpl w:val="534664A5"/>
    <w:lvl w:ilvl="0" w:tentative="0">
      <w:start w:val="1"/>
      <w:numFmt w:val="lowerLetter"/>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0">
    <w:nsid w:val="58A2795B"/>
    <w:multiLevelType w:val="multilevel"/>
    <w:tmpl w:val="58A2795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6A2B32BF"/>
    <w:multiLevelType w:val="multilevel"/>
    <w:tmpl w:val="6A2B32BF"/>
    <w:lvl w:ilvl="0" w:tentative="0">
      <w:start w:val="1"/>
      <w:numFmt w:val="decimal"/>
      <w:lvlText w:val="%1．"/>
      <w:lvlJc w:val="left"/>
      <w:pPr>
        <w:ind w:left="560" w:hanging="360"/>
      </w:pPr>
      <w:rPr>
        <w:rFonts w:hint="default"/>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num w:numId="1">
    <w:abstractNumId w:val="8"/>
  </w:num>
  <w:num w:numId="2">
    <w:abstractNumId w:val="9"/>
  </w:num>
  <w:num w:numId="3">
    <w:abstractNumId w:val="5"/>
  </w:num>
  <w:num w:numId="4">
    <w:abstractNumId w:val="3"/>
  </w:num>
  <w:num w:numId="5">
    <w:abstractNumId w:val="7"/>
  </w:num>
  <w:num w:numId="6">
    <w:abstractNumId w:val="0"/>
  </w:num>
  <w:num w:numId="7">
    <w:abstractNumId w:val="6"/>
  </w:num>
  <w:num w:numId="8">
    <w:abstractNumId w:val="1"/>
  </w:num>
  <w:num w:numId="9">
    <w:abstractNumId w:val="11"/>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CF"/>
    <w:rsid w:val="0000572C"/>
    <w:rsid w:val="00005BCD"/>
    <w:rsid w:val="000124B4"/>
    <w:rsid w:val="0001553C"/>
    <w:rsid w:val="00015CC7"/>
    <w:rsid w:val="000465F0"/>
    <w:rsid w:val="00052EEF"/>
    <w:rsid w:val="00054813"/>
    <w:rsid w:val="00055FDF"/>
    <w:rsid w:val="00066376"/>
    <w:rsid w:val="00075590"/>
    <w:rsid w:val="000836D5"/>
    <w:rsid w:val="0009050D"/>
    <w:rsid w:val="00094519"/>
    <w:rsid w:val="000B0E9E"/>
    <w:rsid w:val="000B1138"/>
    <w:rsid w:val="000B380C"/>
    <w:rsid w:val="000E62D9"/>
    <w:rsid w:val="000E7DCA"/>
    <w:rsid w:val="000F2CF1"/>
    <w:rsid w:val="0010681B"/>
    <w:rsid w:val="00120FB9"/>
    <w:rsid w:val="001323F9"/>
    <w:rsid w:val="0013311E"/>
    <w:rsid w:val="001343CB"/>
    <w:rsid w:val="001449BE"/>
    <w:rsid w:val="00151D4F"/>
    <w:rsid w:val="0015210A"/>
    <w:rsid w:val="00153BE9"/>
    <w:rsid w:val="00157239"/>
    <w:rsid w:val="001644CF"/>
    <w:rsid w:val="00177D4C"/>
    <w:rsid w:val="001B3054"/>
    <w:rsid w:val="001C0975"/>
    <w:rsid w:val="001C5B16"/>
    <w:rsid w:val="001D711D"/>
    <w:rsid w:val="001E3B0F"/>
    <w:rsid w:val="002109B6"/>
    <w:rsid w:val="0021101A"/>
    <w:rsid w:val="00222FEA"/>
    <w:rsid w:val="00223923"/>
    <w:rsid w:val="00244457"/>
    <w:rsid w:val="00255671"/>
    <w:rsid w:val="00261C52"/>
    <w:rsid w:val="00276B44"/>
    <w:rsid w:val="0029168E"/>
    <w:rsid w:val="002919B3"/>
    <w:rsid w:val="00291AC4"/>
    <w:rsid w:val="00296D9D"/>
    <w:rsid w:val="00297699"/>
    <w:rsid w:val="002A0B22"/>
    <w:rsid w:val="002A2EAC"/>
    <w:rsid w:val="002A5C85"/>
    <w:rsid w:val="002B756F"/>
    <w:rsid w:val="002C0A66"/>
    <w:rsid w:val="002C7A76"/>
    <w:rsid w:val="002D2C63"/>
    <w:rsid w:val="002D51AB"/>
    <w:rsid w:val="002D5D9B"/>
    <w:rsid w:val="002D753E"/>
    <w:rsid w:val="002E2797"/>
    <w:rsid w:val="002E5AAE"/>
    <w:rsid w:val="002E67E7"/>
    <w:rsid w:val="00307181"/>
    <w:rsid w:val="00316452"/>
    <w:rsid w:val="00335848"/>
    <w:rsid w:val="00335889"/>
    <w:rsid w:val="003361FC"/>
    <w:rsid w:val="00346470"/>
    <w:rsid w:val="003519C3"/>
    <w:rsid w:val="00354FB0"/>
    <w:rsid w:val="00366AC3"/>
    <w:rsid w:val="00367E0B"/>
    <w:rsid w:val="00372E2D"/>
    <w:rsid w:val="0037391E"/>
    <w:rsid w:val="003923AE"/>
    <w:rsid w:val="00397269"/>
    <w:rsid w:val="003C2E9E"/>
    <w:rsid w:val="003C5D92"/>
    <w:rsid w:val="003E5025"/>
    <w:rsid w:val="003F108A"/>
    <w:rsid w:val="003F1FEC"/>
    <w:rsid w:val="0040070A"/>
    <w:rsid w:val="004020A3"/>
    <w:rsid w:val="004077E1"/>
    <w:rsid w:val="00422E2A"/>
    <w:rsid w:val="004236F4"/>
    <w:rsid w:val="004B6434"/>
    <w:rsid w:val="004B72A8"/>
    <w:rsid w:val="004D2468"/>
    <w:rsid w:val="004E4EA7"/>
    <w:rsid w:val="004E5011"/>
    <w:rsid w:val="004F093E"/>
    <w:rsid w:val="0050641C"/>
    <w:rsid w:val="00513D03"/>
    <w:rsid w:val="00515DE4"/>
    <w:rsid w:val="005208C6"/>
    <w:rsid w:val="005257DB"/>
    <w:rsid w:val="005534C6"/>
    <w:rsid w:val="00563356"/>
    <w:rsid w:val="005730E9"/>
    <w:rsid w:val="005B22F8"/>
    <w:rsid w:val="005C1CC9"/>
    <w:rsid w:val="005C6578"/>
    <w:rsid w:val="005C6EC1"/>
    <w:rsid w:val="005C74A4"/>
    <w:rsid w:val="005D028A"/>
    <w:rsid w:val="005D41FA"/>
    <w:rsid w:val="005E75C2"/>
    <w:rsid w:val="005F05A6"/>
    <w:rsid w:val="005F0C0D"/>
    <w:rsid w:val="0060078E"/>
    <w:rsid w:val="00603DA6"/>
    <w:rsid w:val="00652066"/>
    <w:rsid w:val="006535F5"/>
    <w:rsid w:val="00687BDA"/>
    <w:rsid w:val="0069154A"/>
    <w:rsid w:val="006D5366"/>
    <w:rsid w:val="006E2F0C"/>
    <w:rsid w:val="00706FF6"/>
    <w:rsid w:val="0071455D"/>
    <w:rsid w:val="00717CFF"/>
    <w:rsid w:val="00723A5A"/>
    <w:rsid w:val="007531A8"/>
    <w:rsid w:val="00753CBD"/>
    <w:rsid w:val="0076111A"/>
    <w:rsid w:val="007616C2"/>
    <w:rsid w:val="00767FC6"/>
    <w:rsid w:val="0078770E"/>
    <w:rsid w:val="007B5959"/>
    <w:rsid w:val="007C3752"/>
    <w:rsid w:val="007D6140"/>
    <w:rsid w:val="00803462"/>
    <w:rsid w:val="00825EA7"/>
    <w:rsid w:val="00833D48"/>
    <w:rsid w:val="00834BD4"/>
    <w:rsid w:val="00852B10"/>
    <w:rsid w:val="00857686"/>
    <w:rsid w:val="0089694D"/>
    <w:rsid w:val="008A30AE"/>
    <w:rsid w:val="008D107A"/>
    <w:rsid w:val="008D64A3"/>
    <w:rsid w:val="008F1C83"/>
    <w:rsid w:val="00901F76"/>
    <w:rsid w:val="00910101"/>
    <w:rsid w:val="0091148E"/>
    <w:rsid w:val="009153B6"/>
    <w:rsid w:val="009308CE"/>
    <w:rsid w:val="00946730"/>
    <w:rsid w:val="009560FF"/>
    <w:rsid w:val="0095734B"/>
    <w:rsid w:val="00960662"/>
    <w:rsid w:val="009824EA"/>
    <w:rsid w:val="00995B0A"/>
    <w:rsid w:val="009A6C2B"/>
    <w:rsid w:val="009B54BE"/>
    <w:rsid w:val="009C2FD5"/>
    <w:rsid w:val="00A2514C"/>
    <w:rsid w:val="00A279C1"/>
    <w:rsid w:val="00A3045D"/>
    <w:rsid w:val="00A312F6"/>
    <w:rsid w:val="00A41536"/>
    <w:rsid w:val="00A4528A"/>
    <w:rsid w:val="00A526BD"/>
    <w:rsid w:val="00A543E6"/>
    <w:rsid w:val="00A61413"/>
    <w:rsid w:val="00A66BAD"/>
    <w:rsid w:val="00A8052C"/>
    <w:rsid w:val="00AD296D"/>
    <w:rsid w:val="00AE656C"/>
    <w:rsid w:val="00AF5B72"/>
    <w:rsid w:val="00B10F50"/>
    <w:rsid w:val="00B15418"/>
    <w:rsid w:val="00B324F3"/>
    <w:rsid w:val="00B56245"/>
    <w:rsid w:val="00B56A52"/>
    <w:rsid w:val="00B574AC"/>
    <w:rsid w:val="00B727E4"/>
    <w:rsid w:val="00BC4903"/>
    <w:rsid w:val="00BE3C84"/>
    <w:rsid w:val="00C01A55"/>
    <w:rsid w:val="00C0237D"/>
    <w:rsid w:val="00C0433A"/>
    <w:rsid w:val="00C16859"/>
    <w:rsid w:val="00C33E52"/>
    <w:rsid w:val="00C54646"/>
    <w:rsid w:val="00C55808"/>
    <w:rsid w:val="00C61DB8"/>
    <w:rsid w:val="00C722BB"/>
    <w:rsid w:val="00C72E1E"/>
    <w:rsid w:val="00C74A9D"/>
    <w:rsid w:val="00CB038B"/>
    <w:rsid w:val="00CD4552"/>
    <w:rsid w:val="00CD587E"/>
    <w:rsid w:val="00CE1FC9"/>
    <w:rsid w:val="00CF18F6"/>
    <w:rsid w:val="00CF5864"/>
    <w:rsid w:val="00D023DE"/>
    <w:rsid w:val="00D03266"/>
    <w:rsid w:val="00D50E01"/>
    <w:rsid w:val="00D55B34"/>
    <w:rsid w:val="00D71F6F"/>
    <w:rsid w:val="00D72E77"/>
    <w:rsid w:val="00D75584"/>
    <w:rsid w:val="00DB3B35"/>
    <w:rsid w:val="00DC5394"/>
    <w:rsid w:val="00E0559D"/>
    <w:rsid w:val="00E16B34"/>
    <w:rsid w:val="00E2767B"/>
    <w:rsid w:val="00E30386"/>
    <w:rsid w:val="00E343EC"/>
    <w:rsid w:val="00E46A61"/>
    <w:rsid w:val="00E50662"/>
    <w:rsid w:val="00E53CCA"/>
    <w:rsid w:val="00E55ECC"/>
    <w:rsid w:val="00E61715"/>
    <w:rsid w:val="00E624C8"/>
    <w:rsid w:val="00E87CFE"/>
    <w:rsid w:val="00EA3928"/>
    <w:rsid w:val="00EF142B"/>
    <w:rsid w:val="00F1300B"/>
    <w:rsid w:val="00F22A9E"/>
    <w:rsid w:val="00F2406B"/>
    <w:rsid w:val="00F3272D"/>
    <w:rsid w:val="00F44D8D"/>
    <w:rsid w:val="00F673EB"/>
    <w:rsid w:val="00F6742C"/>
    <w:rsid w:val="00F75CDF"/>
    <w:rsid w:val="00FA2F94"/>
    <w:rsid w:val="00FD2EA2"/>
    <w:rsid w:val="03DD23EC"/>
    <w:rsid w:val="0CDB01E7"/>
    <w:rsid w:val="14086B93"/>
    <w:rsid w:val="24236D2D"/>
    <w:rsid w:val="2A164297"/>
    <w:rsid w:val="2EF80E59"/>
    <w:rsid w:val="301016DA"/>
    <w:rsid w:val="30A56740"/>
    <w:rsid w:val="428402B7"/>
    <w:rsid w:val="47065829"/>
    <w:rsid w:val="49C83B09"/>
    <w:rsid w:val="59C61AB0"/>
    <w:rsid w:val="5F9D5EDC"/>
    <w:rsid w:val="6E9746C0"/>
    <w:rsid w:val="71FA6463"/>
    <w:rsid w:val="7BBA1E67"/>
    <w:rsid w:val="7BC5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link w:val="22"/>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16"/>
    <w:qFormat/>
    <w:uiPriority w:val="1"/>
    <w:pPr>
      <w:spacing w:line="479" w:lineRule="exact"/>
      <w:outlineLvl w:val="1"/>
    </w:pPr>
    <w:rPr>
      <w:rFonts w:ascii="Microsoft YaHei UI" w:hAnsi="Microsoft YaHei UI" w:eastAsia="Microsoft YaHei UI"/>
      <w:spacing w:val="2"/>
      <w:sz w:val="32"/>
      <w:szCs w:val="32"/>
      <w:lang w:eastAsia="zh-CN"/>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pPr>
    <w:rPr>
      <w:sz w:val="18"/>
      <w:szCs w:val="18"/>
    </w:rPr>
  </w:style>
  <w:style w:type="paragraph" w:styleId="5">
    <w:name w:val="annotation text"/>
    <w:basedOn w:val="1"/>
    <w:semiHidden/>
    <w:unhideWhenUsed/>
    <w:qFormat/>
    <w:uiPriority w:val="99"/>
  </w:style>
  <w:style w:type="paragraph" w:styleId="6">
    <w:name w:val="Body Text"/>
    <w:basedOn w:val="1"/>
    <w:link w:val="18"/>
    <w:qFormat/>
    <w:uiPriority w:val="1"/>
    <w:pPr>
      <w:ind w:firstLine="200" w:firstLineChars="200"/>
      <w:jc w:val="both"/>
    </w:pPr>
    <w:rPr>
      <w:rFonts w:ascii="Microsoft YaHei UI" w:hAnsi="Microsoft YaHei UI" w:eastAsia="Microsoft YaHei UI"/>
      <w:sz w:val="21"/>
      <w:szCs w:val="21"/>
    </w:rPr>
  </w:style>
  <w:style w:type="paragraph" w:styleId="7">
    <w:name w:val="toc 3"/>
    <w:basedOn w:val="1"/>
    <w:next w:val="1"/>
    <w:unhideWhenUsed/>
    <w:qFormat/>
    <w:uiPriority w:val="39"/>
    <w:pPr>
      <w:widowControl/>
      <w:spacing w:after="100" w:line="259" w:lineRule="auto"/>
      <w:ind w:left="440"/>
    </w:pPr>
    <w:rPr>
      <w:rFonts w:cs="Times New Roman"/>
      <w:lang w:eastAsia="zh-CN"/>
    </w:rPr>
  </w:style>
  <w:style w:type="paragraph" w:styleId="8">
    <w:name w:val="Balloon Text"/>
    <w:basedOn w:val="1"/>
    <w:link w:val="28"/>
    <w:semiHidden/>
    <w:unhideWhenUsed/>
    <w:qFormat/>
    <w:uiPriority w:val="99"/>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pPr>
    <w:rPr>
      <w:rFonts w:cs="Times New Roman"/>
      <w:lang w:eastAsia="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2 字符"/>
    <w:basedOn w:val="13"/>
    <w:link w:val="4"/>
    <w:qFormat/>
    <w:uiPriority w:val="1"/>
    <w:rPr>
      <w:rFonts w:ascii="Microsoft YaHei UI" w:hAnsi="Microsoft YaHei UI" w:eastAsia="Microsoft YaHei UI"/>
      <w:spacing w:val="2"/>
      <w:kern w:val="0"/>
      <w:sz w:val="32"/>
      <w:szCs w:val="32"/>
    </w:rPr>
  </w:style>
  <w:style w:type="table" w:customStyle="1" w:styleId="1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8">
    <w:name w:val="正文文本 字符"/>
    <w:basedOn w:val="13"/>
    <w:link w:val="6"/>
    <w:qFormat/>
    <w:uiPriority w:val="1"/>
    <w:rPr>
      <w:rFonts w:ascii="Microsoft YaHei UI" w:hAnsi="Microsoft YaHei UI" w:eastAsia="Microsoft YaHei UI"/>
      <w:kern w:val="0"/>
      <w:szCs w:val="21"/>
      <w:lang w:eastAsia="en-US"/>
    </w:rPr>
  </w:style>
  <w:style w:type="paragraph" w:customStyle="1" w:styleId="1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Table Paragraph"/>
    <w:basedOn w:val="1"/>
    <w:qFormat/>
    <w:uiPriority w:val="1"/>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标题 1 字符"/>
    <w:basedOn w:val="13"/>
    <w:link w:val="3"/>
    <w:qFormat/>
    <w:uiPriority w:val="0"/>
    <w:rPr>
      <w:rFonts w:ascii="Times New Roman" w:hAnsi="Times New Roman" w:eastAsia="宋体" w:cs="Times New Roman"/>
      <w:b/>
      <w:bCs/>
      <w:kern w:val="44"/>
      <w:sz w:val="44"/>
      <w:szCs w:val="44"/>
      <w:lang w:val="zh-CN" w:eastAsia="zh-CN"/>
    </w:rPr>
  </w:style>
  <w:style w:type="paragraph" w:styleId="23">
    <w:name w:val="List Paragraph"/>
    <w:basedOn w:val="1"/>
    <w:qFormat/>
    <w:uiPriority w:val="34"/>
    <w:pPr>
      <w:ind w:firstLine="420" w:firstLineChars="200"/>
    </w:pPr>
  </w:style>
  <w:style w:type="paragraph" w:customStyle="1" w:styleId="24">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25">
    <w:name w:val="设计正文2"/>
    <w:basedOn w:val="1"/>
    <w:qFormat/>
    <w:uiPriority w:val="0"/>
    <w:pPr>
      <w:snapToGrid w:val="0"/>
      <w:spacing w:before="160" w:line="320" w:lineRule="atLeast"/>
      <w:jc w:val="both"/>
    </w:pPr>
    <w:rPr>
      <w:rFonts w:ascii="Times New Roman" w:hAnsi="Times New Roman" w:eastAsia="宋体" w:cs="Times New Roman"/>
      <w:kern w:val="2"/>
      <w:sz w:val="24"/>
      <w:szCs w:val="20"/>
      <w:lang w:eastAsia="zh-CN"/>
    </w:rPr>
  </w:style>
  <w:style w:type="character" w:customStyle="1" w:styleId="26">
    <w:name w:val="页眉 字符"/>
    <w:basedOn w:val="13"/>
    <w:link w:val="9"/>
    <w:qFormat/>
    <w:uiPriority w:val="99"/>
    <w:rPr>
      <w:kern w:val="0"/>
      <w:sz w:val="18"/>
      <w:szCs w:val="18"/>
      <w:lang w:eastAsia="en-US"/>
    </w:rPr>
  </w:style>
  <w:style w:type="character" w:customStyle="1" w:styleId="27">
    <w:name w:val="页脚 字符"/>
    <w:basedOn w:val="13"/>
    <w:link w:val="2"/>
    <w:qFormat/>
    <w:uiPriority w:val="99"/>
    <w:rPr>
      <w:kern w:val="0"/>
      <w:sz w:val="18"/>
      <w:szCs w:val="18"/>
      <w:lang w:eastAsia="en-US"/>
    </w:rPr>
  </w:style>
  <w:style w:type="character" w:customStyle="1" w:styleId="28">
    <w:name w:val="批注框文本 字符"/>
    <w:basedOn w:val="13"/>
    <w:link w:val="8"/>
    <w:semiHidden/>
    <w:qFormat/>
    <w:uiPriority w:val="99"/>
    <w:rPr>
      <w:kern w:val="0"/>
      <w:sz w:val="18"/>
      <w:szCs w:val="18"/>
      <w:lang w:eastAsia="en-US"/>
    </w:rPr>
  </w:style>
  <w:style w:type="character" w:customStyle="1" w:styleId="29">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495</Words>
  <Characters>2828</Characters>
  <Lines>23</Lines>
  <Paragraphs>6</Paragraphs>
  <TotalTime>2</TotalTime>
  <ScaleCrop>false</ScaleCrop>
  <LinksUpToDate>false</LinksUpToDate>
  <CharactersWithSpaces>3317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2019-08-21T07:58:00Z</dcterms:created>
  <dc:creator>王琴</dc:creator>
  <cp:lastModifiedBy>关宏博</cp:lastModifiedBy>
  <cp:lastPrinted>2025-06-13T05:50:00Z</cp:lastPrinted>
  <dcterms:modified xsi:type="dcterms:W3CDTF">2025-07-11T09:09:11Z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A8F81396670B42B985C1098FBDFAB9A6</vt:lpwstr>
  </property>
</Properties>
</file>