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7755">
      <w:pPr>
        <w:jc w:val="center"/>
        <w:rPr>
          <w:rFonts w:cs="宋体"/>
          <w:b/>
          <w:color w:val="auto"/>
          <w:sz w:val="32"/>
          <w:szCs w:val="32"/>
          <w:highlight w:val="none"/>
        </w:rPr>
      </w:pPr>
      <w:bookmarkStart w:id="9" w:name="_GoBack"/>
      <w:r>
        <w:rPr>
          <w:rFonts w:hint="eastAsia" w:cs="宋体"/>
          <w:b/>
          <w:color w:val="auto"/>
          <w:sz w:val="32"/>
          <w:szCs w:val="32"/>
          <w:highlight w:val="none"/>
        </w:rPr>
        <w:t>采购需求</w:t>
      </w:r>
    </w:p>
    <w:p w14:paraId="30D92352">
      <w:pPr>
        <w:spacing w:line="360" w:lineRule="auto"/>
        <w:jc w:val="center"/>
        <w:outlineLvl w:val="2"/>
        <w:rPr>
          <w:rFonts w:hint="eastAsia" w:cs="宋体"/>
          <w:b/>
          <w:color w:val="auto"/>
          <w:sz w:val="30"/>
          <w:szCs w:val="30"/>
          <w:highlight w:val="none"/>
        </w:rPr>
      </w:pPr>
      <w:bookmarkStart w:id="0" w:name="_Toc11493"/>
      <w:bookmarkStart w:id="1" w:name="_Toc9179"/>
      <w:r>
        <w:rPr>
          <w:rFonts w:hint="eastAsia" w:cs="宋体"/>
          <w:b/>
          <w:color w:val="auto"/>
          <w:sz w:val="30"/>
          <w:szCs w:val="30"/>
          <w:highlight w:val="none"/>
        </w:rPr>
        <w:t>第一节、采购清单及技术参数</w:t>
      </w:r>
      <w:bookmarkEnd w:id="0"/>
      <w:bookmarkEnd w:id="1"/>
    </w:p>
    <w:tbl>
      <w:tblPr>
        <w:tblStyle w:val="9"/>
        <w:tblW w:w="13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9"/>
        <w:gridCol w:w="8461"/>
        <w:gridCol w:w="1313"/>
        <w:gridCol w:w="2043"/>
      </w:tblGrid>
      <w:tr w14:paraId="1A0F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036BE4F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2" w:name="_Toc18860_WPSOffice_Level1"/>
            <w:bookmarkStart w:id="3" w:name="_Toc4861"/>
            <w:bookmarkStart w:id="4" w:name="_Toc9914"/>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3AC3B3D0">
            <w:pPr>
              <w:pStyle w:val="3"/>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规格型号、参数或要求</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71DE180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60EBC1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00E8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1F6C01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站台屏蔽门实训平台</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5B30B12B">
            <w:pPr>
              <w:pStyle w:val="5"/>
              <w:numPr>
                <w:ilvl w:val="0"/>
                <w:numId w:val="1"/>
              </w:num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实训平台组成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屏蔽门实训平台包括1对滑动门、1扇固定门、1套应急门、顶箱、立柱和底座、门机、手动解锁装置和1套贴图标识。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2、实训平台功能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屏蔽门实训平台是城市轨道交通屏蔽门系统进行安装调试、维护保养以及故障处理综合仿真实训系统。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3、主要技术参数。</w:t>
            </w:r>
          </w:p>
          <w:p w14:paraId="075B1CC8">
            <w:pPr>
              <w:pStyle w:val="5"/>
              <w:numPr>
                <w:ilvl w:val="0"/>
                <w:numId w:val="0"/>
              </w:num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3.1、站台屏蔽门尺寸；总体尺寸：约4710mm(宽)×3000mm(高)×1070mm(深)；乘客上、下车通道尺寸：水平通过（宽）：1900mm；垂直通过（高）：约1900mm其余尺寸如图标注：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3.2、滑动门。尺寸（单扇）：945</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×2273</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；钢化玻璃尺寸：2065</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×945</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×8</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；门框材料：1.2mm不锈钢；支持门重2×120公斤（未考虑风压）； 手动解锁后的手动开启力：≦100牛顿；自动关闭锁紧力：≧100牛顿；开关门运行速度200-400毫米/秒 ；开关门形式：中分双开。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3.3、固定门固定门尺寸：1225mm×2175mm；钢化玻璃：2065mm×1225mm×8mm。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3.4、应急门应急门尺寸：1160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×2130mm；钢化玻璃：2025</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×1160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×8mm。采用与现场应急门一样的开启方式，满足应急处理实训。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3.5、顶箱材料：1.5mm薄板；外观：油漆后表面涂层无皱皮、流坠、针眼和气泡。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3.6、立柱和底座结构：可分拆式。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3.7、门机内装安全保护线路，频繁开闭也可达到长期无故障运行；当门扇关门进行中，遇障碍物或人体等异常状况时，门扇可立即反转退回。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3.8、手动解锁 各零件安装紧固。</w:t>
            </w:r>
          </w:p>
          <w:p w14:paraId="69070542">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站台屏蔽门实训平台</w:t>
            </w:r>
            <w:r>
              <w:rPr>
                <w:rFonts w:hint="eastAsia" w:ascii="宋体" w:hAnsi="宋体" w:eastAsia="宋体" w:cs="宋体"/>
                <w:color w:val="auto"/>
                <w:sz w:val="24"/>
                <w:szCs w:val="24"/>
                <w:highlight w:val="none"/>
                <w:lang w:val="en-US" w:eastAsia="zh-CN"/>
              </w:rPr>
              <w:t>要求能支持全国性城市轨道交通站台门相关赛项的技术要求，投标人或制造商需能提供举办过全国性城市轨道交通站台门相关赛项的证明材料。</w:t>
            </w:r>
          </w:p>
          <w:p w14:paraId="3FD4FE42">
            <w:pPr>
              <w:pStyle w:val="6"/>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城轨专业实训建设发展规划，为保障城轨实训设备的实训效果及联动性，站台屏蔽门实训平台建设完成后，其中一套放置在三楼实训室单独使用；另一套放置在一楼实训区，需要与早期建设的地铁车厢及车控室与OCC控制中心联动使用，联动效果需要达到如下要求：</w:t>
            </w:r>
          </w:p>
          <w:p w14:paraId="27968B8D">
            <w:pPr>
              <w:pStyle w:val="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①通过车站控制室IBP盘能够对站台门进行紧急开关门操作；</w:t>
            </w:r>
          </w:p>
          <w:p w14:paraId="09496D2C">
            <w:pPr>
              <w:pStyle w:val="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②通过OCC控制中心能够实时监测站台门的状态信息，可以模拟紧急情况下对站台门的开关门操作；</w:t>
            </w:r>
          </w:p>
          <w:p w14:paraId="753BA4C2">
            <w:pPr>
              <w:pStyle w:val="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③站台门能够以已建设的车厢电动客室门进行联动开启关闭操作，即司机室操作车门开启和关闭时，站台门能够与车门同步开启关闭；</w:t>
            </w:r>
          </w:p>
          <w:p w14:paraId="11FD0D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2"/>
                <w:sz w:val="24"/>
                <w:szCs w:val="24"/>
                <w:highlight w:val="none"/>
                <w:lang w:val="en-US" w:eastAsia="zh-CN" w:bidi="ar-SA"/>
              </w:rPr>
              <w:t>★投标人须充分知悉上述系统联动全部要求，应在投标文件内提供详实可行的联动技术方案、正式联动接口协议文本，并附加盖公章的联动承诺函。</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6F947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C1C1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CAD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9CA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PSL就地控制盘</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4153262D">
            <w:pPr>
              <w:pStyle w:val="5"/>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将“操作允许”开关置于“ON”位置时，“开/关门”旋钮可打开和关闭屏蔽门。能向监控系统反馈操作状态信息，控制PSD的开门、关门操作，能发送“ASD/EED”互锁解除信号，盘面应包括操作允许钥匙开关、开/关门钥匙开关、ASD/EED 互锁解除钥匙开关、测试按钮，并配置 PSL 操作状态指示灯、开/关门状态指示灯、ASD/EED 状态指示灯， 所有开关及指示灯需配置中文标识。</w:t>
            </w:r>
          </w:p>
          <w:p w14:paraId="2D3FD2C0">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w:t>
            </w:r>
            <w:r>
              <w:rPr>
                <w:rFonts w:hint="default" w:ascii="宋体" w:hAnsi="宋体" w:eastAsia="宋体" w:cs="宋体"/>
                <w:color w:val="auto"/>
                <w:sz w:val="24"/>
                <w:szCs w:val="24"/>
                <w:highlight w:val="none"/>
                <w:lang w:val="en-US" w:eastAsia="zh-CN"/>
              </w:rPr>
              <w:t>城轨站台门智慧运维监测系统</w:t>
            </w:r>
            <w:r>
              <w:rPr>
                <w:rFonts w:hint="eastAsia" w:ascii="宋体" w:hAnsi="宋体" w:eastAsia="宋体" w:cs="宋体"/>
                <w:color w:val="auto"/>
                <w:sz w:val="24"/>
                <w:szCs w:val="24"/>
                <w:highlight w:val="none"/>
                <w:lang w:val="en-US" w:eastAsia="zh-CN"/>
              </w:rPr>
              <w:t>（1套）</w:t>
            </w:r>
          </w:p>
          <w:p w14:paraId="615A14E0">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城轨站台门智慧运维监测系统用于监控站台门工作状态并记录相关数据信息，同时站台门智慧运维监测软件可虚拟显示整侧站台门信息，能对系统关键设备的使用时长进行监测并预警使用寿命。城轨站台门智能运维实训系统可以采集站台门多种数据，包括但不限于：①设备状态数据：包括站台门开关门状态、指示灯状态、互锁解除状态等。②运行参数数据：如控制电源、驱动电源、工作电压、工作电流等。③故障信息数据：当站台门系统出现故障时，系统能够实时采集故障信息，包括故障现象、故障原因等。④关键设备的运行次数监测及使用寿命预警。</w:t>
            </w:r>
          </w:p>
          <w:p w14:paraId="40097C44">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（2）站台门智慧运维监测系统具备门机监视功能、车站监视信息功能及继电器控制单元监视功能等。</w:t>
            </w:r>
          </w:p>
          <w:p w14:paraId="438EFD9B">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（3）门机监视功能。</w:t>
            </w:r>
          </w:p>
          <w:p w14:paraId="2868556E">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（4）车站监视信息。</w:t>
            </w:r>
          </w:p>
          <w:p w14:paraId="0D97DEF3">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（5）安全继电器监视功能。</w:t>
            </w:r>
          </w:p>
          <w:p w14:paraId="292825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（6）信息查询功能。</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FBB4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562D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468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74F8535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LCB就地控制盒</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52C2468F">
            <w:pPr>
              <w:pStyle w:val="5"/>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就地控制盒，LCB设“自动、手动关、手动开、隔离”四位钥匙开关；每道门无论发生网络通信故障、电源故障、DCU、门机故障以及其它故障，均可通过就地控制盒（LCB）使此单元隔离。</w:t>
            </w:r>
          </w:p>
          <w:p w14:paraId="09C6F049">
            <w:pPr>
              <w:pStyle w:val="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▲配套站台门虚拟巡检作业系统（1套）</w:t>
            </w:r>
          </w:p>
          <w:p w14:paraId="73B76585">
            <w:pPr>
              <w:pStyle w:val="5"/>
              <w:rPr>
                <w:rFonts w:hint="default" w:ascii="宋体" w:hAnsi="宋体" w:eastAsia="宋体" w:cs="宋体"/>
                <w:color w:val="auto"/>
                <w:sz w:val="24"/>
                <w:szCs w:val="24"/>
                <w:highlight w:val="none"/>
                <w:lang w:val="en-US" w:eastAsia="zh-CN"/>
              </w:rPr>
            </w:pPr>
            <w:bookmarkStart w:id="5" w:name="_Toc16845"/>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教师机系统</w:t>
            </w:r>
            <w:bookmarkEnd w:id="5"/>
          </w:p>
          <w:p w14:paraId="27772DD7">
            <w:pPr>
              <w:pStyle w:val="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教师机系统具有用户信息管理、学习实训任务管理、考核任务管理、数据查询管理等。 </w:t>
            </w:r>
          </w:p>
          <w:p w14:paraId="16C284BA">
            <w:pPr>
              <w:pStyle w:val="5"/>
              <w:rPr>
                <w:rFonts w:hint="default" w:ascii="宋体" w:hAnsi="宋体" w:eastAsia="宋体" w:cs="宋体"/>
                <w:color w:val="auto"/>
                <w:sz w:val="24"/>
                <w:szCs w:val="24"/>
                <w:highlight w:val="none"/>
                <w:lang w:val="en-US" w:eastAsia="zh-CN"/>
              </w:rPr>
            </w:pPr>
            <w:bookmarkStart w:id="6" w:name="_Toc5147"/>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学生机系统</w:t>
            </w:r>
            <w:bookmarkEnd w:id="6"/>
          </w:p>
          <w:p w14:paraId="6884A627">
            <w:pPr>
              <w:pStyle w:val="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学生机系统具有用户登录功能、任务提示功能、成绩反馈功能。</w:t>
            </w:r>
          </w:p>
          <w:p w14:paraId="5637857E">
            <w:pPr>
              <w:pStyle w:val="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站台门虚拟巡检作业</w:t>
            </w:r>
          </w:p>
          <w:p w14:paraId="6B40FE2E">
            <w:pPr>
              <w:pStyle w:val="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系统按照标准车站站台门设备布置进行模拟，作业环境包含滑动门、固定门、应急门、端门等相关设备。包含站台门的操作、常见故障处置、设备维护检修等内容。</w:t>
            </w:r>
          </w:p>
          <w:p w14:paraId="02678CC0">
            <w:pPr>
              <w:pStyle w:val="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w:t>
            </w:r>
            <w:r>
              <w:rPr>
                <w:rFonts w:hint="default" w:ascii="宋体" w:hAnsi="宋体" w:eastAsia="宋体" w:cs="宋体"/>
                <w:color w:val="auto"/>
                <w:sz w:val="24"/>
                <w:szCs w:val="24"/>
                <w:highlight w:val="none"/>
                <w:lang w:val="en-US" w:eastAsia="zh-CN"/>
              </w:rPr>
              <w:t>具备在地铁实际运营公司进行拍摄和取材的证明文件，需提供国内地铁实际运营单位的证明文件复印件加盖公章。</w:t>
            </w:r>
          </w:p>
          <w:p w14:paraId="7DE953EF">
            <w:pPr>
              <w:pStyle w:val="5"/>
              <w:numPr>
                <w:ilvl w:val="0"/>
                <w:numId w:val="0"/>
              </w:num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配套巡检工作站（1套）</w:t>
            </w:r>
          </w:p>
          <w:p w14:paraId="4F7168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配置要求不低于：CPU:I5处理器，8G内存，</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512G硬盘，独立显卡，Windows10及以上操作系统，含有西门子工业控制软件及授权，用于安装站台门虚拟巡检作业系统。</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ADDB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68447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72F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21CA63C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综合模拟控制盘</w:t>
            </w:r>
          </w:p>
          <w:p w14:paraId="155543B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（核心产品）</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1E4542DA">
            <w:pPr>
              <w:pStyle w:val="5"/>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*600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1900mm；采用铁板焊接成型，表面喷塑处理，颜色灰色，柜体后门带执手锁，柜内配备垂直安装板，柜体下部配备福马轮，两侧设置侧门，满足触摸屏安装及操作，配备通用标准电工板，方便电气安装及接线操作。</w:t>
            </w:r>
          </w:p>
          <w:p w14:paraId="50065CD4">
            <w:pPr>
              <w:pStyle w:val="5"/>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具有IBP盘、SIG模块；</w:t>
            </w:r>
          </w:p>
          <w:p w14:paraId="792BB262">
            <w:pPr>
              <w:pStyle w:val="5"/>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default" w:ascii="宋体" w:hAnsi="宋体" w:eastAsia="宋体" w:cs="宋体"/>
                <w:b w:val="0"/>
                <w:bCs w:val="0"/>
                <w:color w:val="auto"/>
                <w:sz w:val="24"/>
                <w:szCs w:val="24"/>
                <w:highlight w:val="none"/>
                <w:lang w:val="en-US" w:eastAsia="zh-CN"/>
              </w:rPr>
              <w:t>IBP模块对接站台门操作端口及电气接口，实现站台门系统站台级控制，具备模拟应急操作功能。</w:t>
            </w:r>
          </w:p>
          <w:p w14:paraId="05F2930B">
            <w:pPr>
              <w:pStyle w:val="5"/>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SIG模块对接站台门操作端口及电气接口，具备模拟信号系统对站台门的控制功能，可模拟列车发出的开关门指令。</w:t>
            </w:r>
          </w:p>
          <w:p w14:paraId="41135BEE">
            <w:pPr>
              <w:pStyle w:val="5"/>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综合模拟控制盘同时具备PLC程序编程及触摸屏的组态功能，用于对站台门控制系统的学习与考核</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具备站台门站台级控制电路接口电路及逻辑电路</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可进行站台级控制电路接口电路及逻辑电路的配线、线路安装实训，同时具备考核功能。</w:t>
            </w:r>
          </w:p>
          <w:p w14:paraId="0D65AE20">
            <w:pPr>
              <w:pStyle w:val="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▲投标人需在投标文件中提供城市轨道交通屏蔽门检修工真实现场初、中、高级工、技师的对应地铁现场技能鉴定题库，理论题库不少于750道、实操题库不少于50道。</w:t>
            </w:r>
          </w:p>
          <w:p w14:paraId="6BEAD19E">
            <w:pPr>
              <w:pStyle w:val="5"/>
              <w:rPr>
                <w:rFonts w:hint="eastAsia" w:ascii="宋体" w:hAnsi="宋体" w:eastAsia="宋体" w:cs="宋体"/>
                <w:i w:val="0"/>
                <w:iCs w:val="0"/>
                <w:color w:val="auto"/>
                <w:sz w:val="24"/>
                <w:szCs w:val="24"/>
                <w:highlight w:val="none"/>
                <w:u w:val="none"/>
              </w:rPr>
            </w:pPr>
            <w:r>
              <w:rPr>
                <w:rFonts w:hint="default" w:ascii="宋体" w:hAnsi="宋体" w:eastAsia="宋体" w:cs="宋体"/>
                <w:color w:val="auto"/>
                <w:sz w:val="24"/>
                <w:szCs w:val="24"/>
                <w:highlight w:val="none"/>
                <w:lang w:val="en-US" w:eastAsia="zh-CN"/>
              </w:rPr>
              <w:t>▲本项目需</w:t>
            </w:r>
            <w:r>
              <w:rPr>
                <w:rFonts w:hint="eastAsia" w:ascii="宋体" w:hAnsi="宋体" w:eastAsia="宋体" w:cs="宋体"/>
                <w:color w:val="auto"/>
                <w:sz w:val="24"/>
                <w:szCs w:val="24"/>
                <w:highlight w:val="none"/>
                <w:lang w:val="en-US" w:eastAsia="zh-CN"/>
              </w:rPr>
              <w:t>在投标文件中</w:t>
            </w:r>
            <w:r>
              <w:rPr>
                <w:rFonts w:hint="default" w:ascii="宋体" w:hAnsi="宋体" w:eastAsia="宋体" w:cs="宋体"/>
                <w:color w:val="auto"/>
                <w:sz w:val="24"/>
                <w:szCs w:val="24"/>
                <w:highlight w:val="none"/>
                <w:lang w:val="en-US" w:eastAsia="zh-CN"/>
              </w:rPr>
              <w:t>提供城市轨道交通屏蔽门检修工职业技能鉴定站的管理细则与鉴定流程。</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D4F2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325A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E80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2C68F85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PSC中央接口盘</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4A8AE6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控制柜规格尺寸：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800mm*600mm*1900mm；采用铁板焊接成型，表面喷塑处理，颜色灰色，柜体后门带执手锁，柜内配备水平安装板、垂直安装板，柜体下部配备福马轮，两侧设置侧门，柜内设置排风扇，整体满足计算机主机、显示器、鼠标键盘安装操作，配备笔记本操作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配备计算机1台，CPU:I5处理器，4G内存，1T机械硬盘，集成显卡。显示器1台，</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21.0英寸，分辨率：</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1920*1080，背光类型：LED背光，屏幕比例：16:9（宽屏）</w:t>
            </w: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501AA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2882C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E01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6EF85F5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工具柜及检修工具</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750F2CF0">
            <w:pPr>
              <w:pStyle w:val="5"/>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一、1.标准工具柜，规格：</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1100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*600</w:t>
            </w:r>
            <w:r>
              <w:rPr>
                <w:rFonts w:hint="eastAsia" w:eastAsia="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1950mm；采用铁板焊接成型，表面喷塑处理，颜色灰色，柜体分两个区域，一边放置工具、耗材、备品及配件，一边放置人字梯，柜体前设一扇带钢化玻璃柜门，一扇平开门。两扇柜门均带执手锁，柜内配备水平层板，柜体下部配备福马轮，整体满足各工具、耗材、备品、配件、人字梯存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2.接近开关（LJ12A3-4-Z/BX,出线1米）4个、门电磁锁（DC24V）1个、门DCU（与站台门配套用）1套</w:t>
            </w:r>
          </w:p>
          <w:p w14:paraId="7FD2ED74">
            <w:pPr>
              <w:pStyle w:val="5"/>
              <w:rPr>
                <w:rFonts w:hint="eastAsia"/>
                <w:color w:val="auto"/>
                <w:sz w:val="24"/>
                <w:szCs w:val="24"/>
                <w:highlight w:val="none"/>
                <w:lang w:val="en-US" w:eastAsia="zh-CN"/>
              </w:rPr>
            </w:pPr>
            <w:r>
              <w:rPr>
                <w:rFonts w:hint="eastAsia"/>
                <w:color w:val="auto"/>
                <w:sz w:val="24"/>
                <w:szCs w:val="24"/>
                <w:highlight w:val="none"/>
                <w:lang w:val="en-US" w:eastAsia="zh-CN"/>
              </w:rPr>
              <w:t>▲配套列控中心仿真课件资源（1套）。</w:t>
            </w:r>
          </w:p>
          <w:p w14:paraId="44674D00">
            <w:pPr>
              <w:pStyle w:val="5"/>
              <w:rPr>
                <w:rFonts w:hint="eastAsia"/>
                <w:color w:val="auto"/>
                <w:sz w:val="24"/>
                <w:szCs w:val="24"/>
                <w:lang w:val="en-US" w:eastAsia="zh-CN"/>
              </w:rPr>
            </w:pPr>
            <w:r>
              <w:rPr>
                <w:rFonts w:hint="eastAsia"/>
                <w:color w:val="auto"/>
                <w:sz w:val="24"/>
                <w:szCs w:val="24"/>
                <w:lang w:val="en-US" w:eastAsia="zh-CN"/>
              </w:rPr>
              <w:t>根据轨道区段占用信息、联锁进路信息、线路限速信息等，产生列车行车许可命令，并通过轨道电路和有源应答器，传输给车载子系统，保证其管辖内的所有列车的运行安全。</w:t>
            </w:r>
          </w:p>
          <w:p w14:paraId="54FB2B0A">
            <w:pPr>
              <w:pStyle w:val="5"/>
              <w:rPr>
                <w:rFonts w:hint="eastAsia"/>
                <w:color w:val="auto"/>
                <w:sz w:val="24"/>
                <w:szCs w:val="24"/>
                <w:highlight w:val="none"/>
                <w:lang w:val="en-US" w:eastAsia="zh-CN"/>
              </w:rPr>
            </w:pPr>
            <w:r>
              <w:rPr>
                <w:rFonts w:hint="eastAsia"/>
                <w:color w:val="auto"/>
                <w:sz w:val="24"/>
                <w:szCs w:val="24"/>
                <w:lang w:val="en-US" w:eastAsia="zh-CN"/>
              </w:rPr>
              <w:t>提供符合上述课件资源要求的功能界面至少4张图片展示。</w:t>
            </w:r>
          </w:p>
          <w:p w14:paraId="1D8A476A">
            <w:pPr>
              <w:pStyle w:val="5"/>
              <w:rPr>
                <w:rFonts w:hint="eastAsia"/>
                <w:color w:val="auto"/>
                <w:sz w:val="24"/>
                <w:szCs w:val="24"/>
                <w:highlight w:val="none"/>
                <w:lang w:val="en-US" w:eastAsia="zh-CN"/>
              </w:rPr>
            </w:pPr>
            <w:r>
              <w:rPr>
                <w:rFonts w:hint="eastAsia"/>
                <w:color w:val="auto"/>
                <w:sz w:val="24"/>
                <w:szCs w:val="24"/>
                <w:highlight w:val="none"/>
                <w:lang w:val="en-US" w:eastAsia="zh-CN"/>
              </w:rPr>
              <w:t>▲配套站台门动画课程资源（1套）</w:t>
            </w:r>
          </w:p>
          <w:p w14:paraId="50BE0099">
            <w:pPr>
              <w:pStyle w:val="5"/>
              <w:rPr>
                <w:rFonts w:hint="eastAsia"/>
                <w:color w:val="auto"/>
                <w:sz w:val="24"/>
                <w:szCs w:val="24"/>
                <w:highlight w:val="none"/>
                <w:lang w:val="en-US" w:eastAsia="zh-CN"/>
              </w:rPr>
            </w:pPr>
            <w:r>
              <w:rPr>
                <w:rFonts w:hint="eastAsia"/>
                <w:color w:val="auto"/>
                <w:sz w:val="24"/>
                <w:szCs w:val="24"/>
                <w:highlight w:val="none"/>
                <w:lang w:val="en-US" w:eastAsia="zh-CN"/>
              </w:rPr>
              <w:t>视频总时长不少于10min，清晰度不低于1080p。</w:t>
            </w:r>
          </w:p>
          <w:p w14:paraId="487BED9C">
            <w:pPr>
              <w:pStyle w:val="5"/>
              <w:rPr>
                <w:rFonts w:hint="default"/>
                <w:color w:val="auto"/>
                <w:sz w:val="24"/>
                <w:szCs w:val="24"/>
                <w:highlight w:val="none"/>
                <w:lang w:val="en-US" w:eastAsia="zh-CN"/>
              </w:rPr>
            </w:pPr>
            <w:r>
              <w:rPr>
                <w:rFonts w:hint="eastAsia"/>
                <w:color w:val="auto"/>
                <w:sz w:val="24"/>
                <w:szCs w:val="24"/>
                <w:highlight w:val="none"/>
                <w:lang w:val="en-US" w:eastAsia="zh-CN"/>
              </w:rPr>
              <w:t>动画视频内容应包含：地铁安全应急知识、屏蔽门、屏蔽门夹物应急处理等</w:t>
            </w:r>
          </w:p>
          <w:p w14:paraId="06AC5549">
            <w:pPr>
              <w:pStyle w:val="5"/>
              <w:rPr>
                <w:rFonts w:hint="eastAsia"/>
                <w:color w:val="auto"/>
                <w:sz w:val="24"/>
                <w:szCs w:val="24"/>
                <w:highlight w:val="none"/>
                <w:lang w:val="en-US" w:eastAsia="zh-CN"/>
              </w:rPr>
            </w:pPr>
            <w:r>
              <w:rPr>
                <w:rFonts w:hint="eastAsia"/>
                <w:color w:val="auto"/>
                <w:sz w:val="24"/>
                <w:szCs w:val="24"/>
                <w:highlight w:val="none"/>
                <w:lang w:val="en-US" w:eastAsia="zh-CN"/>
              </w:rPr>
              <w:t>▲配套站台门技能实拍视频资源（1套）</w:t>
            </w:r>
          </w:p>
          <w:p w14:paraId="32759833">
            <w:pPr>
              <w:pStyle w:val="5"/>
              <w:rPr>
                <w:rFonts w:hint="eastAsia"/>
                <w:color w:val="auto"/>
                <w:sz w:val="24"/>
                <w:szCs w:val="24"/>
                <w:highlight w:val="none"/>
                <w:lang w:val="en-US" w:eastAsia="zh-CN"/>
              </w:rPr>
            </w:pPr>
            <w:r>
              <w:rPr>
                <w:rFonts w:hint="eastAsia"/>
                <w:color w:val="auto"/>
                <w:sz w:val="24"/>
                <w:szCs w:val="24"/>
                <w:highlight w:val="none"/>
                <w:lang w:val="en-US" w:eastAsia="zh-CN"/>
              </w:rPr>
              <w:t>实训实拍视频总时长不少于20min，清晰度不低于1080p。</w:t>
            </w:r>
          </w:p>
          <w:p w14:paraId="5BAA0957">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color w:val="auto"/>
                <w:sz w:val="24"/>
                <w:szCs w:val="24"/>
                <w:highlight w:val="none"/>
                <w:lang w:val="en-US" w:eastAsia="zh-CN"/>
              </w:rPr>
              <w:t>技能视频内容应包含：站台安全门站台级控制操作、站台安全门手动级控制操作、站台安全门常见故障处理、站台门调控实训系统的站台门锁闭回路故障处理、站台门调控实训系统的站台门与信号系统联动故障处理、站台门调控实训系统DCU故障处理的操作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二、包含检修工具如下：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1.平头内六角扳手 1 套；</w:t>
            </w:r>
          </w:p>
          <w:p w14:paraId="50673D3C">
            <w:pPr>
              <w:numPr>
                <w:ilvl w:val="0"/>
                <w:numId w:val="2"/>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试电笔 1 支；</w:t>
            </w:r>
          </w:p>
          <w:p w14:paraId="59C06791">
            <w:pPr>
              <w:numPr>
                <w:ilvl w:val="0"/>
                <w:numId w:val="2"/>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螺丝刀组合套装 1 套；</w:t>
            </w:r>
          </w:p>
          <w:p w14:paraId="0F322664">
            <w:pPr>
              <w:numPr>
                <w:ilvl w:val="0"/>
                <w:numId w:val="2"/>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剪线钳 1 把；</w:t>
            </w:r>
          </w:p>
          <w:p w14:paraId="712DB3FA">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5.剥线钳 2 把；</w:t>
            </w:r>
          </w:p>
          <w:p w14:paraId="30052E6B">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6.压线钳 2 把；</w:t>
            </w:r>
          </w:p>
          <w:p w14:paraId="7D4C0CBB">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7.万用表 1 台；</w:t>
            </w:r>
          </w:p>
          <w:p w14:paraId="3A34967D">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8.羊毛刷 2 把；</w:t>
            </w:r>
          </w:p>
          <w:p w14:paraId="6272DF93">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9.三层手推工具车 1 台；</w:t>
            </w:r>
          </w:p>
          <w:p w14:paraId="7FCB5E0F">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10.0.5平方单股软导线（实训耗材）1 批；</w:t>
            </w:r>
          </w:p>
          <w:p w14:paraId="595530D6">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压线冷压端子（实训耗材） 5 包；</w:t>
            </w:r>
          </w:p>
          <w:p w14:paraId="2E2CECCE">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接线端子排 1 批；</w:t>
            </w:r>
          </w:p>
          <w:p w14:paraId="5A5816C7">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工作手套 2 双；</w:t>
            </w:r>
          </w:p>
          <w:p w14:paraId="5C84961C">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安全帽 2 个；</w:t>
            </w:r>
          </w:p>
          <w:p w14:paraId="62787A8C">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手电筒 2 个；</w:t>
            </w:r>
          </w:p>
          <w:p w14:paraId="2EBCB224">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工作服 2 套；</w:t>
            </w:r>
          </w:p>
          <w:p w14:paraId="1FA7DF90">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人字梯 1 架；</w:t>
            </w:r>
          </w:p>
          <w:p w14:paraId="45F14299">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扳手套装 1 套；</w:t>
            </w:r>
          </w:p>
          <w:p w14:paraId="44C10532">
            <w:pPr>
              <w:numPr>
                <w:ilvl w:val="0"/>
                <w:numId w:val="3"/>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活动扳手 1 把；</w:t>
            </w:r>
          </w:p>
          <w:p w14:paraId="78D72675">
            <w:pPr>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20.2Kg单钩砝码 1 个。</w:t>
            </w:r>
          </w:p>
          <w:p w14:paraId="1F474CC2">
            <w:pPr>
              <w:jc w:val="left"/>
              <w:rPr>
                <w:rFonts w:hint="default" w:ascii="宋体" w:hAnsi="宋体" w:eastAsia="宋体" w:cs="宋体"/>
                <w:b w:val="0"/>
                <w:bCs w:val="0"/>
                <w:color w:val="auto"/>
                <w:kern w:val="0"/>
                <w:sz w:val="24"/>
                <w:szCs w:val="24"/>
                <w:highlight w:val="none"/>
                <w:lang w:val="en-US" w:eastAsia="zh-CN" w:bidi="ar-SA"/>
              </w:rPr>
            </w:pPr>
            <w:r>
              <w:rPr>
                <w:rFonts w:hint="eastAsia"/>
                <w:color w:val="auto"/>
                <w:sz w:val="24"/>
                <w:szCs w:val="22"/>
                <w:highlight w:val="none"/>
                <w:lang w:val="en-US" w:eastAsia="zh-CN"/>
              </w:rPr>
              <w:t>▲</w:t>
            </w:r>
            <w:r>
              <w:rPr>
                <w:rFonts w:hint="default" w:ascii="宋体" w:hAnsi="宋体" w:eastAsia="宋体" w:cs="宋体"/>
                <w:b w:val="0"/>
                <w:bCs w:val="0"/>
                <w:color w:val="auto"/>
                <w:kern w:val="0"/>
                <w:sz w:val="24"/>
                <w:szCs w:val="24"/>
                <w:highlight w:val="none"/>
                <w:lang w:val="en-US" w:eastAsia="zh-CN" w:bidi="ar-SA"/>
              </w:rPr>
              <w:t>配套</w:t>
            </w:r>
            <w:r>
              <w:rPr>
                <w:rFonts w:hint="eastAsia" w:ascii="宋体" w:hAnsi="宋体" w:eastAsia="宋体" w:cs="宋体"/>
                <w:b w:val="0"/>
                <w:bCs w:val="0"/>
                <w:color w:val="auto"/>
                <w:kern w:val="0"/>
                <w:sz w:val="24"/>
                <w:szCs w:val="24"/>
                <w:highlight w:val="none"/>
                <w:lang w:val="en-US" w:eastAsia="zh-CN" w:bidi="ar-SA"/>
              </w:rPr>
              <w:t>轨道交通</w:t>
            </w:r>
            <w:r>
              <w:rPr>
                <w:rFonts w:hint="default" w:ascii="宋体" w:hAnsi="宋体" w:eastAsia="宋体" w:cs="宋体"/>
                <w:b w:val="0"/>
                <w:bCs w:val="0"/>
                <w:color w:val="auto"/>
                <w:kern w:val="0"/>
                <w:sz w:val="24"/>
                <w:szCs w:val="24"/>
                <w:highlight w:val="none"/>
                <w:lang w:val="en-US" w:eastAsia="zh-CN" w:bidi="ar-SA"/>
              </w:rPr>
              <w:t>高级修虚拟仿真系统-动力转向架更换虚拟实训</w:t>
            </w:r>
            <w:r>
              <w:rPr>
                <w:rFonts w:hint="eastAsia" w:ascii="宋体" w:hAnsi="宋体" w:eastAsia="宋体" w:cs="宋体"/>
                <w:b w:val="0"/>
                <w:bCs w:val="0"/>
                <w:color w:val="auto"/>
                <w:kern w:val="0"/>
                <w:sz w:val="24"/>
                <w:szCs w:val="24"/>
                <w:highlight w:val="none"/>
                <w:lang w:val="en-US" w:eastAsia="zh-CN" w:bidi="ar-SA"/>
              </w:rPr>
              <w:t>课件</w:t>
            </w:r>
            <w:r>
              <w:rPr>
                <w:rFonts w:hint="default" w:ascii="宋体" w:hAnsi="宋体" w:eastAsia="宋体" w:cs="宋体"/>
                <w:b w:val="0"/>
                <w:bCs w:val="0"/>
                <w:color w:val="auto"/>
                <w:kern w:val="0"/>
                <w:sz w:val="24"/>
                <w:szCs w:val="24"/>
                <w:highlight w:val="none"/>
                <w:lang w:val="en-US" w:eastAsia="zh-CN" w:bidi="ar-SA"/>
              </w:rPr>
              <w:t>资源</w:t>
            </w:r>
            <w:r>
              <w:rPr>
                <w:rFonts w:hint="eastAsia" w:ascii="宋体" w:hAnsi="宋体" w:eastAsia="宋体" w:cs="宋体"/>
                <w:b w:val="0"/>
                <w:bCs w:val="0"/>
                <w:color w:val="auto"/>
                <w:kern w:val="0"/>
                <w:sz w:val="24"/>
                <w:szCs w:val="24"/>
                <w:highlight w:val="none"/>
                <w:lang w:val="en-US" w:eastAsia="zh-CN" w:bidi="ar-SA"/>
              </w:rPr>
              <w:t>（1套）</w:t>
            </w:r>
            <w:r>
              <w:rPr>
                <w:rFonts w:hint="default" w:ascii="宋体" w:hAnsi="宋体" w:eastAsia="宋体" w:cs="宋体"/>
                <w:b w:val="0"/>
                <w:bCs w:val="0"/>
                <w:color w:val="auto"/>
                <w:kern w:val="0"/>
                <w:sz w:val="24"/>
                <w:szCs w:val="24"/>
                <w:highlight w:val="none"/>
                <w:lang w:val="en-US" w:eastAsia="zh-CN" w:bidi="ar-SA"/>
              </w:rPr>
              <w:t>。</w:t>
            </w:r>
          </w:p>
          <w:p w14:paraId="075AA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color w:val="auto"/>
                <w:kern w:val="0"/>
                <w:sz w:val="24"/>
                <w:szCs w:val="24"/>
                <w:lang w:val="en-US" w:eastAsia="zh-CN" w:bidi="ar-SA"/>
              </w:rPr>
              <w:t>需能展示</w:t>
            </w:r>
            <w:r>
              <w:rPr>
                <w:rFonts w:hint="default" w:ascii="宋体" w:hAnsi="宋体" w:eastAsia="宋体" w:cs="宋体"/>
                <w:b w:val="0"/>
                <w:bCs w:val="0"/>
                <w:color w:val="auto"/>
                <w:kern w:val="0"/>
                <w:sz w:val="24"/>
                <w:szCs w:val="24"/>
                <w:lang w:val="en-US" w:eastAsia="zh-CN" w:bidi="ar-SA"/>
              </w:rPr>
              <w:t>实训模式和考核模式两种不同的模式</w:t>
            </w:r>
            <w:r>
              <w:rPr>
                <w:rFonts w:hint="eastAsia" w:ascii="宋体" w:hAnsi="宋体" w:eastAsia="宋体" w:cs="宋体"/>
                <w:b w:val="0"/>
                <w:bCs w:val="0"/>
                <w:color w:val="auto"/>
                <w:kern w:val="0"/>
                <w:sz w:val="24"/>
                <w:szCs w:val="24"/>
                <w:lang w:val="en-US" w:eastAsia="zh-CN" w:bidi="ar-SA"/>
              </w:rPr>
              <w:t>：</w:t>
            </w:r>
            <w:r>
              <w:rPr>
                <w:rFonts w:hint="default" w:ascii="宋体" w:hAnsi="宋体" w:eastAsia="宋体" w:cs="宋体"/>
                <w:b w:val="0"/>
                <w:bCs w:val="0"/>
                <w:color w:val="auto"/>
                <w:kern w:val="0"/>
                <w:sz w:val="24"/>
                <w:szCs w:val="24"/>
                <w:lang w:val="en-US" w:eastAsia="zh-CN" w:bidi="ar-SA"/>
              </w:rPr>
              <w:t>实训模式是带有语言、文字、高光提示引导学员按照流程以第一人称方试进行实训演练，考核模式可以通过教员端设置考核时间限制和考核分数，在考核模式下学员端不带操作提示，考核完成后或者考核时间结束，系统自动提交，学生可以查看考核结果，教员端同时统计。</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553FE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5F34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904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039" w:type="dxa"/>
            <w:tcBorders>
              <w:top w:val="single" w:color="000000" w:sz="4" w:space="0"/>
              <w:left w:val="single" w:color="000000" w:sz="4" w:space="0"/>
              <w:bottom w:val="single" w:color="000000" w:sz="4" w:space="0"/>
              <w:right w:val="single" w:color="000000" w:sz="4" w:space="0"/>
            </w:tcBorders>
            <w:noWrap w:val="0"/>
            <w:vAlign w:val="center"/>
          </w:tcPr>
          <w:p w14:paraId="48891F0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实训室文化建设、窗帘、布线等</w:t>
            </w:r>
          </w:p>
        </w:tc>
        <w:tc>
          <w:tcPr>
            <w:tcW w:w="8461" w:type="dxa"/>
            <w:tcBorders>
              <w:top w:val="single" w:color="000000" w:sz="4" w:space="0"/>
              <w:left w:val="single" w:color="000000" w:sz="4" w:space="0"/>
              <w:bottom w:val="single" w:color="000000" w:sz="4" w:space="0"/>
              <w:right w:val="single" w:color="000000" w:sz="4" w:space="0"/>
            </w:tcBorders>
            <w:noWrap w:val="0"/>
            <w:vAlign w:val="center"/>
          </w:tcPr>
          <w:p w14:paraId="314E2F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符合德育教育、专业引导相关文化建设、文化墙位置的窗帘及布线等。</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10F73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4F268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bl>
    <w:p w14:paraId="27C91FF6">
      <w:pPr>
        <w:ind w:firstLine="241" w:firstLineChars="100"/>
        <w:jc w:val="both"/>
        <w:rPr>
          <w:rFonts w:hint="eastAsia" w:ascii="宋体" w:hAnsi="宋体" w:eastAsia="宋体" w:cs="宋体"/>
          <w:b/>
          <w:color w:val="auto"/>
          <w:sz w:val="24"/>
          <w:szCs w:val="24"/>
          <w:highlight w:val="none"/>
        </w:rPr>
        <w:sectPr>
          <w:pgSz w:w="16838" w:h="11906" w:orient="landscape"/>
          <w:pgMar w:top="1803" w:right="1440" w:bottom="1803" w:left="1440" w:header="850" w:footer="992" w:gutter="0"/>
          <w:pgNumType w:fmt="decimal"/>
          <w:cols w:space="720" w:num="1"/>
          <w:rtlGutter w:val="0"/>
          <w:docGrid w:type="lines" w:linePitch="319" w:charSpace="0"/>
        </w:sectPr>
      </w:pPr>
    </w:p>
    <w:p w14:paraId="45B6CCC5">
      <w:pPr>
        <w:ind w:firstLine="301" w:firstLineChars="100"/>
        <w:jc w:val="both"/>
        <w:rPr>
          <w:rFonts w:cs="宋体"/>
          <w:b/>
          <w:color w:val="auto"/>
          <w:sz w:val="30"/>
          <w:szCs w:val="30"/>
          <w:highlight w:val="none"/>
        </w:rPr>
      </w:pPr>
      <w:r>
        <w:rPr>
          <w:rFonts w:hint="eastAsia" w:cs="宋体"/>
          <w:b/>
          <w:color w:val="auto"/>
          <w:sz w:val="30"/>
          <w:szCs w:val="30"/>
          <w:highlight w:val="none"/>
        </w:rPr>
        <w:t>第二节</w:t>
      </w:r>
      <w:r>
        <w:rPr>
          <w:rFonts w:cs="宋体"/>
          <w:b/>
          <w:color w:val="auto"/>
          <w:sz w:val="30"/>
          <w:szCs w:val="30"/>
          <w:highlight w:val="none"/>
        </w:rPr>
        <w:t>、</w:t>
      </w:r>
      <w:r>
        <w:rPr>
          <w:rFonts w:hint="eastAsia" w:cs="宋体"/>
          <w:b/>
          <w:color w:val="auto"/>
          <w:sz w:val="30"/>
          <w:szCs w:val="30"/>
          <w:highlight w:val="none"/>
        </w:rPr>
        <w:t>商务要求</w:t>
      </w:r>
      <w:bookmarkEnd w:id="2"/>
      <w:bookmarkEnd w:id="3"/>
      <w:bookmarkEnd w:id="4"/>
    </w:p>
    <w:p w14:paraId="0ACFC3E0">
      <w:pPr>
        <w:snapToGrid w:val="0"/>
        <w:spacing w:line="360" w:lineRule="auto"/>
        <w:ind w:firstLine="482" w:firstLineChars="200"/>
        <w:jc w:val="left"/>
        <w:rPr>
          <w:rFonts w:hint="eastAsia" w:ascii="宋体" w:hAnsi="宋体" w:eastAsia="宋体" w:cs="Times New Roman"/>
          <w:color w:val="auto"/>
          <w:sz w:val="24"/>
          <w:szCs w:val="24"/>
          <w:highlight w:val="none"/>
          <w:lang w:eastAsia="zh-CN"/>
        </w:rPr>
      </w:pPr>
      <w:r>
        <w:rPr>
          <w:rFonts w:hint="eastAsia" w:ascii="宋体" w:hAnsi="宋体"/>
          <w:b/>
          <w:bCs/>
          <w:color w:val="auto"/>
          <w:sz w:val="24"/>
          <w:szCs w:val="24"/>
          <w:highlight w:val="none"/>
        </w:rPr>
        <w:t>一、合同履约期限及交货地点：</w:t>
      </w:r>
      <w:r>
        <w:rPr>
          <w:rFonts w:hint="eastAsia" w:ascii="宋体" w:hAnsi="宋体" w:eastAsia="宋体" w:cs="Times New Roman"/>
          <w:color w:val="auto"/>
          <w:sz w:val="24"/>
          <w:szCs w:val="24"/>
          <w:highlight w:val="none"/>
        </w:rPr>
        <w:t>合同履约期限：合同签订后</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个日历日内完成全部</w:t>
      </w:r>
      <w:r>
        <w:rPr>
          <w:rFonts w:hint="eastAsia" w:ascii="宋体" w:hAnsi="宋体" w:eastAsia="宋体" w:cs="Times New Roman"/>
          <w:color w:val="auto"/>
          <w:sz w:val="24"/>
          <w:szCs w:val="24"/>
          <w:highlight w:val="none"/>
          <w:lang w:val="en-US" w:eastAsia="zh-CN"/>
        </w:rPr>
        <w:t>供货，60个日历日完成安装、调试</w:t>
      </w:r>
      <w:r>
        <w:rPr>
          <w:rFonts w:hint="eastAsia" w:ascii="宋体" w:hAnsi="宋体" w:eastAsia="宋体" w:cs="Times New Roman"/>
          <w:color w:val="auto"/>
          <w:sz w:val="24"/>
          <w:szCs w:val="24"/>
          <w:highlight w:val="none"/>
        </w:rPr>
        <w:t>并验收</w:t>
      </w:r>
      <w:r>
        <w:rPr>
          <w:rFonts w:hint="eastAsia" w:ascii="宋体" w:hAnsi="宋体" w:eastAsia="宋体" w:cs="Times New Roman"/>
          <w:color w:val="auto"/>
          <w:sz w:val="24"/>
          <w:szCs w:val="24"/>
          <w:highlight w:val="none"/>
          <w:lang w:val="en-US" w:eastAsia="zh-CN"/>
        </w:rPr>
        <w:t>合格</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color w:val="auto"/>
          <w:sz w:val="24"/>
          <w:szCs w:val="24"/>
          <w:highlight w:val="none"/>
        </w:rPr>
        <w:t>交货地点</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color w:val="auto"/>
          <w:sz w:val="24"/>
          <w:szCs w:val="24"/>
          <w:highlight w:val="none"/>
          <w:lang w:eastAsia="zh-CN"/>
        </w:rPr>
        <w:t>贵州机电职业技术学院</w:t>
      </w:r>
      <w:r>
        <w:rPr>
          <w:rFonts w:hint="eastAsia" w:ascii="宋体" w:hAnsi="宋体" w:eastAsia="宋体" w:cs="Times New Roman"/>
          <w:color w:val="auto"/>
          <w:sz w:val="24"/>
          <w:szCs w:val="24"/>
          <w:highlight w:val="none"/>
        </w:rPr>
        <w:t>。</w:t>
      </w:r>
    </w:p>
    <w:p w14:paraId="53AB5FCB">
      <w:pPr>
        <w:snapToGrid w:val="0"/>
        <w:spacing w:line="360" w:lineRule="auto"/>
        <w:ind w:firstLine="482" w:firstLineChars="200"/>
        <w:jc w:val="left"/>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rPr>
        <w:t>二、质量标准：</w:t>
      </w:r>
      <w:r>
        <w:rPr>
          <w:rFonts w:hint="eastAsia" w:ascii="宋体" w:hAnsi="宋体"/>
          <w:color w:val="auto"/>
          <w:sz w:val="24"/>
          <w:szCs w:val="24"/>
          <w:highlight w:val="none"/>
        </w:rPr>
        <w:t>符合现行</w:t>
      </w:r>
      <w:r>
        <w:rPr>
          <w:rFonts w:hint="eastAsia" w:ascii="宋体" w:hAnsi="宋体"/>
          <w:color w:val="auto"/>
          <w:sz w:val="24"/>
          <w:szCs w:val="24"/>
          <w:highlight w:val="none"/>
          <w:lang w:val="zh-CN"/>
        </w:rPr>
        <w:t>的国家标准和有关要求</w:t>
      </w:r>
      <w:r>
        <w:rPr>
          <w:rFonts w:hint="eastAsia" w:ascii="宋体" w:hAnsi="宋体"/>
          <w:color w:val="auto"/>
          <w:sz w:val="24"/>
          <w:szCs w:val="24"/>
          <w:highlight w:val="none"/>
          <w:lang w:eastAsia="zh-CN"/>
        </w:rPr>
        <w:t>。</w:t>
      </w:r>
    </w:p>
    <w:p w14:paraId="5827C459">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三、验收标准、规范及方式：</w:t>
      </w:r>
    </w:p>
    <w:p w14:paraId="31143B29">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1.验收标准：符合国家现行相关标准、规范及满足磋商文件要求。</w:t>
      </w:r>
    </w:p>
    <w:p w14:paraId="67C48CD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2.验收规范：符合国家现行相关标准、规范及满足磋商文件要求。</w:t>
      </w:r>
    </w:p>
    <w:p w14:paraId="099AC86F">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3.验收方式：由采购人组织相关人员进行验收。</w:t>
      </w:r>
    </w:p>
    <w:p w14:paraId="41E07E1B">
      <w:pPr>
        <w:snapToGrid w:val="0"/>
        <w:spacing w:line="360" w:lineRule="auto"/>
        <w:ind w:firstLine="482" w:firstLineChars="200"/>
        <w:jc w:val="left"/>
        <w:rPr>
          <w:rFonts w:hint="default" w:ascii="宋体" w:hAnsi="宋体" w:eastAsia="宋体"/>
          <w:color w:val="auto"/>
          <w:sz w:val="24"/>
          <w:szCs w:val="24"/>
          <w:highlight w:val="none"/>
          <w:lang w:val="en-US" w:eastAsia="zh-CN"/>
        </w:rPr>
      </w:pPr>
      <w:r>
        <w:rPr>
          <w:rFonts w:hint="eastAsia" w:ascii="宋体" w:hAnsi="宋体"/>
          <w:b/>
          <w:bCs/>
          <w:color w:val="auto"/>
          <w:sz w:val="24"/>
          <w:szCs w:val="24"/>
          <w:highlight w:val="none"/>
        </w:rPr>
        <w:t>四、</w:t>
      </w:r>
      <w:r>
        <w:rPr>
          <w:rFonts w:hint="eastAsia" w:ascii="宋体" w:hAnsi="宋体"/>
          <w:b/>
          <w:bCs/>
          <w:color w:val="auto"/>
          <w:sz w:val="24"/>
          <w:szCs w:val="24"/>
          <w:highlight w:val="none"/>
          <w:lang w:val="en-US" w:eastAsia="zh-CN"/>
        </w:rPr>
        <w:t>质保</w:t>
      </w:r>
      <w:r>
        <w:rPr>
          <w:rFonts w:hint="eastAsia" w:ascii="宋体" w:hAnsi="宋体"/>
          <w:b/>
          <w:bCs/>
          <w:color w:val="auto"/>
          <w:sz w:val="24"/>
          <w:szCs w:val="24"/>
          <w:highlight w:val="none"/>
        </w:rPr>
        <w:t>期：</w:t>
      </w:r>
      <w:r>
        <w:rPr>
          <w:rFonts w:hint="eastAsia" w:ascii="宋体" w:hAnsi="宋体"/>
          <w:color w:val="auto"/>
          <w:sz w:val="24"/>
          <w:szCs w:val="24"/>
          <w:highlight w:val="none"/>
          <w:lang w:val="en-US" w:eastAsia="zh-CN"/>
        </w:rPr>
        <w:t>2年。</w:t>
      </w:r>
    </w:p>
    <w:p w14:paraId="1B6F64D9">
      <w:pPr>
        <w:snapToGrid w:val="0"/>
        <w:spacing w:line="360" w:lineRule="auto"/>
        <w:ind w:firstLine="482" w:firstLineChars="200"/>
        <w:jc w:val="left"/>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rPr>
        <w:t>五、投标有效期：</w:t>
      </w:r>
      <w:r>
        <w:rPr>
          <w:rFonts w:hint="eastAsia" w:ascii="宋体" w:hAnsi="宋体"/>
          <w:color w:val="auto"/>
          <w:sz w:val="24"/>
          <w:szCs w:val="24"/>
          <w:highlight w:val="none"/>
        </w:rPr>
        <w:t>响应文件提交截止时间起生效，其有效期为9</w:t>
      </w:r>
      <w:r>
        <w:rPr>
          <w:rFonts w:ascii="宋体" w:hAnsi="宋体"/>
          <w:color w:val="auto"/>
          <w:sz w:val="24"/>
          <w:szCs w:val="24"/>
          <w:highlight w:val="none"/>
        </w:rPr>
        <w:t>0</w:t>
      </w:r>
      <w:r>
        <w:rPr>
          <w:rFonts w:hint="eastAsia" w:ascii="宋体" w:hAnsi="宋体"/>
          <w:color w:val="auto"/>
          <w:sz w:val="24"/>
          <w:szCs w:val="24"/>
          <w:highlight w:val="none"/>
        </w:rPr>
        <w:t>日历天</w:t>
      </w:r>
      <w:r>
        <w:rPr>
          <w:rFonts w:hint="eastAsia" w:ascii="宋体" w:hAnsi="宋体"/>
          <w:color w:val="auto"/>
          <w:sz w:val="24"/>
          <w:szCs w:val="24"/>
          <w:highlight w:val="none"/>
          <w:lang w:eastAsia="zh-CN"/>
        </w:rPr>
        <w:t>。</w:t>
      </w:r>
    </w:p>
    <w:p w14:paraId="10A5A6C3">
      <w:pPr>
        <w:snapToGrid w:val="0"/>
        <w:spacing w:line="360" w:lineRule="auto"/>
        <w:ind w:firstLine="482" w:firstLineChars="200"/>
        <w:jc w:val="left"/>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、付款条件：</w:t>
      </w:r>
      <w:r>
        <w:rPr>
          <w:rFonts w:hint="eastAsia" w:ascii="宋体" w:hAnsi="宋体"/>
          <w:color w:val="auto"/>
          <w:sz w:val="24"/>
          <w:szCs w:val="21"/>
          <w:highlight w:val="none"/>
          <w:lang w:val="en-US" w:eastAsia="zh-CN"/>
        </w:rPr>
        <w:t>货到后验收完成付合同款70%，安装调试验收合格后付合同款30%</w:t>
      </w:r>
      <w:r>
        <w:rPr>
          <w:rFonts w:hint="eastAsia" w:ascii="宋体" w:hAnsi="宋体"/>
          <w:color w:val="auto"/>
          <w:sz w:val="24"/>
          <w:szCs w:val="24"/>
          <w:highlight w:val="none"/>
          <w:lang w:eastAsia="zh-CN"/>
        </w:rPr>
        <w:t>。</w:t>
      </w:r>
    </w:p>
    <w:p w14:paraId="59641772">
      <w:pPr>
        <w:snapToGrid w:val="0"/>
        <w:spacing w:line="360" w:lineRule="auto"/>
        <w:ind w:firstLine="482" w:firstLineChars="200"/>
        <w:jc w:val="left"/>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、售后服务</w:t>
      </w:r>
      <w:r>
        <w:rPr>
          <w:rFonts w:hint="eastAsia" w:ascii="宋体" w:hAnsi="宋体"/>
          <w:b/>
          <w:bCs/>
          <w:color w:val="auto"/>
          <w:sz w:val="24"/>
          <w:szCs w:val="24"/>
          <w:highlight w:val="none"/>
          <w:lang w:eastAsia="zh-CN"/>
        </w:rPr>
        <w:t>：</w:t>
      </w:r>
    </w:p>
    <w:p w14:paraId="23CB26D0">
      <w:pPr>
        <w:snapToGrid w:val="0"/>
        <w:spacing w:line="360" w:lineRule="auto"/>
        <w:ind w:firstLine="482" w:firstLineChars="200"/>
        <w:jc w:val="left"/>
        <w:rPr>
          <w:rFonts w:hint="default" w:ascii="宋体" w:hAnsi="宋体" w:eastAsia="宋体"/>
          <w:b w:val="0"/>
          <w:bCs w:val="0"/>
          <w:color w:val="auto"/>
          <w:sz w:val="24"/>
          <w:szCs w:val="24"/>
          <w:highlight w:val="none"/>
          <w:lang w:val="en-US" w:eastAsia="zh-CN"/>
        </w:rPr>
      </w:pPr>
      <w:r>
        <w:rPr>
          <w:rFonts w:hint="eastAsia" w:ascii="宋体" w:hAnsi="宋体"/>
          <w:b/>
          <w:bCs/>
          <w:color w:val="auto"/>
          <w:sz w:val="24"/>
          <w:szCs w:val="24"/>
          <w:highlight w:val="none"/>
          <w:lang w:val="en-US" w:eastAsia="zh-CN"/>
        </w:rPr>
        <w:t>1、</w:t>
      </w:r>
      <w:r>
        <w:rPr>
          <w:rFonts w:hint="default" w:ascii="宋体" w:hAnsi="宋体" w:eastAsia="宋体"/>
          <w:b w:val="0"/>
          <w:bCs w:val="0"/>
          <w:color w:val="auto"/>
          <w:sz w:val="24"/>
          <w:szCs w:val="24"/>
          <w:highlight w:val="none"/>
          <w:lang w:val="en-US" w:eastAsia="zh-CN"/>
        </w:rPr>
        <w:t>货物经采购人验收合格交付使用之日起，中标供应商须提供不少于</w:t>
      </w:r>
      <w:r>
        <w:rPr>
          <w:rFonts w:hint="eastAsia" w:ascii="宋体" w:hAnsi="宋体" w:eastAsia="宋体"/>
          <w:b w:val="0"/>
          <w:bCs w:val="0"/>
          <w:color w:val="auto"/>
          <w:sz w:val="24"/>
          <w:szCs w:val="24"/>
          <w:highlight w:val="none"/>
          <w:lang w:val="en-US" w:eastAsia="zh-CN"/>
        </w:rPr>
        <w:t>2</w:t>
      </w:r>
      <w:r>
        <w:rPr>
          <w:rFonts w:hint="default" w:ascii="宋体" w:hAnsi="宋体" w:eastAsia="宋体"/>
          <w:b w:val="0"/>
          <w:bCs w:val="0"/>
          <w:color w:val="auto"/>
          <w:sz w:val="24"/>
          <w:szCs w:val="24"/>
          <w:highlight w:val="none"/>
          <w:lang w:val="en-US" w:eastAsia="zh-CN"/>
        </w:rPr>
        <w:t>年的免费上门维修维护的免费保修服务。</w:t>
      </w:r>
    </w:p>
    <w:p w14:paraId="6F674C05">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2、</w:t>
      </w:r>
      <w:r>
        <w:rPr>
          <w:rFonts w:hint="default" w:ascii="宋体" w:hAnsi="宋体" w:eastAsia="宋体"/>
          <w:b w:val="0"/>
          <w:bCs w:val="0"/>
          <w:color w:val="auto"/>
          <w:sz w:val="24"/>
          <w:szCs w:val="24"/>
          <w:highlight w:val="none"/>
          <w:lang w:val="en-US" w:eastAsia="zh-CN"/>
        </w:rPr>
        <w:t>在免费质量保修期内，如货物非因采购人的人为原因而出现质量问题，中标供应商承诺全额免费包维修、包更换或退换、包安装、包调试、包正常运行；如确属采购人人为原因损坏，亦须无条件维修、更换或退换、安装、调试并确保正常运行，但采购人应给予合理费用。</w:t>
      </w:r>
    </w:p>
    <w:p w14:paraId="4CCE870B">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3、</w:t>
      </w:r>
      <w:r>
        <w:rPr>
          <w:rFonts w:hint="default" w:ascii="宋体" w:hAnsi="宋体" w:eastAsia="宋体"/>
          <w:b w:val="0"/>
          <w:bCs w:val="0"/>
          <w:color w:val="auto"/>
          <w:sz w:val="24"/>
          <w:szCs w:val="24"/>
          <w:highlight w:val="none"/>
          <w:lang w:val="en-US" w:eastAsia="zh-CN"/>
        </w:rPr>
        <w:t>有偿保修服务期内而需要维修或维护的，中标供应商仍应按本条约定的时间派员检查与维修，并确保优质服务和质量合格且能正常运行。有关修复费用由采购人承担，但中标供应商应给予最优惠价格。</w:t>
      </w:r>
    </w:p>
    <w:p w14:paraId="58125B39">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w:t>
      </w:r>
      <w:r>
        <w:rPr>
          <w:rFonts w:hint="default" w:ascii="宋体" w:hAnsi="宋体" w:eastAsia="宋体"/>
          <w:b w:val="0"/>
          <w:bCs w:val="0"/>
          <w:color w:val="auto"/>
          <w:sz w:val="24"/>
          <w:szCs w:val="24"/>
          <w:highlight w:val="none"/>
          <w:lang w:val="en-US" w:eastAsia="zh-CN"/>
        </w:rPr>
        <w:t>响应时间：</w:t>
      </w:r>
    </w:p>
    <w:p w14:paraId="7260A044">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①</w:t>
      </w:r>
      <w:r>
        <w:rPr>
          <w:rFonts w:hint="default" w:ascii="宋体" w:hAnsi="宋体" w:eastAsia="宋体"/>
          <w:b w:val="0"/>
          <w:bCs w:val="0"/>
          <w:color w:val="auto"/>
          <w:sz w:val="24"/>
          <w:szCs w:val="24"/>
          <w:highlight w:val="none"/>
          <w:lang w:val="en-US" w:eastAsia="zh-CN"/>
        </w:rPr>
        <w:t>乙方应为甲方提供7×24小时的电话技术支持服务，乙方在接到甲方设备故障通知后，应在</w:t>
      </w:r>
      <w:r>
        <w:rPr>
          <w:rFonts w:hint="eastAsia" w:ascii="宋体" w:hAnsi="宋体" w:eastAsia="宋体"/>
          <w:b w:val="0"/>
          <w:bCs w:val="0"/>
          <w:color w:val="auto"/>
          <w:sz w:val="24"/>
          <w:szCs w:val="24"/>
          <w:highlight w:val="none"/>
          <w:lang w:val="en-US" w:eastAsia="zh-CN"/>
        </w:rPr>
        <w:t>1</w:t>
      </w:r>
      <w:r>
        <w:rPr>
          <w:rFonts w:hint="default" w:ascii="宋体" w:hAnsi="宋体" w:eastAsia="宋体"/>
          <w:b w:val="0"/>
          <w:bCs w:val="0"/>
          <w:color w:val="auto"/>
          <w:sz w:val="24"/>
          <w:szCs w:val="24"/>
          <w:highlight w:val="none"/>
          <w:lang w:val="en-US" w:eastAsia="zh-CN"/>
        </w:rPr>
        <w:t>小时内做出响应</w:t>
      </w:r>
      <w:r>
        <w:rPr>
          <w:rFonts w:hint="eastAsia" w:ascii="宋体" w:hAnsi="宋体" w:eastAsia="宋体"/>
          <w:b w:val="0"/>
          <w:bCs w:val="0"/>
          <w:color w:val="auto"/>
          <w:sz w:val="24"/>
          <w:szCs w:val="24"/>
          <w:highlight w:val="none"/>
          <w:lang w:val="en-US" w:eastAsia="zh-CN"/>
        </w:rPr>
        <w:t>，</w:t>
      </w:r>
      <w:r>
        <w:rPr>
          <w:rFonts w:hint="default" w:ascii="宋体" w:hAnsi="宋体" w:eastAsia="宋体"/>
          <w:b w:val="0"/>
          <w:bCs w:val="0"/>
          <w:color w:val="auto"/>
          <w:sz w:val="24"/>
          <w:szCs w:val="24"/>
          <w:highlight w:val="none"/>
          <w:lang w:val="en-US" w:eastAsia="zh-CN"/>
        </w:rPr>
        <w:t>及时解答甲方在设备使用过程中遇到的技术问题。</w:t>
      </w:r>
    </w:p>
    <w:p w14:paraId="7F32D68E">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②</w:t>
      </w:r>
      <w:r>
        <w:rPr>
          <w:rFonts w:hint="default" w:ascii="宋体" w:hAnsi="宋体" w:eastAsia="宋体"/>
          <w:b w:val="0"/>
          <w:bCs w:val="0"/>
          <w:color w:val="auto"/>
          <w:sz w:val="24"/>
          <w:szCs w:val="24"/>
          <w:highlight w:val="none"/>
          <w:lang w:val="en-US" w:eastAsia="zh-CN"/>
        </w:rPr>
        <w:t>乙方应通过邮件、远程登录等方式为甲方提供远程技术支持服务，协助甲方解决设备运行中出现的软件问题等。</w:t>
      </w:r>
    </w:p>
    <w:p w14:paraId="62E7F1B8">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③</w:t>
      </w:r>
      <w:r>
        <w:rPr>
          <w:rFonts w:hint="default" w:ascii="宋体" w:hAnsi="宋体" w:eastAsia="宋体"/>
          <w:b w:val="0"/>
          <w:bCs w:val="0"/>
          <w:color w:val="auto"/>
          <w:sz w:val="24"/>
          <w:szCs w:val="24"/>
          <w:highlight w:val="none"/>
          <w:lang w:val="en-US" w:eastAsia="zh-CN"/>
        </w:rPr>
        <w:t>当远程技术支持无法解决问题时，乙方应派遣技术人员到甲方现场提供技术支持服务。对于一般故障</w:t>
      </w:r>
      <w:r>
        <w:rPr>
          <w:rFonts w:hint="eastAsia" w:ascii="宋体" w:hAnsi="宋体" w:eastAsia="宋体"/>
          <w:b w:val="0"/>
          <w:bCs w:val="0"/>
          <w:color w:val="auto"/>
          <w:sz w:val="24"/>
          <w:szCs w:val="24"/>
          <w:highlight w:val="none"/>
          <w:lang w:val="en-US" w:eastAsia="zh-CN"/>
        </w:rPr>
        <w:t>，</w:t>
      </w:r>
      <w:r>
        <w:rPr>
          <w:rFonts w:hint="default" w:ascii="宋体" w:hAnsi="宋体" w:eastAsia="宋体"/>
          <w:b w:val="0"/>
          <w:bCs w:val="0"/>
          <w:color w:val="auto"/>
          <w:sz w:val="24"/>
          <w:szCs w:val="24"/>
          <w:highlight w:val="none"/>
          <w:lang w:val="en-US" w:eastAsia="zh-CN"/>
        </w:rPr>
        <w:t>乙方技术人员应在</w:t>
      </w:r>
      <w:r>
        <w:rPr>
          <w:rFonts w:hint="eastAsia" w:ascii="宋体" w:hAnsi="宋体" w:eastAsia="宋体"/>
          <w:b w:val="0"/>
          <w:bCs w:val="0"/>
          <w:color w:val="auto"/>
          <w:sz w:val="24"/>
          <w:szCs w:val="24"/>
          <w:highlight w:val="none"/>
          <w:lang w:val="en-US" w:eastAsia="zh-CN"/>
        </w:rPr>
        <w:t>4小时</w:t>
      </w:r>
      <w:r>
        <w:rPr>
          <w:rFonts w:hint="default" w:ascii="宋体" w:hAnsi="宋体" w:eastAsia="宋体"/>
          <w:b w:val="0"/>
          <w:bCs w:val="0"/>
          <w:color w:val="auto"/>
          <w:sz w:val="24"/>
          <w:szCs w:val="24"/>
          <w:highlight w:val="none"/>
          <w:lang w:val="en-US" w:eastAsia="zh-CN"/>
        </w:rPr>
        <w:t>内到达甲方现场；对于重大故障，技术人员应在</w:t>
      </w:r>
      <w:r>
        <w:rPr>
          <w:rFonts w:hint="eastAsia" w:ascii="宋体" w:hAnsi="宋体" w:eastAsia="宋体"/>
          <w:b w:val="0"/>
          <w:bCs w:val="0"/>
          <w:color w:val="auto"/>
          <w:sz w:val="24"/>
          <w:szCs w:val="24"/>
          <w:highlight w:val="none"/>
          <w:lang w:val="en-US" w:eastAsia="zh-CN"/>
        </w:rPr>
        <w:t>48</w:t>
      </w:r>
      <w:r>
        <w:rPr>
          <w:rFonts w:hint="default" w:ascii="宋体" w:hAnsi="宋体" w:eastAsia="宋体"/>
          <w:b w:val="0"/>
          <w:bCs w:val="0"/>
          <w:color w:val="auto"/>
          <w:sz w:val="24"/>
          <w:szCs w:val="24"/>
          <w:highlight w:val="none"/>
          <w:lang w:val="en-US" w:eastAsia="zh-CN"/>
        </w:rPr>
        <w:t>小时内到达现场。</w:t>
      </w:r>
      <w:r>
        <w:rPr>
          <w:rFonts w:hint="eastAsia" w:ascii="宋体" w:hAnsi="宋体" w:eastAsia="宋体"/>
          <w:b w:val="0"/>
          <w:bCs w:val="0"/>
          <w:color w:val="auto"/>
          <w:sz w:val="24"/>
          <w:szCs w:val="24"/>
          <w:highlight w:val="none"/>
          <w:lang w:val="en-US" w:eastAsia="zh-CN"/>
        </w:rPr>
        <w:t>无法解决的重大故障由乙方提供备品备件。</w:t>
      </w:r>
    </w:p>
    <w:p w14:paraId="546D3B8F">
      <w:pPr>
        <w:snapToGrid w:val="0"/>
        <w:spacing w:line="360" w:lineRule="auto"/>
        <w:ind w:firstLine="480" w:firstLineChars="200"/>
        <w:jc w:val="left"/>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（2）</w:t>
      </w:r>
      <w:r>
        <w:rPr>
          <w:rFonts w:hint="default" w:ascii="宋体" w:hAnsi="宋体" w:eastAsia="宋体"/>
          <w:b w:val="0"/>
          <w:bCs w:val="0"/>
          <w:color w:val="auto"/>
          <w:sz w:val="24"/>
          <w:szCs w:val="24"/>
          <w:highlight w:val="none"/>
          <w:lang w:val="en-US" w:eastAsia="zh-CN"/>
        </w:rPr>
        <w:t>维修期限：乙方应在到达现场后</w:t>
      </w:r>
      <w:r>
        <w:rPr>
          <w:rFonts w:hint="eastAsia" w:ascii="宋体" w:hAnsi="宋体" w:eastAsia="宋体"/>
          <w:b w:val="0"/>
          <w:bCs w:val="0"/>
          <w:color w:val="auto"/>
          <w:sz w:val="24"/>
          <w:szCs w:val="24"/>
          <w:highlight w:val="none"/>
          <w:lang w:val="en-US" w:eastAsia="zh-CN"/>
        </w:rPr>
        <w:t>1</w:t>
      </w:r>
      <w:r>
        <w:rPr>
          <w:rFonts w:hint="default" w:ascii="宋体" w:hAnsi="宋体" w:eastAsia="宋体"/>
          <w:b w:val="0"/>
          <w:bCs w:val="0"/>
          <w:color w:val="auto"/>
          <w:sz w:val="24"/>
          <w:szCs w:val="24"/>
          <w:highlight w:val="none"/>
          <w:lang w:val="en-US" w:eastAsia="zh-CN"/>
        </w:rPr>
        <w:t>个工作日内完成一般故障维修；重大故障的维修期限由双方协商确定，最长不得超过</w:t>
      </w:r>
      <w:r>
        <w:rPr>
          <w:rFonts w:hint="eastAsia" w:ascii="宋体" w:hAnsi="宋体" w:eastAsia="宋体"/>
          <w:b w:val="0"/>
          <w:bCs w:val="0"/>
          <w:color w:val="auto"/>
          <w:sz w:val="24"/>
          <w:szCs w:val="24"/>
          <w:highlight w:val="none"/>
          <w:lang w:val="en-US" w:eastAsia="zh-CN"/>
        </w:rPr>
        <w:t>5</w:t>
      </w:r>
      <w:r>
        <w:rPr>
          <w:rFonts w:hint="default" w:ascii="宋体" w:hAnsi="宋体" w:eastAsia="宋体"/>
          <w:b w:val="0"/>
          <w:bCs w:val="0"/>
          <w:color w:val="auto"/>
          <w:sz w:val="24"/>
          <w:szCs w:val="24"/>
          <w:highlight w:val="none"/>
          <w:lang w:val="en-US" w:eastAsia="zh-CN"/>
        </w:rPr>
        <w:t>个工作日。</w:t>
      </w:r>
    </w:p>
    <w:p w14:paraId="75211E8A">
      <w:pPr>
        <w:snapToGrid w:val="0"/>
        <w:spacing w:line="360" w:lineRule="auto"/>
        <w:ind w:firstLine="480" w:firstLineChars="200"/>
        <w:jc w:val="left"/>
        <w:rPr>
          <w:rFonts w:hint="default" w:ascii="宋体" w:hAnsi="宋体"/>
          <w:b/>
          <w:bCs/>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（3）</w:t>
      </w:r>
      <w:r>
        <w:rPr>
          <w:rFonts w:hint="default" w:ascii="宋体" w:hAnsi="宋体" w:eastAsia="宋体"/>
          <w:b w:val="0"/>
          <w:bCs w:val="0"/>
          <w:color w:val="auto"/>
          <w:sz w:val="24"/>
          <w:szCs w:val="24"/>
          <w:highlight w:val="none"/>
          <w:lang w:val="en-US" w:eastAsia="zh-CN"/>
        </w:rPr>
        <w:t>费用承担：设备免费保修期自验收合格之日起计算，期限为</w:t>
      </w:r>
      <w:r>
        <w:rPr>
          <w:rFonts w:hint="eastAsia" w:ascii="宋体" w:hAnsi="宋体" w:eastAsia="宋体"/>
          <w:b w:val="0"/>
          <w:bCs w:val="0"/>
          <w:color w:val="auto"/>
          <w:sz w:val="24"/>
          <w:szCs w:val="24"/>
          <w:highlight w:val="none"/>
          <w:lang w:val="en-US" w:eastAsia="zh-CN"/>
        </w:rPr>
        <w:t>2</w:t>
      </w:r>
      <w:r>
        <w:rPr>
          <w:rFonts w:hint="default" w:ascii="宋体" w:hAnsi="宋体" w:eastAsia="宋体"/>
          <w:b w:val="0"/>
          <w:bCs w:val="0"/>
          <w:color w:val="auto"/>
          <w:sz w:val="24"/>
          <w:szCs w:val="24"/>
          <w:highlight w:val="none"/>
          <w:lang w:val="en-US" w:eastAsia="zh-CN"/>
        </w:rPr>
        <w:t>年（具体起始日期以验收报告为准）。免费保修期内，乙方负责免费维修及更换零部件（人为损坏除外）。</w:t>
      </w:r>
    </w:p>
    <w:p w14:paraId="50C1E475">
      <w:pPr>
        <w:spacing w:line="360" w:lineRule="auto"/>
        <w:ind w:firstLine="482" w:firstLineChars="20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八</w:t>
      </w:r>
      <w:r>
        <w:rPr>
          <w:rFonts w:hint="eastAsia" w:ascii="宋体" w:hAnsi="宋体"/>
          <w:b/>
          <w:bCs/>
          <w:color w:val="auto"/>
          <w:sz w:val="24"/>
          <w:szCs w:val="24"/>
          <w:highlight w:val="none"/>
        </w:rPr>
        <w:t>、其他要求</w:t>
      </w:r>
      <w:r>
        <w:rPr>
          <w:rFonts w:hint="eastAsia" w:ascii="宋体" w:hAnsi="宋体"/>
          <w:b/>
          <w:bCs/>
          <w:color w:val="auto"/>
          <w:sz w:val="24"/>
          <w:szCs w:val="24"/>
          <w:highlight w:val="none"/>
        </w:rPr>
        <w:t>：</w:t>
      </w:r>
    </w:p>
    <w:p w14:paraId="3B233BCA">
      <w:pPr>
        <w:rPr>
          <w:rFonts w:hint="eastAsia" w:ascii="宋体" w:hAnsi="宋体"/>
          <w:color w:val="auto"/>
          <w:sz w:val="24"/>
          <w:szCs w:val="24"/>
          <w:highlight w:val="none"/>
        </w:rPr>
      </w:pPr>
      <w:r>
        <w:rPr>
          <w:rFonts w:hint="eastAsia" w:ascii="宋体" w:hAnsi="宋体"/>
          <w:color w:val="auto"/>
          <w:sz w:val="24"/>
          <w:szCs w:val="24"/>
          <w:highlight w:val="none"/>
        </w:rPr>
        <w:t>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应按竞争性磋商文件要求编制报价，若由于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漏项、漏算、错计的报价将不予以支付，并认为是对采购人的优惠已包含在报价预算中，一旦中标后不得要求另行调整增加，并不得以此为由影响项目服务质量，任何因忽视或误解项目实施现场实际情况而导致的索赔或付款申请将不被批准，若因此对采购人造成损失，采购人将向中标供应商索赔。</w:t>
      </w:r>
    </w:p>
    <w:p w14:paraId="28196B57">
      <w:pPr>
        <w:rPr>
          <w:rFonts w:hint="eastAsia" w:ascii="宋体" w:hAnsi="宋体"/>
          <w:color w:val="auto"/>
          <w:sz w:val="24"/>
          <w:szCs w:val="24"/>
          <w:highlight w:val="none"/>
        </w:rPr>
      </w:pPr>
    </w:p>
    <w:p w14:paraId="2ACEEFB7">
      <w:pPr>
        <w:jc w:val="center"/>
        <w:rPr>
          <w:rFonts w:hint="eastAsia" w:ascii="宋体" w:hAnsi="宋体"/>
          <w:b/>
          <w:color w:val="auto"/>
          <w:sz w:val="36"/>
          <w:highlight w:val="none"/>
        </w:rPr>
      </w:pPr>
      <w:r>
        <w:rPr>
          <w:rFonts w:hint="eastAsia" w:ascii="宋体" w:hAnsi="宋体"/>
          <w:b/>
          <w:color w:val="auto"/>
          <w:sz w:val="36"/>
          <w:highlight w:val="none"/>
        </w:rPr>
        <w:t>初步审查表</w:t>
      </w:r>
    </w:p>
    <w:tbl>
      <w:tblPr>
        <w:tblStyle w:val="9"/>
        <w:tblW w:w="100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53"/>
        <w:gridCol w:w="2107"/>
        <w:gridCol w:w="5925"/>
      </w:tblGrid>
      <w:tr w14:paraId="38B317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006" w:type="dxa"/>
            <w:gridSpan w:val="4"/>
            <w:shd w:val="clear" w:color="000000" w:fill="FFFFFF"/>
            <w:noWrap w:val="0"/>
            <w:vAlign w:val="center"/>
          </w:tcPr>
          <w:p w14:paraId="5622B3A6">
            <w:pPr>
              <w:spacing w:line="400" w:lineRule="exact"/>
              <w:rPr>
                <w:rFonts w:hint="eastAsia" w:ascii="宋体" w:hAnsi="宋体"/>
                <w:color w:val="auto"/>
                <w:szCs w:val="21"/>
                <w:highlight w:val="none"/>
              </w:rPr>
            </w:pPr>
            <w:r>
              <w:rPr>
                <w:rFonts w:hint="eastAsia" w:ascii="宋体" w:hAnsi="宋体"/>
                <w:color w:val="auto"/>
                <w:szCs w:val="21"/>
                <w:highlight w:val="none"/>
              </w:rPr>
              <w:t>（1）资格性检查</w:t>
            </w:r>
          </w:p>
        </w:tc>
      </w:tr>
      <w:tr w14:paraId="284A37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1" w:type="dxa"/>
            <w:shd w:val="clear" w:color="000000" w:fill="FFFFFF"/>
            <w:noWrap w:val="0"/>
            <w:vAlign w:val="center"/>
          </w:tcPr>
          <w:p w14:paraId="11B386C2">
            <w:pPr>
              <w:spacing w:line="400" w:lineRule="exact"/>
              <w:rPr>
                <w:rFonts w:hint="eastAsia" w:ascii="宋体" w:hAnsi="宋体"/>
                <w:color w:val="auto"/>
                <w:szCs w:val="21"/>
                <w:highlight w:val="none"/>
              </w:rPr>
            </w:pPr>
            <w:r>
              <w:rPr>
                <w:rFonts w:hint="eastAsia" w:ascii="宋体" w:hAnsi="宋体"/>
                <w:color w:val="auto"/>
                <w:szCs w:val="21"/>
                <w:highlight w:val="none"/>
              </w:rPr>
              <w:t>序号</w:t>
            </w:r>
          </w:p>
        </w:tc>
        <w:tc>
          <w:tcPr>
            <w:tcW w:w="9185" w:type="dxa"/>
            <w:gridSpan w:val="3"/>
            <w:shd w:val="clear" w:color="000000" w:fill="FFFFFF"/>
            <w:noWrap w:val="0"/>
            <w:vAlign w:val="center"/>
          </w:tcPr>
          <w:p w14:paraId="0A7B5EFD">
            <w:pPr>
              <w:spacing w:line="400" w:lineRule="exact"/>
              <w:ind w:left="120" w:leftChars="57" w:firstLine="420" w:firstLineChars="200"/>
              <w:jc w:val="center"/>
              <w:rPr>
                <w:rFonts w:hint="eastAsia" w:ascii="宋体" w:hAnsi="宋体"/>
                <w:color w:val="auto"/>
                <w:szCs w:val="21"/>
                <w:highlight w:val="none"/>
              </w:rPr>
            </w:pPr>
            <w:r>
              <w:rPr>
                <w:rFonts w:hint="eastAsia" w:ascii="宋体" w:hAnsi="宋体"/>
                <w:color w:val="auto"/>
                <w:szCs w:val="21"/>
                <w:highlight w:val="none"/>
              </w:rPr>
              <w:t>资格要求</w:t>
            </w:r>
          </w:p>
        </w:tc>
      </w:tr>
      <w:tr w14:paraId="19895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1" w:type="dxa"/>
            <w:shd w:val="clear" w:color="000000" w:fill="FFFFFF"/>
            <w:noWrap w:val="0"/>
            <w:vAlign w:val="center"/>
          </w:tcPr>
          <w:p w14:paraId="106F499A">
            <w:pPr>
              <w:numPr>
                <w:ilvl w:val="0"/>
                <w:numId w:val="4"/>
              </w:numPr>
              <w:spacing w:line="400" w:lineRule="exact"/>
              <w:jc w:val="center"/>
              <w:rPr>
                <w:rFonts w:hint="eastAsia" w:ascii="宋体" w:hAnsi="宋体"/>
                <w:color w:val="auto"/>
                <w:szCs w:val="21"/>
                <w:highlight w:val="none"/>
              </w:rPr>
            </w:pPr>
          </w:p>
        </w:tc>
        <w:tc>
          <w:tcPr>
            <w:tcW w:w="1153" w:type="dxa"/>
            <w:vMerge w:val="restart"/>
            <w:shd w:val="clear" w:color="auto" w:fill="auto"/>
            <w:noWrap w:val="0"/>
            <w:vAlign w:val="center"/>
          </w:tcPr>
          <w:p w14:paraId="4D51607D">
            <w:pPr>
              <w:spacing w:line="400" w:lineRule="exact"/>
              <w:ind w:left="120" w:leftChars="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一般资格审查</w:t>
            </w:r>
          </w:p>
        </w:tc>
        <w:tc>
          <w:tcPr>
            <w:tcW w:w="2107" w:type="dxa"/>
            <w:shd w:val="clear" w:color="000000" w:fill="FFFFFF"/>
            <w:noWrap w:val="0"/>
            <w:vAlign w:val="center"/>
          </w:tcPr>
          <w:p w14:paraId="70B9B1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5925" w:type="dxa"/>
            <w:shd w:val="clear" w:color="000000" w:fill="FFFFFF"/>
            <w:noWrap w:val="0"/>
            <w:vAlign w:val="center"/>
          </w:tcPr>
          <w:p w14:paraId="2E8DCB8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提供法人或其他组织的营业执照等证明文件，或自然人身份证明；</w:t>
            </w:r>
          </w:p>
        </w:tc>
      </w:tr>
      <w:tr w14:paraId="102DF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shd w:val="clear" w:color="000000" w:fill="FFFFFF"/>
            <w:noWrap w:val="0"/>
            <w:vAlign w:val="center"/>
          </w:tcPr>
          <w:p w14:paraId="3A4A0D8E">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auto" w:fill="auto"/>
            <w:noWrap w:val="0"/>
            <w:vAlign w:val="center"/>
          </w:tcPr>
          <w:p w14:paraId="73643C9C">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000000" w:fill="FFFFFF"/>
            <w:noWrap w:val="0"/>
            <w:vAlign w:val="center"/>
          </w:tcPr>
          <w:p w14:paraId="51697F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5925" w:type="dxa"/>
            <w:shd w:val="clear" w:color="000000" w:fill="FFFFFF"/>
            <w:noWrap w:val="0"/>
            <w:vAlign w:val="center"/>
          </w:tcPr>
          <w:p w14:paraId="7D1300FE">
            <w:pPr>
              <w:pStyle w:val="8"/>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提供经合法审计机构出具的2024年度或2025年度财务审计报告或提供2026年01月至投标截止时间前由银行出具的资信证明；（复印件加盖供应商公章）</w:t>
            </w:r>
          </w:p>
        </w:tc>
      </w:tr>
      <w:tr w14:paraId="02C36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21" w:type="dxa"/>
            <w:shd w:val="clear" w:color="000000" w:fill="FFFFFF"/>
            <w:noWrap w:val="0"/>
            <w:vAlign w:val="center"/>
          </w:tcPr>
          <w:p w14:paraId="49DC6B01">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000000" w:fill="FFFFFF"/>
            <w:noWrap w:val="0"/>
            <w:vAlign w:val="center"/>
          </w:tcPr>
          <w:p w14:paraId="578FDEA5">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auto" w:fill="FFFFFF"/>
            <w:noWrap w:val="0"/>
            <w:vAlign w:val="center"/>
          </w:tcPr>
          <w:p w14:paraId="2E52DE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5925" w:type="dxa"/>
            <w:shd w:val="clear" w:color="auto" w:fill="FFFFFF"/>
            <w:noWrap w:val="0"/>
            <w:vAlign w:val="center"/>
          </w:tcPr>
          <w:p w14:paraId="5734080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提供具有履行合同所必须的设备和专业技术能力承诺书（提供承诺书，格式自拟）。 </w:t>
            </w:r>
          </w:p>
        </w:tc>
      </w:tr>
      <w:tr w14:paraId="0319DC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1" w:type="dxa"/>
            <w:shd w:val="clear" w:color="000000" w:fill="FFFFFF"/>
            <w:noWrap w:val="0"/>
            <w:vAlign w:val="center"/>
          </w:tcPr>
          <w:p w14:paraId="5F25587A">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auto" w:fill="auto"/>
            <w:noWrap w:val="0"/>
            <w:vAlign w:val="center"/>
          </w:tcPr>
          <w:p w14:paraId="24BCFCD3">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auto" w:fill="FFFFFF"/>
            <w:noWrap w:val="0"/>
            <w:vAlign w:val="center"/>
          </w:tcPr>
          <w:p w14:paraId="27F5BD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具有依法缴纳税收和社会保障资金的良好记录</w:t>
            </w:r>
          </w:p>
        </w:tc>
        <w:tc>
          <w:tcPr>
            <w:tcW w:w="5925" w:type="dxa"/>
            <w:shd w:val="clear" w:color="auto" w:fill="FFFFFF"/>
            <w:noWrap w:val="0"/>
            <w:vAlign w:val="center"/>
          </w:tcPr>
          <w:p w14:paraId="43092A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提供所属日期分别为202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年以来任意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个月的税收和社会保障资金缴纳凭证复印件。（所属期税款为“0”而无缴纳凭证的，应有经税务机关盖章认可的零申报说明等证明；成立未满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，提供成立之日起至投标截止日止的税收和社会保障资金缴纳凭证。）</w:t>
            </w:r>
          </w:p>
        </w:tc>
      </w:tr>
      <w:tr w14:paraId="511F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shd w:val="clear" w:color="000000" w:fill="FFFFFF"/>
            <w:noWrap w:val="0"/>
            <w:vAlign w:val="center"/>
          </w:tcPr>
          <w:p w14:paraId="1640330C">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auto" w:fill="auto"/>
            <w:noWrap w:val="0"/>
            <w:vAlign w:val="center"/>
          </w:tcPr>
          <w:p w14:paraId="2587C842">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auto" w:fill="FFFFFF"/>
            <w:noWrap w:val="0"/>
            <w:vAlign w:val="center"/>
          </w:tcPr>
          <w:p w14:paraId="4A934C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参加本次采购活动前三年内，在经营活动中没有</w:t>
            </w:r>
            <w:r>
              <w:rPr>
                <w:rFonts w:hint="eastAsia" w:ascii="宋体" w:hAnsi="宋体" w:eastAsia="宋体" w:cs="宋体"/>
                <w:color w:val="auto"/>
                <w:sz w:val="24"/>
                <w:szCs w:val="24"/>
                <w:highlight w:val="none"/>
                <w:lang w:val="en-US" w:eastAsia="zh-CN"/>
              </w:rPr>
              <w:t>重大</w:t>
            </w:r>
            <w:r>
              <w:rPr>
                <w:rFonts w:hint="eastAsia" w:ascii="宋体" w:hAnsi="宋体" w:eastAsia="宋体" w:cs="宋体"/>
                <w:color w:val="auto"/>
                <w:sz w:val="24"/>
                <w:szCs w:val="24"/>
                <w:highlight w:val="none"/>
              </w:rPr>
              <w:t>违法违规记录</w:t>
            </w:r>
          </w:p>
        </w:tc>
        <w:tc>
          <w:tcPr>
            <w:tcW w:w="5925" w:type="dxa"/>
            <w:shd w:val="clear" w:color="auto" w:fill="FFFFFF"/>
            <w:noWrap w:val="0"/>
            <w:vAlign w:val="center"/>
          </w:tcPr>
          <w:p w14:paraId="2B43288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提供参加本次采购活动前三年内没有</w:t>
            </w:r>
            <w:r>
              <w:rPr>
                <w:rFonts w:hint="eastAsia" w:ascii="宋体" w:hAnsi="宋体" w:eastAsia="宋体" w:cs="宋体"/>
                <w:color w:val="auto"/>
                <w:sz w:val="24"/>
                <w:szCs w:val="24"/>
                <w:highlight w:val="none"/>
                <w:lang w:val="en-US" w:eastAsia="zh-CN"/>
              </w:rPr>
              <w:t>重大</w:t>
            </w:r>
            <w:r>
              <w:rPr>
                <w:rFonts w:hint="eastAsia" w:ascii="宋体" w:hAnsi="宋体" w:eastAsia="宋体" w:cs="宋体"/>
                <w:color w:val="auto"/>
                <w:sz w:val="24"/>
                <w:szCs w:val="24"/>
                <w:highlight w:val="none"/>
              </w:rPr>
              <w:t>违法犯罪记录的书面声明（格式自拟）</w:t>
            </w:r>
          </w:p>
        </w:tc>
      </w:tr>
      <w:tr w14:paraId="32C57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shd w:val="clear" w:color="000000" w:fill="FFFFFF"/>
            <w:noWrap w:val="0"/>
            <w:vAlign w:val="center"/>
          </w:tcPr>
          <w:p w14:paraId="711E77C6">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auto" w:fill="auto"/>
            <w:noWrap w:val="0"/>
            <w:vAlign w:val="center"/>
          </w:tcPr>
          <w:p w14:paraId="6267AAC5">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auto" w:fill="FFFFFF"/>
            <w:noWrap w:val="0"/>
            <w:vAlign w:val="center"/>
          </w:tcPr>
          <w:p w14:paraId="536C4E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5925" w:type="dxa"/>
            <w:shd w:val="clear" w:color="auto" w:fill="FFFFFF"/>
            <w:noWrap w:val="0"/>
            <w:vAlign w:val="center"/>
          </w:tcPr>
          <w:p w14:paraId="1DB5E439">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承诺：在“信用中国”网站中未被列入严重失信主体名单、失信被执行人、重大税收违法失信主体名单及在“中国政府采购网”网站中未被列入政府采购严重违法失信行为记录名单，如有被列入情况，取消其磋商资格及成交资格。</w:t>
            </w:r>
            <w:r>
              <w:rPr>
                <w:rFonts w:hint="eastAsia" w:ascii="宋体" w:hAnsi="宋体" w:eastAsia="宋体" w:cs="宋体"/>
                <w:color w:val="auto"/>
                <w:sz w:val="24"/>
                <w:szCs w:val="24"/>
                <w:highlight w:val="none"/>
                <w:lang w:eastAsia="en-US"/>
              </w:rPr>
              <w:t>并承担由此造成的一切法律责任及后果</w:t>
            </w:r>
            <w:r>
              <w:rPr>
                <w:rFonts w:hint="eastAsia" w:ascii="宋体" w:hAnsi="宋体" w:eastAsia="宋体" w:cs="宋体"/>
                <w:color w:val="auto"/>
                <w:sz w:val="24"/>
                <w:szCs w:val="24"/>
                <w:highlight w:val="none"/>
              </w:rPr>
              <w:t>。</w:t>
            </w:r>
          </w:p>
        </w:tc>
      </w:tr>
      <w:tr w14:paraId="02850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shd w:val="clear" w:color="000000" w:fill="FFFFFF"/>
            <w:noWrap w:val="0"/>
            <w:vAlign w:val="center"/>
          </w:tcPr>
          <w:p w14:paraId="71854991">
            <w:pPr>
              <w:numPr>
                <w:ilvl w:val="0"/>
                <w:numId w:val="4"/>
              </w:numPr>
              <w:spacing w:line="400" w:lineRule="exact"/>
              <w:jc w:val="center"/>
              <w:rPr>
                <w:rFonts w:hint="eastAsia" w:ascii="宋体" w:hAnsi="宋体"/>
                <w:color w:val="auto"/>
                <w:szCs w:val="21"/>
                <w:highlight w:val="none"/>
              </w:rPr>
            </w:pPr>
          </w:p>
        </w:tc>
        <w:tc>
          <w:tcPr>
            <w:tcW w:w="1153" w:type="dxa"/>
            <w:vMerge w:val="continue"/>
            <w:shd w:val="clear" w:color="auto" w:fill="auto"/>
            <w:noWrap w:val="0"/>
            <w:vAlign w:val="center"/>
          </w:tcPr>
          <w:p w14:paraId="72035F23">
            <w:pPr>
              <w:spacing w:line="400" w:lineRule="exact"/>
              <w:ind w:left="120" w:leftChars="57" w:firstLine="480" w:firstLineChars="200"/>
              <w:rPr>
                <w:rFonts w:hint="eastAsia" w:ascii="宋体" w:hAnsi="宋体" w:eastAsia="宋体" w:cs="宋体"/>
                <w:color w:val="auto"/>
                <w:sz w:val="24"/>
                <w:szCs w:val="24"/>
                <w:highlight w:val="none"/>
              </w:rPr>
            </w:pPr>
          </w:p>
        </w:tc>
        <w:tc>
          <w:tcPr>
            <w:tcW w:w="2107" w:type="dxa"/>
            <w:shd w:val="clear" w:color="auto" w:fill="FFFFFF"/>
            <w:noWrap w:val="0"/>
            <w:vAlign w:val="center"/>
          </w:tcPr>
          <w:p w14:paraId="7A9337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925" w:type="dxa"/>
            <w:shd w:val="clear" w:color="auto" w:fill="FFFFFF"/>
            <w:noWrap w:val="0"/>
            <w:vAlign w:val="center"/>
          </w:tcPr>
          <w:p w14:paraId="0CCD38FA">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提供投标保证金已缴纳的依据</w:t>
            </w:r>
          </w:p>
        </w:tc>
      </w:tr>
      <w:tr w14:paraId="591AE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shd w:val="clear" w:color="000000" w:fill="FFFFFF"/>
            <w:noWrap w:val="0"/>
            <w:vAlign w:val="center"/>
          </w:tcPr>
          <w:p w14:paraId="72E215DF">
            <w:pPr>
              <w:numPr>
                <w:ilvl w:val="0"/>
                <w:numId w:val="4"/>
              </w:numPr>
              <w:spacing w:line="400" w:lineRule="exact"/>
              <w:jc w:val="center"/>
              <w:rPr>
                <w:rFonts w:hint="eastAsia" w:ascii="宋体" w:hAnsi="宋体"/>
                <w:color w:val="auto"/>
                <w:szCs w:val="21"/>
                <w:highlight w:val="none"/>
              </w:rPr>
            </w:pPr>
          </w:p>
        </w:tc>
        <w:tc>
          <w:tcPr>
            <w:tcW w:w="3260" w:type="dxa"/>
            <w:gridSpan w:val="2"/>
            <w:shd w:val="clear" w:color="auto" w:fill="auto"/>
            <w:noWrap w:val="0"/>
            <w:vAlign w:val="center"/>
          </w:tcPr>
          <w:p w14:paraId="63D5857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特定资格审查</w:t>
            </w:r>
          </w:p>
        </w:tc>
        <w:tc>
          <w:tcPr>
            <w:tcW w:w="5925" w:type="dxa"/>
            <w:shd w:val="clear" w:color="auto" w:fill="FFFFFF"/>
            <w:noWrap w:val="0"/>
            <w:vAlign w:val="center"/>
          </w:tcPr>
          <w:p w14:paraId="29EF3D3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根据《政府采购促进中小企业发展管理办法》财库〔2020〕46号规定：本项目是否专门面向中小企业采购（含监狱企业、残疾人福利性单位）： </w:t>
            </w:r>
            <w:r>
              <w:rPr>
                <w:rFonts w:hint="eastAsia" w:ascii="宋体" w:hAnsi="宋体" w:eastAsia="宋体" w:cs="宋体"/>
                <w:b/>
                <w:bCs/>
                <w:color w:val="auto"/>
                <w:sz w:val="24"/>
                <w:szCs w:val="24"/>
                <w:highlight w:val="none"/>
                <w:u w:val="single"/>
                <w:lang w:val="en-US" w:eastAsia="zh-CN"/>
              </w:rPr>
              <w:t>是</w:t>
            </w:r>
            <w:r>
              <w:rPr>
                <w:rFonts w:hint="eastAsia" w:ascii="宋体" w:hAnsi="宋体" w:eastAsia="宋体" w:cs="宋体"/>
                <w:color w:val="auto"/>
                <w:sz w:val="24"/>
                <w:szCs w:val="24"/>
                <w:highlight w:val="none"/>
              </w:rPr>
              <w:t xml:space="preserve"> ，具体内容为： </w:t>
            </w:r>
            <w:r>
              <w:rPr>
                <w:rFonts w:hint="eastAsia" w:ascii="宋体" w:hAnsi="宋体" w:eastAsia="宋体" w:cs="宋体"/>
                <w:b/>
                <w:bCs/>
                <w:color w:val="auto"/>
                <w:sz w:val="24"/>
                <w:szCs w:val="24"/>
                <w:highlight w:val="none"/>
                <w:u w:val="single"/>
                <w:lang w:val="en-US" w:eastAsia="zh-CN"/>
              </w:rPr>
              <w:t>本项目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注：供应商提供中小企业声明函加盖公章，必须按照附件模板提供，否则视为无效。</w:t>
            </w:r>
            <w:r>
              <w:rPr>
                <w:rFonts w:hint="eastAsia" w:ascii="宋体" w:hAnsi="宋体" w:eastAsia="宋体" w:cs="宋体"/>
                <w:b/>
                <w:bCs/>
                <w:color w:val="auto"/>
                <w:sz w:val="24"/>
                <w:szCs w:val="24"/>
                <w:highlight w:val="none"/>
                <w:lang w:eastAsia="zh-CN"/>
              </w:rPr>
              <w:t>）</w:t>
            </w:r>
          </w:p>
        </w:tc>
      </w:tr>
      <w:tr w14:paraId="24ECE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006" w:type="dxa"/>
            <w:gridSpan w:val="4"/>
            <w:shd w:val="clear" w:color="000000" w:fill="FFFFFF"/>
            <w:noWrap w:val="0"/>
            <w:vAlign w:val="center"/>
          </w:tcPr>
          <w:p w14:paraId="20F03F0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w:t>
            </w:r>
          </w:p>
        </w:tc>
      </w:tr>
      <w:tr w14:paraId="000E7F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1" w:type="dxa"/>
            <w:shd w:val="clear" w:color="000000" w:fill="FFFFFF"/>
            <w:noWrap w:val="0"/>
            <w:vAlign w:val="center"/>
          </w:tcPr>
          <w:p w14:paraId="4559566D">
            <w:pPr>
              <w:spacing w:line="400" w:lineRule="exact"/>
              <w:rPr>
                <w:rFonts w:hint="eastAsia" w:ascii="宋体" w:hAnsi="宋体"/>
                <w:color w:val="auto"/>
                <w:szCs w:val="21"/>
                <w:highlight w:val="none"/>
              </w:rPr>
            </w:pPr>
            <w:r>
              <w:rPr>
                <w:rFonts w:hint="eastAsia" w:ascii="宋体" w:hAnsi="宋体"/>
                <w:color w:val="auto"/>
                <w:szCs w:val="21"/>
                <w:highlight w:val="none"/>
              </w:rPr>
              <w:t>序号</w:t>
            </w:r>
          </w:p>
        </w:tc>
        <w:tc>
          <w:tcPr>
            <w:tcW w:w="9185" w:type="dxa"/>
            <w:gridSpan w:val="3"/>
            <w:shd w:val="clear" w:color="000000" w:fill="FFFFFF"/>
            <w:noWrap w:val="0"/>
            <w:vAlign w:val="center"/>
          </w:tcPr>
          <w:p w14:paraId="3D5C9AF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符合性要求</w:t>
            </w:r>
          </w:p>
        </w:tc>
      </w:tr>
      <w:tr w14:paraId="177C0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1" w:type="dxa"/>
            <w:shd w:val="clear" w:color="000000" w:fill="FFFFFF"/>
            <w:noWrap w:val="0"/>
            <w:vAlign w:val="center"/>
          </w:tcPr>
          <w:p w14:paraId="6E838F2A">
            <w:pPr>
              <w:numPr>
                <w:ilvl w:val="0"/>
                <w:numId w:val="5"/>
              </w:numPr>
              <w:spacing w:line="400" w:lineRule="exact"/>
              <w:ind w:left="635"/>
              <w:jc w:val="center"/>
              <w:rPr>
                <w:rFonts w:hint="eastAsia" w:ascii="宋体" w:hAnsi="宋体"/>
                <w:color w:val="auto"/>
                <w:szCs w:val="21"/>
                <w:highlight w:val="none"/>
              </w:rPr>
            </w:pPr>
          </w:p>
        </w:tc>
        <w:tc>
          <w:tcPr>
            <w:tcW w:w="1153" w:type="dxa"/>
            <w:shd w:val="clear" w:color="000000" w:fill="FFFFFF"/>
            <w:noWrap w:val="0"/>
            <w:vAlign w:val="center"/>
          </w:tcPr>
          <w:p w14:paraId="6C3C7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8032" w:type="dxa"/>
            <w:gridSpan w:val="2"/>
            <w:shd w:val="clear" w:color="000000" w:fill="FFFFFF"/>
            <w:noWrap w:val="0"/>
            <w:vAlign w:val="center"/>
          </w:tcPr>
          <w:p w14:paraId="735E061A">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shd w:val="clear" w:color="auto" w:fill="FFFFFF"/>
                <w:lang w:val="en-US" w:eastAsia="zh-CN"/>
              </w:rPr>
              <w:t>满足磋商文件第二章-第一节、采购清单及技术参数中标注“★”的技术参数</w:t>
            </w:r>
            <w:r>
              <w:rPr>
                <w:rFonts w:hint="eastAsia" w:ascii="宋体" w:hAnsi="宋体" w:eastAsia="宋体" w:cs="宋体"/>
                <w:color w:val="auto"/>
                <w:sz w:val="24"/>
                <w:szCs w:val="24"/>
                <w:highlight w:val="none"/>
              </w:rPr>
              <w:t>（注：提供</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偏离表</w:t>
            </w:r>
            <w:r>
              <w:rPr>
                <w:rFonts w:hint="eastAsia" w:ascii="宋体" w:hAnsi="宋体" w:eastAsia="宋体" w:cs="宋体"/>
                <w:color w:val="auto"/>
                <w:sz w:val="24"/>
                <w:szCs w:val="24"/>
                <w:highlight w:val="none"/>
                <w:lang w:val="en-US" w:eastAsia="zh-CN"/>
              </w:rPr>
              <w:t>逐条响应</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有一条存在负偏离或不满足的，视为无效投标</w:t>
            </w:r>
            <w:r>
              <w:rPr>
                <w:rFonts w:hint="eastAsia" w:ascii="宋体" w:hAnsi="宋体" w:eastAsia="宋体" w:cs="宋体"/>
                <w:color w:val="auto"/>
                <w:sz w:val="24"/>
                <w:szCs w:val="24"/>
                <w:highlight w:val="none"/>
              </w:rPr>
              <w:t>）</w:t>
            </w:r>
          </w:p>
        </w:tc>
      </w:tr>
      <w:tr w14:paraId="1B8A88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1" w:type="dxa"/>
            <w:shd w:val="clear" w:color="000000" w:fill="FFFFFF"/>
            <w:noWrap w:val="0"/>
            <w:vAlign w:val="center"/>
          </w:tcPr>
          <w:p w14:paraId="2EEF2BEA">
            <w:pPr>
              <w:numPr>
                <w:ilvl w:val="0"/>
                <w:numId w:val="5"/>
              </w:numPr>
              <w:spacing w:line="400" w:lineRule="exact"/>
              <w:ind w:left="635"/>
              <w:jc w:val="center"/>
              <w:rPr>
                <w:rFonts w:hint="eastAsia" w:ascii="宋体" w:hAnsi="宋体"/>
                <w:color w:val="auto"/>
                <w:szCs w:val="21"/>
                <w:highlight w:val="none"/>
              </w:rPr>
            </w:pPr>
          </w:p>
        </w:tc>
        <w:tc>
          <w:tcPr>
            <w:tcW w:w="1153" w:type="dxa"/>
            <w:shd w:val="clear" w:color="000000" w:fill="FFFFFF"/>
            <w:noWrap w:val="0"/>
            <w:vAlign w:val="center"/>
          </w:tcPr>
          <w:p w14:paraId="0E6677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商务符合性</w:t>
            </w:r>
          </w:p>
        </w:tc>
        <w:tc>
          <w:tcPr>
            <w:tcW w:w="8032" w:type="dxa"/>
            <w:gridSpan w:val="2"/>
            <w:shd w:val="clear" w:color="000000" w:fill="FFFFFF"/>
            <w:noWrap w:val="0"/>
            <w:vAlign w:val="center"/>
          </w:tcPr>
          <w:p w14:paraId="2D66802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满足磋商文件第二章-第二节-商务要求所有条款（注：提供商务偏离表</w:t>
            </w:r>
            <w:r>
              <w:rPr>
                <w:rFonts w:hint="eastAsia" w:ascii="宋体" w:hAnsi="宋体" w:eastAsia="宋体" w:cs="宋体"/>
                <w:color w:val="auto"/>
                <w:sz w:val="24"/>
                <w:szCs w:val="24"/>
                <w:highlight w:val="none"/>
                <w:lang w:val="en-US" w:eastAsia="zh-CN"/>
              </w:rPr>
              <w:t>逐条响应</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有一条存在负偏离或不满足的，视为无效投标</w:t>
            </w:r>
            <w:r>
              <w:rPr>
                <w:rFonts w:hint="eastAsia" w:ascii="宋体" w:hAnsi="宋体" w:eastAsia="宋体" w:cs="宋体"/>
                <w:color w:val="auto"/>
                <w:sz w:val="24"/>
                <w:szCs w:val="24"/>
                <w:highlight w:val="none"/>
              </w:rPr>
              <w:t>）</w:t>
            </w:r>
          </w:p>
        </w:tc>
      </w:tr>
      <w:tr w14:paraId="29033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21" w:type="dxa"/>
            <w:shd w:val="clear" w:color="000000" w:fill="FFFFFF"/>
            <w:noWrap w:val="0"/>
            <w:vAlign w:val="center"/>
          </w:tcPr>
          <w:p w14:paraId="4589112C">
            <w:pPr>
              <w:numPr>
                <w:ilvl w:val="0"/>
                <w:numId w:val="5"/>
              </w:numPr>
              <w:spacing w:line="400" w:lineRule="exact"/>
              <w:ind w:left="635"/>
              <w:jc w:val="center"/>
              <w:rPr>
                <w:rFonts w:hint="eastAsia" w:ascii="宋体" w:hAnsi="宋体"/>
                <w:color w:val="auto"/>
                <w:szCs w:val="21"/>
                <w:highlight w:val="none"/>
              </w:rPr>
            </w:pPr>
          </w:p>
        </w:tc>
        <w:tc>
          <w:tcPr>
            <w:tcW w:w="1153" w:type="dxa"/>
            <w:shd w:val="clear" w:color="000000" w:fill="FFFFFF"/>
            <w:noWrap w:val="0"/>
            <w:vAlign w:val="center"/>
          </w:tcPr>
          <w:p w14:paraId="7EF482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报价审查</w:t>
            </w:r>
          </w:p>
        </w:tc>
        <w:tc>
          <w:tcPr>
            <w:tcW w:w="8032" w:type="dxa"/>
            <w:gridSpan w:val="2"/>
            <w:shd w:val="clear" w:color="000000" w:fill="FFFFFF"/>
            <w:noWrap w:val="0"/>
            <w:vAlign w:val="center"/>
          </w:tcPr>
          <w:p w14:paraId="192BB7CE">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异常低价审查，如报价出现异常低价问题的，磋商小组应当启动异常低价投标（响应）审查程序，具体为：1.投标（响应）报价低于全部通过符合性审查供应商投标（响应）报价平均值50%的，即投标（响应）报价&lt;全部通过符合性审查供应商投标（响应）报价平均值×50%；</w:t>
            </w:r>
          </w:p>
          <w:p w14:paraId="5BF10CBF">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2.投标（响应）报价低于通过符合性审查的次低报价供应商投标（响应）报价50%的，即投标（响应）报价&lt;通过符合性审查的次低报价供应商投标（响应）报价×50%；</w:t>
            </w:r>
          </w:p>
          <w:p w14:paraId="5D46E4B6">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3.投标（响应）报价低于采购项目最高限价45%的，即投标（响应）报价&lt;采购项目最高限价×45%；</w:t>
            </w:r>
          </w:p>
          <w:p w14:paraId="4888DC66">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4.磋商小组基于专业判断，认为供应商报价过低，有可能影响产品质量或者不能诚信履约的其他情形。</w:t>
            </w:r>
          </w:p>
          <w:p w14:paraId="4310FED2">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C5F5F5">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tc>
      </w:tr>
      <w:tr w14:paraId="62AD8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1" w:type="dxa"/>
            <w:shd w:val="clear" w:color="000000" w:fill="FFFFFF"/>
            <w:noWrap w:val="0"/>
            <w:vAlign w:val="center"/>
          </w:tcPr>
          <w:p w14:paraId="4E2157DE">
            <w:pPr>
              <w:numPr>
                <w:ilvl w:val="0"/>
                <w:numId w:val="5"/>
              </w:numPr>
              <w:spacing w:line="400" w:lineRule="exact"/>
              <w:ind w:left="635"/>
              <w:jc w:val="center"/>
              <w:rPr>
                <w:rFonts w:hint="eastAsia" w:ascii="宋体" w:hAnsi="宋体"/>
                <w:color w:val="auto"/>
                <w:szCs w:val="21"/>
                <w:highlight w:val="none"/>
              </w:rPr>
            </w:pPr>
          </w:p>
        </w:tc>
        <w:tc>
          <w:tcPr>
            <w:tcW w:w="1153" w:type="dxa"/>
            <w:shd w:val="clear" w:color="000000" w:fill="FFFFFF"/>
            <w:noWrap w:val="0"/>
            <w:vAlign w:val="center"/>
          </w:tcPr>
          <w:p w14:paraId="57D722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无效标审查</w:t>
            </w:r>
          </w:p>
        </w:tc>
        <w:tc>
          <w:tcPr>
            <w:tcW w:w="8032" w:type="dxa"/>
            <w:gridSpan w:val="2"/>
            <w:shd w:val="clear" w:color="000000" w:fill="FFFFFF"/>
            <w:noWrap w:val="0"/>
            <w:vAlign w:val="center"/>
          </w:tcPr>
          <w:p w14:paraId="7FB5672A">
            <w:pPr>
              <w:widowControl/>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按磋商文件第三章第三节无效标条款规定，审查是否通过。</w:t>
            </w:r>
          </w:p>
        </w:tc>
      </w:tr>
    </w:tbl>
    <w:p w14:paraId="13D09E48">
      <w:pPr>
        <w:ind w:firstLine="422"/>
        <w:rPr>
          <w:rStyle w:val="12"/>
          <w:rFonts w:cs="宋体"/>
          <w:bCs/>
          <w:color w:val="auto"/>
          <w:sz w:val="24"/>
          <w:szCs w:val="24"/>
          <w:highlight w:val="none"/>
        </w:rPr>
      </w:pPr>
      <w:r>
        <w:rPr>
          <w:rStyle w:val="12"/>
          <w:rFonts w:hint="eastAsia" w:cs="宋体"/>
          <w:bCs/>
          <w:color w:val="auto"/>
          <w:sz w:val="24"/>
          <w:szCs w:val="24"/>
          <w:highlight w:val="none"/>
        </w:rPr>
        <w:t>三、评审标准</w:t>
      </w:r>
    </w:p>
    <w:p w14:paraId="66942523">
      <w:pPr>
        <w:spacing w:line="360" w:lineRule="auto"/>
        <w:ind w:firstLine="480" w:firstLineChars="200"/>
        <w:jc w:val="left"/>
        <w:rPr>
          <w:rFonts w:hint="eastAsia" w:ascii="宋体" w:hAnsi="宋体"/>
          <w:color w:val="auto"/>
          <w:kern w:val="2"/>
          <w:sz w:val="24"/>
          <w:szCs w:val="21"/>
          <w:highlight w:val="none"/>
        </w:rPr>
      </w:pPr>
      <w:bookmarkStart w:id="7" w:name="_Toc3762"/>
      <w:r>
        <w:rPr>
          <w:rFonts w:ascii="宋体" w:hAnsi="宋体"/>
          <w:color w:val="auto"/>
          <w:kern w:val="2"/>
          <w:sz w:val="24"/>
          <w:szCs w:val="21"/>
          <w:highlight w:val="none"/>
        </w:rPr>
        <w:t>磋商小组采用</w:t>
      </w:r>
      <w:r>
        <w:rPr>
          <w:rFonts w:hint="eastAsia" w:ascii="宋体" w:hAnsi="宋体"/>
          <w:color w:val="auto"/>
          <w:kern w:val="2"/>
          <w:sz w:val="24"/>
          <w:szCs w:val="21"/>
          <w:highlight w:val="none"/>
        </w:rPr>
        <w:t>磋商文件规定的评审方法</w:t>
      </w:r>
      <w:r>
        <w:rPr>
          <w:rFonts w:ascii="宋体" w:hAnsi="宋体"/>
          <w:color w:val="auto"/>
          <w:kern w:val="2"/>
          <w:sz w:val="24"/>
          <w:szCs w:val="21"/>
          <w:highlight w:val="none"/>
        </w:rPr>
        <w:t>对提交最后报价的供应商的响应文件和最后报价进行综合评分</w:t>
      </w:r>
      <w:r>
        <w:rPr>
          <w:rFonts w:hint="eastAsia" w:ascii="宋体" w:hAnsi="宋体"/>
          <w:color w:val="auto"/>
          <w:kern w:val="2"/>
          <w:sz w:val="24"/>
          <w:szCs w:val="21"/>
          <w:highlight w:val="none"/>
        </w:rPr>
        <w:t>。具体评审内容详见评分表。</w:t>
      </w:r>
      <w:bookmarkEnd w:id="7"/>
    </w:p>
    <w:p w14:paraId="041789B6">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en-US"/>
        </w:rPr>
        <w:t>1.</w:t>
      </w:r>
      <w:r>
        <w:rPr>
          <w:rFonts w:hint="eastAsia" w:ascii="宋体" w:hAnsi="宋体" w:eastAsia="宋体" w:cs="宋体"/>
          <w:b/>
          <w:bCs/>
          <w:color w:val="auto"/>
          <w:sz w:val="24"/>
          <w:szCs w:val="24"/>
          <w:highlight w:val="none"/>
        </w:rPr>
        <w:t>投标报价【满分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10"/>
        <w:tblpPr w:leftFromText="180" w:rightFromText="180" w:vertAnchor="text" w:horzAnchor="page" w:tblpX="1436" w:tblpY="44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0"/>
        <w:gridCol w:w="855"/>
        <w:gridCol w:w="6612"/>
      </w:tblGrid>
      <w:tr w14:paraId="313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3" w:type="dxa"/>
            <w:noWrap w:val="0"/>
            <w:vAlign w:val="center"/>
          </w:tcPr>
          <w:p w14:paraId="142B5458">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230" w:type="dxa"/>
            <w:noWrap w:val="0"/>
            <w:vAlign w:val="center"/>
          </w:tcPr>
          <w:p w14:paraId="0E0FEEA5">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评分因素</w:t>
            </w:r>
          </w:p>
        </w:tc>
        <w:tc>
          <w:tcPr>
            <w:tcW w:w="855" w:type="dxa"/>
            <w:noWrap w:val="0"/>
            <w:vAlign w:val="center"/>
          </w:tcPr>
          <w:p w14:paraId="3C3274FC">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分值</w:t>
            </w:r>
          </w:p>
        </w:tc>
        <w:tc>
          <w:tcPr>
            <w:tcW w:w="6612" w:type="dxa"/>
            <w:noWrap w:val="0"/>
            <w:vAlign w:val="center"/>
          </w:tcPr>
          <w:p w14:paraId="2C686957">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评分标准</w:t>
            </w:r>
          </w:p>
        </w:tc>
      </w:tr>
      <w:tr w14:paraId="5518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13" w:type="dxa"/>
            <w:noWrap w:val="0"/>
            <w:vAlign w:val="center"/>
          </w:tcPr>
          <w:p w14:paraId="7E000993">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en-US"/>
              </w:rPr>
              <w:t>1.1</w:t>
            </w:r>
          </w:p>
        </w:tc>
        <w:tc>
          <w:tcPr>
            <w:tcW w:w="1230" w:type="dxa"/>
            <w:noWrap w:val="0"/>
            <w:vAlign w:val="center"/>
          </w:tcPr>
          <w:p w14:paraId="361B67FD">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投标报价分</w:t>
            </w:r>
          </w:p>
        </w:tc>
        <w:tc>
          <w:tcPr>
            <w:tcW w:w="855" w:type="dxa"/>
            <w:noWrap w:val="0"/>
            <w:vAlign w:val="center"/>
          </w:tcPr>
          <w:p w14:paraId="2C6E2267">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6612" w:type="dxa"/>
            <w:noWrap w:val="0"/>
            <w:vAlign w:val="top"/>
          </w:tcPr>
          <w:p w14:paraId="41F465C1">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满足竞争性磋商文件要求的前提下，全部有效投标价最低价作为评标基准价，供应商价格分统一按照下列公式计算：投标报价得分＝（评标基准价／投标报价）×价格权值（</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）×100</w:t>
            </w:r>
          </w:p>
          <w:p w14:paraId="0F49D091">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1.评标基准价指满足磋商文件要求且投标价格（或扣除后价格）最低的投标报价，投标报价指满足磋商文件要求的各投标单位的投标报价。</w:t>
            </w:r>
          </w:p>
          <w:p w14:paraId="182A7CCE">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供应商的报价明显低于其他通过资格审查的供应商的报价，磋商小组应当启动异常低价投标（响应）审查程序，详见符合性审查表中的报价审查。</w:t>
            </w:r>
          </w:p>
          <w:p w14:paraId="1E914CE0">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注：本项目为面向中小企业采购，供应商的投标报价不再享受价格优惠。</w:t>
            </w:r>
          </w:p>
        </w:tc>
      </w:tr>
    </w:tbl>
    <w:p w14:paraId="1588703E">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b/>
          <w:bCs/>
          <w:color w:val="auto"/>
          <w:sz w:val="24"/>
          <w:szCs w:val="24"/>
          <w:highlight w:val="none"/>
          <w:lang w:val="en-US" w:eastAsia="en-US"/>
        </w:rPr>
      </w:pPr>
    </w:p>
    <w:p w14:paraId="2B45FC8E">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en-US"/>
        </w:rPr>
        <w:t>2.</w:t>
      </w:r>
      <w:r>
        <w:rPr>
          <w:rFonts w:hint="eastAsia" w:ascii="宋体" w:hAnsi="宋体" w:eastAsia="宋体" w:cs="宋体"/>
          <w:b/>
          <w:bCs/>
          <w:color w:val="auto"/>
          <w:sz w:val="24"/>
          <w:szCs w:val="24"/>
          <w:highlight w:val="none"/>
        </w:rPr>
        <w:t>技术分【满分</w:t>
      </w:r>
      <w:r>
        <w:rPr>
          <w:rFonts w:hint="eastAsia" w:ascii="宋体" w:hAnsi="宋体" w:eastAsia="宋体" w:cs="宋体"/>
          <w:b/>
          <w:bCs/>
          <w:color w:val="auto"/>
          <w:sz w:val="24"/>
          <w:szCs w:val="24"/>
          <w:highlight w:val="none"/>
          <w:lang w:val="en-US" w:eastAsia="zh-CN"/>
        </w:rPr>
        <w:t>44</w:t>
      </w:r>
      <w:r>
        <w:rPr>
          <w:rFonts w:hint="eastAsia" w:ascii="宋体" w:hAnsi="宋体" w:eastAsia="宋体" w:cs="宋体"/>
          <w:b/>
          <w:bCs/>
          <w:color w:val="auto"/>
          <w:sz w:val="24"/>
          <w:szCs w:val="24"/>
          <w:highlight w:val="none"/>
        </w:rPr>
        <w:t>】：</w:t>
      </w:r>
    </w:p>
    <w:p w14:paraId="7A6A8151">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4"/>
          <w:szCs w:val="24"/>
          <w:highlight w:val="none"/>
          <w:lang w:eastAsia="zh-CN"/>
        </w:rPr>
      </w:pPr>
    </w:p>
    <w:tbl>
      <w:tblPr>
        <w:tblStyle w:val="10"/>
        <w:tblpPr w:leftFromText="180" w:rightFromText="180" w:vertAnchor="text" w:horzAnchor="page" w:tblpX="1473" w:tblpY="336"/>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97"/>
        <w:gridCol w:w="773"/>
        <w:gridCol w:w="6597"/>
      </w:tblGrid>
      <w:tr w14:paraId="5E73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43" w:type="dxa"/>
            <w:noWrap w:val="0"/>
            <w:vAlign w:val="center"/>
          </w:tcPr>
          <w:p w14:paraId="40A488BC">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b/>
                <w:bCs/>
                <w:color w:val="auto"/>
                <w:sz w:val="24"/>
                <w:szCs w:val="24"/>
                <w:highlight w:val="none"/>
              </w:rPr>
            </w:pPr>
            <w:bookmarkStart w:id="8" w:name="_Toc144281194"/>
            <w:r>
              <w:rPr>
                <w:rFonts w:hint="eastAsia" w:ascii="宋体" w:hAnsi="宋体" w:eastAsia="宋体" w:cs="宋体"/>
                <w:b/>
                <w:bCs/>
                <w:color w:val="auto"/>
                <w:sz w:val="24"/>
                <w:szCs w:val="24"/>
                <w:highlight w:val="none"/>
              </w:rPr>
              <w:t>序号</w:t>
            </w:r>
          </w:p>
        </w:tc>
        <w:tc>
          <w:tcPr>
            <w:tcW w:w="1297" w:type="dxa"/>
            <w:noWrap w:val="0"/>
            <w:vAlign w:val="center"/>
          </w:tcPr>
          <w:p w14:paraId="6840230C">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73" w:type="dxa"/>
            <w:noWrap w:val="0"/>
            <w:vAlign w:val="center"/>
          </w:tcPr>
          <w:p w14:paraId="62DFAC62">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597" w:type="dxa"/>
            <w:noWrap w:val="0"/>
            <w:vAlign w:val="center"/>
          </w:tcPr>
          <w:p w14:paraId="77504295">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612D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54387F5A">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2.1</w:t>
            </w:r>
          </w:p>
        </w:tc>
        <w:tc>
          <w:tcPr>
            <w:tcW w:w="1297" w:type="dxa"/>
            <w:noWrap w:val="0"/>
            <w:vAlign w:val="center"/>
          </w:tcPr>
          <w:p w14:paraId="61883108">
            <w:pPr>
              <w:pStyle w:val="14"/>
              <w:keepNext w:val="0"/>
              <w:keepLines w:val="0"/>
              <w:pageBreakBefore w:val="0"/>
              <w:kinsoku/>
              <w:wordWrap/>
              <w:overflowPunct/>
              <w:topLinePunct w:val="0"/>
              <w:autoSpaceDE/>
              <w:autoSpaceDN/>
              <w:bidi w:val="0"/>
              <w:adjustRightInd/>
              <w:snapToGrid/>
              <w:spacing w:after="180" w:line="360" w:lineRule="exact"/>
              <w:ind w:left="0" w:leftChars="0" w:firstLine="0" w:firstLineChars="0"/>
              <w:jc w:val="center"/>
              <w:rPr>
                <w:rFonts w:hint="eastAsia" w:ascii="宋体" w:hAnsi="宋体" w:eastAsia="宋体" w:cs="宋体"/>
                <w:b/>
                <w:bCs/>
                <w:color w:val="auto"/>
                <w:sz w:val="24"/>
                <w:szCs w:val="24"/>
                <w:highlight w:val="none"/>
                <w:lang w:eastAsia="zh-CN"/>
              </w:rPr>
            </w:pPr>
            <w:r>
              <w:rPr>
                <w:rFonts w:hint="eastAsia" w:cs="宋体"/>
                <w:color w:val="auto"/>
                <w:sz w:val="24"/>
                <w:szCs w:val="24"/>
                <w:highlight w:val="none"/>
                <w:lang w:val="en-US" w:eastAsia="zh-CN"/>
              </w:rPr>
              <w:t>技术参数</w:t>
            </w:r>
          </w:p>
        </w:tc>
        <w:tc>
          <w:tcPr>
            <w:tcW w:w="773" w:type="dxa"/>
            <w:noWrap w:val="0"/>
            <w:vAlign w:val="center"/>
          </w:tcPr>
          <w:p w14:paraId="410ECE11">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6597" w:type="dxa"/>
            <w:noWrap w:val="0"/>
            <w:vAlign w:val="top"/>
          </w:tcPr>
          <w:p w14:paraId="4D4B5BC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1.全部满足招标文件技术要求的得22分：</w:t>
            </w:r>
          </w:p>
          <w:p w14:paraId="4FA5A60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（1）普通技术条款每有一项负偏离扣0.5分，扣完为止；</w:t>
            </w:r>
          </w:p>
          <w:p w14:paraId="4870FE1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（2）标注“▲”为重要技术指标，每存在一项负偏离扣1分，扣完为止。</w:t>
            </w:r>
          </w:p>
          <w:p w14:paraId="6A519AC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注：（1）技术参数中要求提供相关证明材料的，需提供其证明材料加盖公章，如未提供或提供不完整的则为负偏离扣除相应技术分；</w:t>
            </w:r>
          </w:p>
          <w:p w14:paraId="7B7321C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（2）技术参数中未要求提供相关证明材料的，以技术偏离表中偏离情况为准。</w:t>
            </w:r>
          </w:p>
        </w:tc>
      </w:tr>
      <w:tr w14:paraId="73CD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0F917ECE">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2.2</w:t>
            </w:r>
          </w:p>
        </w:tc>
        <w:tc>
          <w:tcPr>
            <w:tcW w:w="1297" w:type="dxa"/>
            <w:noWrap w:val="0"/>
            <w:vAlign w:val="center"/>
          </w:tcPr>
          <w:p w14:paraId="5641BF6A">
            <w:pPr>
              <w:pStyle w:val="14"/>
              <w:keepNext w:val="0"/>
              <w:keepLines w:val="0"/>
              <w:pageBreakBefore w:val="0"/>
              <w:kinsoku/>
              <w:wordWrap/>
              <w:overflowPunct/>
              <w:topLinePunct w:val="0"/>
              <w:autoSpaceDE/>
              <w:autoSpaceDN/>
              <w:bidi w:val="0"/>
              <w:adjustRightInd/>
              <w:snapToGrid/>
              <w:spacing w:after="180" w:line="360" w:lineRule="exact"/>
              <w:ind w:left="0" w:leftChars="0" w:firstLine="0" w:firstLine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知识产权</w:t>
            </w:r>
          </w:p>
        </w:tc>
        <w:tc>
          <w:tcPr>
            <w:tcW w:w="773" w:type="dxa"/>
            <w:noWrap w:val="0"/>
            <w:vAlign w:val="center"/>
          </w:tcPr>
          <w:p w14:paraId="26EAE36F">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597" w:type="dxa"/>
            <w:noWrap w:val="0"/>
            <w:vAlign w:val="top"/>
          </w:tcPr>
          <w:p w14:paraId="15DD71C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投标人或制造商须提供成熟且自主知识产权的的实训系统，具备城市轨道交通站台门平台/软件/系统软件著作权及软件测试报告的得2分，不提供或提供不全均不得分。</w:t>
            </w:r>
          </w:p>
          <w:p w14:paraId="70FD96A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注：上述软件著作权及软件测试报告文件需提供证明文件复印件加盖公章。</w:t>
            </w:r>
          </w:p>
        </w:tc>
      </w:tr>
      <w:tr w14:paraId="79DB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3" w:type="dxa"/>
            <w:noWrap w:val="0"/>
            <w:vAlign w:val="center"/>
          </w:tcPr>
          <w:p w14:paraId="41CE3B64">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2.3</w:t>
            </w:r>
          </w:p>
        </w:tc>
        <w:tc>
          <w:tcPr>
            <w:tcW w:w="1297" w:type="dxa"/>
            <w:noWrap w:val="0"/>
            <w:vAlign w:val="center"/>
          </w:tcPr>
          <w:p w14:paraId="130C30EE">
            <w:pPr>
              <w:pStyle w:val="14"/>
              <w:keepNext w:val="0"/>
              <w:keepLines w:val="0"/>
              <w:pageBreakBefore w:val="0"/>
              <w:kinsoku/>
              <w:wordWrap/>
              <w:overflowPunct/>
              <w:topLinePunct w:val="0"/>
              <w:autoSpaceDE/>
              <w:autoSpaceDN/>
              <w:bidi w:val="0"/>
              <w:adjustRightInd/>
              <w:snapToGrid/>
              <w:spacing w:after="180" w:line="3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方案</w:t>
            </w:r>
          </w:p>
        </w:tc>
        <w:tc>
          <w:tcPr>
            <w:tcW w:w="773" w:type="dxa"/>
            <w:noWrap w:val="0"/>
            <w:vAlign w:val="center"/>
          </w:tcPr>
          <w:p w14:paraId="7846E9D5">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597" w:type="dxa"/>
            <w:noWrap w:val="0"/>
            <w:vAlign w:val="top"/>
          </w:tcPr>
          <w:p w14:paraId="01173A6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提供的项目实施方案（包括但不限于项目实施计划、提供现场实际勘测的弱电网络接线图、平面布置图及多角度效果图、项目经理管控实施、供货方案、安装调试验收方案、质量保证方案等方面）进行综合评分： </w:t>
            </w:r>
          </w:p>
          <w:p w14:paraId="57A151A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方案完整合理、清晰针对性强，得3-5分； </w:t>
            </w:r>
          </w:p>
          <w:p w14:paraId="04CC3B4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方案比较完整、针对性一般得1-3分； </w:t>
            </w:r>
          </w:p>
          <w:p w14:paraId="2E636C8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方案有所遗漏，无明显针对性的得0-1分。 </w:t>
            </w:r>
          </w:p>
          <w:p w14:paraId="3AAE40CB">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（不提供方案不得分）。</w:t>
            </w:r>
          </w:p>
        </w:tc>
      </w:tr>
      <w:tr w14:paraId="127B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3" w:type="dxa"/>
            <w:noWrap w:val="0"/>
            <w:vAlign w:val="center"/>
          </w:tcPr>
          <w:p w14:paraId="70D4DCE8">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2.4</w:t>
            </w:r>
          </w:p>
        </w:tc>
        <w:tc>
          <w:tcPr>
            <w:tcW w:w="1297" w:type="dxa"/>
            <w:noWrap w:val="0"/>
            <w:vAlign w:val="center"/>
          </w:tcPr>
          <w:p w14:paraId="1CF8A3C2">
            <w:pPr>
              <w:pStyle w:val="14"/>
              <w:keepNext w:val="0"/>
              <w:keepLines w:val="0"/>
              <w:pageBreakBefore w:val="0"/>
              <w:kinsoku/>
              <w:wordWrap/>
              <w:overflowPunct/>
              <w:topLinePunct w:val="0"/>
              <w:autoSpaceDE/>
              <w:autoSpaceDN/>
              <w:bidi w:val="0"/>
              <w:adjustRightInd/>
              <w:snapToGrid/>
              <w:spacing w:after="180" w:line="3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售后服务保障方案</w:t>
            </w:r>
          </w:p>
        </w:tc>
        <w:tc>
          <w:tcPr>
            <w:tcW w:w="773" w:type="dxa"/>
            <w:noWrap w:val="0"/>
            <w:vAlign w:val="center"/>
          </w:tcPr>
          <w:p w14:paraId="522EC09C">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597" w:type="dxa"/>
            <w:noWrap w:val="0"/>
            <w:vAlign w:val="top"/>
          </w:tcPr>
          <w:p w14:paraId="320925A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1.根据投标供应商提供的售后服务方案（包括但不限于售后及维护方案售后服务资质、培训方案、回访措施、耗材及备品备件优惠措施、维保人员配置、运维期故障处置方案等方面）进行综合评分：</w:t>
            </w:r>
          </w:p>
          <w:p w14:paraId="1B557EB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方案完整合理、清晰针对性强得3-5分；</w:t>
            </w:r>
          </w:p>
          <w:p w14:paraId="2A3EAF4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方案比较完整、针对性一般得1-3分；</w:t>
            </w:r>
          </w:p>
          <w:p w14:paraId="72937DC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方案有所遗漏，无明显针对性的得0-1分。</w:t>
            </w:r>
          </w:p>
          <w:p w14:paraId="481AC2E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（不提供方案不得分）。</w:t>
            </w:r>
          </w:p>
        </w:tc>
      </w:tr>
      <w:tr w14:paraId="4464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43" w:type="dxa"/>
            <w:noWrap w:val="0"/>
            <w:vAlign w:val="center"/>
          </w:tcPr>
          <w:p w14:paraId="7DDCEE3D">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2.5</w:t>
            </w:r>
          </w:p>
        </w:tc>
        <w:tc>
          <w:tcPr>
            <w:tcW w:w="1297" w:type="dxa"/>
            <w:noWrap w:val="0"/>
            <w:vAlign w:val="center"/>
          </w:tcPr>
          <w:p w14:paraId="545A5B81">
            <w:pPr>
              <w:pStyle w:val="14"/>
              <w:keepNext w:val="0"/>
              <w:keepLines w:val="0"/>
              <w:pageBreakBefore w:val="0"/>
              <w:kinsoku/>
              <w:wordWrap/>
              <w:overflowPunct/>
              <w:topLinePunct w:val="0"/>
              <w:autoSpaceDE/>
              <w:autoSpaceDN/>
              <w:bidi w:val="0"/>
              <w:adjustRightInd/>
              <w:snapToGrid/>
              <w:spacing w:after="180" w:line="36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现场演示</w:t>
            </w:r>
          </w:p>
        </w:tc>
        <w:tc>
          <w:tcPr>
            <w:tcW w:w="773" w:type="dxa"/>
            <w:noWrap w:val="0"/>
            <w:vAlign w:val="center"/>
          </w:tcPr>
          <w:p w14:paraId="5EE788AA">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597" w:type="dxa"/>
            <w:noWrap w:val="0"/>
            <w:vAlign w:val="top"/>
          </w:tcPr>
          <w:p w14:paraId="76F4BE7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投标人对以下内容进行演示：</w:t>
            </w:r>
          </w:p>
          <w:p w14:paraId="5A3AE085">
            <w:pPr>
              <w:widowControl/>
              <w:spacing w:line="360" w:lineRule="exac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1、LCB就地控制盒：具备站台门锁闭回路故障处理的功能。</w:t>
            </w:r>
          </w:p>
          <w:p w14:paraId="29D8A1B8">
            <w:pPr>
              <w:widowControl/>
              <w:spacing w:line="360" w:lineRule="exac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2、综合模拟控制盘：具备站台门与信号系统联动故障处理的功能。</w:t>
            </w:r>
          </w:p>
          <w:p w14:paraId="467363E7">
            <w:pPr>
              <w:widowControl/>
              <w:spacing w:line="360" w:lineRule="exac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3、PSC中央接口盘：具备站台门实训系统DCU故障处理的功能。</w:t>
            </w:r>
          </w:p>
          <w:p w14:paraId="261A4EEB">
            <w:pPr>
              <w:widowControl/>
              <w:spacing w:line="360" w:lineRule="exac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工具柜及检修工具-配套列控中心仿真课件资源：根据轨道区段占用信息、联锁进路信息、线路限速信息等，产生列车行车许可命令，并通过轨道电路和有源应答器，传输给车载子系统，保证其管辖内的所有列车的运行安全。</w:t>
            </w:r>
          </w:p>
          <w:p w14:paraId="3D4EA3FF">
            <w:pPr>
              <w:widowControl/>
              <w:spacing w:line="360" w:lineRule="exac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5、工具柜及检修工具-配套轨道交通高级修虚拟仿真系统-动力转向架更换虚拟实训课件资源：需能展示实训模式和考核模式两种不同的模式：实训模式是带有语言、文字、高光提示引导学员按照流程以第一人称方试进行实训演练，考核模式可以通过教员端设置考核时间限制和考核分数，在考核模式下学员端不带操作提示，考核完成后或者考核时间结束，系统自动提交，学生可以查看考核结果，教员端同时统计。</w:t>
            </w:r>
          </w:p>
          <w:p w14:paraId="4CC6CBA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p>
          <w:p w14:paraId="164A837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演示所需软硬件均由投标人或制造商自行准备，按照要求逐条演示，每成功演示一项得2分，满分10分，未演示或未按要求演示均不得分。</w:t>
            </w:r>
          </w:p>
          <w:p w14:paraId="0AF1629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注：演示时间≤15分钟，演示所须软硬件均由投标人自行准备，按照演示要求逐条演示，每成功演示一项得2分，满分10分，未演示或演示功能不满足要求的不得分。</w:t>
            </w:r>
          </w:p>
        </w:tc>
      </w:tr>
    </w:tbl>
    <w:p w14:paraId="61D2D18F">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3.商务分【满分</w:t>
      </w:r>
      <w:r>
        <w:rPr>
          <w:rFonts w:hint="eastAsia"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分】：</w:t>
      </w:r>
    </w:p>
    <w:tbl>
      <w:tblPr>
        <w:tblStyle w:val="10"/>
        <w:tblpPr w:leftFromText="180" w:rightFromText="180" w:vertAnchor="text" w:horzAnchor="page" w:tblpX="1436" w:tblpY="499"/>
        <w:tblOverlap w:val="never"/>
        <w:tblW w:w="9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45"/>
        <w:gridCol w:w="825"/>
        <w:gridCol w:w="6504"/>
      </w:tblGrid>
      <w:tr w14:paraId="0232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B2C8EFB">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3.</w:t>
            </w:r>
            <w:r>
              <w:rPr>
                <w:rFonts w:hint="eastAsia" w:ascii="宋体" w:hAnsi="宋体" w:eastAsia="宋体" w:cs="宋体"/>
                <w:color w:val="auto"/>
                <w:sz w:val="24"/>
                <w:szCs w:val="24"/>
                <w:highlight w:val="none"/>
              </w:rPr>
              <w:t>1</w:t>
            </w:r>
          </w:p>
        </w:tc>
        <w:tc>
          <w:tcPr>
            <w:tcW w:w="1245" w:type="dxa"/>
            <w:noWrap w:val="0"/>
            <w:vAlign w:val="center"/>
          </w:tcPr>
          <w:p w14:paraId="39CDA724">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825" w:type="dxa"/>
            <w:noWrap w:val="0"/>
            <w:vAlign w:val="center"/>
          </w:tcPr>
          <w:p w14:paraId="0F15A598">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6504" w:type="dxa"/>
            <w:noWrap w:val="0"/>
            <w:vAlign w:val="top"/>
          </w:tcPr>
          <w:p w14:paraId="360BC81B">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年1月至今的类似项目业绩</w:t>
            </w:r>
            <w:r>
              <w:rPr>
                <w:rFonts w:hint="eastAsia" w:ascii="宋体" w:hAnsi="宋体" w:eastAsia="宋体" w:cs="宋体"/>
                <w:i w:val="0"/>
                <w:iCs w:val="0"/>
                <w:color w:val="auto"/>
                <w:kern w:val="0"/>
                <w:sz w:val="22"/>
                <w:szCs w:val="22"/>
                <w:highlight w:val="none"/>
                <w:u w:val="none"/>
                <w:lang w:val="en-US" w:eastAsia="zh-CN" w:bidi="ar"/>
              </w:rPr>
              <w:t>（须包含核心产品）</w:t>
            </w:r>
            <w:r>
              <w:rPr>
                <w:rFonts w:hint="eastAsia" w:ascii="宋体" w:hAnsi="宋体" w:eastAsia="宋体" w:cs="宋体"/>
                <w:color w:val="auto"/>
                <w:sz w:val="24"/>
                <w:szCs w:val="24"/>
                <w:highlight w:val="none"/>
                <w:lang w:eastAsia="zh-CN"/>
              </w:rPr>
              <w:t>，每提供一个得1分，最高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分。（提供中标通知书或合同复印件加盖公章）</w:t>
            </w:r>
          </w:p>
        </w:tc>
      </w:tr>
      <w:tr w14:paraId="0C30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83F329D">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245" w:type="dxa"/>
            <w:noWrap w:val="0"/>
            <w:vAlign w:val="center"/>
          </w:tcPr>
          <w:p w14:paraId="47649BC9">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团队配置</w:t>
            </w:r>
          </w:p>
        </w:tc>
        <w:tc>
          <w:tcPr>
            <w:tcW w:w="825" w:type="dxa"/>
            <w:noWrap w:val="0"/>
            <w:vAlign w:val="center"/>
          </w:tcPr>
          <w:p w14:paraId="5AACB04A">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504" w:type="dxa"/>
            <w:noWrap w:val="0"/>
            <w:vAlign w:val="top"/>
          </w:tcPr>
          <w:p w14:paraId="622F6D2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名高级软件技术开发工程师</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分，最</w:t>
            </w:r>
            <w:r>
              <w:rPr>
                <w:rFonts w:hint="eastAsia" w:ascii="宋体" w:hAnsi="宋体" w:eastAsia="宋体" w:cs="宋体"/>
                <w:color w:val="auto"/>
                <w:sz w:val="24"/>
                <w:szCs w:val="24"/>
                <w:highlight w:val="none"/>
                <w:lang w:val="en-US" w:eastAsia="zh-CN"/>
              </w:rPr>
              <w:t>多3</w:t>
            </w:r>
            <w:r>
              <w:rPr>
                <w:rFonts w:hint="eastAsia" w:ascii="宋体" w:hAnsi="宋体" w:eastAsia="宋体" w:cs="宋体"/>
                <w:color w:val="auto"/>
                <w:sz w:val="24"/>
                <w:szCs w:val="24"/>
                <w:highlight w:val="none"/>
                <w:lang w:eastAsia="zh-CN"/>
              </w:rPr>
              <w:t>分。</w:t>
            </w:r>
          </w:p>
          <w:p w14:paraId="593C1E4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名三维</w:t>
            </w:r>
            <w:r>
              <w:rPr>
                <w:rFonts w:hint="eastAsia" w:ascii="宋体" w:hAnsi="宋体" w:eastAsia="宋体" w:cs="宋体"/>
                <w:color w:val="auto"/>
                <w:sz w:val="24"/>
                <w:szCs w:val="24"/>
                <w:highlight w:val="none"/>
                <w:lang w:eastAsia="zh-CN"/>
              </w:rPr>
              <w:t>动画设计师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分，最</w:t>
            </w:r>
            <w:r>
              <w:rPr>
                <w:rFonts w:hint="eastAsia" w:ascii="宋体" w:hAnsi="宋体" w:eastAsia="宋体" w:cs="宋体"/>
                <w:color w:val="auto"/>
                <w:sz w:val="24"/>
                <w:szCs w:val="24"/>
                <w:highlight w:val="none"/>
                <w:lang w:val="en-US" w:eastAsia="zh-CN"/>
              </w:rPr>
              <w:t>多3</w:t>
            </w:r>
            <w:r>
              <w:rPr>
                <w:rFonts w:hint="eastAsia" w:ascii="宋体" w:hAnsi="宋体" w:eastAsia="宋体" w:cs="宋体"/>
                <w:color w:val="auto"/>
                <w:sz w:val="24"/>
                <w:szCs w:val="24"/>
                <w:highlight w:val="none"/>
                <w:lang w:eastAsia="zh-CN"/>
              </w:rPr>
              <w:t>分。</w:t>
            </w:r>
          </w:p>
          <w:p w14:paraId="4BE12E6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投标人或制造商拟投入人员</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lang w:eastAsia="zh-CN"/>
              </w:rPr>
              <w:t>弱电系统集成项目经理（高级）证书得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，最多</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p>
          <w:p w14:paraId="7261291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注：提供相关证书复印件加盖公章和202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月至今</w:t>
            </w:r>
            <w:r>
              <w:rPr>
                <w:rFonts w:hint="eastAsia" w:ascii="宋体" w:hAnsi="宋体" w:eastAsia="宋体" w:cs="宋体"/>
                <w:color w:val="auto"/>
                <w:sz w:val="24"/>
                <w:szCs w:val="24"/>
                <w:highlight w:val="none"/>
                <w:lang w:val="en-US" w:eastAsia="zh-CN"/>
              </w:rPr>
              <w:t>任意1个月</w:t>
            </w:r>
            <w:r>
              <w:rPr>
                <w:rFonts w:hint="eastAsia" w:ascii="宋体" w:hAnsi="宋体" w:eastAsia="宋体" w:cs="宋体"/>
                <w:color w:val="auto"/>
                <w:sz w:val="24"/>
                <w:szCs w:val="24"/>
                <w:highlight w:val="none"/>
                <w:lang w:eastAsia="zh-CN"/>
              </w:rPr>
              <w:t>在投标人或制造商单位缴纳社保的证明材料</w:t>
            </w:r>
          </w:p>
        </w:tc>
      </w:tr>
      <w:tr w14:paraId="7FCD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79F4255">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245" w:type="dxa"/>
            <w:noWrap w:val="0"/>
            <w:vAlign w:val="center"/>
          </w:tcPr>
          <w:p w14:paraId="7057D9B7">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shd w:val="clear" w:color="auto" w:fill="FFFFFF"/>
                <w:lang w:val="en-US" w:eastAsia="zh-CN"/>
              </w:rPr>
              <w:t>企业认证体系</w:t>
            </w:r>
          </w:p>
        </w:tc>
        <w:tc>
          <w:tcPr>
            <w:tcW w:w="825" w:type="dxa"/>
            <w:noWrap w:val="0"/>
            <w:vAlign w:val="center"/>
          </w:tcPr>
          <w:p w14:paraId="686440A5">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6504" w:type="dxa"/>
            <w:noWrap w:val="0"/>
            <w:vAlign w:val="top"/>
          </w:tcPr>
          <w:p w14:paraId="07DDAC3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1.投标人或制造商具备ISO9001质量管理体系认证证书的得2分；</w:t>
            </w:r>
          </w:p>
          <w:p w14:paraId="5849C15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2.投标人或制造商具备通过ISO14001环境管理体系认证证书的得2分；</w:t>
            </w:r>
          </w:p>
          <w:p w14:paraId="30AA2E98">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3.投标人或制造商具备ISO45001职业健康安全管理体系认证证书的得2分；</w:t>
            </w:r>
          </w:p>
          <w:p w14:paraId="1180663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4.投标供应商或制造商具备五星级及以上售后服务认证证书的得2分。</w:t>
            </w:r>
          </w:p>
          <w:p w14:paraId="45A0D10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i w:val="0"/>
                <w:iCs w:val="0"/>
                <w:color w:val="auto"/>
                <w:kern w:val="0"/>
                <w:sz w:val="24"/>
                <w:szCs w:val="24"/>
                <w:highlight w:val="none"/>
                <w:u w:val="none"/>
                <w:lang w:val="en-US" w:eastAsia="zh-CN" w:bidi="ar"/>
              </w:rPr>
              <w:t>需提供有效期内的相关证书扫描件或复印件加盖供应商公章以及全国认证认可信息公共服务平台截图加盖供应商公章，未按要求提供不得分。</w:t>
            </w:r>
          </w:p>
        </w:tc>
      </w:tr>
      <w:tr w14:paraId="6905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097EAC2">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245" w:type="dxa"/>
            <w:noWrap w:val="0"/>
            <w:vAlign w:val="center"/>
          </w:tcPr>
          <w:p w14:paraId="4081CE7A">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企业综合实力</w:t>
            </w:r>
          </w:p>
        </w:tc>
        <w:tc>
          <w:tcPr>
            <w:tcW w:w="825" w:type="dxa"/>
            <w:noWrap w:val="0"/>
            <w:vAlign w:val="center"/>
          </w:tcPr>
          <w:p w14:paraId="0349D6BF">
            <w:pPr>
              <w:pStyle w:val="13"/>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cs="宋体"/>
                <w:color w:val="auto"/>
                <w:sz w:val="24"/>
                <w:szCs w:val="24"/>
                <w:highlight w:val="none"/>
                <w:lang w:val="en-US" w:eastAsia="zh-CN"/>
              </w:rPr>
            </w:pPr>
            <w:r>
              <w:rPr>
                <w:rFonts w:hint="eastAsia" w:cs="宋体"/>
                <w:color w:val="auto"/>
                <w:sz w:val="28"/>
                <w:szCs w:val="28"/>
                <w:highlight w:val="none"/>
                <w:lang w:val="en-US" w:eastAsia="zh-CN"/>
              </w:rPr>
              <w:t>4</w:t>
            </w:r>
          </w:p>
        </w:tc>
        <w:tc>
          <w:tcPr>
            <w:tcW w:w="6504" w:type="dxa"/>
            <w:noWrap w:val="0"/>
            <w:vAlign w:val="top"/>
          </w:tcPr>
          <w:p w14:paraId="55970B4C">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制造商通过信息系统建设和服务能力评估体系CS2级及以上认证且通过信息系统集成及服务三级及以上认证，并具备1名项目经理认证。（投标文件中提供加盖投标人或制造商公章的相关证书复印件及投标人或制造商为项目经理缴纳的2026年1月至今任意1个月社保材料证明文件加盖公章）得2分。</w:t>
            </w:r>
          </w:p>
          <w:p w14:paraId="5F3DFCC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2.校企合作及经验：提供参与编写轨道交通专业教材并正式出版或参与相关标准或相关规范编制的得2分。</w:t>
            </w:r>
          </w:p>
          <w:p w14:paraId="1364BD28">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注：教材中需体现投标人或制造商及该单位参与编写人员，投标文件中提供教材封面、教材购买链接及投标人或制造商为其技术人员2026年1月至今任意1个月社保缴纳材料加盖公章。</w:t>
            </w:r>
          </w:p>
          <w:p w14:paraId="224454B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cs="宋体"/>
                <w:color w:val="auto"/>
                <w:sz w:val="21"/>
                <w:szCs w:val="21"/>
                <w:highlight w:val="none"/>
                <w:shd w:val="clear" w:color="auto" w:fill="FFFFFF"/>
                <w:lang w:val="en-US" w:eastAsia="zh-CN"/>
              </w:rPr>
            </w:pPr>
          </w:p>
        </w:tc>
      </w:tr>
    </w:tbl>
    <w:p w14:paraId="5A53CC8E">
      <w:pPr>
        <w:spacing w:line="360" w:lineRule="auto"/>
        <w:rPr>
          <w:rFonts w:hint="eastAsia" w:ascii="宋体" w:hAnsi="宋体" w:eastAsia="宋体" w:cs="宋体"/>
          <w:color w:val="auto"/>
          <w:sz w:val="24"/>
          <w:szCs w:val="24"/>
          <w:highlight w:val="none"/>
          <w:lang w:val="en-US" w:eastAsia="zh-CN" w:bidi="ar-SA"/>
        </w:rPr>
      </w:pPr>
    </w:p>
    <w:p w14:paraId="4A930001">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说明：①供应商须提供以上评分标准中涉及到的资料和证明材料供磋商小组评审，并清晰标注页码；②磋商小组认定响应文件的响应性仅根据响应文件本身的内容，不得寻求外部的证据；③供应商应按上述评分标准自行提供有关方案或证明资料。</w:t>
      </w:r>
      <w:bookmarkEnd w:id="8"/>
    </w:p>
    <w:p w14:paraId="43F51AAE">
      <w:pPr>
        <w:pStyle w:val="2"/>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注：上述评分中（</w:t>
      </w:r>
      <w:r>
        <w:rPr>
          <w:rFonts w:hint="eastAsia" w:ascii="宋体" w:hAnsi="宋体" w:eastAsia="宋体" w:cs="宋体"/>
          <w:b/>
          <w:bCs/>
          <w:color w:val="auto"/>
          <w:sz w:val="24"/>
          <w:szCs w:val="24"/>
          <w:highlight w:val="none"/>
          <w:lang w:eastAsia="zh-CN"/>
        </w:rPr>
        <w:t>平台建设方案</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售后服务保障方案</w:t>
      </w:r>
      <w:r>
        <w:rPr>
          <w:rFonts w:hint="eastAsia" w:ascii="宋体" w:hAnsi="宋体" w:eastAsia="宋体" w:cs="宋体"/>
          <w:b/>
          <w:bCs/>
          <w:color w:val="auto"/>
          <w:sz w:val="24"/>
          <w:szCs w:val="24"/>
          <w:highlight w:val="none"/>
        </w:rPr>
        <w:t>），</w:t>
      </w:r>
    </w:p>
    <w:p w14:paraId="0AA200B8">
      <w:pPr>
        <w:pStyle w:val="2"/>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方案全面完善内容详细、可实施性强、操作性强、科学性强</w:t>
      </w:r>
      <w:r>
        <w:rPr>
          <w:rFonts w:hint="eastAsia" w:ascii="宋体" w:hAnsi="宋体" w:eastAsia="宋体" w:cs="宋体"/>
          <w:b/>
          <w:bCs/>
          <w:color w:val="auto"/>
          <w:sz w:val="24"/>
          <w:szCs w:val="24"/>
          <w:highlight w:val="none"/>
        </w:rPr>
        <w:t>是指：</w:t>
      </w:r>
      <w:r>
        <w:rPr>
          <w:rFonts w:hint="eastAsia" w:ascii="宋体" w:hAnsi="宋体" w:eastAsia="宋体" w:cs="宋体"/>
          <w:color w:val="auto"/>
          <w:sz w:val="24"/>
          <w:szCs w:val="24"/>
          <w:highlight w:val="none"/>
        </w:rPr>
        <w:t>a.提供的方案基于采购需求的全口径，提出具有可行性的现状情况预判；b.准确把握方案中的重、难点，分析各类情况可能发生的不可预见性，并尽可能列明多种详细预案；c.针对不同的需求，能提供个性化的解决方案，可以举例论证；d.对于资料、数据等响 应方案的支持材料提供详细、具体，具有一定的论证支持性。</w:t>
      </w:r>
    </w:p>
    <w:p w14:paraId="7472213C">
      <w:pPr>
        <w:pStyle w:val="2"/>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方案全面完善、可实施性一般、操作性一般、科学性一般且满足本项目需求</w:t>
      </w:r>
      <w:r>
        <w:rPr>
          <w:rFonts w:hint="eastAsia" w:ascii="宋体" w:hAnsi="宋体" w:eastAsia="宋体" w:cs="宋体"/>
          <w:b/>
          <w:bCs/>
          <w:color w:val="auto"/>
          <w:sz w:val="24"/>
          <w:szCs w:val="24"/>
          <w:highlight w:val="none"/>
        </w:rPr>
        <w:t>是指：</w:t>
      </w:r>
      <w:r>
        <w:rPr>
          <w:rFonts w:hint="eastAsia" w:ascii="宋体" w:hAnsi="宋体" w:eastAsia="宋体" w:cs="宋体"/>
          <w:color w:val="auto"/>
          <w:sz w:val="24"/>
          <w:szCs w:val="24"/>
          <w:highlight w:val="none"/>
        </w:rPr>
        <w:t>a.响应方案基本完整，与采购需求不存在响应缺项；b.对方案分步骤作出论证，展开分析或列明可行的具体解决方案；c.针对不同的需求，能提供较为可行的解决方案；d.提供有资料、数据等响应方案的支撑材料。</w:t>
      </w:r>
    </w:p>
    <w:p w14:paraId="7C1C3DD9">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方案内容不够完善、实施性、操作性、科学性弱且不能够全部满足本项目需求</w:t>
      </w:r>
      <w:r>
        <w:rPr>
          <w:rFonts w:hint="eastAsia" w:ascii="宋体" w:hAnsi="宋体" w:eastAsia="宋体" w:cs="宋体"/>
          <w:b/>
          <w:bCs/>
          <w:color w:val="auto"/>
          <w:sz w:val="24"/>
          <w:szCs w:val="24"/>
          <w:highlight w:val="none"/>
        </w:rPr>
        <w:t>是指：</w:t>
      </w:r>
      <w:r>
        <w:rPr>
          <w:rFonts w:hint="eastAsia" w:ascii="宋体" w:hAnsi="宋体" w:eastAsia="宋体" w:cs="宋体"/>
          <w:color w:val="auto"/>
          <w:sz w:val="24"/>
          <w:szCs w:val="24"/>
          <w:highlight w:val="none"/>
        </w:rPr>
        <w:t>a.响应方案不完整，与采购需求存在明显的响应缺项；b.只对方案作出标题式的简单论证，并未展开分析或列明可行的具体解决方案；c.部分资料、数据等响应方案的支撑材料提供过于简单。</w:t>
      </w:r>
    </w:p>
    <w:p w14:paraId="40E4236E">
      <w:pPr>
        <w:rPr>
          <w:rFonts w:hint="eastAsia" w:ascii="宋体" w:hAnsi="宋体"/>
          <w:color w:val="auto"/>
          <w:sz w:val="24"/>
          <w:szCs w:val="24"/>
          <w:highlight w:val="none"/>
        </w:rPr>
      </w:pPr>
    </w:p>
    <w:bookmarkEnd w:i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40AD0"/>
    <w:multiLevelType w:val="singleLevel"/>
    <w:tmpl w:val="91740AD0"/>
    <w:lvl w:ilvl="0" w:tentative="0">
      <w:start w:val="1"/>
      <w:numFmt w:val="decimal"/>
      <w:lvlText w:val="%1."/>
      <w:lvlJc w:val="left"/>
      <w:pPr>
        <w:ind w:left="635" w:hanging="425"/>
      </w:pPr>
      <w:rPr>
        <w:rFonts w:hint="default"/>
      </w:rPr>
    </w:lvl>
  </w:abstractNum>
  <w:abstractNum w:abstractNumId="1">
    <w:nsid w:val="0E23D81B"/>
    <w:multiLevelType w:val="singleLevel"/>
    <w:tmpl w:val="0E23D81B"/>
    <w:lvl w:ilvl="0" w:tentative="0">
      <w:start w:val="11"/>
      <w:numFmt w:val="decimal"/>
      <w:lvlText w:val="%1."/>
      <w:lvlJc w:val="left"/>
      <w:pPr>
        <w:tabs>
          <w:tab w:val="left" w:pos="312"/>
        </w:tabs>
      </w:pPr>
    </w:lvl>
  </w:abstractNum>
  <w:abstractNum w:abstractNumId="2">
    <w:nsid w:val="2A5C7DE6"/>
    <w:multiLevelType w:val="singleLevel"/>
    <w:tmpl w:val="2A5C7DE6"/>
    <w:lvl w:ilvl="0" w:tentative="0">
      <w:start w:val="2"/>
      <w:numFmt w:val="decimal"/>
      <w:lvlText w:val="%1."/>
      <w:lvlJc w:val="left"/>
      <w:pPr>
        <w:tabs>
          <w:tab w:val="left" w:pos="312"/>
        </w:tabs>
      </w:pPr>
    </w:lvl>
  </w:abstractNum>
  <w:abstractNum w:abstractNumId="3">
    <w:nsid w:val="3B51ECBF"/>
    <w:multiLevelType w:val="singleLevel"/>
    <w:tmpl w:val="3B51ECBF"/>
    <w:lvl w:ilvl="0" w:tentative="0">
      <w:start w:val="1"/>
      <w:numFmt w:val="decimal"/>
      <w:suff w:val="nothing"/>
      <w:lvlText w:val="%1、"/>
      <w:lvlJc w:val="left"/>
    </w:lvl>
  </w:abstractNum>
  <w:abstractNum w:abstractNumId="4">
    <w:nsid w:val="4057B03B"/>
    <w:multiLevelType w:val="singleLevel"/>
    <w:tmpl w:val="4057B03B"/>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423E8"/>
    <w:rsid w:val="3FF4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2"/>
    <w:basedOn w:val="1"/>
    <w:next w:val="1"/>
    <w:qFormat/>
    <w:uiPriority w:val="0"/>
    <w:pPr>
      <w:keepNext/>
      <w:spacing w:line="312" w:lineRule="auto"/>
      <w:outlineLvl w:val="1"/>
    </w:pPr>
    <w:rPr>
      <w:sz w:val="28"/>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spacing w:line="360" w:lineRule="atLeast"/>
      <w:jc w:val="left"/>
    </w:pPr>
    <w:rPr>
      <w:sz w:val="24"/>
    </w:rPr>
  </w:style>
  <w:style w:type="paragraph" w:styleId="4">
    <w:name w:val="Body Text"/>
    <w:basedOn w:val="1"/>
    <w:next w:val="1"/>
    <w:qFormat/>
    <w:uiPriority w:val="0"/>
    <w:pPr>
      <w:spacing w:after="120"/>
    </w:pPr>
    <w:rPr>
      <w:kern w:val="1"/>
    </w:rPr>
  </w:style>
  <w:style w:type="paragraph" w:styleId="5">
    <w:name w:val="Plain Text"/>
    <w:basedOn w:val="1"/>
    <w:next w:val="6"/>
    <w:qFormat/>
    <w:uiPriority w:val="0"/>
    <w:rPr>
      <w:rFonts w:ascii="宋体" w:hAnsi="宋体"/>
      <w:kern w:val="1"/>
    </w:rPr>
  </w:style>
  <w:style w:type="paragraph" w:customStyle="1" w:styleId="6">
    <w:name w:val="Default"/>
    <w:next w:val="7"/>
    <w:qFormat/>
    <w:uiPriority w:val="0"/>
    <w:pPr>
      <w:widowControl w:val="0"/>
      <w:autoSpaceDE w:val="0"/>
      <w:autoSpaceDN w:val="0"/>
      <w:adjustRightInd w:val="0"/>
    </w:pPr>
    <w:rPr>
      <w:rFonts w:ascii="仿宋_GB2312" w:hAnsi="Arial Rounded MT Bold" w:eastAsia="仿宋_GB2312" w:cs="仿宋_GB2312"/>
      <w:color w:val="000000"/>
      <w:sz w:val="24"/>
      <w:szCs w:val="24"/>
      <w:lang w:val="en-US" w:eastAsia="zh-CN" w:bidi="ar-SA"/>
    </w:rPr>
  </w:style>
  <w:style w:type="paragraph" w:customStyle="1" w:styleId="7">
    <w:name w:val="明显引用1"/>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caption|1"/>
    <w:basedOn w:val="1"/>
    <w:qFormat/>
    <w:uiPriority w:val="0"/>
    <w:pPr>
      <w:spacing w:line="312" w:lineRule="auto"/>
      <w:ind w:firstLine="240"/>
    </w:pPr>
    <w:rPr>
      <w:rFonts w:ascii="宋体" w:hAnsi="宋体" w:eastAsia="宋体" w:cs="宋体"/>
      <w:lang w:val="zh-TW" w:eastAsia="zh-TW" w:bidi="zh-TW"/>
    </w:rPr>
  </w:style>
  <w:style w:type="paragraph" w:customStyle="1" w:styleId="14">
    <w:name w:val="Other|1"/>
    <w:basedOn w:val="1"/>
    <w:qFormat/>
    <w:uiPriority w:val="0"/>
    <w:pPr>
      <w:spacing w:after="170" w:line="403" w:lineRule="auto"/>
      <w:ind w:firstLine="400"/>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2026-05-09T01:30:00Z</dcterms:created>
  <dc:creator>Mr δ鑫.</dc:creator>
  <cp:lastModifiedBy>Mr δ鑫.</cp:lastModifiedBy>
  <dcterms:modified xsi:type="dcterms:W3CDTF">2026-05-09T01:32:10Z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A4526934108B4AA5AAD62AF4E37BDC2D_11</vt:lpwstr>
  </property>
  <property fmtid="{D5CDD505-2E9C-101B-9397-08002B2CF9AE}" pid="4" name="KSOTemplateDocerSaveRecord">
    <vt:lpwstr>eyJoZGlkIjoiMjliZWY2Njc4ZThmYTRhOTQ1MjczMjUxYmQxNjU2MTkiLCJ1c2VySWQiOiIyNDI4NTMyMDAifQ==</vt:lpwstr>
  </property>
</Properties>
</file>