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BC7F4">
      <w:pPr>
        <w:widowControl/>
        <w:spacing w:line="360" w:lineRule="auto"/>
        <w:jc w:val="both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以下内容禁止转载或擅自修改编辑后发布，否则将依法追究侵权人侵犯著作权法律责任。</w:t>
      </w:r>
    </w:p>
    <w:p w14:paraId="0606512E">
      <w:pPr>
        <w:widowControl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 w14:paraId="3511257B">
      <w:pPr>
        <w:widowControl/>
        <w:spacing w:line="360" w:lineRule="auto"/>
        <w:jc w:val="center"/>
        <w:outlineLvl w:val="9"/>
        <w:rPr>
          <w:rStyle w:val="14"/>
          <w:rFonts w:hint="eastAsia" w:ascii="宋体" w:hAnsi="宋体" w:eastAsia="宋体" w:cs="宋体"/>
          <w:b/>
          <w:color w:val="auto"/>
          <w:sz w:val="30"/>
          <w:szCs w:val="30"/>
          <w:highlight w:val="none"/>
          <w:lang w:eastAsia="zh-CN"/>
        </w:rPr>
      </w:pPr>
      <w:r>
        <w:rPr>
          <w:rStyle w:val="14"/>
          <w:rFonts w:hint="eastAsia" w:ascii="宋体" w:hAnsi="宋体" w:cs="宋体"/>
          <w:b/>
          <w:color w:val="auto"/>
          <w:sz w:val="30"/>
          <w:szCs w:val="30"/>
          <w:highlight w:val="none"/>
          <w:lang w:val="en-US" w:eastAsia="zh-CN"/>
        </w:rPr>
        <w:t>国网福建电力莆田供电公司2025年原集体企业第一次物资授权邀请竞争性</w:t>
      </w:r>
      <w:bookmarkStart w:id="0" w:name="_GoBack"/>
      <w:bookmarkEnd w:id="0"/>
      <w:r>
        <w:rPr>
          <w:rStyle w:val="14"/>
          <w:rFonts w:hint="eastAsia" w:ascii="宋体" w:hAnsi="宋体" w:cs="宋体"/>
          <w:b/>
          <w:color w:val="auto"/>
          <w:sz w:val="30"/>
          <w:szCs w:val="30"/>
          <w:highlight w:val="none"/>
          <w:lang w:val="en-US" w:eastAsia="zh-CN"/>
        </w:rPr>
        <w:t>谈判采购</w:t>
      </w:r>
      <w:r>
        <w:rPr>
          <w:rStyle w:val="14"/>
          <w:rFonts w:hint="eastAsia" w:ascii="宋体" w:hAnsi="宋体" w:eastAsia="宋体" w:cs="宋体"/>
          <w:b/>
          <w:color w:val="auto"/>
          <w:sz w:val="30"/>
          <w:szCs w:val="30"/>
          <w:highlight w:val="none"/>
          <w:lang w:eastAsia="zh-CN"/>
        </w:rPr>
        <w:t>成交结果公告</w:t>
      </w:r>
    </w:p>
    <w:p w14:paraId="0D80104A">
      <w:pPr>
        <w:widowControl/>
        <w:spacing w:line="360" w:lineRule="auto"/>
        <w:jc w:val="center"/>
        <w:outlineLvl w:val="0"/>
        <w:rPr>
          <w:rStyle w:val="14"/>
          <w:rFonts w:hint="default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（采购项目编号：CY1325S2301）</w:t>
      </w:r>
      <w:r>
        <w:rPr>
          <w:rStyle w:val="14"/>
          <w:rFonts w:hint="eastAsia" w:ascii="宋体" w:hAnsi="宋体" w:cs="宋体"/>
          <w:b/>
          <w:color w:val="auto"/>
          <w:sz w:val="30"/>
          <w:szCs w:val="30"/>
          <w:highlight w:val="none"/>
          <w:lang w:val="en-US" w:eastAsia="zh-CN"/>
        </w:rPr>
        <w:t xml:space="preserve"> </w:t>
      </w:r>
    </w:p>
    <w:p w14:paraId="65F8D5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175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国网福建电力莆田供电公司2025年原集体企业第一次物资授权邀请竞争性谈判采购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项目采购工作已结束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，现将成交结果公告如下：</w:t>
      </w:r>
    </w:p>
    <w:tbl>
      <w:tblPr>
        <w:tblStyle w:val="8"/>
        <w:tblW w:w="5144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090"/>
        <w:gridCol w:w="735"/>
        <w:gridCol w:w="4890"/>
        <w:gridCol w:w="1485"/>
        <w:gridCol w:w="1304"/>
      </w:tblGrid>
      <w:tr w14:paraId="28E2A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A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D6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10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包号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02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包项目名称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96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成交人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8C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含税成交金额（万元）</w:t>
            </w:r>
          </w:p>
        </w:tc>
      </w:tr>
      <w:tr w14:paraId="74270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30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18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2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2A8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城厢区樟林软件园基础设施建设项目-电力配套工程项目用电力电缆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2D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工牛电缆河北有限公司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21B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1452.039717 </w:t>
            </w:r>
          </w:p>
        </w:tc>
      </w:tr>
      <w:tr w14:paraId="7FBA2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BDC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A6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7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FA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城厢区樟林软件园基础设施建设项目-电力配套工程项目用双壁橡胶防水防噪球墨铸铁井盖井座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875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宁德佰川实业有限公司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1AD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7.587000 </w:t>
            </w:r>
          </w:p>
        </w:tc>
      </w:tr>
      <w:tr w14:paraId="3BFB1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D12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8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D8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DC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直流电源系统（莆田市木兰陂水文化展示中心变配电工程）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439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福建通用同溢电气有限公司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F1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1.750000 </w:t>
            </w:r>
          </w:p>
        </w:tc>
      </w:tr>
      <w:tr w14:paraId="7ED69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ED5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60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CY1325S2301-014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E0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A50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高压开关柜（莆田市木兰陂水文化展示中心变配电工程）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6D5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福建通用同溢电气有限公司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8A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35.500000 </w:t>
            </w:r>
          </w:p>
        </w:tc>
      </w:tr>
      <w:tr w14:paraId="20D7B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42F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5B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CY1325S2301-015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A4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2D7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低压开关柜（莆田市木兰陂水文化展示中心变配电工程）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ED5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福建通用同溢电气有限公司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6E3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53.500000 </w:t>
            </w:r>
          </w:p>
        </w:tc>
      </w:tr>
      <w:tr w14:paraId="64A62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35A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C2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CY1325S2301-024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3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FA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箱式变电站（福建省木兰溪下游水生态修复与治理（绿心河网生态治理工程-北大至七步安全照明设施））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9A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沪拓电力科技有限公司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CFD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198.000000 </w:t>
            </w:r>
          </w:p>
        </w:tc>
      </w:tr>
      <w:tr w14:paraId="13D4F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CAF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12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CY1325S2301-001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B1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6F7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莆田荔源集团-工程公司莆田市产城融合示范区（紫霄片区）林峰二期安置区项目（工程总承包）永久外电工程用35kV及以下电缆终端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B8A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35F5A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DF4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F6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CY1325S2301-002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FA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7FE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莆田荔源集团-工程公司-莆田市产城融合示范区（紫霄片区）林峰二期安置区项目（工程总承包）永久外电工程用MPP管材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22E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536E1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80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7FC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CY1325S2301-003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CD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BDA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莆田荔源集团-工程公司-莆田市产城融合示范区（紫霄片区）林峰二期安置区项目（工程总承包）永久外电工程用电力电缆材料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83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5114A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FFA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F3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CY1325S2301-004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4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E20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莆田荔源集团-工程公司-莆田市产城融合示范区（紫霄片区）林峰二期安置区项目（工程总承包）永久外电工程用可调节防沉降防水防噪球墨铸铁井盖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B4A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4536B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082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37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CY1325S2301-005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E2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289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莆田荔源集团-工程公司-莆田市产城融合示范区（紫霄片区）林峰二期安置区项目（工程总承包）永久外电工程用干式变压器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FE6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7FA8F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561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F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CY1325S2301-006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99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CDB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莆田荔源集团-工程公司-莆田市产城融合示范区（紫霄片区）林峰二期安置区项目（工程总承包）永久外电工程用阻燃型电缆桥架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026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292DC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140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61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CY1325S2301-007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EB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1B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莆田荔源集团-工程公司-莆田市产城融合示范区（紫霄片区）林峰二期安置区项目（工程总承包）永久外电工程用低压电力电缆材料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EC8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237DF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26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D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CY1325S2301-008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DE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9EF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莆田荔源集团-工程公司-莆田市产城融合示范区（紫霄片区）林峰二期安置区项目（工程总承包）永久外电工程用密集型封闭母线槽等材料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0F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66099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0C8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6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CY1325S2301-009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D1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713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莆田荔源集团-工程公司-莆田市产城融合示范区（紫霄片区）林峰二期安置区项目（工程总承包）永久外电工程用电缆中间接头防爆盒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A5A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64388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111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9C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69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A4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城厢区樟林软件园基础设施建设项目-电力配套工程项目用MPP电缆保护管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C7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4868D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A7E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33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CY1325S2301-016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D4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953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辅助设备全面监控系统（莆田市产城融合示范区（紫霄片区）林峰二期安置区项目（工程总承包）永久外电工程）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D0A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17C54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36D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3B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CY1325S2301-017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A0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A5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远动屏（莆田市产城融合示范区（紫霄片区）林峰二期安置区项目（工程总承包）永久外电工程）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FE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764A6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B81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37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CY1325S2301-018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18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B01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直流电源系统（莆田市产城融合示范区（紫霄片区）林峰二期安置区项目（工程总承包）永久外电工程）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7C9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07893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EB1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4F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CY1325S2301-019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73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E19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环网柜（莆田市产城融合示范区（紫霄片区）林峰二期安置区项目（工程总承包）永久外电工程）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DE3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2B263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347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04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CY1325S2301-020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6A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5EE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电能计量箱（莆田市产城融合示范区（紫霄片区）林峰二期安置区项目（工程总承包）永久外电工程）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9B6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7DD40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BAA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30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CY1325S2301-021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22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28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配电箱（莆田市产城融合示范区（紫霄片区）林峰二期安置区项目（工程总承包）永久外电工程）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58D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74AD8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18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E9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CY1325S2301-022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DF3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97B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高压开关柜（莆田市产城融合示范区（紫霄片区）林峰二期安置区项目（工程总承包）永久外电工程）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D03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  <w:tr w14:paraId="5FD8E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268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32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CY1325S2301-023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A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EC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低压开关柜（莆田市产城融合示范区（紫霄片区）林峰二期安置区项目（工程总承包）永久外电工程）</w:t>
            </w:r>
          </w:p>
        </w:tc>
        <w:tc>
          <w:tcPr>
            <w:tcW w:w="13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EBF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流标</w:t>
            </w:r>
          </w:p>
        </w:tc>
      </w:tr>
    </w:tbl>
    <w:p w14:paraId="20D0CE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67F2E1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4B7F05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采购人：国网福建省电力有限公司莆田供电公司</w:t>
      </w:r>
    </w:p>
    <w:p w14:paraId="4E66B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采购代理机构：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福建榕卫招标有限公司</w:t>
      </w:r>
    </w:p>
    <w:p w14:paraId="26A92D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2025年7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mZDQwZjY3ZDcyZTk1MmNhMzY0NzJlYjgyZjgwMDYifQ=="/>
  </w:docVars>
  <w:rsids>
    <w:rsidRoot w:val="00745819"/>
    <w:rsid w:val="000C378F"/>
    <w:rsid w:val="00180AEF"/>
    <w:rsid w:val="0019798C"/>
    <w:rsid w:val="001E0E0D"/>
    <w:rsid w:val="001E54C2"/>
    <w:rsid w:val="00412475"/>
    <w:rsid w:val="00517C74"/>
    <w:rsid w:val="00572F84"/>
    <w:rsid w:val="00602294"/>
    <w:rsid w:val="00742F90"/>
    <w:rsid w:val="00745819"/>
    <w:rsid w:val="00776D6C"/>
    <w:rsid w:val="00A02C7C"/>
    <w:rsid w:val="00A92F21"/>
    <w:rsid w:val="00D41952"/>
    <w:rsid w:val="00DD37B5"/>
    <w:rsid w:val="00E86780"/>
    <w:rsid w:val="01392D51"/>
    <w:rsid w:val="015B597A"/>
    <w:rsid w:val="030A63C3"/>
    <w:rsid w:val="036104E1"/>
    <w:rsid w:val="03E2554B"/>
    <w:rsid w:val="0632444F"/>
    <w:rsid w:val="06D11AA3"/>
    <w:rsid w:val="07CA1197"/>
    <w:rsid w:val="085003F5"/>
    <w:rsid w:val="0A1729E7"/>
    <w:rsid w:val="0A486EF4"/>
    <w:rsid w:val="0B4465B1"/>
    <w:rsid w:val="0D791D55"/>
    <w:rsid w:val="0D7E7FEE"/>
    <w:rsid w:val="0E404FD2"/>
    <w:rsid w:val="0F1D1383"/>
    <w:rsid w:val="0F677EB3"/>
    <w:rsid w:val="10790891"/>
    <w:rsid w:val="110350D0"/>
    <w:rsid w:val="119F1332"/>
    <w:rsid w:val="11BC081B"/>
    <w:rsid w:val="130968A4"/>
    <w:rsid w:val="13933351"/>
    <w:rsid w:val="147D6BCA"/>
    <w:rsid w:val="14C80624"/>
    <w:rsid w:val="164B207D"/>
    <w:rsid w:val="17215AE5"/>
    <w:rsid w:val="177534BB"/>
    <w:rsid w:val="1C03501C"/>
    <w:rsid w:val="1E6075C3"/>
    <w:rsid w:val="22AA4F49"/>
    <w:rsid w:val="240B42DE"/>
    <w:rsid w:val="248162F5"/>
    <w:rsid w:val="260D1871"/>
    <w:rsid w:val="26272945"/>
    <w:rsid w:val="270350E8"/>
    <w:rsid w:val="27796B2F"/>
    <w:rsid w:val="2B78030A"/>
    <w:rsid w:val="2BB040C2"/>
    <w:rsid w:val="2BCC6BCD"/>
    <w:rsid w:val="2C5C2B03"/>
    <w:rsid w:val="2D0B5636"/>
    <w:rsid w:val="2D8D4E01"/>
    <w:rsid w:val="2E6627F8"/>
    <w:rsid w:val="2EA26BB5"/>
    <w:rsid w:val="318340A4"/>
    <w:rsid w:val="31F240D8"/>
    <w:rsid w:val="32AA6B37"/>
    <w:rsid w:val="34101E23"/>
    <w:rsid w:val="346321F2"/>
    <w:rsid w:val="3524714A"/>
    <w:rsid w:val="361532D7"/>
    <w:rsid w:val="37655A86"/>
    <w:rsid w:val="38136136"/>
    <w:rsid w:val="381C6F52"/>
    <w:rsid w:val="38436BA6"/>
    <w:rsid w:val="3A0D7ACA"/>
    <w:rsid w:val="3DB6181D"/>
    <w:rsid w:val="3F12723A"/>
    <w:rsid w:val="40657E46"/>
    <w:rsid w:val="408B40F9"/>
    <w:rsid w:val="43F1566B"/>
    <w:rsid w:val="47FB092C"/>
    <w:rsid w:val="4A385BD4"/>
    <w:rsid w:val="4A5F1505"/>
    <w:rsid w:val="4B1D4FEF"/>
    <w:rsid w:val="4B6D2777"/>
    <w:rsid w:val="4C87764F"/>
    <w:rsid w:val="4E696576"/>
    <w:rsid w:val="4ECC5887"/>
    <w:rsid w:val="4EF7660C"/>
    <w:rsid w:val="503C76A7"/>
    <w:rsid w:val="52357A99"/>
    <w:rsid w:val="5419682D"/>
    <w:rsid w:val="56D41141"/>
    <w:rsid w:val="5BA91A4B"/>
    <w:rsid w:val="5C2A531B"/>
    <w:rsid w:val="5DEB3429"/>
    <w:rsid w:val="5E45642E"/>
    <w:rsid w:val="5EE553F2"/>
    <w:rsid w:val="5F224E36"/>
    <w:rsid w:val="5FA337D8"/>
    <w:rsid w:val="5FDA0E92"/>
    <w:rsid w:val="5FF11F12"/>
    <w:rsid w:val="60C24CDD"/>
    <w:rsid w:val="61791B54"/>
    <w:rsid w:val="61AF44EC"/>
    <w:rsid w:val="631279D0"/>
    <w:rsid w:val="647E1BBD"/>
    <w:rsid w:val="659D2751"/>
    <w:rsid w:val="66595302"/>
    <w:rsid w:val="688317BB"/>
    <w:rsid w:val="68D00E43"/>
    <w:rsid w:val="6BCB4FA1"/>
    <w:rsid w:val="6E50776D"/>
    <w:rsid w:val="713A62F4"/>
    <w:rsid w:val="71940950"/>
    <w:rsid w:val="72D75652"/>
    <w:rsid w:val="73173E1E"/>
    <w:rsid w:val="734C015A"/>
    <w:rsid w:val="749F1AE5"/>
    <w:rsid w:val="798822CA"/>
    <w:rsid w:val="79B31735"/>
    <w:rsid w:val="79CD51B2"/>
    <w:rsid w:val="7A891D44"/>
    <w:rsid w:val="7C8A5106"/>
    <w:rsid w:val="7CC63C3B"/>
    <w:rsid w:val="7FD4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tabs>
        <w:tab w:val="left" w:pos="345"/>
      </w:tabs>
      <w:spacing w:line="400" w:lineRule="exact"/>
      <w:ind w:left="345" w:hanging="345"/>
      <w:jc w:val="center"/>
      <w:outlineLvl w:val="0"/>
    </w:pPr>
    <w:rPr>
      <w:rFonts w:ascii="宋体" w:hAnsi="宋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ließtext"/>
    <w:basedOn w:val="1"/>
    <w:qFormat/>
    <w:uiPriority w:val="99"/>
    <w:pPr>
      <w:overflowPunct w:val="0"/>
      <w:autoSpaceDE w:val="0"/>
      <w:autoSpaceDN w:val="0"/>
      <w:textAlignment w:val="baseline"/>
    </w:pPr>
    <w:rPr>
      <w:kern w:val="28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font3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9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14">
    <w:name w:val="标题 1 Char"/>
    <w:link w:val="3"/>
    <w:qFormat/>
    <w:uiPriority w:val="0"/>
    <w:rPr>
      <w:rFonts w:ascii="宋体" w:hAnsi="宋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1538</Words>
  <Characters>1964</Characters>
  <Lines>2</Lines>
  <Paragraphs>1</Paragraphs>
  <TotalTime>1</TotalTime>
  <ScaleCrop>false</ScaleCrop>
  <LinksUpToDate>false</LinksUpToDate>
  <CharactersWithSpaces>1971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2018-06-04T09:00:00Z</dcterms:created>
  <dc:creator>sl_w</dc:creator>
  <cp:lastModifiedBy>yuan</cp:lastModifiedBy>
  <dcterms:modified xsi:type="dcterms:W3CDTF">2025-07-09T01:48:59Z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1ABF588427504687AC257476C415FEE0_13</vt:lpwstr>
  </property>
  <property fmtid="{D5CDD505-2E9C-101B-9397-08002B2CF9AE}" pid="4" name="KSOTemplateDocerSaveRecord">
    <vt:lpwstr>eyJoZGlkIjoiMDQxYWMzZDYxNDQ2M2Y5OWEwYzc3NWYwMjRkZmFkOWYiLCJ1c2VySWQiOiIyMTA2NTMxOCJ9</vt:lpwstr>
  </property>
</Properties>
</file>