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33C53">
      <w:pPr>
        <w:keepNext/>
        <w:keepLines/>
        <w:tabs>
          <w:tab w:val="left" w:pos="0"/>
          <w:tab w:val="left" w:pos="420"/>
          <w:tab w:val="center" w:pos="4153"/>
        </w:tabs>
        <w:autoSpaceDE w:val="0"/>
        <w:autoSpaceDN w:val="0"/>
        <w:adjustRightInd w:val="0"/>
        <w:spacing w:line="560" w:lineRule="exact"/>
        <w:jc w:val="center"/>
        <w:outlineLvl w:val="0"/>
        <w:rPr>
          <w:rFonts w:ascii="Times New Roman" w:hAnsi="Times New Roman" w:eastAsia="方正小标宋简体"/>
          <w:bCs/>
          <w:kern w:val="44"/>
          <w:sz w:val="44"/>
          <w:szCs w:val="44"/>
        </w:rPr>
      </w:pPr>
      <w:r>
        <w:rPr>
          <w:rFonts w:ascii="Times New Roman" w:hAnsi="Times New Roman" w:eastAsia="方正小标宋简体"/>
          <w:bCs/>
          <w:kern w:val="44"/>
          <w:sz w:val="44"/>
          <w:szCs w:val="44"/>
        </w:rPr>
        <w:t>采办计划公告</w:t>
      </w:r>
    </w:p>
    <w:p w14:paraId="67507D50">
      <w:pPr>
        <w:spacing w:line="560" w:lineRule="exact"/>
        <w:rPr>
          <w:rFonts w:ascii="Times New Roman" w:hAnsi="Times New Roman"/>
          <w:sz w:val="32"/>
        </w:rPr>
      </w:pPr>
    </w:p>
    <w:p w14:paraId="3ED7D244">
      <w:pPr>
        <w:tabs>
          <w:tab w:val="left" w:pos="993"/>
          <w:tab w:val="left" w:pos="1134"/>
          <w:tab w:val="left" w:pos="1418"/>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为便于供应商及时了解项目采办信息，现将</w:t>
      </w:r>
      <w:bookmarkStart w:id="0" w:name="_GoBack"/>
      <w:r>
        <w:rPr>
          <w:rFonts w:hint="eastAsia" w:ascii="Times New Roman" w:hAnsi="Times New Roman" w:eastAsia="仿宋_GB2312"/>
          <w:sz w:val="32"/>
          <w:szCs w:val="32"/>
          <w:u w:val="single"/>
        </w:rPr>
        <w:t>2025年硬件框架协议-海光服务器</w:t>
      </w:r>
      <w:r>
        <w:rPr>
          <w:rFonts w:ascii="Times New Roman" w:hAnsi="Times New Roman" w:eastAsia="仿宋_GB2312"/>
          <w:sz w:val="32"/>
          <w:szCs w:val="32"/>
          <w:u w:val="single"/>
        </w:rPr>
        <w:t>B</w:t>
      </w:r>
      <w:r>
        <w:rPr>
          <w:rFonts w:hint="eastAsia" w:ascii="Times New Roman" w:hAnsi="Times New Roman" w:eastAsia="仿宋_GB2312"/>
          <w:sz w:val="32"/>
          <w:szCs w:val="32"/>
          <w:u w:val="single"/>
        </w:rPr>
        <w:t>项目</w:t>
      </w:r>
      <w:bookmarkEnd w:id="0"/>
      <w:r>
        <w:rPr>
          <w:rFonts w:ascii="Times New Roman" w:hAnsi="Times New Roman" w:eastAsia="仿宋_GB2312"/>
          <w:sz w:val="32"/>
          <w:szCs w:val="32"/>
        </w:rPr>
        <w:t>的采办计划公开如下：</w:t>
      </w:r>
    </w:p>
    <w:tbl>
      <w:tblPr>
        <w:tblStyle w:val="4"/>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2268"/>
        <w:gridCol w:w="1730"/>
        <w:gridCol w:w="2239"/>
        <w:gridCol w:w="709"/>
      </w:tblGrid>
      <w:tr w14:paraId="1AFD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0"/>
            <w:vAlign w:val="center"/>
          </w:tcPr>
          <w:p w14:paraId="0E53F741">
            <w:pPr>
              <w:jc w:val="center"/>
              <w:rPr>
                <w:rFonts w:ascii="Times New Roman" w:hAnsi="Times New Roman" w:eastAsia="仿宋"/>
                <w:kern w:val="0"/>
                <w:sz w:val="24"/>
                <w:szCs w:val="24"/>
              </w:rPr>
            </w:pPr>
            <w:r>
              <w:rPr>
                <w:rFonts w:ascii="Times New Roman" w:hAnsi="Times New Roman" w:eastAsia="仿宋"/>
                <w:kern w:val="0"/>
                <w:sz w:val="24"/>
                <w:szCs w:val="24"/>
              </w:rPr>
              <w:t>序号</w:t>
            </w:r>
          </w:p>
        </w:tc>
        <w:tc>
          <w:tcPr>
            <w:tcW w:w="1559" w:type="dxa"/>
            <w:shd w:val="clear" w:color="auto" w:fill="auto"/>
            <w:noWrap w:val="0"/>
            <w:vAlign w:val="center"/>
          </w:tcPr>
          <w:p w14:paraId="594BAA71">
            <w:pPr>
              <w:jc w:val="center"/>
              <w:rPr>
                <w:rFonts w:ascii="Times New Roman" w:hAnsi="Times New Roman" w:eastAsia="仿宋"/>
                <w:kern w:val="0"/>
                <w:sz w:val="24"/>
                <w:szCs w:val="24"/>
              </w:rPr>
            </w:pPr>
            <w:r>
              <w:rPr>
                <w:rFonts w:ascii="Times New Roman" w:hAnsi="Times New Roman" w:eastAsia="仿宋"/>
                <w:kern w:val="0"/>
                <w:sz w:val="24"/>
                <w:szCs w:val="24"/>
              </w:rPr>
              <w:t>采办包</w:t>
            </w:r>
          </w:p>
          <w:p w14:paraId="43E61507">
            <w:pPr>
              <w:jc w:val="center"/>
              <w:rPr>
                <w:rFonts w:ascii="Times New Roman" w:hAnsi="Times New Roman" w:eastAsia="仿宋"/>
                <w:kern w:val="0"/>
                <w:sz w:val="24"/>
                <w:szCs w:val="24"/>
              </w:rPr>
            </w:pPr>
            <w:r>
              <w:rPr>
                <w:rFonts w:ascii="Times New Roman" w:hAnsi="Times New Roman" w:eastAsia="仿宋"/>
                <w:kern w:val="0"/>
                <w:sz w:val="24"/>
                <w:szCs w:val="24"/>
              </w:rPr>
              <w:t>名称</w:t>
            </w:r>
          </w:p>
        </w:tc>
        <w:tc>
          <w:tcPr>
            <w:tcW w:w="2268" w:type="dxa"/>
            <w:shd w:val="clear" w:color="auto" w:fill="auto"/>
            <w:noWrap w:val="0"/>
            <w:vAlign w:val="center"/>
          </w:tcPr>
          <w:p w14:paraId="6690FFDF">
            <w:pPr>
              <w:jc w:val="center"/>
              <w:rPr>
                <w:rFonts w:ascii="Times New Roman" w:hAnsi="Times New Roman" w:eastAsia="仿宋"/>
                <w:kern w:val="0"/>
                <w:sz w:val="24"/>
                <w:szCs w:val="24"/>
              </w:rPr>
            </w:pPr>
            <w:r>
              <w:rPr>
                <w:rFonts w:ascii="Times New Roman" w:hAnsi="Times New Roman" w:eastAsia="仿宋"/>
                <w:kern w:val="0"/>
                <w:sz w:val="24"/>
                <w:szCs w:val="24"/>
              </w:rPr>
              <w:t>采购范围与主要技术指标</w:t>
            </w:r>
          </w:p>
        </w:tc>
        <w:tc>
          <w:tcPr>
            <w:tcW w:w="1730" w:type="dxa"/>
            <w:shd w:val="clear" w:color="auto" w:fill="auto"/>
            <w:noWrap w:val="0"/>
            <w:vAlign w:val="center"/>
          </w:tcPr>
          <w:p w14:paraId="24D78DD5">
            <w:pPr>
              <w:jc w:val="center"/>
              <w:rPr>
                <w:rFonts w:ascii="Times New Roman" w:hAnsi="Times New Roman" w:eastAsia="仿宋"/>
                <w:kern w:val="0"/>
                <w:sz w:val="24"/>
                <w:szCs w:val="24"/>
              </w:rPr>
            </w:pPr>
            <w:r>
              <w:rPr>
                <w:rFonts w:ascii="Times New Roman" w:hAnsi="Times New Roman" w:eastAsia="仿宋"/>
                <w:kern w:val="0"/>
                <w:sz w:val="24"/>
                <w:szCs w:val="24"/>
              </w:rPr>
              <w:t>预计发标时间</w:t>
            </w:r>
          </w:p>
          <w:p w14:paraId="54330F6B">
            <w:pPr>
              <w:jc w:val="center"/>
              <w:rPr>
                <w:rFonts w:ascii="Times New Roman" w:hAnsi="Times New Roman" w:eastAsia="仿宋"/>
                <w:kern w:val="0"/>
                <w:sz w:val="24"/>
                <w:szCs w:val="24"/>
              </w:rPr>
            </w:pPr>
          </w:p>
        </w:tc>
        <w:tc>
          <w:tcPr>
            <w:tcW w:w="2239" w:type="dxa"/>
            <w:shd w:val="clear" w:color="auto" w:fill="auto"/>
            <w:noWrap w:val="0"/>
            <w:vAlign w:val="center"/>
          </w:tcPr>
          <w:p w14:paraId="2307DBF0">
            <w:pPr>
              <w:jc w:val="center"/>
              <w:rPr>
                <w:rFonts w:ascii="Times New Roman" w:hAnsi="Times New Roman" w:eastAsia="仿宋"/>
                <w:kern w:val="0"/>
                <w:sz w:val="24"/>
                <w:szCs w:val="24"/>
              </w:rPr>
            </w:pPr>
            <w:r>
              <w:rPr>
                <w:rFonts w:ascii="Times New Roman" w:hAnsi="Times New Roman" w:eastAsia="仿宋"/>
                <w:kern w:val="0"/>
                <w:sz w:val="24"/>
                <w:szCs w:val="24"/>
              </w:rPr>
              <w:t>供应商资质基本要求</w:t>
            </w:r>
          </w:p>
        </w:tc>
        <w:tc>
          <w:tcPr>
            <w:tcW w:w="709" w:type="dxa"/>
            <w:shd w:val="clear" w:color="auto" w:fill="auto"/>
            <w:noWrap w:val="0"/>
            <w:vAlign w:val="center"/>
          </w:tcPr>
          <w:p w14:paraId="46CDBEEE">
            <w:pPr>
              <w:jc w:val="center"/>
              <w:rPr>
                <w:rFonts w:ascii="Times New Roman" w:hAnsi="Times New Roman" w:eastAsia="仿宋"/>
                <w:kern w:val="0"/>
                <w:sz w:val="24"/>
                <w:szCs w:val="24"/>
              </w:rPr>
            </w:pPr>
            <w:r>
              <w:rPr>
                <w:rFonts w:ascii="Times New Roman" w:hAnsi="Times New Roman" w:eastAsia="仿宋"/>
                <w:kern w:val="0"/>
                <w:sz w:val="24"/>
                <w:szCs w:val="24"/>
              </w:rPr>
              <w:t>备注</w:t>
            </w:r>
          </w:p>
        </w:tc>
      </w:tr>
      <w:tr w14:paraId="585B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68" w:type="dxa"/>
            <w:shd w:val="clear" w:color="auto" w:fill="auto"/>
            <w:noWrap w:val="0"/>
            <w:vAlign w:val="center"/>
          </w:tcPr>
          <w:p w14:paraId="24F7F3B4">
            <w:pPr>
              <w:ind w:firstLine="480" w:firstLineChars="200"/>
              <w:rPr>
                <w:rFonts w:ascii="Times New Roman" w:hAnsi="Times New Roman" w:eastAsia="仿宋"/>
                <w:kern w:val="0"/>
                <w:sz w:val="24"/>
                <w:szCs w:val="24"/>
              </w:rPr>
            </w:pPr>
            <w:r>
              <w:rPr>
                <w:rFonts w:ascii="Times New Roman" w:hAnsi="Times New Roman" w:eastAsia="仿宋"/>
                <w:kern w:val="0"/>
                <w:sz w:val="24"/>
                <w:szCs w:val="24"/>
              </w:rPr>
              <w:t>1</w:t>
            </w:r>
            <w:r>
              <w:rPr>
                <w:rFonts w:hint="eastAsia" w:ascii="Times New Roman" w:hAnsi="Times New Roman" w:eastAsia="仿宋"/>
                <w:kern w:val="0"/>
                <w:sz w:val="24"/>
                <w:szCs w:val="24"/>
              </w:rPr>
              <w:t>1</w:t>
            </w:r>
          </w:p>
        </w:tc>
        <w:tc>
          <w:tcPr>
            <w:tcW w:w="1559" w:type="dxa"/>
            <w:shd w:val="clear" w:color="auto" w:fill="auto"/>
            <w:noWrap w:val="0"/>
            <w:vAlign w:val="center"/>
          </w:tcPr>
          <w:p w14:paraId="214F7C24">
            <w:pPr>
              <w:rPr>
                <w:rFonts w:ascii="Times New Roman" w:hAnsi="Times New Roman" w:eastAsia="仿宋"/>
                <w:kern w:val="0"/>
                <w:sz w:val="24"/>
                <w:szCs w:val="24"/>
                <w:u w:val="single"/>
              </w:rPr>
            </w:pPr>
            <w:r>
              <w:rPr>
                <w:rFonts w:hint="eastAsia" w:ascii="Times New Roman" w:hAnsi="Times New Roman" w:eastAsia="仿宋"/>
                <w:kern w:val="0"/>
                <w:sz w:val="24"/>
                <w:szCs w:val="24"/>
                <w:u w:val="single"/>
              </w:rPr>
              <w:t>2025年硬件框架协议-海光服务器</w:t>
            </w:r>
            <w:r>
              <w:rPr>
                <w:rFonts w:ascii="Times New Roman" w:hAnsi="Times New Roman" w:eastAsia="仿宋"/>
                <w:kern w:val="0"/>
                <w:sz w:val="24"/>
                <w:szCs w:val="24"/>
                <w:u w:val="single"/>
              </w:rPr>
              <w:t>B</w:t>
            </w:r>
            <w:r>
              <w:rPr>
                <w:rFonts w:hint="eastAsia" w:ascii="Times New Roman" w:hAnsi="Times New Roman" w:eastAsia="仿宋"/>
                <w:kern w:val="0"/>
                <w:sz w:val="24"/>
                <w:szCs w:val="24"/>
                <w:u w:val="single"/>
              </w:rPr>
              <w:t>项目</w:t>
            </w:r>
          </w:p>
        </w:tc>
        <w:tc>
          <w:tcPr>
            <w:tcW w:w="2268" w:type="dxa"/>
            <w:shd w:val="clear" w:color="auto" w:fill="auto"/>
            <w:noWrap w:val="0"/>
            <w:vAlign w:val="center"/>
          </w:tcPr>
          <w:p w14:paraId="72521DCE">
            <w:pPr>
              <w:rPr>
                <w:rFonts w:ascii="Times New Roman" w:hAnsi="Times New Roman" w:eastAsia="仿宋"/>
                <w:kern w:val="0"/>
                <w:sz w:val="24"/>
                <w:szCs w:val="24"/>
                <w:u w:val="single"/>
              </w:rPr>
            </w:pPr>
            <w:r>
              <w:rPr>
                <w:rFonts w:ascii="Times New Roman" w:hAnsi="Times New Roman" w:eastAsia="仿宋"/>
                <w:kern w:val="0"/>
                <w:sz w:val="24"/>
                <w:szCs w:val="24"/>
                <w:u w:val="single"/>
              </w:rPr>
              <w:t>（1、预估采购范围：约102台海光服务器设备</w:t>
            </w:r>
            <w:r>
              <w:rPr>
                <w:rFonts w:hint="eastAsia" w:ascii="Times New Roman" w:hAnsi="Times New Roman" w:eastAsia="仿宋"/>
                <w:kern w:val="0"/>
                <w:sz w:val="24"/>
                <w:szCs w:val="24"/>
                <w:u w:val="single"/>
              </w:rPr>
              <w:t>及部分配件</w:t>
            </w:r>
            <w:r>
              <w:rPr>
                <w:rFonts w:ascii="Times New Roman" w:hAnsi="Times New Roman" w:eastAsia="仿宋"/>
                <w:kern w:val="0"/>
                <w:sz w:val="24"/>
                <w:szCs w:val="24"/>
                <w:u w:val="single"/>
              </w:rPr>
              <w:t>。</w:t>
            </w:r>
          </w:p>
          <w:p w14:paraId="6680BD03">
            <w:pPr>
              <w:rPr>
                <w:rFonts w:ascii="Times New Roman" w:hAnsi="Times New Roman" w:eastAsia="仿宋"/>
                <w:kern w:val="0"/>
                <w:sz w:val="24"/>
                <w:szCs w:val="24"/>
                <w:u w:val="single"/>
              </w:rPr>
            </w:pPr>
          </w:p>
          <w:p w14:paraId="2F3E4D02">
            <w:pPr>
              <w:rPr>
                <w:rFonts w:ascii="Times New Roman" w:hAnsi="Times New Roman" w:eastAsia="仿宋"/>
                <w:kern w:val="0"/>
                <w:sz w:val="24"/>
                <w:szCs w:val="24"/>
                <w:u w:val="single"/>
              </w:rPr>
            </w:pPr>
            <w:r>
              <w:rPr>
                <w:rFonts w:ascii="Times New Roman" w:hAnsi="Times New Roman" w:eastAsia="仿宋"/>
                <w:kern w:val="0"/>
                <w:sz w:val="24"/>
                <w:szCs w:val="24"/>
                <w:u w:val="single"/>
              </w:rPr>
              <w:t>2、主要技术指标：</w:t>
            </w:r>
            <w:r>
              <w:rPr>
                <w:rFonts w:hint="eastAsia" w:ascii="Times New Roman" w:hAnsi="Times New Roman" w:eastAsia="仿宋"/>
                <w:kern w:val="0"/>
                <w:sz w:val="24"/>
                <w:szCs w:val="24"/>
                <w:u w:val="single"/>
              </w:rPr>
              <w:t>要求投标人所投服务器与海油云平台</w:t>
            </w:r>
            <w:r>
              <w:rPr>
                <w:rFonts w:ascii="Times New Roman" w:hAnsi="Times New Roman" w:eastAsia="仿宋"/>
                <w:kern w:val="0"/>
                <w:sz w:val="24"/>
                <w:szCs w:val="24"/>
                <w:u w:val="single"/>
              </w:rPr>
              <w:t>软件完全兼容。如出现投标人所投硬件(CPU，Raid卡，网卡)，在云平台对接或后期云平台升级等过程中，出现兼容性问题，所产生的成本，由投标人承担。）</w:t>
            </w:r>
          </w:p>
        </w:tc>
        <w:tc>
          <w:tcPr>
            <w:tcW w:w="1730" w:type="dxa"/>
            <w:shd w:val="clear" w:color="auto" w:fill="auto"/>
            <w:noWrap w:val="0"/>
            <w:vAlign w:val="center"/>
          </w:tcPr>
          <w:p w14:paraId="74D21766">
            <w:pPr>
              <w:rPr>
                <w:rFonts w:ascii="Times New Roman" w:hAnsi="Times New Roman" w:eastAsia="仿宋"/>
                <w:kern w:val="0"/>
                <w:sz w:val="24"/>
                <w:szCs w:val="24"/>
                <w:u w:val="single"/>
              </w:rPr>
            </w:pPr>
            <w:r>
              <w:rPr>
                <w:rFonts w:hint="eastAsia" w:ascii="Times New Roman" w:hAnsi="Times New Roman" w:eastAsia="仿宋"/>
                <w:kern w:val="0"/>
                <w:sz w:val="24"/>
                <w:szCs w:val="24"/>
                <w:u w:val="single"/>
              </w:rPr>
              <w:t>2</w:t>
            </w:r>
            <w:r>
              <w:rPr>
                <w:rFonts w:ascii="Times New Roman" w:hAnsi="Times New Roman" w:eastAsia="仿宋"/>
                <w:kern w:val="0"/>
                <w:sz w:val="24"/>
                <w:szCs w:val="24"/>
                <w:u w:val="single"/>
              </w:rPr>
              <w:t>025</w:t>
            </w:r>
            <w:r>
              <w:rPr>
                <w:rFonts w:hint="eastAsia" w:ascii="Times New Roman" w:hAnsi="Times New Roman" w:eastAsia="仿宋"/>
                <w:kern w:val="0"/>
                <w:sz w:val="24"/>
                <w:szCs w:val="24"/>
                <w:u w:val="single"/>
              </w:rPr>
              <w:t>年7月</w:t>
            </w:r>
          </w:p>
        </w:tc>
        <w:tc>
          <w:tcPr>
            <w:tcW w:w="2239" w:type="dxa"/>
            <w:shd w:val="clear" w:color="auto" w:fill="auto"/>
            <w:noWrap w:val="0"/>
            <w:vAlign w:val="center"/>
          </w:tcPr>
          <w:p w14:paraId="3FE9101D">
            <w:pPr>
              <w:widowControl/>
              <w:jc w:val="left"/>
              <w:rPr>
                <w:rFonts w:hint="eastAsia" w:ascii="仿宋" w:hAnsi="仿宋" w:eastAsia="仿宋" w:cs="仿宋"/>
                <w:color w:val="333333"/>
                <w:kern w:val="0"/>
                <w:sz w:val="24"/>
                <w:szCs w:val="24"/>
                <w:lang w:bidi="ar"/>
              </w:rPr>
            </w:pPr>
            <w:r>
              <w:rPr>
                <w:rFonts w:hint="eastAsia" w:ascii="仿宋" w:hAnsi="仿宋" w:eastAsia="仿宋" w:cs="仿宋"/>
                <w:color w:val="333333"/>
                <w:kern w:val="0"/>
                <w:sz w:val="24"/>
                <w:szCs w:val="24"/>
                <w:lang w:bidi="ar"/>
              </w:rPr>
              <w:t>1、供应商须为服务器厂商或其推荐的集成商，集成商须提供硬件厂商针对本项目的授权书。</w:t>
            </w:r>
          </w:p>
          <w:p w14:paraId="08D20C0D">
            <w:pPr>
              <w:widowControl/>
              <w:jc w:val="left"/>
              <w:rPr>
                <w:rFonts w:hint="eastAsia" w:ascii="仿宋" w:hAnsi="仿宋" w:eastAsia="仿宋" w:cs="仿宋"/>
                <w:color w:val="333333"/>
                <w:kern w:val="0"/>
                <w:sz w:val="24"/>
                <w:szCs w:val="24"/>
                <w:lang w:bidi="ar"/>
              </w:rPr>
            </w:pPr>
            <w:r>
              <w:rPr>
                <w:rFonts w:ascii="仿宋" w:hAnsi="仿宋" w:eastAsia="仿宋" w:cs="仿宋"/>
                <w:color w:val="333333"/>
                <w:kern w:val="0"/>
                <w:sz w:val="24"/>
                <w:szCs w:val="24"/>
                <w:lang w:bidi="ar"/>
              </w:rPr>
              <w:t>2</w:t>
            </w:r>
            <w:r>
              <w:rPr>
                <w:rFonts w:hint="eastAsia" w:ascii="仿宋" w:hAnsi="仿宋" w:eastAsia="仿宋" w:cs="仿宋"/>
                <w:color w:val="333333"/>
                <w:kern w:val="0"/>
                <w:sz w:val="24"/>
                <w:szCs w:val="24"/>
                <w:lang w:bidi="ar"/>
              </w:rPr>
              <w:t>、服务器厂商及厂商推荐集成商（如有）均应具有合法有效的企业法人营业执照、税务登记证及组织机构代码证或三证合一的营业执照，并且注册资金为人民币</w:t>
            </w:r>
            <w:r>
              <w:rPr>
                <w:rFonts w:ascii="仿宋" w:hAnsi="仿宋" w:eastAsia="仿宋" w:cs="仿宋"/>
                <w:color w:val="333333"/>
                <w:kern w:val="0"/>
                <w:sz w:val="24"/>
                <w:szCs w:val="24"/>
                <w:lang w:bidi="ar"/>
              </w:rPr>
              <w:t>3000</w:t>
            </w:r>
            <w:r>
              <w:rPr>
                <w:rFonts w:hint="eastAsia" w:ascii="仿宋" w:hAnsi="仿宋" w:eastAsia="仿宋" w:cs="仿宋"/>
                <w:color w:val="333333"/>
                <w:kern w:val="0"/>
                <w:sz w:val="24"/>
                <w:szCs w:val="24"/>
                <w:lang w:bidi="ar"/>
              </w:rPr>
              <w:t>万元及以上（或等值外币）。</w:t>
            </w:r>
          </w:p>
          <w:p w14:paraId="08CD05B9">
            <w:pPr>
              <w:widowControl/>
              <w:jc w:val="left"/>
              <w:rPr>
                <w:rFonts w:hint="eastAsia" w:ascii="仿宋" w:hAnsi="仿宋" w:eastAsia="仿宋" w:cs="仿宋"/>
                <w:color w:val="333333"/>
                <w:kern w:val="0"/>
                <w:sz w:val="24"/>
                <w:szCs w:val="24"/>
                <w:lang w:bidi="ar"/>
              </w:rPr>
            </w:pPr>
            <w:r>
              <w:rPr>
                <w:rFonts w:hint="eastAsia" w:ascii="仿宋" w:hAnsi="仿宋" w:eastAsia="仿宋" w:cs="仿宋"/>
                <w:color w:val="333333"/>
                <w:kern w:val="0"/>
                <w:sz w:val="24"/>
                <w:szCs w:val="24"/>
                <w:lang w:bidi="ar"/>
              </w:rPr>
              <w:t>3、海光服务器厂商必须是2024年海光整机出货量排名前五的厂商，须提供海光芯片厂商为本项目出具的排名证明。</w:t>
            </w:r>
          </w:p>
          <w:p w14:paraId="1A5C35BF">
            <w:pPr>
              <w:widowControl/>
              <w:jc w:val="left"/>
              <w:rPr>
                <w:rFonts w:hint="eastAsia" w:ascii="仿宋" w:hAnsi="仿宋" w:eastAsia="仿宋" w:cs="仿宋"/>
                <w:color w:val="333333"/>
                <w:kern w:val="0"/>
                <w:sz w:val="24"/>
                <w:szCs w:val="24"/>
                <w:lang w:bidi="ar"/>
              </w:rPr>
            </w:pPr>
            <w:r>
              <w:rPr>
                <w:rFonts w:hint="eastAsia" w:ascii="仿宋" w:hAnsi="仿宋" w:eastAsia="仿宋" w:cs="仿宋"/>
                <w:color w:val="333333"/>
                <w:kern w:val="0"/>
                <w:sz w:val="24"/>
                <w:szCs w:val="24"/>
                <w:lang w:bidi="ar"/>
              </w:rPr>
              <w:t>4、服务器厂商及厂商推荐集成商（如有）须同时具备有效的ISO9001质量体系认证证书、ISO14001环境管理体系认证证书并可在中国国家认证认可监督管理委员会网站(http://www.cnca.gov.cn/)核实。如果有国家相关部门发布的最新体系标准，以最新体系标准为准。投标时需提供原件扫描件（原件备查）。</w:t>
            </w:r>
          </w:p>
          <w:p w14:paraId="0DBE9783">
            <w:pPr>
              <w:rPr>
                <w:rFonts w:ascii="Times New Roman" w:hAnsi="Times New Roman" w:eastAsia="仿宋"/>
                <w:kern w:val="0"/>
                <w:sz w:val="24"/>
                <w:szCs w:val="24"/>
                <w:u w:val="single"/>
              </w:rPr>
            </w:pPr>
          </w:p>
        </w:tc>
        <w:tc>
          <w:tcPr>
            <w:tcW w:w="709" w:type="dxa"/>
            <w:shd w:val="clear" w:color="auto" w:fill="auto"/>
            <w:noWrap w:val="0"/>
            <w:vAlign w:val="center"/>
          </w:tcPr>
          <w:p w14:paraId="0026FA0A">
            <w:pPr>
              <w:rPr>
                <w:rFonts w:ascii="Times New Roman" w:hAnsi="Times New Roman" w:eastAsia="仿宋"/>
                <w:kern w:val="0"/>
                <w:sz w:val="24"/>
                <w:szCs w:val="24"/>
                <w:u w:val="single"/>
              </w:rPr>
            </w:pPr>
          </w:p>
        </w:tc>
      </w:tr>
    </w:tbl>
    <w:p w14:paraId="1C39A145">
      <w:pPr>
        <w:tabs>
          <w:tab w:val="left" w:pos="993"/>
          <w:tab w:val="left" w:pos="1134"/>
          <w:tab w:val="left" w:pos="1418"/>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本次公开的采办计划是本项目采办工作的初步安排，实际采购应以相关采购公告和采购文件为准，所有提供和反馈的信息只作为项目采办参考。</w:t>
      </w:r>
    </w:p>
    <w:p w14:paraId="081874D9">
      <w:pPr>
        <w:tabs>
          <w:tab w:val="left" w:pos="993"/>
          <w:tab w:val="left" w:pos="1134"/>
          <w:tab w:val="left" w:pos="1418"/>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本次公告有效期是2025年</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17</w:t>
      </w:r>
      <w:r>
        <w:rPr>
          <w:rFonts w:ascii="Times New Roman" w:hAnsi="Times New Roman" w:eastAsia="仿宋_GB2312"/>
          <w:sz w:val="32"/>
          <w:szCs w:val="32"/>
        </w:rPr>
        <w:t>日至</w:t>
      </w:r>
      <w:r>
        <w:rPr>
          <w:rFonts w:hint="eastAsia" w:ascii="Times New Roman" w:hAnsi="Times New Roman" w:eastAsia="仿宋_GB2312"/>
          <w:sz w:val="32"/>
          <w:szCs w:val="32"/>
          <w:lang w:val="en-US" w:eastAsia="zh-CN"/>
        </w:rPr>
        <w:t>2025</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23</w:t>
      </w:r>
      <w:r>
        <w:rPr>
          <w:rFonts w:ascii="Times New Roman" w:hAnsi="Times New Roman" w:eastAsia="仿宋_GB2312"/>
          <w:sz w:val="32"/>
          <w:szCs w:val="32"/>
        </w:rPr>
        <w:t>日止。在此期间，有意参与某采办包的系统用户可在集团公司采办系统中提交反馈材料。</w:t>
      </w:r>
    </w:p>
    <w:p w14:paraId="145C85DB">
      <w:pPr>
        <w:tabs>
          <w:tab w:val="left" w:pos="993"/>
          <w:tab w:val="left" w:pos="1134"/>
          <w:tab w:val="left" w:pos="1418"/>
        </w:tabs>
        <w:spacing w:line="600" w:lineRule="exact"/>
        <w:rPr>
          <w:rFonts w:ascii="Times New Roman" w:hAnsi="Times New Roman" w:eastAsia="仿宋"/>
          <w:sz w:val="28"/>
          <w:szCs w:val="28"/>
        </w:rPr>
      </w:pPr>
    </w:p>
    <w:p w14:paraId="752A2B15">
      <w:pPr>
        <w:tabs>
          <w:tab w:val="left" w:pos="993"/>
          <w:tab w:val="left" w:pos="1134"/>
          <w:tab w:val="left" w:pos="1418"/>
        </w:tabs>
        <w:spacing w:line="600" w:lineRule="exact"/>
        <w:ind w:right="320" w:firstLine="960" w:firstLineChars="300"/>
        <w:jc w:val="right"/>
        <w:rPr>
          <w:rFonts w:hint="eastAsia" w:ascii="Times New Roman" w:hAnsi="Times New Roman" w:eastAsia="仿宋_GB2312"/>
          <w:sz w:val="32"/>
          <w:szCs w:val="32"/>
        </w:rPr>
      </w:pPr>
      <w:r>
        <w:rPr>
          <w:rFonts w:hint="eastAsia" w:ascii="Times New Roman" w:hAnsi="Times New Roman" w:eastAsia="仿宋_GB2312"/>
          <w:sz w:val="32"/>
          <w:szCs w:val="32"/>
        </w:rPr>
        <w:t>中国海洋石油集团有限公司</w:t>
      </w:r>
    </w:p>
    <w:p w14:paraId="3AADF103">
      <w:pPr>
        <w:tabs>
          <w:tab w:val="left" w:pos="993"/>
          <w:tab w:val="left" w:pos="1134"/>
          <w:tab w:val="left" w:pos="1418"/>
        </w:tabs>
        <w:spacing w:line="600" w:lineRule="exact"/>
        <w:ind w:right="480" w:firstLine="960" w:firstLineChars="300"/>
        <w:jc w:val="right"/>
        <w:rPr>
          <w:rFonts w:ascii="Times New Roman" w:hAnsi="Times New Roman" w:eastAsia="仿宋_GB2312"/>
          <w:b/>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025年  7月</w:t>
      </w:r>
      <w:r>
        <w:rPr>
          <w:rFonts w:hint="eastAsia" w:ascii="Times New Roman" w:hAnsi="Times New Roman" w:eastAsia="仿宋_GB2312"/>
          <w:sz w:val="32"/>
          <w:szCs w:val="32"/>
          <w:lang w:val="en-US" w:eastAsia="zh-CN"/>
        </w:rPr>
        <w:t>17</w:t>
      </w:r>
      <w:r>
        <w:rPr>
          <w:rFonts w:ascii="Times New Roman" w:hAnsi="Times New Roman" w:eastAsia="仿宋_GB2312"/>
          <w:sz w:val="32"/>
          <w:szCs w:val="32"/>
        </w:rPr>
        <w:t xml:space="preserve">  日  </w:t>
      </w:r>
    </w:p>
    <w:p w14:paraId="470C642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AB"/>
    <w:rsid w:val="002B5C1B"/>
    <w:rsid w:val="002E3C4A"/>
    <w:rsid w:val="004029A6"/>
    <w:rsid w:val="0060217C"/>
    <w:rsid w:val="00874977"/>
    <w:rsid w:val="00962715"/>
    <w:rsid w:val="009C1E40"/>
    <w:rsid w:val="00A96C14"/>
    <w:rsid w:val="00AE20AB"/>
    <w:rsid w:val="00C058F4"/>
    <w:rsid w:val="00DD2CB2"/>
    <w:rsid w:val="00E10042"/>
    <w:rsid w:val="00ED277A"/>
    <w:rsid w:val="3E6762FB"/>
    <w:rsid w:val="4C841C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eastAsia="Times New Roman"/>
      <w:kern w:val="0"/>
      <w:sz w:val="20"/>
      <w:szCs w:val="20"/>
    </w:r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link w:val="2"/>
    <w:uiPriority w:val="99"/>
    <w:rPr>
      <w:sz w:val="18"/>
      <w:szCs w:val="18"/>
    </w:rPr>
  </w:style>
  <w:style w:type="character" w:customStyle="1" w:styleId="8">
    <w:name w:val="页眉 字符"/>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H3C</Company>
  <Pages>2</Pages>
  <Words>674</Words>
  <Characters>744</Characters>
  <Lines>5</Lines>
  <Paragraphs>1</Paragraphs>
  <TotalTime>0</TotalTime>
  <ScaleCrop>false</ScaleCrop>
  <LinksUpToDate>false</LinksUpToDate>
  <CharactersWithSpaces>750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2021-04-29T03:47:00Z</dcterms:created>
  <dc:creator>季云峰/采办项目组/集团公司机关</dc:creator>
  <cp:lastModifiedBy>杨知秋</cp:lastModifiedBy>
  <dcterms:modified xsi:type="dcterms:W3CDTF">2025-07-17T05:58:39Z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1F281F006895438B97D3857168E4C929_13</vt:lpwstr>
  </property>
  <property fmtid="{D5CDD505-2E9C-101B-9397-08002B2CF9AE}" pid="4" name="KSOTemplateDocerSaveRecord">
    <vt:lpwstr>eyJoZGlkIjoiNDgxNmU5NWEwNTFiNjdkOWVmNmM3ZDBkOTQ4NDlhM2IiLCJ1c2VySWQiOiIxNzE5ODI4NjQxIn0=</vt:lpwstr>
  </property>
</Properties>
</file>