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795D">
      <w:pPr>
        <w:adjustRightInd w:val="0"/>
        <w:snapToGrid w:val="0"/>
        <w:spacing w:line="600" w:lineRule="exact"/>
        <w:jc w:val="center"/>
        <w:rPr>
          <w:rFonts w:hint="eastAsia" w:ascii="仿宋" w:hAnsi="仿宋" w:eastAsia="仿宋" w:cs="仿宋"/>
          <w:b/>
          <w:color w:val="auto"/>
          <w:kern w:val="0"/>
          <w:sz w:val="48"/>
          <w:szCs w:val="48"/>
          <w:highlight w:val="none"/>
          <w:lang w:val="en-US" w:eastAsia="zh-CN"/>
        </w:rPr>
      </w:pPr>
    </w:p>
    <w:p w14:paraId="2CA84CA6">
      <w:pPr>
        <w:adjustRightInd w:val="0"/>
        <w:snapToGrid w:val="0"/>
        <w:spacing w:line="600" w:lineRule="exact"/>
        <w:jc w:val="both"/>
        <w:rPr>
          <w:rFonts w:hint="eastAsia" w:ascii="仿宋" w:hAnsi="仿宋" w:eastAsia="仿宋" w:cs="仿宋"/>
          <w:b/>
          <w:color w:val="auto"/>
          <w:kern w:val="0"/>
          <w:sz w:val="48"/>
          <w:szCs w:val="48"/>
          <w:highlight w:val="none"/>
        </w:rPr>
      </w:pPr>
    </w:p>
    <w:p w14:paraId="1268EDE2">
      <w:pPr>
        <w:pStyle w:val="35"/>
        <w:keepNext w:val="0"/>
        <w:keepLines w:val="0"/>
        <w:pageBreakBefore w:val="0"/>
        <w:widowControl w:val="0"/>
        <w:kinsoku/>
        <w:wordWrap/>
        <w:overflowPunct/>
        <w:topLinePunct w:val="0"/>
        <w:autoSpaceDE w:val="0"/>
        <w:autoSpaceDN w:val="0"/>
        <w:bidi w:val="0"/>
        <w:adjustRightInd w:val="0"/>
        <w:snapToGrid/>
        <w:spacing w:before="120" w:beforeLines="50" w:after="120" w:afterLines="50" w:line="600" w:lineRule="exact"/>
        <w:jc w:val="center"/>
        <w:textAlignment w:val="auto"/>
        <w:rPr>
          <w:rFonts w:hint="eastAsia" w:ascii="仿宋" w:hAnsi="仿宋" w:eastAsia="仿宋" w:cs="仿宋"/>
          <w:b/>
          <w:color w:val="auto"/>
          <w:sz w:val="40"/>
          <w:szCs w:val="40"/>
          <w:lang w:eastAsia="zh-CN"/>
        </w:rPr>
      </w:pPr>
      <w:r>
        <w:rPr>
          <w:rFonts w:hint="eastAsia" w:ascii="仿宋" w:hAnsi="仿宋" w:eastAsia="仿宋" w:cs="仿宋"/>
          <w:b/>
          <w:color w:val="auto"/>
          <w:sz w:val="40"/>
          <w:szCs w:val="40"/>
          <w:lang w:eastAsia="zh-CN"/>
        </w:rPr>
        <w:t>湖州市市容环境卫生管理中心</w:t>
      </w:r>
    </w:p>
    <w:p w14:paraId="6A2DC99D">
      <w:pPr>
        <w:pStyle w:val="35"/>
        <w:keepNext w:val="0"/>
        <w:keepLines w:val="0"/>
        <w:pageBreakBefore w:val="0"/>
        <w:widowControl w:val="0"/>
        <w:kinsoku/>
        <w:wordWrap/>
        <w:overflowPunct/>
        <w:topLinePunct w:val="0"/>
        <w:autoSpaceDE w:val="0"/>
        <w:autoSpaceDN w:val="0"/>
        <w:bidi w:val="0"/>
        <w:adjustRightInd w:val="0"/>
        <w:snapToGrid/>
        <w:spacing w:before="120" w:beforeLines="50" w:after="120" w:afterLines="50" w:line="600" w:lineRule="exact"/>
        <w:jc w:val="center"/>
        <w:textAlignment w:val="auto"/>
        <w:rPr>
          <w:rFonts w:hint="eastAsia" w:ascii="仿宋" w:hAnsi="仿宋" w:eastAsia="仿宋" w:cs="仿宋"/>
          <w:b/>
          <w:color w:val="auto"/>
          <w:sz w:val="36"/>
          <w:szCs w:val="36"/>
          <w:lang w:eastAsia="zh-CN"/>
        </w:rPr>
      </w:pPr>
      <w:r>
        <w:rPr>
          <w:rFonts w:hint="eastAsia" w:ascii="仿宋" w:hAnsi="仿宋" w:eastAsia="仿宋" w:cs="仿宋"/>
          <w:b/>
          <w:color w:val="auto"/>
          <w:sz w:val="40"/>
          <w:szCs w:val="40"/>
          <w:lang w:eastAsia="zh-CN"/>
        </w:rPr>
        <w:t>垃圾清运设施辅助管理服务项目</w:t>
      </w:r>
    </w:p>
    <w:p w14:paraId="1748BBD8">
      <w:pPr>
        <w:pStyle w:val="35"/>
        <w:keepNext w:val="0"/>
        <w:keepLines w:val="0"/>
        <w:pageBreakBefore w:val="0"/>
        <w:widowControl w:val="0"/>
        <w:kinsoku/>
        <w:wordWrap/>
        <w:overflowPunct/>
        <w:topLinePunct w:val="0"/>
        <w:autoSpaceDE w:val="0"/>
        <w:autoSpaceDN w:val="0"/>
        <w:bidi w:val="0"/>
        <w:adjustRightInd w:val="0"/>
        <w:snapToGrid/>
        <w:spacing w:before="120" w:beforeLines="50" w:after="120" w:afterLines="50" w:line="600" w:lineRule="exact"/>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auto"/>
          <w:sz w:val="28"/>
          <w:szCs w:val="28"/>
          <w:highlight w:val="none"/>
        </w:rPr>
        <w:t>（财政审批编号:</w:t>
      </w:r>
      <w:r>
        <w:rPr>
          <w:rFonts w:hint="eastAsia" w:ascii="仿宋" w:hAnsi="仿宋" w:eastAsia="仿宋" w:cs="仿宋"/>
          <w:color w:val="auto"/>
          <w:sz w:val="28"/>
          <w:szCs w:val="28"/>
          <w:highlight w:val="yellow"/>
          <w:lang w:eastAsia="zh-CN"/>
        </w:rPr>
        <w:t>湖财采确临[2025]00000号</w:t>
      </w:r>
      <w:r>
        <w:rPr>
          <w:rFonts w:hint="eastAsia" w:ascii="仿宋" w:hAnsi="仿宋" w:eastAsia="仿宋" w:cs="仿宋"/>
          <w:color w:val="auto"/>
          <w:sz w:val="28"/>
          <w:szCs w:val="28"/>
          <w:highlight w:val="none"/>
        </w:rPr>
        <w:t>）</w:t>
      </w:r>
    </w:p>
    <w:p w14:paraId="650E49C9">
      <w:pPr>
        <w:adjustRightInd w:val="0"/>
        <w:snapToGrid w:val="0"/>
        <w:spacing w:line="600" w:lineRule="exact"/>
        <w:rPr>
          <w:rFonts w:hint="eastAsia" w:ascii="仿宋" w:hAnsi="仿宋" w:eastAsia="仿宋" w:cs="仿宋"/>
          <w:b/>
          <w:snapToGrid w:val="0"/>
          <w:color w:val="auto"/>
          <w:sz w:val="84"/>
          <w:szCs w:val="84"/>
          <w:highlight w:val="none"/>
        </w:rPr>
      </w:pPr>
    </w:p>
    <w:p w14:paraId="28F09821">
      <w:pPr>
        <w:adjustRightInd w:val="0"/>
        <w:snapToGrid w:val="0"/>
        <w:spacing w:line="800" w:lineRule="atLeast"/>
        <w:jc w:val="both"/>
        <w:rPr>
          <w:rFonts w:hint="eastAsia" w:ascii="仿宋" w:hAnsi="仿宋" w:eastAsia="仿宋" w:cs="仿宋"/>
          <w:b/>
          <w:snapToGrid w:val="0"/>
          <w:color w:val="auto"/>
          <w:sz w:val="72"/>
          <w:szCs w:val="72"/>
          <w:highlight w:val="none"/>
        </w:rPr>
      </w:pPr>
    </w:p>
    <w:p w14:paraId="7438FC20">
      <w:pPr>
        <w:adjustRightInd w:val="0"/>
        <w:snapToGrid w:val="0"/>
        <w:spacing w:line="800" w:lineRule="atLeast"/>
        <w:jc w:val="center"/>
        <w:rPr>
          <w:rFonts w:hint="eastAsia" w:ascii="仿宋" w:hAnsi="仿宋" w:eastAsia="仿宋" w:cs="仿宋"/>
          <w:b/>
          <w:snapToGrid w:val="0"/>
          <w:color w:val="auto"/>
          <w:sz w:val="84"/>
          <w:szCs w:val="84"/>
          <w:highlight w:val="none"/>
        </w:rPr>
      </w:pPr>
      <w:r>
        <w:rPr>
          <w:rFonts w:hint="eastAsia" w:ascii="仿宋" w:hAnsi="仿宋" w:eastAsia="仿宋" w:cs="仿宋"/>
          <w:b/>
          <w:snapToGrid w:val="0"/>
          <w:color w:val="auto"/>
          <w:sz w:val="72"/>
          <w:szCs w:val="72"/>
          <w:highlight w:val="none"/>
        </w:rPr>
        <w:t>竞争性磋商文件</w:t>
      </w:r>
    </w:p>
    <w:p w14:paraId="5D5BBA59">
      <w:pPr>
        <w:adjustRightInd w:val="0"/>
        <w:snapToGrid w:val="0"/>
        <w:spacing w:line="500" w:lineRule="exact"/>
        <w:jc w:val="center"/>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（全流程电子）</w:t>
      </w:r>
    </w:p>
    <w:p w14:paraId="0F0F8B91">
      <w:pPr>
        <w:adjustRightInd w:val="0"/>
        <w:snapToGrid w:val="0"/>
        <w:spacing w:line="500" w:lineRule="exact"/>
        <w:rPr>
          <w:rFonts w:hint="eastAsia" w:ascii="仿宋" w:hAnsi="仿宋" w:eastAsia="仿宋" w:cs="仿宋"/>
          <w:bCs/>
          <w:snapToGrid w:val="0"/>
          <w:color w:val="auto"/>
          <w:sz w:val="32"/>
          <w:highlight w:val="none"/>
        </w:rPr>
      </w:pPr>
    </w:p>
    <w:p w14:paraId="311A2C25">
      <w:pPr>
        <w:adjustRightInd w:val="0"/>
        <w:snapToGrid w:val="0"/>
        <w:spacing w:line="500" w:lineRule="exact"/>
        <w:rPr>
          <w:rFonts w:hint="eastAsia" w:ascii="仿宋" w:hAnsi="仿宋" w:eastAsia="仿宋" w:cs="仿宋"/>
          <w:bCs/>
          <w:snapToGrid w:val="0"/>
          <w:color w:val="auto"/>
          <w:sz w:val="32"/>
          <w:highlight w:val="none"/>
        </w:rPr>
      </w:pPr>
    </w:p>
    <w:p w14:paraId="0807C593">
      <w:pPr>
        <w:adjustRightInd w:val="0"/>
        <w:snapToGrid w:val="0"/>
        <w:spacing w:line="500" w:lineRule="exact"/>
        <w:rPr>
          <w:rFonts w:hint="eastAsia" w:ascii="仿宋" w:hAnsi="仿宋" w:eastAsia="仿宋" w:cs="仿宋"/>
          <w:bCs/>
          <w:snapToGrid w:val="0"/>
          <w:color w:val="auto"/>
          <w:sz w:val="32"/>
          <w:highlight w:val="none"/>
        </w:rPr>
      </w:pPr>
    </w:p>
    <w:p w14:paraId="5F82FDBD">
      <w:pPr>
        <w:adjustRightInd w:val="0"/>
        <w:snapToGrid w:val="0"/>
        <w:spacing w:line="640" w:lineRule="exact"/>
        <w:ind w:firstLine="281" w:firstLineChars="100"/>
        <w:rPr>
          <w:rFonts w:hint="default" w:ascii="仿宋" w:hAnsi="仿宋" w:eastAsia="仿宋" w:cs="仿宋"/>
          <w:snapToGrid w:val="0"/>
          <w:color w:val="auto"/>
          <w:sz w:val="28"/>
          <w:szCs w:val="28"/>
          <w:highlight w:val="none"/>
          <w:u w:val="single"/>
          <w:lang w:val="en-US" w:eastAsia="zh-CN"/>
        </w:rPr>
      </w:pPr>
      <w:r>
        <w:rPr>
          <w:rFonts w:hint="eastAsia" w:ascii="仿宋" w:hAnsi="仿宋" w:eastAsia="仿宋" w:cs="仿宋"/>
          <w:b/>
          <w:snapToGrid w:val="0"/>
          <w:color w:val="auto"/>
          <w:sz w:val="28"/>
          <w:szCs w:val="28"/>
          <w:highlight w:val="none"/>
        </w:rPr>
        <w:t>项目编号</w:t>
      </w:r>
      <w:r>
        <w:rPr>
          <w:rFonts w:hint="eastAsia" w:ascii="仿宋" w:hAnsi="仿宋" w:eastAsia="仿宋" w:cs="仿宋"/>
          <w:snapToGrid w:val="0"/>
          <w:color w:val="auto"/>
          <w:sz w:val="28"/>
          <w:szCs w:val="28"/>
          <w:highlight w:val="none"/>
        </w:rPr>
        <w:t>：</w:t>
      </w:r>
      <w:r>
        <w:rPr>
          <w:rFonts w:hint="eastAsia" w:ascii="仿宋" w:hAnsi="仿宋" w:eastAsia="仿宋" w:cs="仿宋"/>
          <w:snapToGrid w:val="0"/>
          <w:color w:val="auto"/>
          <w:sz w:val="28"/>
          <w:szCs w:val="28"/>
          <w:highlight w:val="none"/>
          <w:u w:val="single"/>
          <w:lang w:eastAsia="zh-CN"/>
        </w:rPr>
        <w:t>仁皇招字2025249号</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lang w:val="en-US" w:eastAsia="zh-CN"/>
        </w:rPr>
        <w:t xml:space="preserve">   </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lang w:val="en-US" w:eastAsia="zh-CN"/>
        </w:rPr>
        <w:t xml:space="preserve">        </w:t>
      </w:r>
    </w:p>
    <w:p w14:paraId="17E321A0">
      <w:pPr>
        <w:adjustRightInd w:val="0"/>
        <w:snapToGrid w:val="0"/>
        <w:spacing w:line="640" w:lineRule="exact"/>
        <w:ind w:firstLine="281" w:firstLineChars="100"/>
        <w:rPr>
          <w:rFonts w:hint="default" w:ascii="仿宋" w:hAnsi="仿宋" w:eastAsia="仿宋" w:cs="仿宋"/>
          <w:snapToGrid w:val="0"/>
          <w:color w:val="auto"/>
          <w:sz w:val="28"/>
          <w:szCs w:val="28"/>
          <w:highlight w:val="none"/>
          <w:u w:val="single"/>
          <w:lang w:val="en-US" w:eastAsia="zh-CN"/>
        </w:rPr>
      </w:pPr>
      <w:r>
        <w:rPr>
          <w:rFonts w:hint="eastAsia" w:ascii="仿宋" w:hAnsi="仿宋" w:eastAsia="仿宋" w:cs="仿宋"/>
          <w:b/>
          <w:snapToGrid w:val="0"/>
          <w:color w:val="auto"/>
          <w:sz w:val="28"/>
          <w:szCs w:val="28"/>
          <w:highlight w:val="none"/>
        </w:rPr>
        <w:t>项目名称：</w:t>
      </w:r>
      <w:r>
        <w:rPr>
          <w:rFonts w:hint="eastAsia" w:ascii="仿宋" w:hAnsi="仿宋" w:eastAsia="仿宋" w:cs="仿宋"/>
          <w:color w:val="auto"/>
          <w:kern w:val="0"/>
          <w:sz w:val="28"/>
          <w:szCs w:val="28"/>
          <w:highlight w:val="none"/>
          <w:u w:val="single"/>
          <w:lang w:eastAsia="zh-CN"/>
        </w:rPr>
        <w:t>垃圾清运设施辅助管理服务项目</w:t>
      </w:r>
      <w:r>
        <w:rPr>
          <w:rFonts w:hint="eastAsia" w:ascii="仿宋" w:hAnsi="仿宋" w:eastAsia="仿宋" w:cs="仿宋"/>
          <w:color w:val="auto"/>
          <w:kern w:val="0"/>
          <w:sz w:val="28"/>
          <w:szCs w:val="28"/>
          <w:highlight w:val="none"/>
          <w:u w:val="single"/>
          <w:lang w:val="en-US" w:eastAsia="zh-CN"/>
        </w:rPr>
        <w:t xml:space="preserve">                            </w:t>
      </w:r>
    </w:p>
    <w:p w14:paraId="50A4D4C0">
      <w:pPr>
        <w:adjustRightInd w:val="0"/>
        <w:snapToGrid w:val="0"/>
        <w:spacing w:line="640" w:lineRule="exact"/>
        <w:ind w:firstLine="281" w:firstLineChars="100"/>
        <w:rPr>
          <w:rFonts w:hint="eastAsia" w:ascii="仿宋" w:hAnsi="仿宋" w:eastAsia="仿宋" w:cs="仿宋"/>
          <w:color w:val="auto"/>
          <w:kern w:val="0"/>
          <w:sz w:val="28"/>
          <w:szCs w:val="28"/>
          <w:highlight w:val="none"/>
          <w:u w:val="single"/>
          <w:lang w:eastAsia="zh-CN"/>
        </w:rPr>
      </w:pPr>
      <w:r>
        <w:rPr>
          <w:rFonts w:hint="eastAsia" w:ascii="仿宋" w:hAnsi="仿宋" w:eastAsia="仿宋" w:cs="仿宋"/>
          <w:b/>
          <w:snapToGrid w:val="0"/>
          <w:color w:val="auto"/>
          <w:sz w:val="28"/>
          <w:szCs w:val="28"/>
          <w:highlight w:val="none"/>
        </w:rPr>
        <w:t>采购</w:t>
      </w:r>
      <w:r>
        <w:rPr>
          <w:rFonts w:hint="eastAsia" w:ascii="仿宋" w:hAnsi="仿宋" w:eastAsia="仿宋" w:cs="仿宋"/>
          <w:b/>
          <w:snapToGrid w:val="0"/>
          <w:color w:val="auto"/>
          <w:sz w:val="28"/>
          <w:szCs w:val="28"/>
          <w:highlight w:val="none"/>
          <w:lang w:eastAsia="zh-CN"/>
        </w:rPr>
        <w:t>单位</w:t>
      </w:r>
      <w:r>
        <w:rPr>
          <w:rFonts w:hint="eastAsia" w:ascii="仿宋" w:hAnsi="仿宋" w:eastAsia="仿宋" w:cs="仿宋"/>
          <w:b/>
          <w:snapToGrid w:val="0"/>
          <w:color w:val="auto"/>
          <w:sz w:val="28"/>
          <w:szCs w:val="28"/>
          <w:highlight w:val="none"/>
        </w:rPr>
        <w:t>：</w:t>
      </w:r>
      <w:r>
        <w:rPr>
          <w:rFonts w:hint="eastAsia" w:ascii="仿宋" w:hAnsi="仿宋" w:eastAsia="仿宋" w:cs="仿宋"/>
          <w:color w:val="auto"/>
          <w:sz w:val="28"/>
          <w:szCs w:val="28"/>
          <w:highlight w:val="none"/>
          <w:u w:val="single"/>
          <w:lang w:eastAsia="zh-CN"/>
        </w:rPr>
        <w:t>湖州市市容环境卫生管理中心</w:t>
      </w:r>
      <w:r>
        <w:rPr>
          <w:rFonts w:hint="eastAsia" w:ascii="仿宋" w:hAnsi="仿宋" w:eastAsia="仿宋" w:cs="仿宋"/>
          <w:color w:val="auto"/>
          <w:kern w:val="0"/>
          <w:sz w:val="28"/>
          <w:szCs w:val="28"/>
          <w:highlight w:val="none"/>
          <w:u w:val="single"/>
          <w:lang w:eastAsia="zh-CN"/>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eastAsia="zh-CN"/>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eastAsia="zh-CN"/>
        </w:rPr>
        <w:t>盖章）</w:t>
      </w:r>
    </w:p>
    <w:p w14:paraId="6B519BDF">
      <w:pPr>
        <w:adjustRightInd w:val="0"/>
        <w:snapToGrid w:val="0"/>
        <w:spacing w:line="640" w:lineRule="exact"/>
        <w:ind w:firstLine="281" w:firstLineChars="100"/>
        <w:rPr>
          <w:rFonts w:hint="eastAsia" w:ascii="仿宋" w:hAnsi="仿宋" w:eastAsia="仿宋" w:cs="仿宋"/>
          <w:bCs/>
          <w:snapToGrid w:val="0"/>
          <w:color w:val="auto"/>
          <w:sz w:val="24"/>
          <w:szCs w:val="24"/>
          <w:highlight w:val="none"/>
        </w:rPr>
      </w:pPr>
      <w:r>
        <w:rPr>
          <w:rFonts w:hint="eastAsia" w:ascii="仿宋" w:hAnsi="仿宋" w:eastAsia="仿宋" w:cs="仿宋"/>
          <w:b/>
          <w:snapToGrid w:val="0"/>
          <w:color w:val="auto"/>
          <w:sz w:val="28"/>
          <w:szCs w:val="28"/>
          <w:highlight w:val="none"/>
        </w:rPr>
        <w:t>代理机构：</w:t>
      </w:r>
      <w:r>
        <w:rPr>
          <w:rFonts w:hint="eastAsia" w:ascii="仿宋" w:hAnsi="仿宋" w:eastAsia="仿宋" w:cs="仿宋"/>
          <w:snapToGrid w:val="0"/>
          <w:color w:val="auto"/>
          <w:sz w:val="28"/>
          <w:szCs w:val="28"/>
          <w:highlight w:val="none"/>
          <w:u w:val="single"/>
        </w:rPr>
        <w:t xml:space="preserve">湖州市仁皇工程咨询有限公司          </w:t>
      </w:r>
      <w:r>
        <w:rPr>
          <w:rFonts w:hint="eastAsia" w:ascii="仿宋" w:hAnsi="仿宋" w:eastAsia="仿宋" w:cs="仿宋"/>
          <w:snapToGrid w:val="0"/>
          <w:color w:val="auto"/>
          <w:sz w:val="28"/>
          <w:szCs w:val="28"/>
          <w:highlight w:val="none"/>
          <w:u w:val="single"/>
          <w:lang w:val="en-US" w:eastAsia="zh-CN"/>
        </w:rPr>
        <w:t xml:space="preserve">    </w:t>
      </w:r>
      <w:r>
        <w:rPr>
          <w:rFonts w:hint="eastAsia" w:ascii="仿宋" w:hAnsi="仿宋" w:eastAsia="仿宋" w:cs="仿宋"/>
          <w:snapToGrid w:val="0"/>
          <w:color w:val="auto"/>
          <w:sz w:val="28"/>
          <w:szCs w:val="28"/>
          <w:highlight w:val="none"/>
          <w:u w:val="single"/>
        </w:rPr>
        <w:t xml:space="preserve">  </w:t>
      </w:r>
      <w:r>
        <w:rPr>
          <w:rFonts w:hint="eastAsia" w:ascii="仿宋" w:hAnsi="仿宋" w:eastAsia="仿宋" w:cs="仿宋"/>
          <w:snapToGrid w:val="0"/>
          <w:color w:val="auto"/>
          <w:sz w:val="28"/>
          <w:szCs w:val="28"/>
          <w:highlight w:val="none"/>
          <w:u w:val="single"/>
          <w:lang w:val="en-US" w:eastAsia="zh-CN"/>
        </w:rPr>
        <w:t xml:space="preserve">       </w:t>
      </w:r>
      <w:r>
        <w:rPr>
          <w:rFonts w:hint="eastAsia" w:ascii="仿宋" w:hAnsi="仿宋" w:eastAsia="仿宋" w:cs="仿宋"/>
          <w:snapToGrid w:val="0"/>
          <w:color w:val="auto"/>
          <w:sz w:val="28"/>
          <w:szCs w:val="28"/>
          <w:highlight w:val="none"/>
          <w:u w:val="single"/>
        </w:rPr>
        <w:t>（盖章）</w:t>
      </w:r>
    </w:p>
    <w:p w14:paraId="5DBC0459">
      <w:pPr>
        <w:spacing w:line="640" w:lineRule="exact"/>
        <w:jc w:val="center"/>
        <w:rPr>
          <w:rFonts w:hint="eastAsia" w:ascii="仿宋" w:hAnsi="仿宋" w:eastAsia="仿宋" w:cs="仿宋"/>
          <w:b/>
          <w:snapToGrid w:val="0"/>
          <w:color w:val="auto"/>
          <w:sz w:val="28"/>
          <w:szCs w:val="28"/>
          <w:highlight w:val="none"/>
        </w:rPr>
      </w:pPr>
    </w:p>
    <w:p w14:paraId="6622D804">
      <w:pPr>
        <w:spacing w:line="64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snapToGrid w:val="0"/>
          <w:color w:val="auto"/>
          <w:sz w:val="28"/>
          <w:szCs w:val="28"/>
          <w:highlight w:val="none"/>
          <w:lang w:eastAsia="zh-CN"/>
        </w:rPr>
        <w:t>2025年9月</w:t>
      </w:r>
    </w:p>
    <w:p w14:paraId="6B5A27DB">
      <w:pPr>
        <w:rPr>
          <w:rFonts w:hint="eastAsia" w:ascii="仿宋" w:hAnsi="仿宋" w:eastAsia="仿宋" w:cs="仿宋"/>
          <w:b/>
          <w:color w:val="auto"/>
          <w:sz w:val="44"/>
          <w:szCs w:val="44"/>
          <w:highlight w:val="none"/>
        </w:rPr>
      </w:pPr>
    </w:p>
    <w:p w14:paraId="5E146A56">
      <w:pPr>
        <w:jc w:val="center"/>
        <w:rPr>
          <w:rFonts w:hint="eastAsia" w:ascii="仿宋" w:hAnsi="仿宋" w:eastAsia="仿宋" w:cs="仿宋"/>
          <w:b/>
          <w:color w:val="auto"/>
          <w:sz w:val="44"/>
          <w:szCs w:val="44"/>
          <w:highlight w:val="none"/>
        </w:rPr>
        <w:sectPr>
          <w:headerReference r:id="rId4" w:type="default"/>
          <w:footerReference r:id="rId5" w:type="default"/>
          <w:pgSz w:w="11906" w:h="16838"/>
          <w:pgMar w:top="1134" w:right="1247" w:bottom="1134" w:left="1247" w:header="113" w:footer="113" w:gutter="0"/>
          <w:pgNumType w:fmt="decimal"/>
          <w:cols w:space="720" w:num="1"/>
          <w:titlePg/>
          <w:docGrid w:linePitch="312" w:charSpace="0"/>
        </w:sectPr>
      </w:pPr>
    </w:p>
    <w:p w14:paraId="14841069">
      <w:pPr>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3B5D91BD">
      <w:pPr>
        <w:adjustRightInd w:val="0"/>
        <w:snapToGrid w:val="0"/>
        <w:spacing w:line="360" w:lineRule="auto"/>
        <w:rPr>
          <w:rFonts w:hint="eastAsia" w:ascii="仿宋" w:hAnsi="仿宋" w:eastAsia="仿宋" w:cs="仿宋"/>
          <w:color w:val="auto"/>
          <w:sz w:val="30"/>
          <w:szCs w:val="30"/>
          <w:highlight w:val="none"/>
        </w:rPr>
      </w:pPr>
    </w:p>
    <w:p w14:paraId="10B69D49">
      <w:pPr>
        <w:adjustRightInd w:val="0"/>
        <w:snapToGrid w:val="0"/>
        <w:spacing w:line="480" w:lineRule="auto"/>
        <w:jc w:val="distribute"/>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第一章 竞争性磋商公告……………………………………………0</w:t>
      </w:r>
      <w:r>
        <w:rPr>
          <w:rFonts w:hint="eastAsia" w:ascii="仿宋" w:hAnsi="仿宋" w:eastAsia="仿宋" w:cs="仿宋"/>
          <w:b/>
          <w:bCs/>
          <w:color w:val="auto"/>
          <w:sz w:val="30"/>
          <w:szCs w:val="30"/>
          <w:highlight w:val="none"/>
          <w:lang w:val="en-US" w:eastAsia="zh-CN"/>
        </w:rPr>
        <w:t>1</w:t>
      </w:r>
    </w:p>
    <w:p w14:paraId="6A5F1AAE">
      <w:pPr>
        <w:adjustRightInd w:val="0"/>
        <w:snapToGrid w:val="0"/>
        <w:spacing w:line="480" w:lineRule="auto"/>
        <w:jc w:val="distribute"/>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第二章 磋商项目采购需求…………………………………………0</w:t>
      </w:r>
      <w:r>
        <w:rPr>
          <w:rFonts w:hint="eastAsia" w:ascii="仿宋" w:hAnsi="仿宋" w:eastAsia="仿宋" w:cs="仿宋"/>
          <w:b/>
          <w:bCs/>
          <w:color w:val="auto"/>
          <w:sz w:val="30"/>
          <w:szCs w:val="30"/>
          <w:highlight w:val="none"/>
          <w:lang w:val="en-US" w:eastAsia="zh-CN"/>
        </w:rPr>
        <w:t>6</w:t>
      </w:r>
    </w:p>
    <w:p w14:paraId="260A31FF">
      <w:pPr>
        <w:adjustRightInd w:val="0"/>
        <w:snapToGrid w:val="0"/>
        <w:spacing w:line="480" w:lineRule="auto"/>
        <w:jc w:val="distribute"/>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第三章 供应商须知…………………………………………………</w:t>
      </w:r>
      <w:r>
        <w:rPr>
          <w:rFonts w:hint="eastAsia" w:ascii="仿宋" w:hAnsi="仿宋" w:eastAsia="仿宋" w:cs="仿宋"/>
          <w:b/>
          <w:bCs/>
          <w:color w:val="auto"/>
          <w:sz w:val="30"/>
          <w:szCs w:val="30"/>
          <w:highlight w:val="none"/>
          <w:lang w:val="en-US" w:eastAsia="zh-CN"/>
        </w:rPr>
        <w:t>09</w:t>
      </w:r>
    </w:p>
    <w:p w14:paraId="7C96C7CE">
      <w:pPr>
        <w:adjustRightInd w:val="0"/>
        <w:snapToGrid w:val="0"/>
        <w:spacing w:line="480" w:lineRule="auto"/>
        <w:jc w:val="distribute"/>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第四章 合同主要条款………………………………………………</w:t>
      </w:r>
      <w:r>
        <w:rPr>
          <w:rFonts w:hint="eastAsia" w:ascii="仿宋" w:hAnsi="仿宋" w:eastAsia="仿宋" w:cs="仿宋"/>
          <w:b/>
          <w:bCs/>
          <w:color w:val="auto"/>
          <w:sz w:val="30"/>
          <w:szCs w:val="30"/>
          <w:highlight w:val="none"/>
          <w:lang w:val="en-US" w:eastAsia="zh-CN"/>
        </w:rPr>
        <w:t>26</w:t>
      </w:r>
    </w:p>
    <w:p w14:paraId="4B6D6886">
      <w:pPr>
        <w:adjustRightInd w:val="0"/>
        <w:snapToGrid w:val="0"/>
        <w:spacing w:line="480" w:lineRule="auto"/>
        <w:jc w:val="distribute"/>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第五章 响应文件格式………………………………………………</w:t>
      </w:r>
      <w:r>
        <w:rPr>
          <w:rFonts w:hint="eastAsia" w:ascii="仿宋" w:hAnsi="仿宋" w:eastAsia="仿宋" w:cs="仿宋"/>
          <w:b/>
          <w:bCs/>
          <w:color w:val="auto"/>
          <w:sz w:val="30"/>
          <w:szCs w:val="30"/>
          <w:highlight w:val="none"/>
          <w:lang w:val="en-US" w:eastAsia="zh-CN"/>
        </w:rPr>
        <w:t>30</w:t>
      </w:r>
    </w:p>
    <w:p w14:paraId="31EDF21F">
      <w:pPr>
        <w:adjustRightInd w:val="0"/>
        <w:snapToGrid w:val="0"/>
        <w:spacing w:line="480" w:lineRule="auto"/>
        <w:jc w:val="distribute"/>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第六章 磋商办法及评分标准………………………………………</w:t>
      </w:r>
      <w:r>
        <w:rPr>
          <w:rFonts w:hint="eastAsia" w:ascii="仿宋" w:hAnsi="仿宋" w:eastAsia="仿宋" w:cs="仿宋"/>
          <w:b/>
          <w:color w:val="auto"/>
          <w:sz w:val="30"/>
          <w:szCs w:val="30"/>
          <w:highlight w:val="none"/>
          <w:lang w:val="en-US" w:eastAsia="zh-CN"/>
        </w:rPr>
        <w:t>51</w:t>
      </w:r>
    </w:p>
    <w:p w14:paraId="5CA07C8E">
      <w:pPr>
        <w:spacing w:line="600" w:lineRule="exact"/>
        <w:rPr>
          <w:rFonts w:hint="eastAsia" w:ascii="仿宋" w:hAnsi="仿宋" w:eastAsia="仿宋" w:cs="仿宋"/>
          <w:b/>
          <w:color w:val="auto"/>
          <w:sz w:val="36"/>
          <w:szCs w:val="36"/>
          <w:highlight w:val="none"/>
        </w:rPr>
      </w:pPr>
    </w:p>
    <w:p w14:paraId="5FD0933D">
      <w:pPr>
        <w:spacing w:line="600" w:lineRule="exact"/>
        <w:rPr>
          <w:rFonts w:hint="eastAsia" w:ascii="仿宋" w:hAnsi="仿宋" w:eastAsia="仿宋" w:cs="仿宋"/>
          <w:b/>
          <w:color w:val="auto"/>
          <w:sz w:val="36"/>
          <w:szCs w:val="36"/>
          <w:highlight w:val="none"/>
        </w:rPr>
      </w:pPr>
    </w:p>
    <w:p w14:paraId="5ECC531F">
      <w:pPr>
        <w:numPr>
          <w:ilvl w:val="0"/>
          <w:numId w:val="1"/>
        </w:numPr>
        <w:spacing w:line="600" w:lineRule="exact"/>
        <w:jc w:val="center"/>
        <w:outlineLvl w:val="0"/>
        <w:rPr>
          <w:rFonts w:hint="eastAsia" w:ascii="仿宋" w:hAnsi="仿宋" w:eastAsia="仿宋" w:cs="仿宋"/>
          <w:b/>
          <w:color w:val="auto"/>
          <w:sz w:val="36"/>
          <w:szCs w:val="36"/>
          <w:highlight w:val="none"/>
        </w:rPr>
        <w:sectPr>
          <w:footerReference r:id="rId7" w:type="first"/>
          <w:footerReference r:id="rId6" w:type="default"/>
          <w:pgSz w:w="11906" w:h="16838"/>
          <w:pgMar w:top="1134" w:right="1247" w:bottom="1134" w:left="1247" w:header="113" w:footer="113" w:gutter="0"/>
          <w:pgNumType w:fmt="decimal"/>
          <w:cols w:space="720" w:num="1"/>
          <w:titlePg/>
          <w:docGrid w:linePitch="312" w:charSpace="0"/>
        </w:sectPr>
      </w:pPr>
    </w:p>
    <w:p w14:paraId="1D66FCC8">
      <w:pPr>
        <w:numPr>
          <w:ilvl w:val="0"/>
          <w:numId w:val="1"/>
        </w:numPr>
        <w:kinsoku/>
        <w:overflowPunct/>
        <w:topLinePunct w:val="0"/>
        <w:bidi w:val="0"/>
        <w:spacing w:line="52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竞争性磋商公告</w:t>
      </w:r>
    </w:p>
    <w:p w14:paraId="073382B9">
      <w:pPr>
        <w:kinsoku/>
        <w:overflowPunct/>
        <w:topLinePunct w:val="0"/>
        <w:bidi w:val="0"/>
        <w:spacing w:line="520" w:lineRule="exact"/>
        <w:jc w:val="center"/>
        <w:rPr>
          <w:rFonts w:hint="eastAsia"/>
        </w:rPr>
      </w:pPr>
      <w:r>
        <w:rPr>
          <w:rFonts w:hint="eastAsia" w:ascii="仿宋" w:hAnsi="仿宋" w:eastAsia="仿宋" w:cs="仿宋"/>
          <w:b/>
          <w:bCs/>
          <w:color w:val="auto"/>
          <w:kern w:val="0"/>
          <w:sz w:val="24"/>
          <w:highlight w:val="none"/>
        </w:rPr>
        <w:t>（本项目为电子</w:t>
      </w:r>
      <w:r>
        <w:rPr>
          <w:rFonts w:hint="eastAsia" w:ascii="仿宋" w:hAnsi="仿宋" w:eastAsia="仿宋" w:cs="仿宋"/>
          <w:b/>
          <w:bCs/>
          <w:color w:val="auto"/>
          <w:kern w:val="0"/>
          <w:sz w:val="24"/>
          <w:highlight w:val="none"/>
          <w:lang w:eastAsia="zh-CN"/>
        </w:rPr>
        <w:t>磋商</w:t>
      </w:r>
      <w:r>
        <w:rPr>
          <w:rFonts w:hint="eastAsia" w:ascii="仿宋" w:hAnsi="仿宋" w:eastAsia="仿宋" w:cs="仿宋"/>
          <w:b/>
          <w:bCs/>
          <w:color w:val="auto"/>
          <w:kern w:val="0"/>
          <w:sz w:val="24"/>
          <w:highlight w:val="none"/>
        </w:rPr>
        <w:t>项目）</w:t>
      </w:r>
    </w:p>
    <w:p w14:paraId="28F0B598">
      <w:pPr>
        <w:widowControl/>
        <w:kinsoku/>
        <w:overflowPunct/>
        <w:topLinePunct w:val="0"/>
        <w:bidi w:val="0"/>
        <w:spacing w:line="520" w:lineRule="exact"/>
        <w:ind w:left="60" w:right="60" w:firstLine="480" w:firstLineChars="200"/>
        <w:jc w:val="left"/>
        <w:rPr>
          <w:rFonts w:ascii="仿宋" w:hAnsi="仿宋" w:eastAsia="仿宋" w:cs="宋体"/>
          <w:color w:val="000000"/>
          <w:sz w:val="24"/>
        </w:rPr>
      </w:pPr>
      <w:r>
        <w:rPr>
          <w:rFonts w:hint="eastAsia" w:ascii="仿宋" w:hAnsi="仿宋" w:eastAsia="仿宋" w:cs="宋体"/>
          <w:color w:val="000000"/>
          <w:kern w:val="0"/>
          <w:sz w:val="24"/>
        </w:rPr>
        <w:t>根据《中华人民共和国政府采购法》、《政府采购竞争性磋商采购方式</w:t>
      </w:r>
      <w:r>
        <w:rPr>
          <w:rFonts w:hint="eastAsia" w:ascii="仿宋" w:hAnsi="仿宋" w:eastAsia="仿宋" w:cs="宋体"/>
          <w:color w:val="000000"/>
          <w:kern w:val="0"/>
          <w:sz w:val="24"/>
          <w:lang w:eastAsia="zh-CN"/>
        </w:rPr>
        <w:t>管理</w:t>
      </w:r>
      <w:r>
        <w:rPr>
          <w:rFonts w:hint="eastAsia" w:ascii="仿宋" w:hAnsi="仿宋" w:eastAsia="仿宋" w:cs="宋体"/>
          <w:color w:val="000000"/>
          <w:kern w:val="0"/>
          <w:sz w:val="24"/>
        </w:rPr>
        <w:t>暂行办法》及相关法律、法规等规定，经</w:t>
      </w:r>
      <w:r>
        <w:rPr>
          <w:rFonts w:hint="eastAsia" w:ascii="仿宋" w:hAnsi="仿宋" w:eastAsia="仿宋" w:cs="宋体"/>
          <w:color w:val="000000"/>
          <w:kern w:val="0"/>
          <w:sz w:val="24"/>
          <w:lang w:eastAsia="zh-CN"/>
        </w:rPr>
        <w:t>湖州市财政局</w:t>
      </w:r>
      <w:r>
        <w:rPr>
          <w:rFonts w:hint="eastAsia" w:ascii="仿宋" w:hAnsi="仿宋" w:eastAsia="仿宋" w:cs="宋体"/>
          <w:color w:val="000000"/>
          <w:kern w:val="0"/>
          <w:sz w:val="24"/>
        </w:rPr>
        <w:t>政府采购监管处</w:t>
      </w:r>
      <w:r>
        <w:rPr>
          <w:rFonts w:hint="eastAsia" w:ascii="仿宋" w:hAnsi="仿宋" w:eastAsia="仿宋" w:cs="宋体"/>
          <w:b/>
          <w:kern w:val="0"/>
          <w:sz w:val="24"/>
        </w:rPr>
        <w:t>（</w:t>
      </w:r>
      <w:r>
        <w:rPr>
          <w:rFonts w:hint="eastAsia" w:ascii="仿宋" w:hAnsi="仿宋" w:eastAsia="仿宋" w:cs="宋体"/>
          <w:b/>
          <w:kern w:val="0"/>
          <w:sz w:val="24"/>
          <w:highlight w:val="none"/>
        </w:rPr>
        <w:t>财政审批编号：</w:t>
      </w:r>
      <w:r>
        <w:rPr>
          <w:rFonts w:hint="eastAsia" w:ascii="仿宋" w:hAnsi="仿宋" w:eastAsia="仿宋" w:cs="宋体"/>
          <w:b/>
          <w:color w:val="auto"/>
          <w:kern w:val="0"/>
          <w:sz w:val="24"/>
          <w:highlight w:val="yellow"/>
          <w:lang w:eastAsia="zh-CN"/>
        </w:rPr>
        <w:t>湖财采确临[2025]00000号</w:t>
      </w:r>
      <w:r>
        <w:rPr>
          <w:rFonts w:hint="eastAsia" w:ascii="仿宋" w:hAnsi="仿宋" w:eastAsia="仿宋" w:cs="宋体"/>
          <w:b/>
          <w:kern w:val="0"/>
          <w:sz w:val="24"/>
        </w:rPr>
        <w:t>）</w:t>
      </w:r>
      <w:r>
        <w:rPr>
          <w:rFonts w:hint="eastAsia" w:ascii="仿宋" w:hAnsi="仿宋" w:eastAsia="仿宋" w:cs="宋体"/>
          <w:kern w:val="0"/>
          <w:sz w:val="24"/>
        </w:rPr>
        <w:t>批准，</w:t>
      </w:r>
      <w:r>
        <w:rPr>
          <w:rFonts w:hint="eastAsia" w:ascii="仿宋" w:hAnsi="仿宋" w:eastAsia="仿宋" w:cs="宋体"/>
          <w:b/>
          <w:kern w:val="0"/>
          <w:sz w:val="24"/>
          <w:u w:val="single"/>
        </w:rPr>
        <w:t>湖州市仁皇工程咨询有限公司</w:t>
      </w:r>
      <w:r>
        <w:rPr>
          <w:rFonts w:hint="eastAsia" w:ascii="仿宋" w:hAnsi="仿宋" w:eastAsia="仿宋" w:cs="宋体"/>
          <w:kern w:val="0"/>
          <w:sz w:val="24"/>
        </w:rPr>
        <w:t>受</w:t>
      </w:r>
      <w:r>
        <w:rPr>
          <w:rFonts w:hint="eastAsia" w:ascii="仿宋" w:hAnsi="仿宋" w:eastAsia="仿宋" w:cs="宋体"/>
          <w:b/>
          <w:sz w:val="24"/>
          <w:u w:val="single"/>
          <w:lang w:eastAsia="zh-CN"/>
        </w:rPr>
        <w:t>湖州市市容环境卫生管理中心</w:t>
      </w:r>
      <w:r>
        <w:rPr>
          <w:rFonts w:hint="eastAsia" w:ascii="仿宋" w:hAnsi="仿宋" w:eastAsia="仿宋" w:cs="宋体"/>
          <w:color w:val="000000"/>
          <w:kern w:val="0"/>
          <w:sz w:val="24"/>
        </w:rPr>
        <w:t>的委托，</w:t>
      </w:r>
      <w:r>
        <w:rPr>
          <w:rFonts w:hint="eastAsia" w:ascii="仿宋" w:hAnsi="仿宋" w:eastAsia="仿宋" w:cs="宋体"/>
          <w:kern w:val="0"/>
          <w:sz w:val="24"/>
        </w:rPr>
        <w:t>就</w:t>
      </w:r>
      <w:r>
        <w:rPr>
          <w:rFonts w:hint="eastAsia" w:ascii="仿宋" w:hAnsi="仿宋" w:eastAsia="仿宋" w:cs="仿宋"/>
          <w:b/>
          <w:bCs/>
          <w:color w:val="auto"/>
          <w:kern w:val="0"/>
          <w:sz w:val="24"/>
          <w:highlight w:val="none"/>
          <w:u w:val="single"/>
          <w:lang w:eastAsia="zh-CN"/>
        </w:rPr>
        <w:t>垃圾清运设施辅助管理服务项目</w:t>
      </w:r>
      <w:r>
        <w:rPr>
          <w:rFonts w:hint="eastAsia" w:ascii="仿宋" w:hAnsi="仿宋" w:eastAsia="仿宋" w:cs="宋体"/>
          <w:kern w:val="0"/>
          <w:sz w:val="24"/>
        </w:rPr>
        <w:t>进行</w:t>
      </w:r>
      <w:r>
        <w:rPr>
          <w:rFonts w:hint="eastAsia" w:ascii="仿宋" w:hAnsi="仿宋" w:eastAsia="仿宋" w:cs="宋体"/>
          <w:color w:val="000000"/>
          <w:kern w:val="0"/>
          <w:sz w:val="24"/>
        </w:rPr>
        <w:t>竞争性磋商，欢迎国内合格的供应商前来参加磋商。</w:t>
      </w:r>
    </w:p>
    <w:p w14:paraId="6E7E7B32">
      <w:pPr>
        <w:widowControl/>
        <w:tabs>
          <w:tab w:val="left" w:pos="8689"/>
        </w:tabs>
        <w:kinsoku/>
        <w:overflowPunct/>
        <w:topLinePunct w:val="0"/>
        <w:bidi w:val="0"/>
        <w:spacing w:line="520" w:lineRule="exact"/>
        <w:ind w:right="60" w:firstLine="482" w:firstLineChars="200"/>
        <w:outlineLvl w:val="1"/>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一、磋商项目编号</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仁皇招字2025249号</w:t>
      </w:r>
      <w:r>
        <w:rPr>
          <w:rFonts w:hint="eastAsia" w:ascii="仿宋" w:hAnsi="仿宋" w:eastAsia="仿宋" w:cs="仿宋"/>
          <w:color w:val="auto"/>
          <w:kern w:val="0"/>
          <w:sz w:val="24"/>
          <w:highlight w:val="none"/>
        </w:rPr>
        <w:tab/>
      </w:r>
    </w:p>
    <w:p w14:paraId="373F8437">
      <w:pPr>
        <w:kinsoku/>
        <w:overflowPunct/>
        <w:topLinePunct w:val="0"/>
        <w:bidi w:val="0"/>
        <w:snapToGrid w:val="0"/>
        <w:spacing w:line="520" w:lineRule="exact"/>
        <w:ind w:firstLine="482" w:firstLineChars="200"/>
        <w:outlineLvl w:val="1"/>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二、磋商项目概况（内容、用途、数量、简要技术要求等）</w:t>
      </w:r>
      <w:r>
        <w:rPr>
          <w:rFonts w:hint="eastAsia" w:ascii="仿宋" w:hAnsi="仿宋" w:eastAsia="仿宋" w:cs="仿宋"/>
          <w:color w:val="auto"/>
          <w:kern w:val="0"/>
          <w:sz w:val="24"/>
          <w:highlight w:val="none"/>
        </w:rPr>
        <w:t>：</w:t>
      </w:r>
      <w:bookmarkStart w:id="0" w:name="B09_招标内容"/>
    </w:p>
    <w:bookmarkEnd w:id="0"/>
    <w:tbl>
      <w:tblPr>
        <w:tblStyle w:val="26"/>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25"/>
        <w:gridCol w:w="2791"/>
        <w:gridCol w:w="1384"/>
        <w:gridCol w:w="2063"/>
      </w:tblGrid>
      <w:tr w14:paraId="60B2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14:paraId="4CCCC41A">
            <w:pPr>
              <w:pStyle w:val="15"/>
              <w:pageBreakBefore w:val="0"/>
              <w:kinsoku/>
              <w:overflowPunct/>
              <w:topLinePunct w:val="0"/>
              <w:bidi w:val="0"/>
              <w:adjustRightInd/>
              <w:spacing w:line="5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2925" w:type="dxa"/>
            <w:vAlign w:val="center"/>
          </w:tcPr>
          <w:p w14:paraId="68E0AE1B">
            <w:pPr>
              <w:pStyle w:val="15"/>
              <w:pageBreakBefore w:val="0"/>
              <w:kinsoku/>
              <w:overflowPunct/>
              <w:topLinePunct w:val="0"/>
              <w:bidi w:val="0"/>
              <w:adjustRightInd/>
              <w:spacing w:line="520" w:lineRule="exact"/>
              <w:jc w:val="center"/>
              <w:textAlignment w:val="auto"/>
              <w:rPr>
                <w:rFonts w:ascii="仿宋" w:hAnsi="仿宋" w:eastAsia="仿宋" w:cs="仿宋"/>
                <w:sz w:val="24"/>
                <w:szCs w:val="24"/>
              </w:rPr>
            </w:pPr>
            <w:r>
              <w:rPr>
                <w:rFonts w:hint="eastAsia" w:ascii="仿宋" w:hAnsi="仿宋" w:eastAsia="仿宋" w:cs="仿宋"/>
                <w:sz w:val="24"/>
                <w:szCs w:val="24"/>
              </w:rPr>
              <w:t>采购内容</w:t>
            </w:r>
          </w:p>
        </w:tc>
        <w:tc>
          <w:tcPr>
            <w:tcW w:w="2791" w:type="dxa"/>
            <w:vAlign w:val="center"/>
          </w:tcPr>
          <w:p w14:paraId="2C2E512C">
            <w:pPr>
              <w:pStyle w:val="15"/>
              <w:pageBreakBefore w:val="0"/>
              <w:kinsoku/>
              <w:overflowPunct/>
              <w:topLinePunct w:val="0"/>
              <w:bidi w:val="0"/>
              <w:adjustRightInd/>
              <w:spacing w:line="520" w:lineRule="exact"/>
              <w:jc w:val="center"/>
              <w:textAlignment w:val="auto"/>
              <w:rPr>
                <w:rFonts w:ascii="仿宋" w:hAnsi="仿宋" w:eastAsia="仿宋" w:cs="仿宋"/>
                <w:sz w:val="24"/>
                <w:szCs w:val="24"/>
              </w:rPr>
            </w:pPr>
            <w:r>
              <w:rPr>
                <w:rFonts w:hint="eastAsia" w:ascii="仿宋" w:hAnsi="仿宋" w:eastAsia="仿宋" w:cs="仿宋"/>
                <w:sz w:val="24"/>
                <w:szCs w:val="24"/>
              </w:rPr>
              <w:t>服务年限</w:t>
            </w:r>
          </w:p>
        </w:tc>
        <w:tc>
          <w:tcPr>
            <w:tcW w:w="1384" w:type="dxa"/>
            <w:vAlign w:val="center"/>
          </w:tcPr>
          <w:p w14:paraId="2D10A4FE">
            <w:pPr>
              <w:pStyle w:val="15"/>
              <w:pageBreakBefore w:val="0"/>
              <w:kinsoku/>
              <w:overflowPunct/>
              <w:topLinePunct w:val="0"/>
              <w:bidi w:val="0"/>
              <w:adjustRightInd/>
              <w:spacing w:line="520" w:lineRule="exact"/>
              <w:jc w:val="center"/>
              <w:textAlignment w:val="auto"/>
              <w:rPr>
                <w:rFonts w:ascii="仿宋" w:hAnsi="仿宋" w:eastAsia="仿宋" w:cs="仿宋"/>
                <w:sz w:val="24"/>
                <w:szCs w:val="24"/>
              </w:rPr>
            </w:pPr>
            <w:r>
              <w:rPr>
                <w:rFonts w:hint="eastAsia" w:ascii="仿宋" w:hAnsi="仿宋" w:eastAsia="仿宋" w:cs="仿宋"/>
                <w:sz w:val="24"/>
                <w:szCs w:val="24"/>
              </w:rPr>
              <w:t>服务要求</w:t>
            </w:r>
          </w:p>
        </w:tc>
        <w:tc>
          <w:tcPr>
            <w:tcW w:w="2063" w:type="dxa"/>
            <w:vAlign w:val="center"/>
          </w:tcPr>
          <w:p w14:paraId="2FC0EB8C">
            <w:pPr>
              <w:pStyle w:val="15"/>
              <w:pageBreakBefore w:val="0"/>
              <w:kinsoku/>
              <w:overflowPunct/>
              <w:topLinePunct w:val="0"/>
              <w:bidi w:val="0"/>
              <w:adjustRightInd/>
              <w:spacing w:line="520" w:lineRule="exact"/>
              <w:jc w:val="center"/>
              <w:textAlignment w:val="auto"/>
              <w:rPr>
                <w:rFonts w:ascii="仿宋" w:hAnsi="仿宋" w:eastAsia="仿宋" w:cs="仿宋"/>
                <w:sz w:val="24"/>
                <w:szCs w:val="24"/>
              </w:rPr>
            </w:pPr>
            <w:r>
              <w:rPr>
                <w:rFonts w:hint="eastAsia" w:ascii="仿宋" w:hAnsi="仿宋" w:eastAsia="仿宋" w:cs="仿宋"/>
                <w:sz w:val="24"/>
                <w:szCs w:val="24"/>
              </w:rPr>
              <w:t>预算金额（万元）</w:t>
            </w:r>
          </w:p>
        </w:tc>
      </w:tr>
      <w:tr w14:paraId="4D35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0" w:type="dxa"/>
            <w:vAlign w:val="center"/>
          </w:tcPr>
          <w:p w14:paraId="7AB90CA8">
            <w:pPr>
              <w:pStyle w:val="15"/>
              <w:pageBreakBefore w:val="0"/>
              <w:kinsoku/>
              <w:overflowPunct/>
              <w:topLinePunct w:val="0"/>
              <w:bidi w:val="0"/>
              <w:adjustRightInd/>
              <w:spacing w:line="52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925" w:type="dxa"/>
            <w:vAlign w:val="center"/>
          </w:tcPr>
          <w:p w14:paraId="1210244B">
            <w:pPr>
              <w:pStyle w:val="15"/>
              <w:pageBreakBefore w:val="0"/>
              <w:kinsoku/>
              <w:overflowPunct/>
              <w:topLinePunct w:val="0"/>
              <w:bidi w:val="0"/>
              <w:adjustRightInd/>
              <w:spacing w:line="5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垃圾清运设施辅助管理服务项目</w:t>
            </w:r>
          </w:p>
        </w:tc>
        <w:tc>
          <w:tcPr>
            <w:tcW w:w="2791" w:type="dxa"/>
            <w:vAlign w:val="center"/>
          </w:tcPr>
          <w:p w14:paraId="0E7C7036">
            <w:pPr>
              <w:pStyle w:val="15"/>
              <w:pageBreakBefore w:val="0"/>
              <w:kinsoku/>
              <w:overflowPunct/>
              <w:topLinePunct w:val="0"/>
              <w:bidi w:val="0"/>
              <w:adjustRightInd/>
              <w:spacing w:line="5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highlight w:val="none"/>
              </w:rPr>
              <w:t>自合同签订并乙方收到甲方发出正式进场通知之日起</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年</w:t>
            </w:r>
          </w:p>
        </w:tc>
        <w:tc>
          <w:tcPr>
            <w:tcW w:w="1384" w:type="dxa"/>
            <w:vAlign w:val="center"/>
          </w:tcPr>
          <w:p w14:paraId="0B4D61CA">
            <w:pPr>
              <w:pStyle w:val="15"/>
              <w:pageBreakBefore w:val="0"/>
              <w:kinsoku/>
              <w:overflowPunct/>
              <w:topLinePunct w:val="0"/>
              <w:bidi w:val="0"/>
              <w:adjustRightInd/>
              <w:spacing w:line="520" w:lineRule="exact"/>
              <w:jc w:val="center"/>
              <w:textAlignment w:val="auto"/>
              <w:rPr>
                <w:rFonts w:ascii="仿宋" w:hAnsi="仿宋" w:eastAsia="仿宋" w:cs="仿宋"/>
                <w:kern w:val="0"/>
                <w:sz w:val="24"/>
                <w:highlight w:val="none"/>
              </w:rPr>
            </w:pPr>
            <w:r>
              <w:rPr>
                <w:rFonts w:hint="eastAsia" w:ascii="仿宋" w:hAnsi="仿宋" w:eastAsia="仿宋" w:cs="仿宋"/>
                <w:kern w:val="0"/>
                <w:sz w:val="24"/>
                <w:highlight w:val="none"/>
              </w:rPr>
              <w:t>详见</w:t>
            </w:r>
            <w:r>
              <w:rPr>
                <w:rFonts w:hint="eastAsia" w:ascii="仿宋" w:hAnsi="仿宋" w:eastAsia="仿宋" w:cs="仿宋"/>
                <w:kern w:val="0"/>
                <w:sz w:val="24"/>
                <w:highlight w:val="none"/>
                <w:lang w:val="en-US" w:eastAsia="zh-CN"/>
              </w:rPr>
              <w:t>采购</w:t>
            </w:r>
            <w:r>
              <w:rPr>
                <w:rFonts w:hint="eastAsia" w:ascii="仿宋" w:hAnsi="仿宋" w:eastAsia="仿宋" w:cs="仿宋"/>
                <w:kern w:val="0"/>
                <w:sz w:val="24"/>
                <w:highlight w:val="none"/>
              </w:rPr>
              <w:t>文件</w:t>
            </w:r>
          </w:p>
        </w:tc>
        <w:tc>
          <w:tcPr>
            <w:tcW w:w="2063" w:type="dxa"/>
            <w:vAlign w:val="center"/>
          </w:tcPr>
          <w:p w14:paraId="10DE543A">
            <w:pPr>
              <w:pStyle w:val="15"/>
              <w:pageBreakBefore w:val="0"/>
              <w:kinsoku/>
              <w:overflowPunct/>
              <w:topLinePunct w:val="0"/>
              <w:bidi w:val="0"/>
              <w:adjustRightInd/>
              <w:spacing w:line="520" w:lineRule="exact"/>
              <w:jc w:val="center"/>
              <w:textAlignment w:val="auto"/>
              <w:rPr>
                <w:rFonts w:ascii="仿宋" w:hAnsi="仿宋" w:eastAsia="仿宋" w:cs="仿宋"/>
                <w:sz w:val="24"/>
                <w:szCs w:val="24"/>
                <w:highlight w:val="none"/>
              </w:rPr>
            </w:pPr>
            <w:r>
              <w:rPr>
                <w:rFonts w:hint="eastAsia" w:ascii="仿宋" w:hAnsi="仿宋" w:eastAsia="仿宋" w:cs="仿宋"/>
                <w:kern w:val="0"/>
                <w:sz w:val="24"/>
                <w:highlight w:val="none"/>
              </w:rPr>
              <w:t>人民币</w:t>
            </w:r>
            <w:r>
              <w:rPr>
                <w:rFonts w:hint="eastAsia" w:ascii="仿宋" w:hAnsi="仿宋" w:eastAsia="仿宋" w:cs="仿宋"/>
                <w:kern w:val="0"/>
                <w:sz w:val="24"/>
                <w:highlight w:val="none"/>
                <w:lang w:val="en-US" w:eastAsia="zh-CN"/>
              </w:rPr>
              <w:t>90万元</w:t>
            </w:r>
          </w:p>
        </w:tc>
      </w:tr>
    </w:tbl>
    <w:p w14:paraId="4847047A">
      <w:pPr>
        <w:widowControl/>
        <w:kinsoku/>
        <w:overflowPunct/>
        <w:topLinePunct w:val="0"/>
        <w:bidi w:val="0"/>
        <w:spacing w:line="520" w:lineRule="exact"/>
        <w:ind w:right="60" w:firstLine="482" w:firstLineChars="200"/>
        <w:outlineLvl w:val="1"/>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三、供应商资格要求</w:t>
      </w:r>
      <w:r>
        <w:rPr>
          <w:rFonts w:hint="eastAsia" w:ascii="仿宋" w:hAnsi="仿宋" w:eastAsia="仿宋" w:cs="仿宋"/>
          <w:color w:val="auto"/>
          <w:kern w:val="0"/>
          <w:sz w:val="24"/>
          <w:highlight w:val="none"/>
        </w:rPr>
        <w:t>：</w:t>
      </w:r>
    </w:p>
    <w:p w14:paraId="2BC92A7A">
      <w:pPr>
        <w:kinsoku/>
        <w:overflowPunct/>
        <w:topLinePunct w:val="0"/>
        <w:bidi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1、符合《中华人民共和国政府采购法》第二十二条规定和浙财采监【2013】24号《关于规范政府采购</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设定及资格审查的通知》第六条规定,且未被“信用中国”（www.creditchina.gov.cn）、“中国政府采购网”（www.ccgp.gov.cn）列入失信被执行人、重大税收违法案件当事人名单、政府采购严重违法失信行为记录名单。</w:t>
      </w:r>
    </w:p>
    <w:p w14:paraId="40178BA3">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、本项目专门面向中小企业采购, 供应商需提供符合《政府采购促进中小企业发展管理办法》（财库【2020】46号）和本采购文件规定的《中小企业声明函》（模板详见附件）。(监狱企业参加投标【提供《监狱企业声明函》及其相关的证明材料】、残疾人福利性单位参加投标【提供《残疾人福利性单位声明函》及其相关的证明材料】，视为小型、微型企业，享受小微企业政策扶持)。</w:t>
      </w:r>
    </w:p>
    <w:p w14:paraId="2D6FB087">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本项目不接受联合体</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w:t>
      </w:r>
    </w:p>
    <w:p w14:paraId="3E89D9D1">
      <w:pPr>
        <w:kinsoku/>
        <w:overflowPunct/>
        <w:topLinePunct w:val="0"/>
        <w:bidi w:val="0"/>
        <w:spacing w:line="520" w:lineRule="exact"/>
        <w:ind w:firstLine="482" w:firstLineChars="200"/>
        <w:outlineLvl w:val="1"/>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四、报名及获取磋商文件时间:</w:t>
      </w:r>
    </w:p>
    <w:p w14:paraId="7FD3C760">
      <w:pPr>
        <w:kinsoku/>
        <w:overflowPunct/>
        <w:topLinePunct w:val="0"/>
        <w:bidi w:val="0"/>
        <w:snapToGrid w:val="0"/>
        <w:spacing w:line="520" w:lineRule="exact"/>
        <w:ind w:firstLine="480" w:firstLineChars="200"/>
        <w:jc w:val="left"/>
        <w:rPr>
          <w:rFonts w:ascii="仿宋" w:hAnsi="仿宋" w:eastAsia="仿宋" w:cs="仿宋"/>
          <w:kern w:val="0"/>
          <w:sz w:val="24"/>
        </w:rPr>
      </w:pPr>
      <w:r>
        <w:rPr>
          <w:rFonts w:hint="eastAsia" w:ascii="仿宋" w:hAnsi="仿宋" w:eastAsia="仿宋" w:cs="仿宋"/>
          <w:color w:val="auto"/>
          <w:kern w:val="0"/>
          <w:sz w:val="24"/>
          <w:highlight w:val="none"/>
        </w:rPr>
        <w:t>1、报名及获取磋商文件时间：</w:t>
      </w:r>
      <w:r>
        <w:rPr>
          <w:rFonts w:hint="eastAsia" w:ascii="仿宋" w:hAnsi="仿宋" w:eastAsia="仿宋" w:cs="仿宋"/>
          <w:kern w:val="0"/>
          <w:sz w:val="24"/>
        </w:rPr>
        <w:t>磋商公告发布时间至磋商截止时间(潜在供应商报名及获取磋商文件前应当在政采云电子交易平台上注册账号并登录，截止时间后不再接受潜在供应商报名及获取磋商文件)。</w:t>
      </w:r>
    </w:p>
    <w:p w14:paraId="62B75E27">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2、本次磋商文件实行网上获取，不接受供应商现场报名，供应商须登录浙江政府采购网（</w:t>
      </w:r>
      <w:r>
        <w:rPr>
          <w:rFonts w:hint="eastAsia" w:ascii="仿宋" w:hAnsi="仿宋" w:eastAsia="仿宋" w:cs="仿宋"/>
          <w:color w:val="auto"/>
          <w:kern w:val="0"/>
          <w:sz w:val="24"/>
          <w:highlight w:val="none"/>
          <w:lang w:eastAsia="zh-CN"/>
        </w:rPr>
        <w:t>https://zfcg.czt.zj.gov.cn/</w:t>
      </w:r>
      <w:r>
        <w:rPr>
          <w:rFonts w:hint="eastAsia" w:ascii="仿宋" w:hAnsi="仿宋" w:eastAsia="仿宋" w:cs="仿宋"/>
          <w:color w:val="auto"/>
          <w:kern w:val="0"/>
          <w:sz w:val="24"/>
          <w:highlight w:val="none"/>
        </w:rPr>
        <w:t>）进入政采云系统“项目采购”模块“获取采购文件”菜单，进行网上获取磋商文件（“政采云”注册账号、密码登录系统后获取磋商文件）。</w:t>
      </w:r>
    </w:p>
    <w:p w14:paraId="302C5CF2">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3、免费注册网址：浙江政府采购网（供应商注册页面）：https://www.zcygov.cn/luban/ruzhu/sjzc“政采云”，咨询电话：95763。已经注册成功的供应商无需重复注册。</w:t>
      </w:r>
    </w:p>
    <w:p w14:paraId="77A960AC">
      <w:pPr>
        <w:kinsoku/>
        <w:overflowPunct/>
        <w:topLinePunct w:val="0"/>
        <w:bidi w:val="0"/>
        <w:snapToGrid w:val="0"/>
        <w:spacing w:line="520" w:lineRule="exact"/>
        <w:ind w:firstLine="472" w:firstLineChars="196"/>
        <w:outlineLvl w:val="1"/>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五、响应文件的递交及相关事宜：</w:t>
      </w:r>
    </w:p>
    <w:p w14:paraId="47CD11E7">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1、响应文件递交的截止时间（</w:t>
      </w:r>
      <w:r>
        <w:rPr>
          <w:rFonts w:hint="eastAsia" w:ascii="仿宋" w:hAnsi="仿宋" w:eastAsia="仿宋" w:cs="仿宋"/>
          <w:color w:val="auto"/>
          <w:kern w:val="0"/>
          <w:sz w:val="24"/>
          <w:highlight w:val="none"/>
          <w:lang w:eastAsia="zh-CN"/>
        </w:rPr>
        <w:t>磋商</w:t>
      </w:r>
      <w:r>
        <w:rPr>
          <w:rFonts w:hint="eastAsia" w:ascii="仿宋" w:hAnsi="仿宋" w:eastAsia="仿宋" w:cs="仿宋"/>
          <w:color w:val="auto"/>
          <w:kern w:val="0"/>
          <w:sz w:val="24"/>
          <w:highlight w:val="none"/>
        </w:rPr>
        <w:t>截止时间，下同）：</w:t>
      </w: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r>
        <w:rPr>
          <w:rFonts w:hint="eastAsia" w:ascii="仿宋" w:hAnsi="仿宋" w:eastAsia="仿宋" w:cs="仿宋"/>
          <w:color w:val="auto"/>
          <w:kern w:val="0"/>
          <w:sz w:val="24"/>
          <w:highlight w:val="none"/>
        </w:rPr>
        <w:t>（北京时间）。</w:t>
      </w:r>
    </w:p>
    <w:p w14:paraId="7D24371C">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2、响应文件的递交方式：</w:t>
      </w:r>
    </w:p>
    <w:p w14:paraId="5FB5A806">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2.1电子响应文件：按政采云平台项目采购-电子交易操作指南及本磋商文件要求制作、加密并递交。供应商应于</w:t>
      </w: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r>
        <w:rPr>
          <w:rFonts w:hint="eastAsia" w:ascii="仿宋" w:hAnsi="仿宋" w:eastAsia="仿宋" w:cs="仿宋"/>
          <w:color w:val="auto"/>
          <w:kern w:val="0"/>
          <w:sz w:val="24"/>
          <w:highlight w:val="none"/>
        </w:rPr>
        <w:t>（北京时间）前将制作、加密的电子版响应文件上传到政采云系统中（未准时上传的视为放弃磋商资格，作</w:t>
      </w:r>
      <w:r>
        <w:rPr>
          <w:rFonts w:hint="eastAsia" w:ascii="仿宋" w:hAnsi="仿宋" w:eastAsia="仿宋" w:cs="仿宋"/>
          <w:color w:val="auto"/>
          <w:kern w:val="0"/>
          <w:sz w:val="24"/>
          <w:highlight w:val="none"/>
          <w:lang w:eastAsia="zh-CN"/>
        </w:rPr>
        <w:t>未提交响应文件</w:t>
      </w:r>
      <w:r>
        <w:rPr>
          <w:rFonts w:hint="eastAsia" w:ascii="仿宋" w:hAnsi="仿宋" w:eastAsia="仿宋" w:cs="仿宋"/>
          <w:color w:val="auto"/>
          <w:kern w:val="0"/>
          <w:sz w:val="24"/>
          <w:highlight w:val="none"/>
        </w:rPr>
        <w:t>处理）；</w:t>
      </w:r>
    </w:p>
    <w:p w14:paraId="46FFFEF1">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邮寄地址为：湖州市仁皇工程咨询有限公司[</w:t>
      </w:r>
      <w:r>
        <w:rPr>
          <w:rFonts w:hint="eastAsia" w:ascii="仿宋" w:hAnsi="仿宋" w:eastAsia="仿宋" w:cs="仿宋"/>
          <w:color w:val="auto"/>
          <w:sz w:val="24"/>
          <w:highlight w:val="none"/>
          <w:lang w:eastAsia="zh-CN"/>
        </w:rPr>
        <w:t>湖州市吴兴区太湖路51号湖州国际贸易大厦15楼</w:t>
      </w:r>
      <w:r>
        <w:rPr>
          <w:rFonts w:hint="eastAsia" w:ascii="仿宋" w:hAnsi="仿宋" w:eastAsia="仿宋" w:cs="仿宋"/>
          <w:color w:val="auto"/>
          <w:kern w:val="0"/>
          <w:sz w:val="24"/>
          <w:highlight w:val="none"/>
        </w:rPr>
        <w:t>]，联系电话：</w:t>
      </w:r>
      <w:r>
        <w:rPr>
          <w:rFonts w:hint="eastAsia" w:ascii="仿宋" w:hAnsi="仿宋" w:eastAsia="仿宋" w:cs="仿宋"/>
          <w:color w:val="auto"/>
          <w:kern w:val="0"/>
          <w:sz w:val="24"/>
          <w:highlight w:val="none"/>
          <w:lang w:eastAsia="zh-CN"/>
        </w:rPr>
        <w:t>15968175942</w:t>
      </w:r>
      <w:r>
        <w:rPr>
          <w:rFonts w:hint="eastAsia" w:ascii="仿宋" w:hAnsi="仿宋" w:eastAsia="仿宋" w:cs="仿宋"/>
          <w:color w:val="auto"/>
          <w:kern w:val="0"/>
          <w:sz w:val="24"/>
          <w:highlight w:val="none"/>
        </w:rPr>
        <w:t>。邮寄截止时间：供应商应于</w:t>
      </w: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rPr>
        <w:t>17:00</w:t>
      </w:r>
      <w:r>
        <w:rPr>
          <w:rFonts w:hint="eastAsia" w:ascii="仿宋" w:hAnsi="仿宋" w:eastAsia="仿宋" w:cs="仿宋"/>
          <w:color w:val="auto"/>
          <w:kern w:val="0"/>
          <w:sz w:val="24"/>
          <w:highlight w:val="none"/>
        </w:rPr>
        <w:t>时前准时送达，逾期不予受理。截止开标时间前，采购人由二名人员（一名接收人、一名监督人员）统一负责接收并送至专门的监控室，与</w:t>
      </w:r>
      <w:r>
        <w:rPr>
          <w:rFonts w:hint="eastAsia" w:ascii="仿宋" w:hAnsi="仿宋" w:eastAsia="仿宋" w:cs="仿宋"/>
          <w:color w:val="auto"/>
          <w:kern w:val="0"/>
          <w:sz w:val="24"/>
          <w:highlight w:val="none"/>
          <w:lang w:eastAsia="zh-CN"/>
        </w:rPr>
        <w:t>报名</w:t>
      </w:r>
      <w:r>
        <w:rPr>
          <w:rFonts w:hint="eastAsia" w:ascii="仿宋" w:hAnsi="仿宋" w:eastAsia="仿宋" w:cs="仿宋"/>
          <w:color w:val="auto"/>
          <w:kern w:val="0"/>
          <w:sz w:val="24"/>
          <w:highlight w:val="none"/>
        </w:rPr>
        <w:t>资料一并归档。供应商须留足响应文件邮寄时间,确保数据电子备份响应文件（U盘）于规定的时间前送达指定地点，未按时送达的，均按未提供处理。</w:t>
      </w:r>
    </w:p>
    <w:p w14:paraId="6A16B72C">
      <w:pPr>
        <w:kinsoku/>
        <w:overflowPunct/>
        <w:topLinePunct w:val="0"/>
        <w:bidi w:val="0"/>
        <w:snapToGrid w:val="0"/>
        <w:spacing w:line="520" w:lineRule="exact"/>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r>
        <w:rPr>
          <w:rFonts w:hint="eastAsia" w:ascii="仿宋" w:hAnsi="仿宋" w:eastAsia="仿宋" w:cs="仿宋"/>
          <w:b/>
          <w:color w:val="auto"/>
          <w:kern w:val="0"/>
          <w:sz w:val="24"/>
          <w:highlight w:val="none"/>
          <w:u w:val="single"/>
        </w:rPr>
        <w:t>1）供应商应权衡利弊考虑是否提供数据电子备份响应文件（U盘），采购人及采购代理机构不做强制性要求，若因下一条款（第3条）原因须启用数据电子备份响应文件（U盘）时，而供应商未提供的，视为放弃磋商资格，作无效标处理；2）供应商应对提供的数据电子备份响应文件（U盘）进行加密处理，若需要启用数据电子备份响应文件（U盘）时，再由供应商告知采购人及采购代理机构加密信息进行解密；3）若供应商未提供数据电子备份响应文件（U盘），磋商公告及磋商文件中关于数据电子备份响应文件（U盘）的要求及内容不再适用</w:t>
      </w:r>
      <w:r>
        <w:rPr>
          <w:rFonts w:hint="eastAsia" w:ascii="仿宋" w:hAnsi="仿宋" w:eastAsia="仿宋" w:cs="仿宋"/>
          <w:b/>
          <w:color w:val="auto"/>
          <w:kern w:val="0"/>
          <w:sz w:val="24"/>
          <w:highlight w:val="none"/>
        </w:rPr>
        <w:t>。</w:t>
      </w:r>
    </w:p>
    <w:p w14:paraId="06CB5BA7">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3、CA锁解密时间为开标当日磋商截止时间后</w:t>
      </w:r>
      <w:r>
        <w:rPr>
          <w:rFonts w:hint="eastAsia" w:ascii="仿宋" w:hAnsi="仿宋" w:eastAsia="仿宋" w:cs="仿宋"/>
          <w:color w:val="auto"/>
          <w:kern w:val="0"/>
          <w:sz w:val="24"/>
          <w:highlight w:val="none"/>
          <w:lang w:val="en-US" w:eastAsia="zh-CN"/>
        </w:rPr>
        <w:t>30分钟内</w:t>
      </w:r>
      <w:r>
        <w:rPr>
          <w:rFonts w:hint="eastAsia" w:ascii="仿宋" w:hAnsi="仿宋" w:eastAsia="仿宋" w:cs="仿宋"/>
          <w:color w:val="auto"/>
          <w:kern w:val="0"/>
          <w:sz w:val="24"/>
          <w:highlight w:val="none"/>
        </w:rPr>
        <w:t>，各供应商须具备符合要求的CA加密后的电子响应文件、有效的CA锁进行解密，磋商截止时间止未完成上传的电子响应文件作未提交电子响应文件处理；未按磋商文件要求密封、包装的数据电子备份响应文件（U盘）将拒绝接收；整个磋商过程中若因供应商问题造成电子响应文件无法正常解密的，均认定为未提交电子响应文件；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6A4BB661">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4、供应商须在线获取CA数字证书（</w:t>
      </w:r>
      <w:r>
        <w:rPr>
          <w:rFonts w:hint="eastAsia" w:ascii="仿宋" w:hAnsi="仿宋" w:eastAsia="仿宋" w:cs="仿宋"/>
          <w:b/>
          <w:color w:val="auto"/>
          <w:kern w:val="0"/>
          <w:sz w:val="24"/>
          <w:highlight w:val="none"/>
        </w:rPr>
        <w:t>完成CA数字证书办理预计一周左右，建议各供应商自行把握时间</w:t>
      </w:r>
      <w:r>
        <w:rPr>
          <w:rFonts w:hint="eastAsia" w:ascii="仿宋" w:hAnsi="仿宋" w:eastAsia="仿宋" w:cs="仿宋"/>
          <w:color w:val="auto"/>
          <w:kern w:val="0"/>
          <w:sz w:val="24"/>
          <w:highlight w:val="none"/>
        </w:rPr>
        <w:t>，办理流程详见http://www.zjzfcg.gov.cn/bidClientTemplate/2019-05-27/12945.html），并登陆“浙江政府采购网”（</w:t>
      </w:r>
      <w:r>
        <w:rPr>
          <w:rFonts w:hint="eastAsia" w:ascii="仿宋" w:hAnsi="仿宋" w:eastAsia="仿宋" w:cs="仿宋"/>
          <w:color w:val="auto"/>
          <w:kern w:val="0"/>
          <w:sz w:val="24"/>
          <w:highlight w:val="none"/>
          <w:lang w:eastAsia="zh-CN"/>
        </w:rPr>
        <w:t>https://zfcg.czt.zj.gov.cn/</w:t>
      </w:r>
      <w:r>
        <w:rPr>
          <w:rFonts w:hint="eastAsia" w:ascii="仿宋" w:hAnsi="仿宋" w:eastAsia="仿宋" w:cs="仿宋"/>
          <w:color w:val="auto"/>
          <w:kern w:val="0"/>
          <w:sz w:val="24"/>
          <w:highlight w:val="none"/>
        </w:rPr>
        <w:t>），进入“下载专区”下载“电子交易客户端”，制作响应文件。</w:t>
      </w:r>
    </w:p>
    <w:p w14:paraId="0DFE76F8">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5、供应商须将制作、加密后的电子版响应文件于磋商截止时间前上传到政采云系统中，超过磋商截止时间上传的，均按无效标处理。</w:t>
      </w:r>
    </w:p>
    <w:p w14:paraId="2F17C5BB">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供应商通过政采云平台电子投标工具制作响应文件，电子投标工具请供应商自行前往浙江省政府采购网下载并安装，（下载网址：http://www.zjzfcg.gov.cn/bidClientTemplate/2019-09-24/12975.html），供应商电子交易操作指南详见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"https://help.zcygov.cn/web/site_2/2018/12-28/2573.html" </w:instrText>
      </w:r>
      <w:r>
        <w:rPr>
          <w:rFonts w:hint="eastAsia" w:ascii="仿宋" w:hAnsi="仿宋" w:eastAsia="仿宋" w:cs="仿宋"/>
          <w:color w:val="auto"/>
          <w:highlight w:val="none"/>
        </w:rPr>
        <w:fldChar w:fldCharType="separate"/>
      </w:r>
      <w:r>
        <w:rPr>
          <w:rStyle w:val="30"/>
          <w:rFonts w:hint="eastAsia" w:ascii="仿宋" w:hAnsi="仿宋" w:eastAsia="仿宋" w:cs="仿宋"/>
          <w:color w:val="auto"/>
          <w:kern w:val="0"/>
          <w:sz w:val="24"/>
          <w:highlight w:val="none"/>
          <w:lang w:eastAsia="zh-CN"/>
        </w:rPr>
        <w:t>https://zfcg.czt.zj.gov.cn/</w:t>
      </w:r>
      <w:r>
        <w:rPr>
          <w:rStyle w:val="30"/>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w:t>
      </w:r>
    </w:p>
    <w:p w14:paraId="737A6A17">
      <w:pPr>
        <w:kinsoku/>
        <w:overflowPunct/>
        <w:topLinePunct w:val="0"/>
        <w:bidi w:val="0"/>
        <w:snapToGrid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7、按照“不见面、少接触”的原则，本项目采取“不见面”形式进行开</w:t>
      </w:r>
      <w:r>
        <w:rPr>
          <w:rFonts w:hint="eastAsia" w:ascii="仿宋" w:hAnsi="仿宋" w:eastAsia="仿宋" w:cs="仿宋"/>
          <w:color w:val="auto"/>
          <w:kern w:val="0"/>
          <w:sz w:val="24"/>
          <w:highlight w:val="none"/>
          <w:lang w:eastAsia="zh-CN"/>
        </w:rPr>
        <w:t>磋商</w:t>
      </w:r>
      <w:r>
        <w:rPr>
          <w:rFonts w:hint="eastAsia" w:ascii="仿宋" w:hAnsi="仿宋" w:eastAsia="仿宋" w:cs="仿宋"/>
          <w:color w:val="auto"/>
          <w:kern w:val="0"/>
          <w:sz w:val="24"/>
          <w:highlight w:val="none"/>
        </w:rPr>
        <w:t>活动,法定代表人或其</w:t>
      </w:r>
      <w:r>
        <w:rPr>
          <w:rFonts w:hint="eastAsia" w:ascii="仿宋" w:hAnsi="仿宋" w:eastAsia="仿宋" w:cs="仿宋"/>
          <w:color w:val="auto"/>
          <w:kern w:val="0"/>
          <w:sz w:val="24"/>
          <w:highlight w:val="none"/>
          <w:lang w:eastAsia="zh-CN"/>
        </w:rPr>
        <w:t>授权代理人</w:t>
      </w:r>
      <w:r>
        <w:rPr>
          <w:rFonts w:hint="eastAsia" w:ascii="仿宋" w:hAnsi="仿宋" w:eastAsia="仿宋" w:cs="仿宋"/>
          <w:color w:val="auto"/>
          <w:kern w:val="0"/>
          <w:sz w:val="24"/>
          <w:highlight w:val="none"/>
        </w:rPr>
        <w:t>无须到场，在线响应即可（通过指定的电子邮箱、传真等）。</w:t>
      </w:r>
    </w:p>
    <w:p w14:paraId="1AFCC89B">
      <w:pPr>
        <w:kinsoku/>
        <w:overflowPunct/>
        <w:topLinePunct w:val="0"/>
        <w:bidi w:val="0"/>
        <w:snapToGrid w:val="0"/>
        <w:spacing w:line="520" w:lineRule="exact"/>
        <w:ind w:firstLine="472" w:firstLineChars="196"/>
        <w:outlineLvl w:val="1"/>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六、响应文件提交地点：</w:t>
      </w:r>
      <w:r>
        <w:rPr>
          <w:rFonts w:hint="eastAsia" w:ascii="仿宋" w:hAnsi="仿宋" w:eastAsia="仿宋" w:cs="仿宋"/>
          <w:color w:val="auto"/>
          <w:sz w:val="24"/>
          <w:highlight w:val="none"/>
        </w:rPr>
        <w:t>湖州市公共资源交易中心（湖州市仁皇山片区金盖山路66号2号楼，届时</w:t>
      </w:r>
      <w:r>
        <w:rPr>
          <w:rFonts w:hint="eastAsia" w:ascii="仿宋" w:hAnsi="仿宋" w:eastAsia="仿宋" w:cs="仿宋"/>
          <w:color w:val="auto"/>
          <w:kern w:val="0"/>
          <w:sz w:val="24"/>
          <w:highlight w:val="none"/>
        </w:rPr>
        <w:t>详见二楼休息区电子显示屏</w:t>
      </w:r>
      <w:r>
        <w:rPr>
          <w:rFonts w:hint="eastAsia" w:ascii="仿宋" w:hAnsi="仿宋" w:eastAsia="仿宋" w:cs="仿宋"/>
          <w:color w:val="auto"/>
          <w:sz w:val="24"/>
          <w:highlight w:val="none"/>
        </w:rPr>
        <w:t>）。</w:t>
      </w:r>
    </w:p>
    <w:p w14:paraId="1B30A9FF">
      <w:pPr>
        <w:kinsoku/>
        <w:overflowPunct/>
        <w:topLinePunct w:val="0"/>
        <w:bidi w:val="0"/>
        <w:snapToGrid w:val="0"/>
        <w:spacing w:line="520" w:lineRule="exact"/>
        <w:ind w:firstLine="472" w:firstLineChars="196"/>
        <w:outlineLvl w:val="1"/>
        <w:rPr>
          <w:rFonts w:hint="eastAsia" w:ascii="仿宋" w:hAnsi="仿宋" w:eastAsia="仿宋" w:cs="仿宋"/>
          <w:color w:val="0000FF"/>
          <w:kern w:val="0"/>
          <w:sz w:val="24"/>
          <w:highlight w:val="none"/>
          <w:lang w:val="en-US" w:eastAsia="zh-CN"/>
        </w:rPr>
      </w:pPr>
      <w:r>
        <w:rPr>
          <w:rFonts w:hint="eastAsia" w:ascii="仿宋" w:hAnsi="仿宋" w:eastAsia="仿宋" w:cs="仿宋"/>
          <w:b/>
          <w:color w:val="auto"/>
          <w:kern w:val="0"/>
          <w:sz w:val="24"/>
          <w:highlight w:val="none"/>
        </w:rPr>
        <w:t>七、磋商时间：</w:t>
      </w: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p>
    <w:p w14:paraId="2DC240B8">
      <w:pPr>
        <w:kinsoku/>
        <w:overflowPunct/>
        <w:topLinePunct w:val="0"/>
        <w:bidi w:val="0"/>
        <w:snapToGrid w:val="0"/>
        <w:spacing w:line="520" w:lineRule="exact"/>
        <w:ind w:firstLine="472" w:firstLineChars="196"/>
        <w:outlineLvl w:val="1"/>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八、磋商地点：</w:t>
      </w:r>
      <w:r>
        <w:rPr>
          <w:rFonts w:hint="eastAsia" w:ascii="仿宋" w:hAnsi="仿宋" w:eastAsia="仿宋" w:cs="仿宋"/>
          <w:color w:val="auto"/>
          <w:sz w:val="24"/>
          <w:highlight w:val="none"/>
        </w:rPr>
        <w:t>湖州市公共资源交易中心（湖州市仁皇山片区金盖山路66号2号楼，届时</w:t>
      </w:r>
      <w:r>
        <w:rPr>
          <w:rFonts w:hint="eastAsia" w:ascii="仿宋" w:hAnsi="仿宋" w:eastAsia="仿宋" w:cs="仿宋"/>
          <w:color w:val="auto"/>
          <w:kern w:val="0"/>
          <w:sz w:val="24"/>
          <w:highlight w:val="none"/>
        </w:rPr>
        <w:t>详见二楼休息区电子显示屏</w:t>
      </w:r>
      <w:r>
        <w:rPr>
          <w:rFonts w:hint="eastAsia" w:ascii="仿宋" w:hAnsi="仿宋" w:eastAsia="仿宋" w:cs="仿宋"/>
          <w:color w:val="auto"/>
          <w:sz w:val="24"/>
          <w:highlight w:val="none"/>
        </w:rPr>
        <w:t>）。未按时上传电子响应文件的</w:t>
      </w:r>
      <w:r>
        <w:rPr>
          <w:rFonts w:hint="eastAsia" w:ascii="仿宋" w:hAnsi="仿宋" w:eastAsia="仿宋" w:cs="仿宋"/>
          <w:color w:val="auto"/>
          <w:sz w:val="24"/>
          <w:highlight w:val="none"/>
          <w:lang w:eastAsia="zh-CN"/>
        </w:rPr>
        <w:t>视为放弃磋商资格，</w:t>
      </w:r>
      <w:r>
        <w:rPr>
          <w:rFonts w:hint="eastAsia" w:ascii="仿宋" w:hAnsi="仿宋" w:eastAsia="仿宋" w:cs="仿宋"/>
          <w:color w:val="auto"/>
          <w:sz w:val="24"/>
          <w:highlight w:val="none"/>
        </w:rPr>
        <w:t>作</w:t>
      </w:r>
      <w:r>
        <w:rPr>
          <w:rFonts w:hint="eastAsia" w:ascii="仿宋" w:hAnsi="仿宋" w:eastAsia="仿宋" w:cs="仿宋"/>
          <w:color w:val="auto"/>
          <w:sz w:val="24"/>
          <w:highlight w:val="none"/>
          <w:lang w:eastAsia="zh-CN"/>
        </w:rPr>
        <w:t>未提交响应文件处理</w:t>
      </w:r>
      <w:r>
        <w:rPr>
          <w:rFonts w:hint="eastAsia" w:ascii="仿宋" w:hAnsi="仿宋" w:eastAsia="仿宋" w:cs="仿宋"/>
          <w:color w:val="auto"/>
          <w:sz w:val="24"/>
          <w:highlight w:val="none"/>
        </w:rPr>
        <w:t>。</w:t>
      </w:r>
    </w:p>
    <w:p w14:paraId="3B740DEF">
      <w:pPr>
        <w:kinsoku/>
        <w:overflowPunct/>
        <w:topLinePunct w:val="0"/>
        <w:bidi w:val="0"/>
        <w:snapToGrid w:val="0"/>
        <w:spacing w:line="520" w:lineRule="exact"/>
        <w:ind w:firstLine="482" w:firstLineChars="200"/>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eastAsia="zh-CN"/>
        </w:rPr>
        <w:t>九</w:t>
      </w:r>
      <w:r>
        <w:rPr>
          <w:rFonts w:hint="eastAsia" w:ascii="仿宋" w:hAnsi="仿宋" w:eastAsia="仿宋" w:cs="仿宋"/>
          <w:b/>
          <w:color w:val="auto"/>
          <w:kern w:val="0"/>
          <w:sz w:val="24"/>
          <w:highlight w:val="none"/>
        </w:rPr>
        <w:t>、其他事项：</w:t>
      </w:r>
    </w:p>
    <w:p w14:paraId="7F8BB6B0">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1、本项目为电子</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项目，实行网上</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，应按照本磋商文件及政采云平台的要求编制、加密并要求供应商通过政采云系统在线响应，磋商截止时间前须完成电子响应文件的上传，同时供应商须使用制作在线</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响应文件时所用的CA锁，供应商在使用系统进行</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的过程中遇到涉及平台使用的任何问题，可致电政采云平台技术支持热线咨询，联系方式：</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。其中数据电子备份响应文件（U盘）在磋商截止时间前以密封、包装的形式提供。</w:t>
      </w:r>
    </w:p>
    <w:p w14:paraId="47D232ED">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2、潜在供应商已依法获取其可质疑的磋商文件的，可以对该文件提出质疑。未按照规定方式依法获取磋商文件的，不得对磋商文件提起质疑投诉。</w:t>
      </w:r>
    </w:p>
    <w:p w14:paraId="060BC8BE">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对磋商文件有异议的，供应商须在法定质疑期内一次性提出针对同一采购程序环节的质疑。采购人将在规定的时间内统一进行澄清和修改，并书面（含传真）通知所有认购磋商文件的供应商。供应商未按规定要求提出的，则视同认可磋商文件，但法律法规及规范性文件有明确规定的除外。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C9F01AA">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4、答疑内容是磋商文件的组成部分，并将在网上发布补充（答疑、澄清）文件，潜在供应商应自行关注网站公告，采购人不再一一通知，供应商因自身贻误行为导致</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失效的，责任自负。</w:t>
      </w:r>
    </w:p>
    <w:p w14:paraId="1686DF53">
      <w:pPr>
        <w:keepNext w:val="0"/>
        <w:keepLines w:val="0"/>
        <w:pageBreakBefore w:val="0"/>
        <w:widowControl w:val="0"/>
        <w:kinsoku/>
        <w:wordWrap w:val="0"/>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5、参与政府采购项目的注册供应商，需登录浙江政府采购云平台（http://www.zcygov.cn）进行网上报名，尚未注册的供应商应当先在浙江政府采购云平台上申请注册，注册终审通过后再进行网上报名。</w:t>
      </w:r>
    </w:p>
    <w:p w14:paraId="6ED9CBFF">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6、为有效破解当前中小微企业面临的“融资难、融资贵”困局，充分发挥好政府采购扶持小微企业发展的政策功能，本项目</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供应商可凭</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06E67B7B">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sz w:val="24"/>
        </w:rPr>
        <w:t>本项目采购标的对应的中小企业划分标准所属行业为：</w:t>
      </w:r>
      <w:r>
        <w:rPr>
          <w:rFonts w:hint="eastAsia" w:ascii="仿宋" w:hAnsi="仿宋" w:eastAsia="仿宋" w:cs="仿宋"/>
          <w:sz w:val="24"/>
          <w:highlight w:val="none"/>
        </w:rPr>
        <w:t>其他未列明行业。</w:t>
      </w:r>
    </w:p>
    <w:p w14:paraId="5502E88F">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8、本次磋商有关信息刊登在：</w:t>
      </w:r>
    </w:p>
    <w:p w14:paraId="43795671">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8.1浙江政府采购网：</w:t>
      </w:r>
      <w:r>
        <w:rPr>
          <w:rFonts w:hint="eastAsia" w:ascii="仿宋" w:hAnsi="仿宋" w:eastAsia="仿宋" w:cs="仿宋"/>
          <w:color w:val="auto"/>
          <w:sz w:val="24"/>
          <w:highlight w:val="none"/>
          <w:lang w:eastAsia="zh-CN"/>
        </w:rPr>
        <w:t>https://zfcg.czt.zj.gov.cn/</w:t>
      </w:r>
    </w:p>
    <w:p w14:paraId="05C1B534">
      <w:pPr>
        <w:kinsoku/>
        <w:overflowPunct/>
        <w:topLinePunct w:val="0"/>
        <w:bidi w:val="0"/>
        <w:snapToGrid w:val="0"/>
        <w:spacing w:line="520" w:lineRule="exact"/>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8.2湖州市公共资源交易信息网：http://ggzyjy.huzhou.gov.cn/-“政府采购”</w:t>
      </w:r>
    </w:p>
    <w:p w14:paraId="57901311">
      <w:pPr>
        <w:kinsoku/>
        <w:overflowPunct/>
        <w:topLinePunct w:val="0"/>
        <w:bidi w:val="0"/>
        <w:snapToGrid w:val="0"/>
        <w:spacing w:line="520" w:lineRule="exact"/>
        <w:ind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十、业务咨询：</w:t>
      </w:r>
    </w:p>
    <w:p w14:paraId="3D41A55E">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1、采购代理机构名称：湖州市仁皇工程咨询有限公司</w:t>
      </w:r>
    </w:p>
    <w:p w14:paraId="16561FB4">
      <w:pPr>
        <w:kinsoku/>
        <w:overflowPunct/>
        <w:topLinePunct w:val="0"/>
        <w:bidi w:val="0"/>
        <w:snapToGrid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陆朱晖</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15968175942</w:t>
      </w:r>
    </w:p>
    <w:p w14:paraId="5C66C7B2">
      <w:pPr>
        <w:kinsoku/>
        <w:overflowPunct/>
        <w:topLinePunct w:val="0"/>
        <w:bidi w:val="0"/>
        <w:snapToGrid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质疑函接收人：</w:t>
      </w:r>
      <w:r>
        <w:rPr>
          <w:rFonts w:hint="eastAsia" w:ascii="仿宋" w:hAnsi="仿宋" w:eastAsia="仿宋" w:cs="仿宋"/>
          <w:color w:val="auto"/>
          <w:sz w:val="24"/>
          <w:highlight w:val="none"/>
          <w:lang w:val="en-US" w:eastAsia="zh-CN"/>
        </w:rPr>
        <w:t>沈小坤</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联系电话：0572-</w:t>
      </w:r>
      <w:r>
        <w:rPr>
          <w:rFonts w:hint="eastAsia" w:ascii="仿宋" w:hAnsi="仿宋" w:eastAsia="仿宋" w:cs="仿宋"/>
          <w:color w:val="auto"/>
          <w:sz w:val="24"/>
          <w:highlight w:val="none"/>
          <w:lang w:val="en-US" w:eastAsia="zh-CN"/>
        </w:rPr>
        <w:t>2619010</w:t>
      </w:r>
    </w:p>
    <w:p w14:paraId="31060FA6">
      <w:pPr>
        <w:kinsoku/>
        <w:overflowPunct/>
        <w:topLinePunct w:val="0"/>
        <w:bidi w:val="0"/>
        <w:snapToGrid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湖州市吴兴区太湖路51号湖州国际贸易大厦15楼</w:t>
      </w:r>
    </w:p>
    <w:p w14:paraId="2D5DDD13">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2、采购人名称：湖州市市容环境卫生管理中心</w:t>
      </w:r>
    </w:p>
    <w:p w14:paraId="4018D36E">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联系人：沈先生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联系电话：0572-2506626</w:t>
      </w:r>
    </w:p>
    <w:p w14:paraId="29B33727">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"https://ditu.so.com/?pid=bef0ea3ee03a97bb&amp;new=1&amp;src=onebox" \o "菱湖中学" \t "https://www.so.com/_blank"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地址：湖州市环城西路319号</w:t>
      </w:r>
      <w:r>
        <w:rPr>
          <w:rFonts w:hint="eastAsia" w:ascii="仿宋" w:hAnsi="仿宋" w:eastAsia="仿宋" w:cs="仿宋"/>
          <w:color w:val="auto"/>
          <w:sz w:val="24"/>
          <w:highlight w:val="none"/>
        </w:rPr>
        <w:fldChar w:fldCharType="end"/>
      </w:r>
    </w:p>
    <w:p w14:paraId="37CD366A">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3、政府采购行政监管及投诉受理部门：</w:t>
      </w:r>
      <w:r>
        <w:rPr>
          <w:rFonts w:hint="eastAsia" w:ascii="仿宋" w:hAnsi="仿宋" w:eastAsia="仿宋" w:cs="仿宋"/>
          <w:color w:val="auto"/>
          <w:sz w:val="24"/>
          <w:highlight w:val="none"/>
          <w:lang w:eastAsia="zh-CN"/>
        </w:rPr>
        <w:t>湖州市财政局</w:t>
      </w:r>
      <w:r>
        <w:rPr>
          <w:rFonts w:hint="eastAsia" w:ascii="仿宋" w:hAnsi="仿宋" w:eastAsia="仿宋" w:cs="仿宋"/>
          <w:color w:val="auto"/>
          <w:sz w:val="24"/>
          <w:highlight w:val="none"/>
        </w:rPr>
        <w:t>政府采购监管处</w:t>
      </w:r>
    </w:p>
    <w:p w14:paraId="4517C58D">
      <w:pPr>
        <w:kinsoku/>
        <w:overflowPunct/>
        <w:topLinePunct w:val="0"/>
        <w:bidi w:val="0"/>
        <w:snapToGrid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程先生</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联系电话：0572-2150</w:t>
      </w:r>
      <w:r>
        <w:rPr>
          <w:rFonts w:hint="eastAsia" w:ascii="仿宋" w:hAnsi="仿宋" w:eastAsia="仿宋" w:cs="仿宋"/>
          <w:color w:val="auto"/>
          <w:sz w:val="24"/>
          <w:highlight w:val="none"/>
          <w:lang w:val="en-US" w:eastAsia="zh-CN"/>
        </w:rPr>
        <w:t>216</w:t>
      </w:r>
    </w:p>
    <w:p w14:paraId="73E8076C">
      <w:pPr>
        <w:kinsoku/>
        <w:overflowPunct/>
        <w:topLinePunct w:val="0"/>
        <w:bidi w:val="0"/>
        <w:snapToGrid w:val="0"/>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地址：湖州市龙王山路518</w:t>
      </w:r>
      <w:r>
        <w:rPr>
          <w:rFonts w:hint="eastAsia" w:ascii="仿宋" w:hAnsi="仿宋" w:eastAsia="仿宋" w:cs="仿宋"/>
          <w:color w:val="auto"/>
          <w:sz w:val="24"/>
          <w:highlight w:val="none"/>
          <w:lang w:eastAsia="zh-CN"/>
        </w:rPr>
        <w:t>号</w:t>
      </w:r>
    </w:p>
    <w:p w14:paraId="1A25087C">
      <w:pPr>
        <w:kinsoku/>
        <w:overflowPunct/>
        <w:topLinePunct w:val="0"/>
        <w:bidi w:val="0"/>
        <w:snapToGrid w:val="0"/>
        <w:spacing w:line="520" w:lineRule="exact"/>
        <w:ind w:left="238" w:right="480"/>
        <w:jc w:val="right"/>
        <w:rPr>
          <w:rFonts w:hint="eastAsia" w:ascii="仿宋" w:hAnsi="仿宋" w:eastAsia="仿宋" w:cs="仿宋"/>
          <w:bCs/>
          <w:color w:val="auto"/>
          <w:sz w:val="24"/>
          <w:highlight w:val="none"/>
          <w:lang w:eastAsia="zh-CN"/>
        </w:rPr>
      </w:pPr>
    </w:p>
    <w:p w14:paraId="602E46DC">
      <w:pPr>
        <w:kinsoku/>
        <w:overflowPunct/>
        <w:topLinePunct w:val="0"/>
        <w:bidi w:val="0"/>
        <w:snapToGrid w:val="0"/>
        <w:spacing w:line="520" w:lineRule="exact"/>
        <w:ind w:left="238" w:right="480"/>
        <w:jc w:val="right"/>
        <w:rPr>
          <w:rFonts w:hint="eastAsia" w:ascii="仿宋" w:hAnsi="仿宋" w:eastAsia="仿宋" w:cs="仿宋"/>
          <w:bCs/>
          <w:color w:val="auto"/>
          <w:sz w:val="24"/>
          <w:highlight w:val="none"/>
          <w:lang w:eastAsia="zh-CN"/>
        </w:rPr>
      </w:pPr>
    </w:p>
    <w:p w14:paraId="697B7348">
      <w:pPr>
        <w:kinsoku/>
        <w:overflowPunct/>
        <w:topLinePunct w:val="0"/>
        <w:bidi w:val="0"/>
        <w:snapToGrid w:val="0"/>
        <w:spacing w:line="520" w:lineRule="exact"/>
        <w:ind w:left="238" w:right="480"/>
        <w:jc w:val="righ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湖州市市容环境卫生管理中心</w:t>
      </w:r>
    </w:p>
    <w:p w14:paraId="1C57450B">
      <w:pPr>
        <w:kinsoku/>
        <w:overflowPunct/>
        <w:topLinePunct w:val="0"/>
        <w:bidi w:val="0"/>
        <w:snapToGrid w:val="0"/>
        <w:spacing w:line="520" w:lineRule="exact"/>
        <w:ind w:left="238" w:right="480"/>
        <w:jc w:val="righ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湖州市仁皇工程咨询有限公司</w:t>
      </w:r>
    </w:p>
    <w:p w14:paraId="73B903EC">
      <w:pPr>
        <w:kinsoku/>
        <w:wordWrap w:val="0"/>
        <w:overflowPunct/>
        <w:topLinePunct w:val="0"/>
        <w:bidi w:val="0"/>
        <w:snapToGrid w:val="0"/>
        <w:spacing w:line="520" w:lineRule="exact"/>
        <w:ind w:left="238" w:right="480"/>
        <w:jc w:val="right"/>
        <w:rPr>
          <w:rFonts w:hint="eastAsia" w:ascii="仿宋" w:hAnsi="仿宋" w:eastAsia="仿宋" w:cs="仿宋"/>
          <w:bCs/>
          <w:color w:val="0000FF"/>
          <w:sz w:val="30"/>
          <w:szCs w:val="30"/>
          <w:highlight w:val="none"/>
        </w:rPr>
        <w:sectPr>
          <w:footerReference r:id="rId9" w:type="first"/>
          <w:footerReference r:id="rId8" w:type="default"/>
          <w:pgSz w:w="11906" w:h="16838"/>
          <w:pgMar w:top="1134" w:right="1247" w:bottom="1134" w:left="1247" w:header="737" w:footer="1020" w:gutter="0"/>
          <w:pgNumType w:fmt="decimal" w:start="1"/>
          <w:cols w:space="720" w:num="1"/>
          <w:docGrid w:linePitch="312" w:charSpace="0"/>
        </w:sectPr>
      </w:pPr>
      <w:r>
        <w:rPr>
          <w:rFonts w:hint="eastAsia" w:ascii="仿宋" w:hAnsi="仿宋" w:eastAsia="仿宋" w:cs="仿宋"/>
          <w:bCs/>
          <w:color w:val="0000FF"/>
          <w:sz w:val="24"/>
          <w:highlight w:val="none"/>
        </w:rPr>
        <w:t>202</w:t>
      </w:r>
      <w:r>
        <w:rPr>
          <w:rFonts w:hint="eastAsia" w:ascii="仿宋" w:hAnsi="仿宋" w:eastAsia="仿宋" w:cs="仿宋"/>
          <w:bCs/>
          <w:color w:val="0000FF"/>
          <w:sz w:val="24"/>
          <w:highlight w:val="none"/>
          <w:lang w:val="en-US" w:eastAsia="zh-CN"/>
        </w:rPr>
        <w:t>5</w:t>
      </w:r>
      <w:r>
        <w:rPr>
          <w:rFonts w:hint="eastAsia" w:ascii="仿宋" w:hAnsi="仿宋" w:eastAsia="仿宋" w:cs="仿宋"/>
          <w:bCs/>
          <w:color w:val="0000FF"/>
          <w:sz w:val="24"/>
          <w:highlight w:val="none"/>
        </w:rPr>
        <w:t>年</w:t>
      </w:r>
      <w:r>
        <w:rPr>
          <w:rFonts w:hint="eastAsia" w:ascii="仿宋" w:hAnsi="仿宋" w:eastAsia="仿宋" w:cs="仿宋"/>
          <w:bCs/>
          <w:color w:val="0000FF"/>
          <w:sz w:val="24"/>
          <w:highlight w:val="none"/>
          <w:lang w:val="en-US" w:eastAsia="zh-CN"/>
        </w:rPr>
        <w:t>9</w:t>
      </w:r>
      <w:r>
        <w:rPr>
          <w:rFonts w:hint="eastAsia" w:ascii="仿宋" w:hAnsi="仿宋" w:eastAsia="仿宋" w:cs="仿宋"/>
          <w:bCs/>
          <w:color w:val="0000FF"/>
          <w:sz w:val="24"/>
          <w:highlight w:val="none"/>
        </w:rPr>
        <w:t>月</w:t>
      </w:r>
      <w:r>
        <w:rPr>
          <w:rFonts w:hint="eastAsia" w:ascii="仿宋" w:hAnsi="仿宋" w:eastAsia="仿宋" w:cs="仿宋"/>
          <w:bCs/>
          <w:color w:val="0000FF"/>
          <w:sz w:val="24"/>
          <w:highlight w:val="none"/>
          <w:lang w:val="en-US" w:eastAsia="zh-CN"/>
        </w:rPr>
        <w:t xml:space="preserve"> </w:t>
      </w:r>
      <w:r>
        <w:rPr>
          <w:rFonts w:hint="eastAsia" w:ascii="仿宋" w:hAnsi="仿宋" w:eastAsia="仿宋" w:cs="仿宋"/>
          <w:bCs/>
          <w:color w:val="0000FF"/>
          <w:sz w:val="24"/>
          <w:highlight w:val="none"/>
        </w:rPr>
        <w:t>日</w:t>
      </w:r>
    </w:p>
    <w:p w14:paraId="0526088A">
      <w:pPr>
        <w:pStyle w:val="2"/>
        <w:kinsoku/>
        <w:overflowPunct/>
        <w:topLinePunct w:val="0"/>
        <w:bidi w:val="0"/>
        <w:spacing w:line="520" w:lineRule="exact"/>
        <w:jc w:val="center"/>
        <w:rPr>
          <w:rFonts w:hint="eastAsia" w:ascii="仿宋" w:hAnsi="仿宋" w:eastAsia="仿宋" w:cs="仿宋"/>
          <w:b/>
          <w:color w:val="auto"/>
          <w:sz w:val="24"/>
          <w:highlight w:val="none"/>
        </w:rPr>
      </w:pPr>
      <w:bookmarkStart w:id="1" w:name="_Toc452995894"/>
      <w:r>
        <w:rPr>
          <w:rFonts w:hint="eastAsia" w:ascii="仿宋" w:hAnsi="仿宋" w:eastAsia="仿宋" w:cs="仿宋"/>
          <w:color w:val="auto"/>
          <w:sz w:val="36"/>
          <w:szCs w:val="36"/>
          <w:highlight w:val="none"/>
        </w:rPr>
        <w:t>第二章  磋商项目采购需求</w:t>
      </w:r>
    </w:p>
    <w:p w14:paraId="1E07B906">
      <w:pPr>
        <w:pStyle w:val="3"/>
        <w:keepNext/>
        <w:keepLines/>
        <w:pageBreakBefore w:val="0"/>
        <w:widowControl w:val="0"/>
        <w:numPr>
          <w:ilvl w:val="1"/>
          <w:numId w:val="0"/>
        </w:numPr>
        <w:kinsoku/>
        <w:wordWrap/>
        <w:overflowPunct/>
        <w:topLinePunct w:val="0"/>
        <w:autoSpaceDE/>
        <w:autoSpaceDN/>
        <w:bidi w:val="0"/>
        <w:adjustRightInd/>
        <w:snapToGrid/>
        <w:spacing w:before="191" w:beforeLines="50" w:after="191" w:afterLines="50" w:line="520" w:lineRule="exact"/>
        <w:ind w:leftChars="0" w:firstLine="482" w:firstLineChars="200"/>
        <w:textAlignment w:val="auto"/>
        <w:rPr>
          <w:rFonts w:hint="eastAsia" w:ascii="仿宋" w:hAnsi="仿宋" w:eastAsia="仿宋" w:cs="仿宋"/>
          <w:sz w:val="24"/>
          <w:szCs w:val="24"/>
          <w:highlight w:val="none"/>
          <w:lang w:val="zh-CN" w:eastAsia="zh-CN"/>
        </w:rPr>
      </w:pPr>
      <w:bookmarkStart w:id="2" w:name="_Toc7736"/>
      <w:bookmarkStart w:id="3" w:name="_Toc22632"/>
      <w:bookmarkStart w:id="4" w:name="_Toc32408"/>
      <w:bookmarkStart w:id="5" w:name="_Toc14501"/>
      <w:bookmarkStart w:id="6" w:name="_Toc2163"/>
      <w:bookmarkStart w:id="7" w:name="_Toc15245"/>
      <w:bookmarkStart w:id="8" w:name="_Toc402966379"/>
      <w:bookmarkStart w:id="9" w:name="_Toc285695650"/>
      <w:r>
        <w:rPr>
          <w:rFonts w:hint="eastAsia" w:ascii="仿宋" w:hAnsi="仿宋" w:eastAsia="仿宋" w:cs="仿宋"/>
          <w:sz w:val="24"/>
          <w:szCs w:val="24"/>
          <w:highlight w:val="none"/>
          <w:lang w:val="zh-CN"/>
        </w:rPr>
        <w:t>一、项目</w:t>
      </w:r>
      <w:r>
        <w:rPr>
          <w:rFonts w:hint="eastAsia" w:ascii="仿宋" w:hAnsi="仿宋" w:eastAsia="仿宋" w:cs="仿宋"/>
          <w:sz w:val="24"/>
          <w:szCs w:val="24"/>
          <w:highlight w:val="none"/>
          <w:lang w:val="en-US" w:eastAsia="zh-CN"/>
        </w:rPr>
        <w:t>背景</w:t>
      </w:r>
    </w:p>
    <w:p w14:paraId="675885E5">
      <w:pPr>
        <w:kinsoku/>
        <w:overflowPunct/>
        <w:topLinePunct w:val="0"/>
        <w:bidi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highlight w:val="none"/>
          <w:lang w:val="en-US" w:eastAsia="zh-CN"/>
        </w:rPr>
        <w:t>根据《品质新湖州建设2023年工作计划》和《城乡建设领域扬长补短实干争先2023年度工作推进计划》中“试点实施小区装修垃圾箱体模式”的要求，</w:t>
      </w:r>
      <w:r>
        <w:rPr>
          <w:rFonts w:hint="eastAsia" w:ascii="仿宋" w:hAnsi="仿宋" w:eastAsia="仿宋" w:cs="仿宋"/>
          <w:sz w:val="24"/>
          <w:lang w:val="en-US" w:eastAsia="zh-CN"/>
        </w:rPr>
        <w:t>同时根据《浙江省住房和城乡建设厅关于进一步规范建筑垃圾治理工作的实施意见》第（八）条“拓宽投融资渠道，引导建筑垃圾资源化利用企业延伸产业链条，参与建筑垃圾源头分类，中间运输、末端处置和利用全过程”的规定，拟委托第三方企业提供服务。</w:t>
      </w:r>
    </w:p>
    <w:p w14:paraId="539BA64F">
      <w:pPr>
        <w:kinsoku/>
        <w:overflowPunct/>
        <w:topLinePunct w:val="0"/>
        <w:bidi w:val="0"/>
        <w:spacing w:line="52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垃圾清运服务工作直接关系民生福祉，其中环卫清运设施及停放站点作为业务必不可少的硬件配置，保证其平稳有序的日常管理是确保业务正常开展的关键，而以环卫中心现自有设施和人员组成已不能满足专业操作需求，而第三方机构有专业的清运队伍和专用的车辆设备，能有效解决单位自有人员专业能力、配置力量不足等困难。在实际操作过程中，实施业务外包符合环卫业务市场化和社会发展的整体要求，且属于政府采购所需服务范围，项目具备合理性。</w:t>
      </w:r>
    </w:p>
    <w:p w14:paraId="26794A39">
      <w:pPr>
        <w:pStyle w:val="3"/>
        <w:keepNext/>
        <w:keepLines/>
        <w:pageBreakBefore w:val="0"/>
        <w:widowControl w:val="0"/>
        <w:numPr>
          <w:ilvl w:val="1"/>
          <w:numId w:val="0"/>
        </w:numPr>
        <w:kinsoku/>
        <w:wordWrap/>
        <w:overflowPunct/>
        <w:topLinePunct w:val="0"/>
        <w:autoSpaceDE/>
        <w:autoSpaceDN/>
        <w:bidi w:val="0"/>
        <w:adjustRightInd/>
        <w:snapToGrid/>
        <w:spacing w:before="191" w:beforeLines="50" w:after="191" w:afterLines="50" w:line="520" w:lineRule="exact"/>
        <w:ind w:leftChars="0" w:firstLine="482"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val="zh-CN"/>
        </w:rPr>
        <w:t>、</w:t>
      </w:r>
      <w:bookmarkEnd w:id="2"/>
      <w:bookmarkEnd w:id="3"/>
      <w:bookmarkEnd w:id="4"/>
      <w:bookmarkEnd w:id="5"/>
      <w:r>
        <w:rPr>
          <w:rFonts w:hint="eastAsia" w:ascii="仿宋" w:hAnsi="仿宋" w:eastAsia="仿宋" w:cs="仿宋"/>
          <w:sz w:val="24"/>
          <w:szCs w:val="24"/>
          <w:highlight w:val="none"/>
          <w:lang w:val="zh-CN"/>
        </w:rPr>
        <w:t>项目</w:t>
      </w:r>
      <w:bookmarkEnd w:id="6"/>
      <w:bookmarkEnd w:id="7"/>
      <w:r>
        <w:rPr>
          <w:rFonts w:hint="eastAsia" w:ascii="仿宋" w:hAnsi="仿宋" w:eastAsia="仿宋" w:cs="仿宋"/>
          <w:sz w:val="24"/>
          <w:szCs w:val="24"/>
          <w:highlight w:val="none"/>
          <w:lang w:val="en-US" w:eastAsia="zh-CN"/>
        </w:rPr>
        <w:t>内容</w:t>
      </w:r>
    </w:p>
    <w:bookmarkEnd w:id="8"/>
    <w:bookmarkEnd w:id="9"/>
    <w:p w14:paraId="296ACBDD">
      <w:pPr>
        <w:kinsoku/>
        <w:overflowPunct/>
        <w:topLinePunct w:val="0"/>
        <w:bidi w:val="0"/>
        <w:spacing w:line="520" w:lineRule="exact"/>
        <w:ind w:firstLine="480" w:firstLineChars="200"/>
        <w:rPr>
          <w:rFonts w:hint="eastAsia" w:ascii="仿宋" w:hAnsi="仿宋" w:eastAsia="仿宋" w:cs="仿宋"/>
          <w:sz w:val="24"/>
          <w:lang w:val="en-US" w:eastAsia="zh-CN"/>
        </w:rPr>
      </w:pPr>
      <w:bookmarkStart w:id="10" w:name="_Toc3827"/>
      <w:bookmarkStart w:id="11" w:name="_Toc29828"/>
      <w:r>
        <w:rPr>
          <w:rFonts w:hint="eastAsia" w:ascii="仿宋" w:hAnsi="仿宋" w:eastAsia="仿宋" w:cs="仿宋"/>
          <w:sz w:val="24"/>
          <w:lang w:val="en-US" w:eastAsia="zh-CN"/>
        </w:rPr>
        <w:t>为确保湖州市市容环境卫生管理中心直管范围内垃圾清运业务安全、规范地开展，落实扬尘控制等大气治理方面的工作部署，中心近一年内通过硬件补全和提升，新增3处环卫清运设施停放场站（日月大桥下、南太湖大桥下和二环快速路桥下，总面积约19600平方米）和</w:t>
      </w:r>
      <w:r>
        <w:rPr>
          <w:rFonts w:hint="eastAsia" w:ascii="仿宋" w:hAnsi="仿宋" w:eastAsia="仿宋" w:cs="仿宋"/>
          <w:color w:val="auto"/>
          <w:sz w:val="24"/>
          <w:lang w:val="en-US" w:eastAsia="zh-CN"/>
        </w:rPr>
        <w:t>近240个居民小区的装修垃圾智能收运箱</w:t>
      </w:r>
      <w:r>
        <w:rPr>
          <w:rFonts w:hint="eastAsia" w:ascii="仿宋" w:hAnsi="仿宋" w:eastAsia="仿宋" w:cs="仿宋"/>
          <w:sz w:val="24"/>
          <w:lang w:val="en-US" w:eastAsia="zh-CN"/>
        </w:rPr>
        <w:t>，为应对此部分新增业务相配套的日常工作，如运维、巡查、报修、应急等的正常开展。</w:t>
      </w:r>
    </w:p>
    <w:p w14:paraId="38088003">
      <w:pPr>
        <w:pStyle w:val="3"/>
        <w:keepNext/>
        <w:keepLines/>
        <w:pageBreakBefore w:val="0"/>
        <w:widowControl w:val="0"/>
        <w:numPr>
          <w:ilvl w:val="1"/>
          <w:numId w:val="0"/>
        </w:numPr>
        <w:kinsoku/>
        <w:wordWrap/>
        <w:overflowPunct/>
        <w:topLinePunct w:val="0"/>
        <w:autoSpaceDE/>
        <w:autoSpaceDN/>
        <w:bidi w:val="0"/>
        <w:adjustRightInd/>
        <w:snapToGrid/>
        <w:spacing w:before="191" w:beforeLines="50" w:after="191" w:afterLines="50" w:line="520" w:lineRule="exact"/>
        <w:ind w:leftChars="0" w:firstLine="241" w:firstLineChars="100"/>
        <w:textAlignment w:val="auto"/>
        <w:rPr>
          <w:rFonts w:hint="default" w:ascii="仿宋" w:hAnsi="仿宋" w:eastAsia="仿宋" w:cs="仿宋"/>
          <w:sz w:val="24"/>
          <w:szCs w:val="24"/>
          <w:highlight w:val="none"/>
          <w:lang w:val="en-US" w:eastAsia="zh-CN"/>
        </w:rPr>
      </w:pPr>
      <w:bookmarkStart w:id="12" w:name="_Toc2927"/>
      <w:bookmarkStart w:id="13" w:name="_Toc5206"/>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val="zh-CN"/>
        </w:rPr>
        <w:t>、</w:t>
      </w:r>
      <w:bookmarkEnd w:id="12"/>
      <w:bookmarkEnd w:id="13"/>
      <w:r>
        <w:rPr>
          <w:rFonts w:hint="eastAsia" w:ascii="仿宋" w:hAnsi="仿宋" w:eastAsia="仿宋" w:cs="仿宋"/>
          <w:sz w:val="24"/>
          <w:szCs w:val="24"/>
          <w:highlight w:val="none"/>
          <w:lang w:val="en-US" w:eastAsia="zh-CN"/>
        </w:rPr>
        <w:t>岗位及设备配置</w:t>
      </w:r>
    </w:p>
    <w:tbl>
      <w:tblPr>
        <w:tblStyle w:val="26"/>
        <w:tblW w:w="9258" w:type="dxa"/>
        <w:tblInd w:w="93" w:type="dxa"/>
        <w:tblLayout w:type="fixed"/>
        <w:tblCellMar>
          <w:top w:w="0" w:type="dxa"/>
          <w:left w:w="108" w:type="dxa"/>
          <w:bottom w:w="0" w:type="dxa"/>
          <w:right w:w="108" w:type="dxa"/>
        </w:tblCellMar>
      </w:tblPr>
      <w:tblGrid>
        <w:gridCol w:w="1063"/>
        <w:gridCol w:w="2688"/>
        <w:gridCol w:w="2515"/>
        <w:gridCol w:w="2992"/>
      </w:tblGrid>
      <w:tr w14:paraId="786C1B66">
        <w:tblPrEx>
          <w:tblCellMar>
            <w:top w:w="0" w:type="dxa"/>
            <w:left w:w="108" w:type="dxa"/>
            <w:bottom w:w="0" w:type="dxa"/>
            <w:right w:w="108" w:type="dxa"/>
          </w:tblCellMar>
        </w:tblPrEx>
        <w:trPr>
          <w:trHeight w:val="409" w:hRule="atLeast"/>
        </w:trPr>
        <w:tc>
          <w:tcPr>
            <w:tcW w:w="1063" w:type="dxa"/>
            <w:tcBorders>
              <w:top w:val="single" w:color="auto" w:sz="4" w:space="0"/>
              <w:left w:val="single" w:color="auto" w:sz="4" w:space="0"/>
              <w:bottom w:val="single" w:color="auto" w:sz="4" w:space="0"/>
              <w:right w:val="single" w:color="auto" w:sz="4" w:space="0"/>
            </w:tcBorders>
            <w:vAlign w:val="center"/>
          </w:tcPr>
          <w:p w14:paraId="6A094914">
            <w:pPr>
              <w:widowControl/>
              <w:kinsoku/>
              <w:overflowPunct/>
              <w:topLinePunct w:val="0"/>
              <w:bidi w:val="0"/>
              <w:spacing w:line="520" w:lineRule="exact"/>
              <w:jc w:val="center"/>
              <w:rPr>
                <w:rFonts w:ascii="仿宋" w:hAnsi="仿宋" w:eastAsia="仿宋" w:cs="仿宋"/>
                <w:b/>
                <w:bCs/>
                <w:sz w:val="24"/>
              </w:rPr>
            </w:pPr>
            <w:r>
              <w:rPr>
                <w:rFonts w:hint="eastAsia" w:ascii="仿宋" w:hAnsi="仿宋" w:eastAsia="仿宋" w:cs="仿宋"/>
                <w:b/>
                <w:bCs/>
                <w:sz w:val="24"/>
              </w:rPr>
              <w:t>序号</w:t>
            </w:r>
          </w:p>
        </w:tc>
        <w:tc>
          <w:tcPr>
            <w:tcW w:w="2688" w:type="dxa"/>
            <w:tcBorders>
              <w:top w:val="single" w:color="auto" w:sz="4" w:space="0"/>
              <w:left w:val="single" w:color="auto" w:sz="4" w:space="0"/>
              <w:bottom w:val="single" w:color="auto" w:sz="4" w:space="0"/>
              <w:right w:val="single" w:color="auto" w:sz="4" w:space="0"/>
            </w:tcBorders>
            <w:vAlign w:val="center"/>
          </w:tcPr>
          <w:p w14:paraId="254F44C1">
            <w:pPr>
              <w:widowControl/>
              <w:kinsoku/>
              <w:overflowPunct/>
              <w:topLinePunct w:val="0"/>
              <w:bidi w:val="0"/>
              <w:spacing w:line="520" w:lineRule="exact"/>
              <w:jc w:val="center"/>
              <w:rPr>
                <w:rFonts w:hint="eastAsia" w:ascii="仿宋" w:hAnsi="仿宋" w:eastAsia="仿宋" w:cs="仿宋"/>
                <w:b/>
                <w:bCs/>
                <w:sz w:val="24"/>
                <w:lang w:val="en-US" w:eastAsia="zh-CN"/>
              </w:rPr>
            </w:pPr>
            <w:r>
              <w:rPr>
                <w:rFonts w:hint="eastAsia" w:ascii="仿宋" w:hAnsi="仿宋" w:eastAsia="仿宋" w:cs="仿宋"/>
                <w:b/>
                <w:bCs/>
                <w:sz w:val="24"/>
              </w:rPr>
              <w:t>岗位</w:t>
            </w:r>
            <w:r>
              <w:rPr>
                <w:rFonts w:hint="eastAsia" w:ascii="仿宋" w:hAnsi="仿宋" w:eastAsia="仿宋" w:cs="仿宋"/>
                <w:b/>
                <w:bCs/>
                <w:sz w:val="24"/>
                <w:lang w:val="en-US" w:eastAsia="zh-CN"/>
              </w:rPr>
              <w:t>组成</w:t>
            </w:r>
          </w:p>
        </w:tc>
        <w:tc>
          <w:tcPr>
            <w:tcW w:w="2515" w:type="dxa"/>
            <w:tcBorders>
              <w:top w:val="single" w:color="auto" w:sz="4" w:space="0"/>
              <w:left w:val="single" w:color="auto" w:sz="4" w:space="0"/>
              <w:bottom w:val="single" w:color="auto" w:sz="4" w:space="0"/>
              <w:right w:val="single" w:color="auto" w:sz="4" w:space="0"/>
            </w:tcBorders>
            <w:vAlign w:val="center"/>
          </w:tcPr>
          <w:p w14:paraId="4D46AE8B">
            <w:pPr>
              <w:widowControl/>
              <w:kinsoku/>
              <w:overflowPunct/>
              <w:topLinePunct w:val="0"/>
              <w:bidi w:val="0"/>
              <w:spacing w:line="520" w:lineRule="exact"/>
              <w:jc w:val="center"/>
              <w:rPr>
                <w:rFonts w:ascii="仿宋" w:hAnsi="仿宋" w:eastAsia="仿宋" w:cs="仿宋"/>
                <w:b/>
                <w:bCs/>
                <w:sz w:val="24"/>
              </w:rPr>
            </w:pPr>
            <w:r>
              <w:rPr>
                <w:rFonts w:hint="eastAsia" w:ascii="仿宋" w:hAnsi="仿宋" w:eastAsia="仿宋" w:cs="仿宋"/>
                <w:b/>
                <w:bCs/>
                <w:sz w:val="24"/>
              </w:rPr>
              <w:t>要求</w:t>
            </w:r>
          </w:p>
        </w:tc>
        <w:tc>
          <w:tcPr>
            <w:tcW w:w="2992" w:type="dxa"/>
            <w:tcBorders>
              <w:top w:val="single" w:color="auto" w:sz="4" w:space="0"/>
              <w:left w:val="single" w:color="auto" w:sz="4" w:space="0"/>
              <w:bottom w:val="single" w:color="auto" w:sz="4" w:space="0"/>
              <w:right w:val="single" w:color="auto" w:sz="4" w:space="0"/>
            </w:tcBorders>
            <w:vAlign w:val="center"/>
          </w:tcPr>
          <w:p w14:paraId="5E652D8E">
            <w:pPr>
              <w:widowControl/>
              <w:kinsoku/>
              <w:overflowPunct/>
              <w:topLinePunct w:val="0"/>
              <w:bidi w:val="0"/>
              <w:spacing w:line="52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备注</w:t>
            </w:r>
          </w:p>
        </w:tc>
      </w:tr>
      <w:tr w14:paraId="47C9D3A0">
        <w:tblPrEx>
          <w:tblCellMar>
            <w:top w:w="0" w:type="dxa"/>
            <w:left w:w="108" w:type="dxa"/>
            <w:bottom w:w="0" w:type="dxa"/>
            <w:right w:w="108" w:type="dxa"/>
          </w:tblCellMar>
        </w:tblPrEx>
        <w:trPr>
          <w:trHeight w:val="416" w:hRule="atLeast"/>
        </w:trPr>
        <w:tc>
          <w:tcPr>
            <w:tcW w:w="1063" w:type="dxa"/>
            <w:tcBorders>
              <w:top w:val="single" w:color="auto" w:sz="4" w:space="0"/>
              <w:left w:val="single" w:color="auto" w:sz="4" w:space="0"/>
              <w:bottom w:val="single" w:color="auto" w:sz="4" w:space="0"/>
              <w:right w:val="single" w:color="auto" w:sz="4" w:space="0"/>
            </w:tcBorders>
            <w:vAlign w:val="center"/>
          </w:tcPr>
          <w:p w14:paraId="11CE164E">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1</w:t>
            </w:r>
          </w:p>
        </w:tc>
        <w:tc>
          <w:tcPr>
            <w:tcW w:w="2688" w:type="dxa"/>
            <w:tcBorders>
              <w:top w:val="single" w:color="auto" w:sz="4" w:space="0"/>
              <w:left w:val="single" w:color="auto" w:sz="4" w:space="0"/>
              <w:bottom w:val="single" w:color="auto" w:sz="4" w:space="0"/>
              <w:right w:val="single" w:color="auto" w:sz="4" w:space="0"/>
            </w:tcBorders>
            <w:vAlign w:val="center"/>
          </w:tcPr>
          <w:p w14:paraId="0F6EAD4C">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项目经理</w:t>
            </w:r>
          </w:p>
        </w:tc>
        <w:tc>
          <w:tcPr>
            <w:tcW w:w="2515" w:type="dxa"/>
            <w:tcBorders>
              <w:top w:val="single" w:color="auto" w:sz="4" w:space="0"/>
              <w:left w:val="single" w:color="auto" w:sz="4" w:space="0"/>
              <w:bottom w:val="single" w:color="auto" w:sz="4" w:space="0"/>
              <w:right w:val="single" w:color="auto" w:sz="4" w:space="0"/>
            </w:tcBorders>
            <w:vAlign w:val="center"/>
          </w:tcPr>
          <w:p w14:paraId="07588DD9">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1名</w:t>
            </w:r>
          </w:p>
        </w:tc>
        <w:tc>
          <w:tcPr>
            <w:tcW w:w="2992" w:type="dxa"/>
            <w:tcBorders>
              <w:top w:val="single" w:color="auto" w:sz="4" w:space="0"/>
              <w:left w:val="single" w:color="auto" w:sz="4" w:space="0"/>
              <w:bottom w:val="single" w:color="auto" w:sz="4" w:space="0"/>
              <w:right w:val="single" w:color="auto" w:sz="4" w:space="0"/>
            </w:tcBorders>
            <w:vAlign w:val="center"/>
          </w:tcPr>
          <w:p w14:paraId="2D4C41F4">
            <w:pPr>
              <w:widowControl/>
              <w:kinsoku/>
              <w:overflowPunct/>
              <w:topLinePunct w:val="0"/>
              <w:bidi w:val="0"/>
              <w:spacing w:line="520" w:lineRule="exact"/>
              <w:jc w:val="center"/>
              <w:rPr>
                <w:rFonts w:hint="eastAsia" w:ascii="仿宋" w:hAnsi="仿宋" w:eastAsia="仿宋" w:cs="仿宋"/>
                <w:sz w:val="24"/>
              </w:rPr>
            </w:pPr>
          </w:p>
        </w:tc>
      </w:tr>
      <w:tr w14:paraId="7562C62B">
        <w:tblPrEx>
          <w:tblCellMar>
            <w:top w:w="0" w:type="dxa"/>
            <w:left w:w="108" w:type="dxa"/>
            <w:bottom w:w="0" w:type="dxa"/>
            <w:right w:w="108" w:type="dxa"/>
          </w:tblCellMar>
        </w:tblPrEx>
        <w:trPr>
          <w:trHeight w:val="318" w:hRule="atLeast"/>
        </w:trPr>
        <w:tc>
          <w:tcPr>
            <w:tcW w:w="1063" w:type="dxa"/>
            <w:tcBorders>
              <w:top w:val="single" w:color="auto" w:sz="4" w:space="0"/>
              <w:left w:val="single" w:color="auto" w:sz="4" w:space="0"/>
              <w:bottom w:val="single" w:color="auto" w:sz="4" w:space="0"/>
              <w:right w:val="single" w:color="auto" w:sz="4" w:space="0"/>
            </w:tcBorders>
            <w:vAlign w:val="center"/>
          </w:tcPr>
          <w:p w14:paraId="6EE0FB64">
            <w:pPr>
              <w:widowControl/>
              <w:kinsoku/>
              <w:overflowPunct/>
              <w:topLinePunct w:val="0"/>
              <w:bidi w:val="0"/>
              <w:spacing w:line="52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688" w:type="dxa"/>
            <w:tcBorders>
              <w:top w:val="single" w:color="auto" w:sz="4" w:space="0"/>
              <w:left w:val="single" w:color="auto" w:sz="4" w:space="0"/>
              <w:bottom w:val="single" w:color="auto" w:sz="4" w:space="0"/>
              <w:right w:val="single" w:color="auto" w:sz="4" w:space="0"/>
            </w:tcBorders>
            <w:vAlign w:val="center"/>
          </w:tcPr>
          <w:p w14:paraId="67E93957">
            <w:pPr>
              <w:widowControl/>
              <w:kinsoku/>
              <w:overflowPunct/>
              <w:topLinePunct w:val="0"/>
              <w:bidi w:val="0"/>
              <w:spacing w:line="5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工作人员</w:t>
            </w:r>
          </w:p>
        </w:tc>
        <w:tc>
          <w:tcPr>
            <w:tcW w:w="2515" w:type="dxa"/>
            <w:tcBorders>
              <w:top w:val="single" w:color="auto" w:sz="4" w:space="0"/>
              <w:left w:val="single" w:color="auto" w:sz="4" w:space="0"/>
              <w:bottom w:val="single" w:color="auto" w:sz="4" w:space="0"/>
              <w:right w:val="single" w:color="auto" w:sz="4" w:space="0"/>
            </w:tcBorders>
            <w:vAlign w:val="center"/>
          </w:tcPr>
          <w:p w14:paraId="478FAFC7">
            <w:pPr>
              <w:widowControl/>
              <w:kinsoku/>
              <w:overflowPunct/>
              <w:topLinePunct w:val="0"/>
              <w:bidi w:val="0"/>
              <w:spacing w:line="52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名</w:t>
            </w:r>
          </w:p>
        </w:tc>
        <w:tc>
          <w:tcPr>
            <w:tcW w:w="2992" w:type="dxa"/>
            <w:tcBorders>
              <w:top w:val="single" w:color="auto" w:sz="4" w:space="0"/>
              <w:left w:val="single" w:color="auto" w:sz="4" w:space="0"/>
              <w:bottom w:val="single" w:color="auto" w:sz="4" w:space="0"/>
              <w:right w:val="single" w:color="auto" w:sz="4" w:space="0"/>
            </w:tcBorders>
            <w:vAlign w:val="center"/>
          </w:tcPr>
          <w:p w14:paraId="2D827C24">
            <w:pPr>
              <w:widowControl/>
              <w:kinsoku/>
              <w:overflowPunct/>
              <w:topLinePunct w:val="0"/>
              <w:bidi w:val="0"/>
              <w:spacing w:line="520" w:lineRule="exact"/>
              <w:jc w:val="center"/>
              <w:rPr>
                <w:rFonts w:hint="eastAsia" w:ascii="仿宋" w:hAnsi="仿宋" w:eastAsia="仿宋" w:cs="仿宋"/>
                <w:sz w:val="24"/>
                <w:highlight w:val="none"/>
                <w:lang w:val="en-US" w:eastAsia="zh-CN"/>
              </w:rPr>
            </w:pPr>
            <w:r>
              <w:rPr>
                <w:rFonts w:hint="eastAsia" w:ascii="仿宋" w:hAnsi="仿宋" w:eastAsia="仿宋" w:cs="仿宋"/>
                <w:kern w:val="0"/>
                <w:sz w:val="24"/>
                <w:szCs w:val="24"/>
                <w:highlight w:val="none"/>
                <w:lang w:val="en-US" w:eastAsia="zh-CN"/>
              </w:rPr>
              <w:t>要求至少有3名驾驶员，其中2名有C照、1名有B照</w:t>
            </w:r>
          </w:p>
        </w:tc>
      </w:tr>
      <w:tr w14:paraId="13C955C8">
        <w:tblPrEx>
          <w:tblCellMar>
            <w:top w:w="0" w:type="dxa"/>
            <w:left w:w="108" w:type="dxa"/>
            <w:bottom w:w="0" w:type="dxa"/>
            <w:right w:w="108" w:type="dxa"/>
          </w:tblCellMar>
        </w:tblPrEx>
        <w:trPr>
          <w:trHeight w:val="185" w:hRule="atLeast"/>
        </w:trPr>
        <w:tc>
          <w:tcPr>
            <w:tcW w:w="9258" w:type="dxa"/>
            <w:gridSpan w:val="4"/>
            <w:tcBorders>
              <w:top w:val="single" w:color="auto" w:sz="4" w:space="0"/>
              <w:left w:val="single" w:color="auto" w:sz="4" w:space="0"/>
              <w:bottom w:val="single" w:color="auto" w:sz="4" w:space="0"/>
              <w:right w:val="single" w:color="auto" w:sz="4" w:space="0"/>
            </w:tcBorders>
            <w:vAlign w:val="center"/>
          </w:tcPr>
          <w:p w14:paraId="37B5DB24">
            <w:pPr>
              <w:widowControl/>
              <w:kinsoku/>
              <w:overflowPunct/>
              <w:topLinePunct w:val="0"/>
              <w:bidi w:val="0"/>
              <w:spacing w:line="520" w:lineRule="exact"/>
              <w:jc w:val="center"/>
              <w:rPr>
                <w:rFonts w:hint="eastAsia" w:ascii="仿宋" w:hAnsi="仿宋" w:eastAsia="仿宋" w:cs="仿宋"/>
                <w:sz w:val="24"/>
              </w:rPr>
            </w:pPr>
          </w:p>
        </w:tc>
      </w:tr>
      <w:tr w14:paraId="193E5C8D">
        <w:tblPrEx>
          <w:tblCellMar>
            <w:top w:w="0" w:type="dxa"/>
            <w:left w:w="108" w:type="dxa"/>
            <w:bottom w:w="0" w:type="dxa"/>
            <w:right w:w="108" w:type="dxa"/>
          </w:tblCellMar>
        </w:tblPrEx>
        <w:trPr>
          <w:trHeight w:val="330" w:hRule="atLeast"/>
        </w:trPr>
        <w:tc>
          <w:tcPr>
            <w:tcW w:w="1063" w:type="dxa"/>
            <w:tcBorders>
              <w:top w:val="single" w:color="auto" w:sz="4" w:space="0"/>
              <w:left w:val="single" w:color="auto" w:sz="4" w:space="0"/>
              <w:bottom w:val="single" w:color="auto" w:sz="4" w:space="0"/>
              <w:right w:val="single" w:color="auto" w:sz="4" w:space="0"/>
            </w:tcBorders>
            <w:vAlign w:val="center"/>
          </w:tcPr>
          <w:p w14:paraId="570774A7">
            <w:pPr>
              <w:widowControl/>
              <w:kinsoku/>
              <w:overflowPunct/>
              <w:topLinePunct w:val="0"/>
              <w:bidi w:val="0"/>
              <w:spacing w:line="52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序号</w:t>
            </w:r>
          </w:p>
        </w:tc>
        <w:tc>
          <w:tcPr>
            <w:tcW w:w="2688" w:type="dxa"/>
            <w:tcBorders>
              <w:top w:val="single" w:color="auto" w:sz="4" w:space="0"/>
              <w:left w:val="single" w:color="auto" w:sz="4" w:space="0"/>
              <w:bottom w:val="single" w:color="auto" w:sz="4" w:space="0"/>
              <w:right w:val="single" w:color="auto" w:sz="4" w:space="0"/>
            </w:tcBorders>
            <w:vAlign w:val="center"/>
          </w:tcPr>
          <w:p w14:paraId="05B488EA">
            <w:pPr>
              <w:widowControl/>
              <w:kinsoku/>
              <w:overflowPunct/>
              <w:topLinePunct w:val="0"/>
              <w:bidi w:val="0"/>
              <w:spacing w:line="52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lang w:val="en-US" w:eastAsia="zh-CN"/>
              </w:rPr>
              <w:t>设备组成</w:t>
            </w:r>
          </w:p>
        </w:tc>
        <w:tc>
          <w:tcPr>
            <w:tcW w:w="2515" w:type="dxa"/>
            <w:tcBorders>
              <w:top w:val="single" w:color="auto" w:sz="4" w:space="0"/>
              <w:left w:val="single" w:color="auto" w:sz="4" w:space="0"/>
              <w:bottom w:val="single" w:color="auto" w:sz="4" w:space="0"/>
              <w:right w:val="single" w:color="auto" w:sz="4" w:space="0"/>
            </w:tcBorders>
            <w:vAlign w:val="center"/>
          </w:tcPr>
          <w:p w14:paraId="4FA1529A">
            <w:pPr>
              <w:widowControl/>
              <w:kinsoku/>
              <w:overflowPunct/>
              <w:topLinePunct w:val="0"/>
              <w:bidi w:val="0"/>
              <w:spacing w:line="52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要求</w:t>
            </w:r>
          </w:p>
        </w:tc>
        <w:tc>
          <w:tcPr>
            <w:tcW w:w="2992" w:type="dxa"/>
            <w:tcBorders>
              <w:top w:val="single" w:color="auto" w:sz="4" w:space="0"/>
              <w:left w:val="single" w:color="auto" w:sz="4" w:space="0"/>
              <w:bottom w:val="single" w:color="auto" w:sz="4" w:space="0"/>
              <w:right w:val="single" w:color="auto" w:sz="4" w:space="0"/>
            </w:tcBorders>
            <w:vAlign w:val="center"/>
          </w:tcPr>
          <w:p w14:paraId="2FF75D8D">
            <w:pPr>
              <w:widowControl/>
              <w:kinsoku/>
              <w:overflowPunct/>
              <w:topLinePunct w:val="0"/>
              <w:bidi w:val="0"/>
              <w:spacing w:line="520" w:lineRule="exact"/>
              <w:jc w:val="center"/>
              <w:rPr>
                <w:rFonts w:hint="eastAsia" w:ascii="仿宋" w:hAnsi="仿宋" w:eastAsia="仿宋" w:cs="仿宋"/>
                <w:b/>
                <w:bCs/>
                <w:sz w:val="24"/>
              </w:rPr>
            </w:pPr>
            <w:r>
              <w:rPr>
                <w:rFonts w:hint="eastAsia" w:ascii="仿宋" w:hAnsi="仿宋" w:eastAsia="仿宋" w:cs="仿宋"/>
                <w:b/>
                <w:bCs/>
                <w:sz w:val="24"/>
                <w:lang w:val="en-US" w:eastAsia="zh-CN"/>
              </w:rPr>
              <w:t>备注</w:t>
            </w:r>
          </w:p>
        </w:tc>
      </w:tr>
      <w:tr w14:paraId="23D7899E">
        <w:tblPrEx>
          <w:tblCellMar>
            <w:top w:w="0" w:type="dxa"/>
            <w:left w:w="108" w:type="dxa"/>
            <w:bottom w:w="0" w:type="dxa"/>
            <w:right w:w="108" w:type="dxa"/>
          </w:tblCellMar>
        </w:tblPrEx>
        <w:trPr>
          <w:trHeight w:val="330" w:hRule="atLeast"/>
        </w:trPr>
        <w:tc>
          <w:tcPr>
            <w:tcW w:w="1063" w:type="dxa"/>
            <w:tcBorders>
              <w:top w:val="single" w:color="auto" w:sz="4" w:space="0"/>
              <w:left w:val="single" w:color="auto" w:sz="4" w:space="0"/>
              <w:bottom w:val="single" w:color="auto" w:sz="4" w:space="0"/>
              <w:right w:val="single" w:color="auto" w:sz="4" w:space="0"/>
            </w:tcBorders>
            <w:vAlign w:val="center"/>
          </w:tcPr>
          <w:p w14:paraId="7F497FA3">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c>
          <w:tcPr>
            <w:tcW w:w="2688" w:type="dxa"/>
            <w:tcBorders>
              <w:top w:val="single" w:color="auto" w:sz="4" w:space="0"/>
              <w:left w:val="single" w:color="auto" w:sz="4" w:space="0"/>
              <w:bottom w:val="single" w:color="auto" w:sz="4" w:space="0"/>
              <w:right w:val="single" w:color="auto" w:sz="4" w:space="0"/>
            </w:tcBorders>
            <w:vAlign w:val="center"/>
          </w:tcPr>
          <w:p w14:paraId="5E3D4927">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color w:val="000000"/>
                <w:kern w:val="0"/>
                <w:sz w:val="24"/>
                <w:szCs w:val="24"/>
                <w:lang w:val="en-US" w:eastAsia="zh-CN"/>
              </w:rPr>
              <w:t>紧凑型多功能清洁车</w:t>
            </w:r>
          </w:p>
        </w:tc>
        <w:tc>
          <w:tcPr>
            <w:tcW w:w="2515" w:type="dxa"/>
            <w:tcBorders>
              <w:top w:val="single" w:color="auto" w:sz="4" w:space="0"/>
              <w:left w:val="single" w:color="auto" w:sz="4" w:space="0"/>
              <w:bottom w:val="single" w:color="auto" w:sz="4" w:space="0"/>
              <w:right w:val="single" w:color="auto" w:sz="4" w:space="0"/>
            </w:tcBorders>
            <w:vAlign w:val="center"/>
          </w:tcPr>
          <w:p w14:paraId="35CD1788">
            <w:pPr>
              <w:widowControl/>
              <w:kinsoku/>
              <w:overflowPunct/>
              <w:topLinePunct w:val="0"/>
              <w:bidi w:val="0"/>
              <w:spacing w:line="5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2辆</w:t>
            </w:r>
          </w:p>
        </w:tc>
        <w:tc>
          <w:tcPr>
            <w:tcW w:w="2992" w:type="dxa"/>
            <w:vMerge w:val="restart"/>
            <w:tcBorders>
              <w:top w:val="single" w:color="auto" w:sz="4" w:space="0"/>
              <w:left w:val="single" w:color="auto" w:sz="4" w:space="0"/>
              <w:right w:val="single" w:color="auto" w:sz="4" w:space="0"/>
            </w:tcBorders>
            <w:vAlign w:val="center"/>
          </w:tcPr>
          <w:p w14:paraId="30557398">
            <w:pPr>
              <w:widowControl/>
              <w:tabs>
                <w:tab w:val="left" w:pos="870"/>
              </w:tabs>
              <w:kinsoku/>
              <w:overflowPunct/>
              <w:topLinePunct w:val="0"/>
              <w:bidi w:val="0"/>
              <w:spacing w:line="520" w:lineRule="exact"/>
              <w:jc w:val="left"/>
              <w:rPr>
                <w:rFonts w:hint="eastAsia" w:ascii="仿宋" w:hAnsi="仿宋" w:eastAsia="仿宋" w:cs="仿宋"/>
                <w:sz w:val="24"/>
                <w:lang w:val="en-US" w:eastAsia="zh-CN"/>
              </w:rPr>
            </w:pPr>
            <w:r>
              <w:rPr>
                <w:rFonts w:hint="eastAsia" w:ascii="仿宋" w:hAnsi="仿宋" w:eastAsia="仿宋" w:cs="仿宋"/>
                <w:kern w:val="0"/>
                <w:sz w:val="24"/>
                <w:szCs w:val="24"/>
                <w:lang w:val="en-US" w:eastAsia="zh-CN"/>
              </w:rPr>
              <w:t>包含折旧、能耗、维修、保养等使用设备的一切费用</w:t>
            </w:r>
          </w:p>
        </w:tc>
      </w:tr>
      <w:tr w14:paraId="6B424797">
        <w:tblPrEx>
          <w:tblCellMar>
            <w:top w:w="0" w:type="dxa"/>
            <w:left w:w="108" w:type="dxa"/>
            <w:bottom w:w="0" w:type="dxa"/>
            <w:right w:w="108" w:type="dxa"/>
          </w:tblCellMar>
        </w:tblPrEx>
        <w:trPr>
          <w:trHeight w:val="328" w:hRule="atLeast"/>
        </w:trPr>
        <w:tc>
          <w:tcPr>
            <w:tcW w:w="1063" w:type="dxa"/>
            <w:tcBorders>
              <w:top w:val="single" w:color="auto" w:sz="4" w:space="0"/>
              <w:left w:val="single" w:color="auto" w:sz="4" w:space="0"/>
              <w:bottom w:val="single" w:color="auto" w:sz="4" w:space="0"/>
              <w:right w:val="single" w:color="auto" w:sz="4" w:space="0"/>
            </w:tcBorders>
            <w:vAlign w:val="center"/>
          </w:tcPr>
          <w:p w14:paraId="3665C99B">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2688" w:type="dxa"/>
            <w:tcBorders>
              <w:top w:val="single" w:color="auto" w:sz="4" w:space="0"/>
              <w:left w:val="single" w:color="auto" w:sz="4" w:space="0"/>
              <w:bottom w:val="single" w:color="auto" w:sz="4" w:space="0"/>
              <w:right w:val="single" w:color="auto" w:sz="4" w:space="0"/>
            </w:tcBorders>
            <w:vAlign w:val="center"/>
          </w:tcPr>
          <w:p w14:paraId="2936FF88">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color w:val="000000"/>
                <w:kern w:val="0"/>
                <w:sz w:val="24"/>
                <w:szCs w:val="24"/>
                <w:lang w:val="en-US" w:eastAsia="zh-CN"/>
              </w:rPr>
              <w:t>驾驶式电动洗地吸干机</w:t>
            </w:r>
          </w:p>
        </w:tc>
        <w:tc>
          <w:tcPr>
            <w:tcW w:w="2515" w:type="dxa"/>
            <w:tcBorders>
              <w:top w:val="single" w:color="auto" w:sz="4" w:space="0"/>
              <w:left w:val="single" w:color="auto" w:sz="4" w:space="0"/>
              <w:bottom w:val="single" w:color="auto" w:sz="4" w:space="0"/>
              <w:right w:val="single" w:color="auto" w:sz="4" w:space="0"/>
            </w:tcBorders>
            <w:vAlign w:val="center"/>
          </w:tcPr>
          <w:p w14:paraId="2F992C55">
            <w:pPr>
              <w:widowControl/>
              <w:kinsoku/>
              <w:overflowPunct/>
              <w:topLinePunct w:val="0"/>
              <w:bidi w:val="0"/>
              <w:spacing w:line="5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2辆</w:t>
            </w:r>
          </w:p>
        </w:tc>
        <w:tc>
          <w:tcPr>
            <w:tcW w:w="2992" w:type="dxa"/>
            <w:vMerge w:val="continue"/>
            <w:tcBorders>
              <w:left w:val="single" w:color="auto" w:sz="4" w:space="0"/>
              <w:right w:val="single" w:color="auto" w:sz="4" w:space="0"/>
            </w:tcBorders>
            <w:vAlign w:val="center"/>
          </w:tcPr>
          <w:p w14:paraId="30AFCA95">
            <w:pPr>
              <w:widowControl/>
              <w:kinsoku/>
              <w:overflowPunct/>
              <w:topLinePunct w:val="0"/>
              <w:bidi w:val="0"/>
              <w:spacing w:line="520" w:lineRule="exact"/>
              <w:jc w:val="center"/>
              <w:rPr>
                <w:rFonts w:hint="eastAsia" w:ascii="仿宋" w:hAnsi="仿宋" w:eastAsia="仿宋" w:cs="仿宋"/>
                <w:sz w:val="24"/>
                <w:lang w:val="en-US" w:eastAsia="zh-CN"/>
              </w:rPr>
            </w:pPr>
          </w:p>
        </w:tc>
      </w:tr>
      <w:tr w14:paraId="0EC03AE7">
        <w:tblPrEx>
          <w:tblCellMar>
            <w:top w:w="0" w:type="dxa"/>
            <w:left w:w="108" w:type="dxa"/>
            <w:bottom w:w="0" w:type="dxa"/>
            <w:right w:w="108" w:type="dxa"/>
          </w:tblCellMar>
        </w:tblPrEx>
        <w:trPr>
          <w:trHeight w:val="413" w:hRule="atLeast"/>
        </w:trPr>
        <w:tc>
          <w:tcPr>
            <w:tcW w:w="1063" w:type="dxa"/>
            <w:tcBorders>
              <w:top w:val="single" w:color="auto" w:sz="4" w:space="0"/>
              <w:left w:val="single" w:color="auto" w:sz="4" w:space="0"/>
              <w:bottom w:val="single" w:color="auto" w:sz="4" w:space="0"/>
              <w:right w:val="single" w:color="auto" w:sz="4" w:space="0"/>
            </w:tcBorders>
            <w:vAlign w:val="center"/>
          </w:tcPr>
          <w:p w14:paraId="170CE74E">
            <w:pPr>
              <w:widowControl/>
              <w:kinsoku/>
              <w:overflowPunct/>
              <w:topLinePunct w:val="0"/>
              <w:bidi w:val="0"/>
              <w:spacing w:line="52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p>
        </w:tc>
        <w:tc>
          <w:tcPr>
            <w:tcW w:w="2688" w:type="dxa"/>
            <w:tcBorders>
              <w:top w:val="single" w:color="auto" w:sz="4" w:space="0"/>
              <w:left w:val="single" w:color="auto" w:sz="4" w:space="0"/>
              <w:bottom w:val="single" w:color="auto" w:sz="4" w:space="0"/>
              <w:right w:val="single" w:color="auto" w:sz="4" w:space="0"/>
            </w:tcBorders>
            <w:vAlign w:val="center"/>
          </w:tcPr>
          <w:p w14:paraId="6F6F59EF">
            <w:pPr>
              <w:widowControl/>
              <w:kinsoku/>
              <w:overflowPunct/>
              <w:topLinePunct w:val="0"/>
              <w:bidi w:val="0"/>
              <w:spacing w:line="520" w:lineRule="exact"/>
              <w:jc w:val="center"/>
              <w:rPr>
                <w:rFonts w:ascii="仿宋" w:hAnsi="仿宋" w:eastAsia="仿宋" w:cs="仿宋"/>
                <w:sz w:val="24"/>
                <w:highlight w:val="none"/>
              </w:rPr>
            </w:pPr>
            <w:r>
              <w:rPr>
                <w:rFonts w:hint="eastAsia" w:ascii="仿宋" w:hAnsi="仿宋" w:eastAsia="仿宋" w:cs="仿宋"/>
                <w:color w:val="000000"/>
                <w:kern w:val="0"/>
                <w:sz w:val="24"/>
                <w:szCs w:val="24"/>
                <w:highlight w:val="none"/>
                <w:lang w:val="en-US" w:eastAsia="zh-CN"/>
              </w:rPr>
              <w:t>小型汽车</w:t>
            </w:r>
          </w:p>
        </w:tc>
        <w:tc>
          <w:tcPr>
            <w:tcW w:w="2515" w:type="dxa"/>
            <w:tcBorders>
              <w:top w:val="single" w:color="auto" w:sz="4" w:space="0"/>
              <w:left w:val="single" w:color="auto" w:sz="4" w:space="0"/>
              <w:bottom w:val="single" w:color="auto" w:sz="4" w:space="0"/>
              <w:right w:val="single" w:color="auto" w:sz="4" w:space="0"/>
            </w:tcBorders>
            <w:vAlign w:val="center"/>
          </w:tcPr>
          <w:p w14:paraId="77AF97A5">
            <w:pPr>
              <w:widowControl/>
              <w:kinsoku/>
              <w:overflowPunct/>
              <w:topLinePunct w:val="0"/>
              <w:bidi w:val="0"/>
              <w:spacing w:line="5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1辆</w:t>
            </w:r>
          </w:p>
        </w:tc>
        <w:tc>
          <w:tcPr>
            <w:tcW w:w="2992" w:type="dxa"/>
            <w:vMerge w:val="continue"/>
            <w:tcBorders>
              <w:left w:val="single" w:color="auto" w:sz="4" w:space="0"/>
              <w:bottom w:val="single" w:color="auto" w:sz="4" w:space="0"/>
              <w:right w:val="single" w:color="auto" w:sz="4" w:space="0"/>
            </w:tcBorders>
            <w:vAlign w:val="center"/>
          </w:tcPr>
          <w:p w14:paraId="4F516BF5">
            <w:pPr>
              <w:widowControl/>
              <w:kinsoku/>
              <w:overflowPunct/>
              <w:topLinePunct w:val="0"/>
              <w:bidi w:val="0"/>
              <w:spacing w:line="520" w:lineRule="exact"/>
              <w:jc w:val="center"/>
              <w:rPr>
                <w:rFonts w:hint="eastAsia" w:ascii="仿宋" w:hAnsi="仿宋" w:eastAsia="仿宋" w:cs="仿宋"/>
                <w:sz w:val="24"/>
                <w:highlight w:val="none"/>
                <w:lang w:val="en-US" w:eastAsia="zh-CN"/>
              </w:rPr>
            </w:pPr>
          </w:p>
        </w:tc>
      </w:tr>
      <w:tr w14:paraId="6B8D9FEE">
        <w:tblPrEx>
          <w:tblCellMar>
            <w:top w:w="0" w:type="dxa"/>
            <w:left w:w="108" w:type="dxa"/>
            <w:bottom w:w="0" w:type="dxa"/>
            <w:right w:w="108" w:type="dxa"/>
          </w:tblCellMar>
        </w:tblPrEx>
        <w:trPr>
          <w:trHeight w:val="1036" w:hRule="atLeast"/>
        </w:trPr>
        <w:tc>
          <w:tcPr>
            <w:tcW w:w="9258" w:type="dxa"/>
            <w:gridSpan w:val="4"/>
            <w:tcBorders>
              <w:top w:val="single" w:color="auto" w:sz="4" w:space="0"/>
              <w:left w:val="single" w:color="auto" w:sz="4" w:space="0"/>
              <w:bottom w:val="single" w:color="auto" w:sz="4" w:space="0"/>
              <w:right w:val="single" w:color="auto" w:sz="4" w:space="0"/>
            </w:tcBorders>
            <w:vAlign w:val="center"/>
          </w:tcPr>
          <w:p w14:paraId="5B5B7A6D">
            <w:pPr>
              <w:kinsoku/>
              <w:overflowPunct/>
              <w:topLinePunct w:val="0"/>
              <w:bidi w:val="0"/>
              <w:spacing w:before="120" w:line="520" w:lineRule="exact"/>
              <w:jc w:val="left"/>
              <w:rPr>
                <w:rFonts w:ascii="仿宋" w:hAnsi="仿宋" w:eastAsia="仿宋" w:cs="仿宋"/>
                <w:sz w:val="24"/>
                <w:highlight w:val="none"/>
              </w:rPr>
            </w:pPr>
            <w:r>
              <w:rPr>
                <w:rFonts w:hint="eastAsia" w:ascii="仿宋" w:hAnsi="仿宋" w:eastAsia="仿宋" w:cs="仿宋"/>
                <w:sz w:val="24"/>
                <w:highlight w:val="none"/>
              </w:rPr>
              <w:t>注：本项目服务人员（除项目经理外）需求不少于</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人，</w:t>
            </w:r>
            <w:r>
              <w:rPr>
                <w:rFonts w:hint="eastAsia" w:ascii="仿宋" w:hAnsi="仿宋" w:eastAsia="仿宋" w:cs="仿宋"/>
                <w:color w:val="auto"/>
                <w:sz w:val="24"/>
                <w:highlight w:val="none"/>
              </w:rPr>
              <w:t>其中全日制大学本科及以上学历人员不少于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人</w:t>
            </w:r>
            <w:r>
              <w:rPr>
                <w:rFonts w:hint="eastAsia" w:ascii="仿宋" w:hAnsi="仿宋" w:eastAsia="仿宋" w:cs="仿宋"/>
                <w:sz w:val="24"/>
                <w:highlight w:val="none"/>
              </w:rPr>
              <w:t>，拥有B照及以上的驾驶员不少于</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人。提供服务的有关人员纳入</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人所属业务部门管理，遵守</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人的各项规章制度。</w:t>
            </w:r>
          </w:p>
        </w:tc>
      </w:tr>
      <w:bookmarkEnd w:id="10"/>
      <w:bookmarkEnd w:id="11"/>
    </w:tbl>
    <w:p w14:paraId="4ED6C595">
      <w:pPr>
        <w:pStyle w:val="3"/>
        <w:keepNext/>
        <w:keepLines/>
        <w:pageBreakBefore w:val="0"/>
        <w:widowControl w:val="0"/>
        <w:numPr>
          <w:ilvl w:val="1"/>
          <w:numId w:val="0"/>
        </w:numPr>
        <w:kinsoku/>
        <w:wordWrap/>
        <w:overflowPunct/>
        <w:topLinePunct w:val="0"/>
        <w:autoSpaceDE/>
        <w:autoSpaceDN/>
        <w:bidi w:val="0"/>
        <w:adjustRightInd/>
        <w:snapToGrid/>
        <w:spacing w:before="191" w:beforeLines="50" w:after="191" w:afterLines="50" w:line="520" w:lineRule="exact"/>
        <w:ind w:leftChars="0" w:firstLine="241" w:firstLineChars="100"/>
        <w:textAlignment w:val="auto"/>
        <w:rPr>
          <w:rFonts w:hint="eastAsia" w:ascii="仿宋" w:hAnsi="仿宋" w:eastAsia="仿宋" w:cs="仿宋"/>
          <w:sz w:val="24"/>
          <w:szCs w:val="24"/>
          <w:highlight w:val="none"/>
          <w:lang w:val="zh-CN"/>
        </w:rPr>
      </w:pPr>
      <w:bookmarkStart w:id="14" w:name="_Toc23843"/>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val="zh-CN"/>
        </w:rPr>
        <w:t>、商务条款</w:t>
      </w:r>
      <w:bookmarkEnd w:id="14"/>
    </w:p>
    <w:p w14:paraId="74590CB6">
      <w:pPr>
        <w:pStyle w:val="15"/>
        <w:kinsoku/>
        <w:overflowPunct/>
        <w:topLinePunct w:val="0"/>
        <w:bidi w:val="0"/>
        <w:spacing w:line="520" w:lineRule="exact"/>
        <w:ind w:firstLine="482" w:firstLineChars="200"/>
        <w:rPr>
          <w:rFonts w:ascii="仿宋" w:hAnsi="仿宋" w:eastAsia="仿宋" w:cs="仿宋"/>
          <w:b/>
          <w:sz w:val="24"/>
          <w:szCs w:val="24"/>
        </w:rPr>
      </w:pPr>
      <w:r>
        <w:rPr>
          <w:rFonts w:hint="eastAsia" w:ascii="仿宋" w:hAnsi="仿宋" w:eastAsia="仿宋" w:cs="仿宋"/>
          <w:b/>
          <w:sz w:val="24"/>
          <w:szCs w:val="24"/>
        </w:rPr>
        <w:t>1、履约保证金：无</w:t>
      </w:r>
    </w:p>
    <w:p w14:paraId="1419D5DA">
      <w:pPr>
        <w:kinsoku/>
        <w:overflowPunct/>
        <w:topLinePunct w:val="0"/>
        <w:bidi w:val="0"/>
        <w:spacing w:line="520" w:lineRule="exact"/>
        <w:ind w:firstLine="482" w:firstLineChars="200"/>
        <w:rPr>
          <w:rFonts w:eastAsia="仿宋"/>
          <w:highlight w:val="cyan"/>
        </w:rPr>
      </w:pPr>
      <w:r>
        <w:rPr>
          <w:rFonts w:hint="eastAsia" w:ascii="仿宋" w:hAnsi="仿宋" w:eastAsia="仿宋" w:cs="仿宋"/>
          <w:b/>
          <w:sz w:val="24"/>
        </w:rPr>
        <w:t>2、付款方式</w:t>
      </w:r>
      <w:r>
        <w:rPr>
          <w:rFonts w:hint="eastAsia" w:ascii="仿宋" w:hAnsi="仿宋" w:eastAsia="仿宋" w:cs="仿宋"/>
          <w:bCs/>
          <w:sz w:val="24"/>
        </w:rPr>
        <w:t>：</w:t>
      </w:r>
      <w:r>
        <w:rPr>
          <w:rFonts w:hint="eastAsia" w:ascii="仿宋" w:hAnsi="仿宋" w:eastAsia="仿宋" w:cs="仿宋"/>
          <w:sz w:val="24"/>
        </w:rPr>
        <w:t>根据《保障中小企业款项支付条例》、省财政厅《关于进一步发挥政府采购政策功能全力推动经济稳进提质的通知》（浙财采监【2022】3 号）要求，制订如下付款方式：</w:t>
      </w:r>
    </w:p>
    <w:tbl>
      <w:tblPr>
        <w:tblStyle w:val="26"/>
        <w:tblW w:w="5263" w:type="pct"/>
        <w:tblInd w:w="-323" w:type="dxa"/>
        <w:tblLayout w:type="fixed"/>
        <w:tblCellMar>
          <w:top w:w="0" w:type="dxa"/>
          <w:left w:w="108" w:type="dxa"/>
          <w:bottom w:w="0" w:type="dxa"/>
          <w:right w:w="108" w:type="dxa"/>
        </w:tblCellMar>
      </w:tblPr>
      <w:tblGrid>
        <w:gridCol w:w="771"/>
        <w:gridCol w:w="2649"/>
        <w:gridCol w:w="2685"/>
        <w:gridCol w:w="3847"/>
      </w:tblGrid>
      <w:tr w14:paraId="79681B25">
        <w:tblPrEx>
          <w:tblCellMar>
            <w:top w:w="0" w:type="dxa"/>
            <w:left w:w="108" w:type="dxa"/>
            <w:bottom w:w="0" w:type="dxa"/>
            <w:right w:w="108" w:type="dxa"/>
          </w:tblCellMar>
        </w:tblPrEx>
        <w:trPr>
          <w:trHeight w:val="385" w:hRule="atLeast"/>
        </w:trPr>
        <w:tc>
          <w:tcPr>
            <w:tcW w:w="387" w:type="pct"/>
            <w:tcBorders>
              <w:top w:val="single" w:color="auto" w:sz="4" w:space="0"/>
              <w:left w:val="single" w:color="auto" w:sz="4" w:space="0"/>
              <w:bottom w:val="single" w:color="auto" w:sz="4" w:space="0"/>
              <w:right w:val="single" w:color="auto" w:sz="4" w:space="0"/>
            </w:tcBorders>
            <w:noWrap/>
            <w:vAlign w:val="center"/>
          </w:tcPr>
          <w:p w14:paraId="7D404EBF">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序号</w:t>
            </w:r>
          </w:p>
        </w:tc>
        <w:tc>
          <w:tcPr>
            <w:tcW w:w="1330" w:type="pct"/>
            <w:tcBorders>
              <w:top w:val="single" w:color="auto" w:sz="4" w:space="0"/>
              <w:left w:val="nil"/>
              <w:bottom w:val="single" w:color="auto" w:sz="4" w:space="0"/>
              <w:right w:val="single" w:color="auto" w:sz="4" w:space="0"/>
            </w:tcBorders>
            <w:noWrap/>
            <w:vAlign w:val="center"/>
          </w:tcPr>
          <w:p w14:paraId="328A0CF1">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支付时间</w:t>
            </w:r>
          </w:p>
        </w:tc>
        <w:tc>
          <w:tcPr>
            <w:tcW w:w="1349" w:type="pct"/>
            <w:tcBorders>
              <w:top w:val="single" w:color="auto" w:sz="4" w:space="0"/>
              <w:left w:val="nil"/>
              <w:bottom w:val="single" w:color="auto" w:sz="4" w:space="0"/>
              <w:right w:val="single" w:color="auto" w:sz="4" w:space="0"/>
            </w:tcBorders>
            <w:noWrap/>
            <w:vAlign w:val="center"/>
          </w:tcPr>
          <w:p w14:paraId="687B4072">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支付比例</w:t>
            </w:r>
          </w:p>
        </w:tc>
        <w:tc>
          <w:tcPr>
            <w:tcW w:w="1932" w:type="pct"/>
            <w:tcBorders>
              <w:top w:val="single" w:color="auto" w:sz="4" w:space="0"/>
              <w:left w:val="nil"/>
              <w:bottom w:val="single" w:color="auto" w:sz="4" w:space="0"/>
              <w:right w:val="single" w:color="auto" w:sz="4" w:space="0"/>
            </w:tcBorders>
            <w:noWrap/>
            <w:vAlign w:val="center"/>
          </w:tcPr>
          <w:p w14:paraId="159F467C">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备注</w:t>
            </w:r>
          </w:p>
        </w:tc>
      </w:tr>
      <w:tr w14:paraId="6A066BB0">
        <w:tblPrEx>
          <w:tblCellMar>
            <w:top w:w="0" w:type="dxa"/>
            <w:left w:w="108" w:type="dxa"/>
            <w:bottom w:w="0" w:type="dxa"/>
            <w:right w:w="108" w:type="dxa"/>
          </w:tblCellMar>
        </w:tblPrEx>
        <w:trPr>
          <w:trHeight w:val="567" w:hRule="atLeast"/>
        </w:trPr>
        <w:tc>
          <w:tcPr>
            <w:tcW w:w="387" w:type="pct"/>
            <w:tcBorders>
              <w:top w:val="nil"/>
              <w:left w:val="single" w:color="auto" w:sz="4" w:space="0"/>
              <w:bottom w:val="single" w:color="auto" w:sz="4" w:space="0"/>
              <w:right w:val="single" w:color="auto" w:sz="4" w:space="0"/>
            </w:tcBorders>
            <w:noWrap/>
            <w:vAlign w:val="center"/>
          </w:tcPr>
          <w:p w14:paraId="30119AE0">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1</w:t>
            </w:r>
          </w:p>
        </w:tc>
        <w:tc>
          <w:tcPr>
            <w:tcW w:w="1330" w:type="pct"/>
            <w:tcBorders>
              <w:top w:val="nil"/>
              <w:left w:val="nil"/>
              <w:bottom w:val="single" w:color="auto" w:sz="4" w:space="0"/>
              <w:right w:val="single" w:color="auto" w:sz="4" w:space="0"/>
            </w:tcBorders>
            <w:noWrap/>
            <w:vAlign w:val="center"/>
          </w:tcPr>
          <w:p w14:paraId="6460A36E">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合同签订之日后七个工作日内（预付款）</w:t>
            </w:r>
          </w:p>
        </w:tc>
        <w:tc>
          <w:tcPr>
            <w:tcW w:w="1349" w:type="pct"/>
            <w:tcBorders>
              <w:top w:val="nil"/>
              <w:left w:val="nil"/>
              <w:bottom w:val="single" w:color="auto" w:sz="4" w:space="0"/>
              <w:right w:val="single" w:color="auto" w:sz="4" w:space="0"/>
            </w:tcBorders>
            <w:noWrap/>
            <w:vAlign w:val="center"/>
          </w:tcPr>
          <w:p w14:paraId="63D87357">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年合同金额的40%</w:t>
            </w:r>
          </w:p>
        </w:tc>
        <w:tc>
          <w:tcPr>
            <w:tcW w:w="1932" w:type="pct"/>
            <w:tcBorders>
              <w:top w:val="nil"/>
              <w:left w:val="nil"/>
              <w:bottom w:val="single" w:color="auto" w:sz="4" w:space="0"/>
              <w:right w:val="single" w:color="auto" w:sz="4" w:space="0"/>
            </w:tcBorders>
            <w:vAlign w:val="center"/>
          </w:tcPr>
          <w:p w14:paraId="038CF725">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w:t>
            </w:r>
          </w:p>
        </w:tc>
      </w:tr>
      <w:tr w14:paraId="1D8A01F8">
        <w:tblPrEx>
          <w:tblCellMar>
            <w:top w:w="0" w:type="dxa"/>
            <w:left w:w="108" w:type="dxa"/>
            <w:bottom w:w="0" w:type="dxa"/>
            <w:right w:w="108" w:type="dxa"/>
          </w:tblCellMar>
        </w:tblPrEx>
        <w:trPr>
          <w:trHeight w:val="567" w:hRule="atLeast"/>
        </w:trPr>
        <w:tc>
          <w:tcPr>
            <w:tcW w:w="387" w:type="pct"/>
            <w:tcBorders>
              <w:top w:val="nil"/>
              <w:left w:val="single" w:color="auto" w:sz="4" w:space="0"/>
              <w:bottom w:val="single" w:color="auto" w:sz="4" w:space="0"/>
              <w:right w:val="single" w:color="auto" w:sz="4" w:space="0"/>
            </w:tcBorders>
            <w:noWrap/>
            <w:vAlign w:val="center"/>
          </w:tcPr>
          <w:p w14:paraId="2ACA4648">
            <w:pPr>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2649" w:type="dxa"/>
            <w:tcBorders>
              <w:top w:val="single" w:color="auto" w:sz="4" w:space="0"/>
              <w:left w:val="nil"/>
              <w:bottom w:val="single" w:color="auto" w:sz="4" w:space="0"/>
              <w:right w:val="single" w:color="auto" w:sz="4" w:space="0"/>
            </w:tcBorders>
            <w:noWrap/>
            <w:vAlign w:val="center"/>
          </w:tcPr>
          <w:p w14:paraId="615B516F">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月31日前</w:t>
            </w:r>
          </w:p>
        </w:tc>
        <w:tc>
          <w:tcPr>
            <w:tcW w:w="1349" w:type="pct"/>
            <w:tcBorders>
              <w:top w:val="single" w:color="auto" w:sz="4" w:space="0"/>
              <w:left w:val="nil"/>
              <w:bottom w:val="single" w:color="auto" w:sz="4" w:space="0"/>
              <w:right w:val="single" w:color="auto" w:sz="4" w:space="0"/>
            </w:tcBorders>
            <w:noWrap/>
            <w:vAlign w:val="center"/>
          </w:tcPr>
          <w:p w14:paraId="16B2F4F9">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10</w:t>
            </w:r>
            <w:r>
              <w:rPr>
                <w:rFonts w:hint="eastAsia" w:ascii="仿宋" w:hAnsi="仿宋" w:eastAsia="仿宋" w:cs="仿宋"/>
                <w:sz w:val="24"/>
              </w:rPr>
              <w:t>%</w:t>
            </w:r>
          </w:p>
        </w:tc>
        <w:tc>
          <w:tcPr>
            <w:tcW w:w="1932" w:type="pct"/>
            <w:tcBorders>
              <w:top w:val="single" w:color="auto" w:sz="4" w:space="0"/>
              <w:left w:val="nil"/>
              <w:bottom w:val="single" w:color="auto" w:sz="4" w:space="0"/>
              <w:right w:val="single" w:color="auto" w:sz="4" w:space="0"/>
            </w:tcBorders>
            <w:vAlign w:val="center"/>
          </w:tcPr>
          <w:p w14:paraId="62FC3310">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r w14:paraId="1AC302AB">
        <w:tblPrEx>
          <w:tblCellMar>
            <w:top w:w="0" w:type="dxa"/>
            <w:left w:w="108" w:type="dxa"/>
            <w:bottom w:w="0" w:type="dxa"/>
            <w:right w:w="108" w:type="dxa"/>
          </w:tblCellMar>
        </w:tblPrEx>
        <w:trPr>
          <w:trHeight w:val="567" w:hRule="atLeast"/>
        </w:trPr>
        <w:tc>
          <w:tcPr>
            <w:tcW w:w="387" w:type="pct"/>
            <w:tcBorders>
              <w:top w:val="nil"/>
              <w:left w:val="single" w:color="auto" w:sz="4" w:space="0"/>
              <w:bottom w:val="single" w:color="auto" w:sz="4" w:space="0"/>
              <w:right w:val="single" w:color="auto" w:sz="4" w:space="0"/>
            </w:tcBorders>
            <w:noWrap/>
            <w:vAlign w:val="center"/>
          </w:tcPr>
          <w:p w14:paraId="6543AECE">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4</w:t>
            </w:r>
          </w:p>
        </w:tc>
        <w:tc>
          <w:tcPr>
            <w:tcW w:w="2649" w:type="dxa"/>
            <w:tcBorders>
              <w:top w:val="single" w:color="auto" w:sz="4" w:space="0"/>
              <w:left w:val="nil"/>
              <w:bottom w:val="single" w:color="auto" w:sz="4" w:space="0"/>
              <w:right w:val="single" w:color="auto" w:sz="4" w:space="0"/>
            </w:tcBorders>
            <w:noWrap/>
            <w:vAlign w:val="center"/>
          </w:tcPr>
          <w:p w14:paraId="60E8AFED">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日前</w:t>
            </w:r>
          </w:p>
        </w:tc>
        <w:tc>
          <w:tcPr>
            <w:tcW w:w="1349" w:type="pct"/>
            <w:tcBorders>
              <w:top w:val="single" w:color="auto" w:sz="4" w:space="0"/>
              <w:left w:val="nil"/>
              <w:bottom w:val="single" w:color="auto" w:sz="4" w:space="0"/>
              <w:right w:val="single" w:color="auto" w:sz="4" w:space="0"/>
            </w:tcBorders>
            <w:noWrap/>
            <w:vAlign w:val="center"/>
          </w:tcPr>
          <w:p w14:paraId="34149D06">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25</w:t>
            </w:r>
            <w:r>
              <w:rPr>
                <w:rFonts w:hint="eastAsia" w:ascii="仿宋" w:hAnsi="仿宋" w:eastAsia="仿宋" w:cs="仿宋"/>
                <w:sz w:val="24"/>
              </w:rPr>
              <w:t>%</w:t>
            </w:r>
          </w:p>
        </w:tc>
        <w:tc>
          <w:tcPr>
            <w:tcW w:w="1932" w:type="pct"/>
            <w:tcBorders>
              <w:top w:val="single" w:color="auto" w:sz="4" w:space="0"/>
              <w:left w:val="nil"/>
              <w:bottom w:val="single" w:color="auto" w:sz="4" w:space="0"/>
              <w:right w:val="single" w:color="auto" w:sz="4" w:space="0"/>
            </w:tcBorders>
            <w:vAlign w:val="center"/>
          </w:tcPr>
          <w:p w14:paraId="37764C25">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r w14:paraId="7D3EF1F6">
        <w:tblPrEx>
          <w:tblCellMar>
            <w:top w:w="0" w:type="dxa"/>
            <w:left w:w="108" w:type="dxa"/>
            <w:bottom w:w="0" w:type="dxa"/>
            <w:right w:w="108" w:type="dxa"/>
          </w:tblCellMar>
        </w:tblPrEx>
        <w:trPr>
          <w:trHeight w:val="567" w:hRule="atLeast"/>
        </w:trPr>
        <w:tc>
          <w:tcPr>
            <w:tcW w:w="387" w:type="pct"/>
            <w:tcBorders>
              <w:top w:val="nil"/>
              <w:left w:val="single" w:color="auto" w:sz="4" w:space="0"/>
              <w:bottom w:val="single" w:color="auto" w:sz="4" w:space="0"/>
              <w:right w:val="single" w:color="auto" w:sz="4" w:space="0"/>
            </w:tcBorders>
            <w:noWrap/>
            <w:vAlign w:val="center"/>
          </w:tcPr>
          <w:p w14:paraId="0177F097">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5</w:t>
            </w:r>
          </w:p>
        </w:tc>
        <w:tc>
          <w:tcPr>
            <w:tcW w:w="2649" w:type="dxa"/>
            <w:tcBorders>
              <w:top w:val="single" w:color="auto" w:sz="4" w:space="0"/>
              <w:left w:val="nil"/>
              <w:bottom w:val="single" w:color="auto" w:sz="4" w:space="0"/>
              <w:right w:val="single" w:color="auto" w:sz="4" w:space="0"/>
            </w:tcBorders>
            <w:noWrap/>
            <w:vAlign w:val="center"/>
          </w:tcPr>
          <w:p w14:paraId="4B816D97">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日前</w:t>
            </w:r>
          </w:p>
        </w:tc>
        <w:tc>
          <w:tcPr>
            <w:tcW w:w="1349" w:type="pct"/>
            <w:tcBorders>
              <w:top w:val="single" w:color="auto" w:sz="4" w:space="0"/>
              <w:left w:val="nil"/>
              <w:bottom w:val="single" w:color="auto" w:sz="4" w:space="0"/>
              <w:right w:val="single" w:color="auto" w:sz="4" w:space="0"/>
            </w:tcBorders>
            <w:noWrap/>
            <w:vAlign w:val="center"/>
          </w:tcPr>
          <w:p w14:paraId="0477F799">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25</w:t>
            </w:r>
            <w:r>
              <w:rPr>
                <w:rFonts w:hint="eastAsia" w:ascii="仿宋" w:hAnsi="仿宋" w:eastAsia="仿宋" w:cs="仿宋"/>
                <w:sz w:val="24"/>
              </w:rPr>
              <w:t>%</w:t>
            </w:r>
          </w:p>
        </w:tc>
        <w:tc>
          <w:tcPr>
            <w:tcW w:w="1932" w:type="pct"/>
            <w:tcBorders>
              <w:top w:val="single" w:color="auto" w:sz="4" w:space="0"/>
              <w:left w:val="nil"/>
              <w:bottom w:val="single" w:color="auto" w:sz="4" w:space="0"/>
              <w:right w:val="single" w:color="auto" w:sz="4" w:space="0"/>
            </w:tcBorders>
            <w:vAlign w:val="center"/>
          </w:tcPr>
          <w:p w14:paraId="125932A2">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bl>
    <w:p w14:paraId="7AAF188F">
      <w:pPr>
        <w:pStyle w:val="15"/>
        <w:kinsoku/>
        <w:overflowPunct/>
        <w:topLinePunct w:val="0"/>
        <w:bidi w:val="0"/>
        <w:spacing w:line="520" w:lineRule="exact"/>
        <w:ind w:firstLine="482" w:firstLineChars="200"/>
        <w:rPr>
          <w:rFonts w:ascii="仿宋" w:hAnsi="仿宋" w:eastAsia="仿宋" w:cs="仿宋"/>
          <w:b/>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u w:val="single"/>
          <w:lang w:eastAsia="zh-CN"/>
        </w:rPr>
        <w:t>成交供应商</w:t>
      </w:r>
      <w:r>
        <w:rPr>
          <w:rFonts w:hint="eastAsia" w:ascii="仿宋" w:hAnsi="仿宋" w:eastAsia="仿宋" w:cs="仿宋"/>
          <w:b/>
          <w:bCs/>
          <w:sz w:val="24"/>
          <w:szCs w:val="24"/>
          <w:u w:val="single"/>
        </w:rPr>
        <w:t>明确表示无需预付款或者主动要求降低预付款比例的，采购合同可不适用前述规定</w:t>
      </w:r>
      <w:r>
        <w:rPr>
          <w:rFonts w:hint="eastAsia" w:ascii="仿宋" w:hAnsi="仿宋" w:eastAsia="仿宋" w:cs="仿宋"/>
          <w:b/>
          <w:bCs/>
          <w:sz w:val="24"/>
          <w:szCs w:val="24"/>
        </w:rPr>
        <w:t>。</w:t>
      </w:r>
    </w:p>
    <w:p w14:paraId="6B220E4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sz w:val="24"/>
          <w:szCs w:val="24"/>
        </w:rPr>
        <w:t>3、投标报价：</w:t>
      </w:r>
      <w:r>
        <w:rPr>
          <w:rFonts w:hint="eastAsia" w:ascii="仿宋" w:hAnsi="仿宋" w:eastAsia="仿宋" w:cs="仿宋"/>
          <w:bCs/>
          <w:sz w:val="24"/>
          <w:szCs w:val="24"/>
        </w:rPr>
        <w:t>供应商的投标报价应包含所有服务人员的人均保障及供应商管理费用等完成本项目所需的一切费用，凡未列入的，将被视为均已包含在投标报价中。</w:t>
      </w:r>
    </w:p>
    <w:p w14:paraId="1CF36345">
      <w:pPr>
        <w:pStyle w:val="15"/>
        <w:kinsoku/>
        <w:overflowPunct/>
        <w:topLinePunct w:val="0"/>
        <w:bidi w:val="0"/>
        <w:spacing w:line="520" w:lineRule="exact"/>
        <w:rPr>
          <w:rFonts w:ascii="仿宋" w:hAnsi="仿宋" w:eastAsia="仿宋" w:cs="仿宋"/>
          <w:b/>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、考核标准：</w:t>
      </w:r>
    </w:p>
    <w:p w14:paraId="0E328002">
      <w:pPr>
        <w:kinsoku/>
        <w:overflowPunct/>
        <w:topLinePunct w:val="0"/>
        <w:bidi w:val="0"/>
        <w:spacing w:line="5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招标范围内所有作业需严格按照《湖州市市容环境卫生管理中心环卫作业管理和质量考核办法》</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详见附件</w:t>
      </w:r>
      <w:r>
        <w:rPr>
          <w:rFonts w:hint="eastAsia" w:ascii="仿宋" w:hAnsi="仿宋" w:eastAsia="仿宋" w:cs="仿宋"/>
          <w:color w:val="auto"/>
          <w:sz w:val="24"/>
          <w:lang w:eastAsia="zh-CN"/>
        </w:rPr>
        <w:t>）</w:t>
      </w:r>
      <w:r>
        <w:rPr>
          <w:rFonts w:hint="eastAsia" w:ascii="仿宋" w:hAnsi="仿宋" w:eastAsia="仿宋" w:cs="仿宋"/>
          <w:color w:val="auto"/>
          <w:sz w:val="24"/>
        </w:rPr>
        <w:t>及配套环卫作业管理和质量考核的规定（以下统称“考核相关规定”）执行。如采购人为提高环卫作业质量对考核办法进行补充更改，由此引起的与原考核办法、标准等内容不一致的条文以最后发文日期规定为准。</w:t>
      </w:r>
    </w:p>
    <w:p w14:paraId="3A1FA29F">
      <w:pPr>
        <w:kinsoku/>
        <w:overflowPunct/>
        <w:topLinePunct w:val="0"/>
        <w:bidi w:val="0"/>
        <w:spacing w:line="520" w:lineRule="exact"/>
        <w:ind w:firstLine="480" w:firstLineChars="200"/>
        <w:rPr>
          <w:rFonts w:hint="eastAsia" w:ascii="仿宋" w:hAnsi="仿宋" w:eastAsia="仿宋" w:cs="仿宋"/>
          <w:color w:val="0000FF"/>
          <w:sz w:val="24"/>
        </w:rPr>
      </w:pPr>
      <w:r>
        <w:rPr>
          <w:rFonts w:hint="eastAsia" w:ascii="仿宋" w:hAnsi="仿宋" w:eastAsia="仿宋" w:cs="仿宋"/>
          <w:color w:val="auto"/>
          <w:sz w:val="24"/>
        </w:rPr>
        <w:t>采购人将按照考核相关规定对中标供应商进行月度考核及结果应用。采购人有权在服务期内对上述规定进行修改，采购人应征求中标供应商意见，中标供应商须积极配合并执行。</w:t>
      </w:r>
    </w:p>
    <w:p w14:paraId="426EA154">
      <w:pPr>
        <w:pStyle w:val="15"/>
        <w:kinsoku/>
        <w:overflowPunct/>
        <w:topLinePunct w:val="0"/>
        <w:bidi w:val="0"/>
        <w:spacing w:line="520" w:lineRule="exact"/>
        <w:rPr>
          <w:rFonts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w:t>
      </w:r>
      <w:r>
        <w:rPr>
          <w:rFonts w:hint="eastAsia" w:ascii="仿宋" w:hAnsi="仿宋" w:eastAsia="仿宋" w:cs="仿宋"/>
          <w:b/>
          <w:sz w:val="24"/>
          <w:szCs w:val="24"/>
          <w:lang w:val="en-US" w:eastAsia="zh-CN"/>
        </w:rPr>
        <w:t>其他</w:t>
      </w:r>
      <w:r>
        <w:rPr>
          <w:rFonts w:hint="eastAsia" w:ascii="仿宋" w:hAnsi="仿宋" w:eastAsia="仿宋" w:cs="仿宋"/>
          <w:b/>
          <w:sz w:val="24"/>
          <w:szCs w:val="24"/>
        </w:rPr>
        <w:t>：</w:t>
      </w:r>
    </w:p>
    <w:p w14:paraId="149613CD">
      <w:pPr>
        <w:kinsoku/>
        <w:overflowPunct/>
        <w:topLinePunct w:val="0"/>
        <w:bidi w:val="0"/>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lang w:eastAsia="zh-CN"/>
        </w:rPr>
        <w:t>成交供应商</w:t>
      </w:r>
      <w:r>
        <w:rPr>
          <w:rFonts w:hint="eastAsia" w:ascii="仿宋" w:hAnsi="仿宋" w:eastAsia="仿宋" w:cs="仿宋"/>
          <w:sz w:val="24"/>
        </w:rPr>
        <w:t>对本项目所聘用人员的工资按时发放，标准按照《关于进一步改善环卫工人工作生活条件促进共同富裕的若干意见》（湖建发〔2021〕58号）和其他政府相关部门发文要求执行。在履约期间内，如遇政策性调整最低工资标准或其他收入待遇标准的，采购人根据</w:t>
      </w:r>
      <w:r>
        <w:rPr>
          <w:rFonts w:hint="eastAsia" w:ascii="仿宋" w:hAnsi="仿宋" w:eastAsia="仿宋" w:cs="仿宋"/>
          <w:sz w:val="24"/>
          <w:lang w:eastAsia="zh-CN"/>
        </w:rPr>
        <w:t>成交供应商</w:t>
      </w:r>
      <w:r>
        <w:rPr>
          <w:rFonts w:hint="eastAsia" w:ascii="仿宋" w:hAnsi="仿宋" w:eastAsia="仿宋" w:cs="仿宋"/>
          <w:sz w:val="24"/>
        </w:rPr>
        <w:t>用于本项目的实际平均在岗人数予以补足因此而增加的人员经费。</w:t>
      </w:r>
    </w:p>
    <w:p w14:paraId="2F34F00C">
      <w:pPr>
        <w:kinsoku/>
        <w:overflowPunct/>
        <w:topLinePunct w:val="0"/>
        <w:bidi w:val="0"/>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lang w:eastAsia="zh-CN"/>
        </w:rPr>
        <w:t>成交供应商</w:t>
      </w:r>
      <w:r>
        <w:rPr>
          <w:rFonts w:hint="eastAsia" w:ascii="仿宋" w:hAnsi="仿宋" w:eastAsia="仿宋" w:cs="仿宋"/>
          <w:sz w:val="24"/>
        </w:rPr>
        <w:t>环卫工作人员年龄应该为18周岁及以上具有劳动行为能力。</w:t>
      </w:r>
      <w:r>
        <w:rPr>
          <w:rFonts w:hint="eastAsia" w:ascii="仿宋" w:hAnsi="仿宋" w:eastAsia="仿宋" w:cs="仿宋"/>
          <w:sz w:val="24"/>
          <w:lang w:val="en-US" w:eastAsia="zh-CN"/>
        </w:rPr>
        <w:t>成交</w:t>
      </w:r>
      <w:r>
        <w:rPr>
          <w:rFonts w:hint="eastAsia" w:ascii="仿宋" w:hAnsi="仿宋" w:eastAsia="仿宋" w:cs="仿宋"/>
          <w:sz w:val="24"/>
        </w:rPr>
        <w:t>供应商对本项目所聘人员的加班费、高温费、过节费（包括环卫节、春节福利等）等须按照法律法规、政策文件规定足额发放到位。</w:t>
      </w:r>
      <w:r>
        <w:rPr>
          <w:rFonts w:hint="eastAsia" w:ascii="仿宋" w:hAnsi="仿宋" w:eastAsia="仿宋" w:cs="仿宋"/>
          <w:sz w:val="24"/>
          <w:lang w:val="en-US" w:eastAsia="zh-CN"/>
        </w:rPr>
        <w:t>成交</w:t>
      </w:r>
      <w:r>
        <w:rPr>
          <w:rFonts w:hint="eastAsia" w:ascii="仿宋" w:hAnsi="仿宋" w:eastAsia="仿宋" w:cs="仿宋"/>
          <w:sz w:val="24"/>
        </w:rPr>
        <w:t>供应商须对本项目所聘所有人员购买工伤保险（或雇主险）和意外伤害保险，保障额度不低于80万元/年/人；对所有用于本项目的不能上牌车辆购买公众责任保险，保障额度不低于80万元/年/车。</w:t>
      </w:r>
    </w:p>
    <w:p w14:paraId="6F0EED86">
      <w:pPr>
        <w:kinsoku/>
        <w:overflowPunct/>
        <w:topLinePunct w:val="0"/>
        <w:bidi w:val="0"/>
        <w:spacing w:line="520" w:lineRule="exact"/>
        <w:ind w:firstLine="480" w:firstLineChars="200"/>
        <w:rPr>
          <w:rFonts w:hint="eastAsia" w:ascii="仿宋" w:hAnsi="仿宋" w:eastAsia="仿宋" w:cs="仿宋"/>
          <w:sz w:val="24"/>
        </w:rPr>
      </w:pPr>
    </w:p>
    <w:p w14:paraId="3A268DAA">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2E768DDA">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4B6D0546">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755076DA">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5D8BB531">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77F0549C">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27E27EF7">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p>
    <w:p w14:paraId="7A93FA84">
      <w:pPr>
        <w:widowControl/>
        <w:kinsoku/>
        <w:overflowPunct/>
        <w:topLinePunct w:val="0"/>
        <w:bidi w:val="0"/>
        <w:spacing w:line="520" w:lineRule="exact"/>
        <w:ind w:right="60"/>
        <w:jc w:val="both"/>
        <w:outlineLvl w:val="0"/>
        <w:rPr>
          <w:rFonts w:hint="eastAsia" w:ascii="仿宋" w:hAnsi="仿宋" w:eastAsia="仿宋" w:cs="仿宋"/>
          <w:b/>
          <w:color w:val="auto"/>
          <w:sz w:val="36"/>
          <w:szCs w:val="36"/>
          <w:highlight w:val="none"/>
        </w:rPr>
      </w:pPr>
    </w:p>
    <w:p w14:paraId="3EBDFB90">
      <w:pPr>
        <w:widowControl/>
        <w:kinsoku/>
        <w:overflowPunct/>
        <w:topLinePunct w:val="0"/>
        <w:bidi w:val="0"/>
        <w:spacing w:line="520" w:lineRule="exact"/>
        <w:ind w:right="60"/>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第三章  供应商须知</w:t>
      </w:r>
      <w:bookmarkEnd w:id="1"/>
    </w:p>
    <w:p w14:paraId="094D70CD">
      <w:pPr>
        <w:pStyle w:val="3"/>
        <w:kinsoku/>
        <w:overflowPunct/>
        <w:topLinePunct w:val="0"/>
        <w:bidi w:val="0"/>
        <w:spacing w:line="520" w:lineRule="exact"/>
        <w:jc w:val="center"/>
        <w:rPr>
          <w:rFonts w:hint="eastAsia" w:ascii="仿宋" w:hAnsi="仿宋" w:eastAsia="仿宋" w:cs="仿宋"/>
          <w:color w:val="auto"/>
          <w:sz w:val="24"/>
          <w:szCs w:val="24"/>
          <w:highlight w:val="none"/>
        </w:rPr>
      </w:pPr>
      <w:bookmarkStart w:id="15" w:name="_Toc452995895"/>
      <w:r>
        <w:rPr>
          <w:rFonts w:hint="eastAsia" w:ascii="仿宋" w:hAnsi="仿宋" w:eastAsia="仿宋" w:cs="仿宋"/>
          <w:color w:val="auto"/>
          <w:sz w:val="24"/>
          <w:szCs w:val="24"/>
          <w:highlight w:val="none"/>
        </w:rPr>
        <w:t>前 附 表</w:t>
      </w:r>
      <w:bookmarkEnd w:id="15"/>
    </w:p>
    <w:tbl>
      <w:tblPr>
        <w:tblStyle w:val="26"/>
        <w:tblW w:w="99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736"/>
        <w:gridCol w:w="7512"/>
      </w:tblGrid>
      <w:tr w14:paraId="4A6BB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68FEA06">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36" w:type="dxa"/>
            <w:tcBorders>
              <w:top w:val="single" w:color="auto" w:sz="4" w:space="0"/>
              <w:left w:val="single" w:color="auto" w:sz="4" w:space="0"/>
              <w:bottom w:val="single" w:color="auto" w:sz="4" w:space="0"/>
              <w:right w:val="single" w:color="auto" w:sz="4" w:space="0"/>
            </w:tcBorders>
            <w:noWrap/>
            <w:vAlign w:val="center"/>
          </w:tcPr>
          <w:p w14:paraId="5D3BD0F0">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w:t>
            </w:r>
          </w:p>
        </w:tc>
        <w:tc>
          <w:tcPr>
            <w:tcW w:w="7512" w:type="dxa"/>
            <w:tcBorders>
              <w:top w:val="single" w:color="auto" w:sz="4" w:space="0"/>
              <w:left w:val="single" w:color="auto" w:sz="4" w:space="0"/>
              <w:bottom w:val="single" w:color="auto" w:sz="4" w:space="0"/>
              <w:right w:val="single" w:color="auto" w:sz="4" w:space="0"/>
            </w:tcBorders>
            <w:noWrap/>
            <w:vAlign w:val="center"/>
          </w:tcPr>
          <w:p w14:paraId="77C60850">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内容与要求</w:t>
            </w:r>
          </w:p>
        </w:tc>
      </w:tr>
      <w:tr w14:paraId="4C4C5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C18BD6">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36" w:type="dxa"/>
            <w:tcBorders>
              <w:top w:val="single" w:color="auto" w:sz="4" w:space="0"/>
              <w:left w:val="single" w:color="auto" w:sz="4" w:space="0"/>
              <w:bottom w:val="single" w:color="auto" w:sz="4" w:space="0"/>
              <w:right w:val="single" w:color="auto" w:sz="4" w:space="0"/>
            </w:tcBorders>
            <w:noWrap/>
            <w:vAlign w:val="center"/>
          </w:tcPr>
          <w:p w14:paraId="782158B5">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7512" w:type="dxa"/>
            <w:tcBorders>
              <w:top w:val="single" w:color="auto" w:sz="4" w:space="0"/>
              <w:left w:val="single" w:color="auto" w:sz="4" w:space="0"/>
              <w:bottom w:val="single" w:color="auto" w:sz="4" w:space="0"/>
              <w:right w:val="single" w:color="auto" w:sz="4" w:space="0"/>
            </w:tcBorders>
            <w:noWrap/>
            <w:vAlign w:val="center"/>
          </w:tcPr>
          <w:p w14:paraId="397DA5C3">
            <w:pPr>
              <w:kinsoku/>
              <w:overflowPunct/>
              <w:topLinePunct w:val="0"/>
              <w:bidi w:val="0"/>
              <w:spacing w:line="520" w:lineRule="exact"/>
              <w:rPr>
                <w:rFonts w:hint="eastAsia" w:ascii="仿宋" w:hAnsi="仿宋" w:eastAsia="仿宋" w:cs="仿宋"/>
                <w:bCs/>
                <w:color w:val="auto"/>
                <w:spacing w:val="-4"/>
                <w:sz w:val="24"/>
                <w:highlight w:val="none"/>
                <w:lang w:eastAsia="zh-CN"/>
              </w:rPr>
            </w:pPr>
            <w:r>
              <w:rPr>
                <w:rFonts w:hint="eastAsia" w:ascii="仿宋" w:hAnsi="仿宋" w:eastAsia="仿宋" w:cs="仿宋"/>
                <w:bCs/>
                <w:color w:val="auto"/>
                <w:sz w:val="24"/>
                <w:highlight w:val="none"/>
                <w:lang w:eastAsia="zh-CN"/>
              </w:rPr>
              <w:t xml:space="preserve">垃圾清运设施辅助管理服务项目 </w:t>
            </w:r>
          </w:p>
        </w:tc>
      </w:tr>
      <w:tr w14:paraId="155CB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E83F1F0">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36" w:type="dxa"/>
            <w:tcBorders>
              <w:top w:val="single" w:color="auto" w:sz="4" w:space="0"/>
              <w:left w:val="single" w:color="auto" w:sz="4" w:space="0"/>
              <w:bottom w:val="single" w:color="auto" w:sz="4" w:space="0"/>
              <w:right w:val="single" w:color="auto" w:sz="4" w:space="0"/>
            </w:tcBorders>
            <w:noWrap/>
            <w:vAlign w:val="center"/>
          </w:tcPr>
          <w:p w14:paraId="7DF68D20">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编号</w:t>
            </w:r>
          </w:p>
        </w:tc>
        <w:tc>
          <w:tcPr>
            <w:tcW w:w="7512" w:type="dxa"/>
            <w:tcBorders>
              <w:top w:val="single" w:color="auto" w:sz="4" w:space="0"/>
              <w:left w:val="single" w:color="auto" w:sz="4" w:space="0"/>
              <w:bottom w:val="single" w:color="auto" w:sz="4" w:space="0"/>
              <w:right w:val="single" w:color="auto" w:sz="4" w:space="0"/>
            </w:tcBorders>
            <w:noWrap/>
            <w:vAlign w:val="center"/>
          </w:tcPr>
          <w:p w14:paraId="48BB6218">
            <w:pPr>
              <w:kinsoku/>
              <w:overflowPunct/>
              <w:topLinePunct w:val="0"/>
              <w:bidi w:val="0"/>
              <w:spacing w:line="520" w:lineRule="exact"/>
              <w:rPr>
                <w:rFonts w:hint="eastAsia" w:ascii="仿宋" w:hAnsi="仿宋" w:eastAsia="仿宋" w:cs="仿宋"/>
                <w:bCs/>
                <w:color w:val="auto"/>
                <w:spacing w:val="-4"/>
                <w:sz w:val="24"/>
                <w:highlight w:val="none"/>
                <w:lang w:eastAsia="zh-CN"/>
              </w:rPr>
            </w:pPr>
            <w:r>
              <w:rPr>
                <w:rFonts w:hint="eastAsia" w:ascii="仿宋" w:hAnsi="仿宋" w:eastAsia="仿宋" w:cs="仿宋"/>
                <w:bCs/>
                <w:color w:val="auto"/>
                <w:spacing w:val="-4"/>
                <w:sz w:val="24"/>
                <w:highlight w:val="none"/>
              </w:rPr>
              <w:t>磋商文件编号：</w:t>
            </w:r>
            <w:r>
              <w:rPr>
                <w:rFonts w:hint="eastAsia" w:ascii="仿宋" w:hAnsi="仿宋" w:eastAsia="仿宋" w:cs="仿宋"/>
                <w:bCs/>
                <w:color w:val="auto"/>
                <w:spacing w:val="-4"/>
                <w:sz w:val="24"/>
                <w:highlight w:val="none"/>
                <w:lang w:eastAsia="zh-CN"/>
              </w:rPr>
              <w:t>仁皇招字2025249号</w:t>
            </w:r>
          </w:p>
          <w:p w14:paraId="4BD641B4">
            <w:pPr>
              <w:kinsoku/>
              <w:overflowPunct/>
              <w:topLinePunct w:val="0"/>
              <w:bidi w:val="0"/>
              <w:spacing w:line="520" w:lineRule="exact"/>
              <w:rPr>
                <w:rFonts w:hint="eastAsia" w:ascii="仿宋" w:hAnsi="仿宋" w:eastAsia="仿宋" w:cs="仿宋"/>
                <w:bCs/>
                <w:color w:val="auto"/>
                <w:spacing w:val="-4"/>
                <w:sz w:val="24"/>
                <w:highlight w:val="none"/>
                <w:lang w:eastAsia="zh-CN"/>
              </w:rPr>
            </w:pPr>
            <w:r>
              <w:rPr>
                <w:rFonts w:hint="eastAsia" w:ascii="仿宋" w:hAnsi="仿宋" w:eastAsia="仿宋" w:cs="仿宋"/>
                <w:bCs/>
                <w:color w:val="auto"/>
                <w:spacing w:val="-4"/>
                <w:sz w:val="24"/>
                <w:highlight w:val="none"/>
              </w:rPr>
              <w:t>财政审批编号：</w:t>
            </w:r>
            <w:bookmarkStart w:id="37" w:name="_GoBack"/>
            <w:r>
              <w:rPr>
                <w:rFonts w:hint="eastAsia" w:ascii="仿宋" w:hAnsi="仿宋" w:eastAsia="仿宋" w:cs="仿宋"/>
                <w:bCs/>
                <w:color w:val="auto"/>
                <w:sz w:val="24"/>
                <w:highlight w:val="yellow"/>
                <w:lang w:eastAsia="zh-CN"/>
              </w:rPr>
              <w:t>湖财采确临[2025]00000号</w:t>
            </w:r>
            <w:bookmarkEnd w:id="37"/>
          </w:p>
        </w:tc>
      </w:tr>
      <w:tr w14:paraId="28267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EFE819F">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36" w:type="dxa"/>
            <w:tcBorders>
              <w:top w:val="single" w:color="auto" w:sz="4" w:space="0"/>
              <w:left w:val="single" w:color="auto" w:sz="4" w:space="0"/>
              <w:bottom w:val="single" w:color="auto" w:sz="4" w:space="0"/>
              <w:right w:val="single" w:color="auto" w:sz="4" w:space="0"/>
            </w:tcBorders>
            <w:noWrap/>
            <w:vAlign w:val="center"/>
          </w:tcPr>
          <w:p w14:paraId="23F3F967">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磋商内容</w:t>
            </w:r>
          </w:p>
        </w:tc>
        <w:tc>
          <w:tcPr>
            <w:tcW w:w="7512" w:type="dxa"/>
            <w:tcBorders>
              <w:top w:val="single" w:color="auto" w:sz="4" w:space="0"/>
              <w:left w:val="single" w:color="auto" w:sz="4" w:space="0"/>
              <w:bottom w:val="single" w:color="auto" w:sz="4" w:space="0"/>
              <w:right w:val="single" w:color="auto" w:sz="4" w:space="0"/>
            </w:tcBorders>
            <w:noWrap/>
            <w:vAlign w:val="center"/>
          </w:tcPr>
          <w:p w14:paraId="269AF8F6">
            <w:pPr>
              <w:kinsoku/>
              <w:overflowPunct/>
              <w:topLinePunct w:val="0"/>
              <w:bidi w:val="0"/>
              <w:spacing w:line="520" w:lineRule="exact"/>
              <w:rPr>
                <w:rFonts w:hint="eastAsia" w:ascii="仿宋" w:hAnsi="仿宋" w:eastAsia="仿宋" w:cs="仿宋"/>
                <w:bCs/>
                <w:color w:val="auto"/>
                <w:spacing w:val="-4"/>
                <w:sz w:val="24"/>
                <w:highlight w:val="none"/>
                <w:lang w:eastAsia="zh-CN"/>
              </w:rPr>
            </w:pPr>
            <w:r>
              <w:rPr>
                <w:rFonts w:hint="eastAsia" w:ascii="仿宋" w:hAnsi="仿宋" w:eastAsia="仿宋" w:cs="仿宋"/>
                <w:bCs/>
                <w:color w:val="auto"/>
                <w:sz w:val="24"/>
                <w:highlight w:val="none"/>
                <w:lang w:eastAsia="zh-CN"/>
              </w:rPr>
              <w:t>垃圾清运设施辅助管理服务项目</w:t>
            </w:r>
          </w:p>
        </w:tc>
      </w:tr>
      <w:tr w14:paraId="785DD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ACFDAB3">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736" w:type="dxa"/>
            <w:tcBorders>
              <w:top w:val="single" w:color="auto" w:sz="4" w:space="0"/>
              <w:left w:val="single" w:color="auto" w:sz="4" w:space="0"/>
              <w:bottom w:val="single" w:color="auto" w:sz="4" w:space="0"/>
              <w:right w:val="single" w:color="auto" w:sz="4" w:space="0"/>
            </w:tcBorders>
            <w:noWrap/>
            <w:vAlign w:val="center"/>
          </w:tcPr>
          <w:p w14:paraId="5596B0EA">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项目实施地点</w:t>
            </w:r>
          </w:p>
        </w:tc>
        <w:tc>
          <w:tcPr>
            <w:tcW w:w="7512" w:type="dxa"/>
            <w:tcBorders>
              <w:top w:val="single" w:color="auto" w:sz="4" w:space="0"/>
              <w:left w:val="single" w:color="auto" w:sz="4" w:space="0"/>
              <w:bottom w:val="single" w:color="auto" w:sz="4" w:space="0"/>
              <w:right w:val="single" w:color="auto" w:sz="4" w:space="0"/>
            </w:tcBorders>
            <w:noWrap/>
            <w:vAlign w:val="center"/>
          </w:tcPr>
          <w:p w14:paraId="1D0E153D">
            <w:pPr>
              <w:kinsoku/>
              <w:overflowPunct/>
              <w:topLinePunct w:val="0"/>
              <w:bidi w:val="0"/>
              <w:spacing w:line="520" w:lineRule="exact"/>
              <w:rPr>
                <w:rFonts w:hint="eastAsia" w:ascii="仿宋" w:hAnsi="仿宋" w:eastAsia="仿宋" w:cs="仿宋"/>
                <w:bCs/>
                <w:color w:val="auto"/>
                <w:spacing w:val="-4"/>
                <w:sz w:val="24"/>
                <w:highlight w:val="none"/>
              </w:rPr>
            </w:pPr>
            <w:r>
              <w:rPr>
                <w:rFonts w:hint="eastAsia" w:ascii="仿宋" w:hAnsi="仿宋" w:eastAsia="仿宋" w:cs="仿宋"/>
                <w:color w:val="auto"/>
                <w:sz w:val="24"/>
                <w:highlight w:val="none"/>
              </w:rPr>
              <w:t>根据采购人指定</w:t>
            </w:r>
          </w:p>
        </w:tc>
      </w:tr>
      <w:tr w14:paraId="28748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EE09E82">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736" w:type="dxa"/>
            <w:tcBorders>
              <w:top w:val="single" w:color="auto" w:sz="4" w:space="0"/>
              <w:left w:val="single" w:color="auto" w:sz="4" w:space="0"/>
              <w:bottom w:val="single" w:color="auto" w:sz="4" w:space="0"/>
              <w:right w:val="single" w:color="auto" w:sz="4" w:space="0"/>
            </w:tcBorders>
            <w:noWrap/>
            <w:vAlign w:val="center"/>
          </w:tcPr>
          <w:p w14:paraId="342D864B">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答疑时间</w:t>
            </w:r>
          </w:p>
        </w:tc>
        <w:tc>
          <w:tcPr>
            <w:tcW w:w="7512" w:type="dxa"/>
            <w:tcBorders>
              <w:top w:val="single" w:color="auto" w:sz="4" w:space="0"/>
              <w:left w:val="single" w:color="auto" w:sz="4" w:space="0"/>
              <w:bottom w:val="single" w:color="auto" w:sz="4" w:space="0"/>
              <w:right w:val="single" w:color="auto" w:sz="4" w:space="0"/>
            </w:tcBorders>
            <w:noWrap/>
            <w:vAlign w:val="center"/>
          </w:tcPr>
          <w:p w14:paraId="158C9295">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供应商对磋商文件有异议的，应当在</w:t>
            </w:r>
            <w:r>
              <w:rPr>
                <w:rFonts w:hint="eastAsia" w:ascii="仿宋" w:hAnsi="仿宋" w:eastAsia="仿宋" w:cs="仿宋"/>
                <w:color w:val="0000FF"/>
                <w:sz w:val="24"/>
                <w:highlight w:val="none"/>
                <w:lang w:eastAsia="zh-CN"/>
              </w:rPr>
              <w:t>2025年9月</w:t>
            </w:r>
            <w:r>
              <w:rPr>
                <w:rFonts w:hint="eastAsia" w:ascii="仿宋" w:hAnsi="仿宋" w:eastAsia="仿宋" w:cs="仿宋"/>
                <w:color w:val="0000FF"/>
                <w:sz w:val="24"/>
                <w:highlight w:val="none"/>
                <w:lang w:val="en-US" w:eastAsia="zh-CN"/>
              </w:rPr>
              <w:t xml:space="preserve"> </w:t>
            </w:r>
            <w:r>
              <w:rPr>
                <w:rFonts w:hint="eastAsia" w:ascii="仿宋" w:hAnsi="仿宋" w:eastAsia="仿宋" w:cs="仿宋"/>
                <w:color w:val="0000FF"/>
                <w:sz w:val="24"/>
                <w:highlight w:val="none"/>
                <w:lang w:eastAsia="zh-CN"/>
              </w:rPr>
              <w:t>日</w:t>
            </w:r>
            <w:r>
              <w:rPr>
                <w:rFonts w:hint="eastAsia" w:ascii="仿宋" w:hAnsi="仿宋" w:eastAsia="仿宋" w:cs="仿宋"/>
                <w:color w:val="0000FF"/>
                <w:sz w:val="24"/>
                <w:highlight w:val="none"/>
              </w:rPr>
              <w:t>1</w:t>
            </w:r>
            <w:r>
              <w:rPr>
                <w:rFonts w:hint="eastAsia" w:ascii="仿宋" w:hAnsi="仿宋" w:eastAsia="仿宋" w:cs="仿宋"/>
                <w:color w:val="0000FF"/>
                <w:sz w:val="24"/>
                <w:highlight w:val="none"/>
                <w:lang w:val="en-US" w:eastAsia="zh-CN"/>
              </w:rPr>
              <w:t>7</w:t>
            </w:r>
            <w:r>
              <w:rPr>
                <w:rFonts w:hint="eastAsia" w:ascii="仿宋" w:hAnsi="仿宋" w:eastAsia="仿宋" w:cs="仿宋"/>
                <w:color w:val="0000FF"/>
                <w:sz w:val="24"/>
                <w:highlight w:val="none"/>
              </w:rPr>
              <w:t>：</w:t>
            </w:r>
            <w:r>
              <w:rPr>
                <w:rFonts w:hint="eastAsia" w:ascii="仿宋" w:hAnsi="仿宋" w:eastAsia="仿宋" w:cs="仿宋"/>
                <w:color w:val="0000FF"/>
                <w:sz w:val="24"/>
                <w:highlight w:val="none"/>
                <w:lang w:val="en-US" w:eastAsia="zh-CN"/>
              </w:rPr>
              <w:t>0</w:t>
            </w:r>
            <w:r>
              <w:rPr>
                <w:rFonts w:hint="eastAsia" w:ascii="仿宋" w:hAnsi="仿宋" w:eastAsia="仿宋" w:cs="仿宋"/>
                <w:color w:val="0000FF"/>
                <w:sz w:val="24"/>
                <w:highlight w:val="none"/>
              </w:rPr>
              <w:t>0</w:t>
            </w:r>
            <w:r>
              <w:rPr>
                <w:rFonts w:hint="eastAsia" w:ascii="仿宋" w:hAnsi="仿宋" w:eastAsia="仿宋" w:cs="仿宋"/>
                <w:color w:val="auto"/>
                <w:sz w:val="24"/>
                <w:highlight w:val="none"/>
              </w:rPr>
              <w:t>分前以书面（含传真）形式一次性提出针对同一采购程序环节向采购代理机构提出质疑，否则采购代理机构有权拒绝第一次质疑以外其他所有质疑。采购代理机构将在规定的时间内统一进行澄清和修改，并书面（含传真）通知所有认购磋商文件的供应商。供应商未按规定要求提出的，则视同认可磋商文件，但法律法规及规范性文件有明确规定的除外。答疑内容是磋商文件的组成部分，并将在网上发布补充（答疑、澄清）文件，潜在供应商应自行关注网站公告，采购人不再一一通知，供应商因自身贻误行为导致</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失效的，责任自负。</w:t>
            </w:r>
          </w:p>
        </w:tc>
      </w:tr>
      <w:tr w14:paraId="584A6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BE68DFE">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736" w:type="dxa"/>
            <w:tcBorders>
              <w:top w:val="single" w:color="auto" w:sz="4" w:space="0"/>
              <w:left w:val="single" w:color="auto" w:sz="4" w:space="0"/>
              <w:bottom w:val="single" w:color="auto" w:sz="4" w:space="0"/>
              <w:right w:val="single" w:color="auto" w:sz="4" w:space="0"/>
            </w:tcBorders>
            <w:noWrap/>
            <w:vAlign w:val="center"/>
          </w:tcPr>
          <w:p w14:paraId="38E39D51">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响应文件要求</w:t>
            </w:r>
          </w:p>
        </w:tc>
        <w:tc>
          <w:tcPr>
            <w:tcW w:w="7512" w:type="dxa"/>
            <w:tcBorders>
              <w:top w:val="single" w:color="auto" w:sz="4" w:space="0"/>
              <w:left w:val="single" w:color="auto" w:sz="4" w:space="0"/>
              <w:bottom w:val="single" w:color="auto" w:sz="4" w:space="0"/>
              <w:right w:val="single" w:color="auto" w:sz="4" w:space="0"/>
            </w:tcBorders>
            <w:noWrap/>
            <w:vAlign w:val="center"/>
          </w:tcPr>
          <w:p w14:paraId="18BCCF1E">
            <w:pPr>
              <w:numPr>
                <w:ilvl w:val="0"/>
                <w:numId w:val="0"/>
              </w:numPr>
              <w:kinsoku/>
              <w:overflowPunct/>
              <w:topLinePunct w:val="0"/>
              <w:bidi w:val="0"/>
              <w:spacing w:line="520" w:lineRule="exact"/>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响应文件的制作：本项目实行电子</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w:t>
            </w:r>
          </w:p>
          <w:p w14:paraId="43D2FA55">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2、供应商应按要求提供电子响应文件及数据电子备份</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 xml:space="preserve">文件（U盘），具体内容如下： </w:t>
            </w:r>
          </w:p>
          <w:p w14:paraId="67CFB437">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2.1电子响应文件：按政采云平台项目采购-电子交易操作指南及本磋商文件要求制作、加密并递交，超过上传时间的视为放弃磋商资格，作无效标处理；</w:t>
            </w:r>
          </w:p>
          <w:p w14:paraId="4B9E34E0">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2.2数据电子备份响应文件（U盘）：以U盘形式提供的数据电子备份响应文件格式及内容须与政采云平台项目采购-电子交易操作指南中制作、加密并递交的电子响应文件格式及内容一致。数据电子备份响应文件应加密，允许制作成一个U盘，但须密封、包装，不按此规定密封、包装的数据电子备份响应文件（U盘）均按未提供处理</w:t>
            </w:r>
          </w:p>
        </w:tc>
      </w:tr>
      <w:tr w14:paraId="48289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69A7CD4">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1736" w:type="dxa"/>
            <w:tcBorders>
              <w:top w:val="single" w:color="auto" w:sz="4" w:space="0"/>
              <w:left w:val="single" w:color="auto" w:sz="4" w:space="0"/>
              <w:bottom w:val="single" w:color="auto" w:sz="4" w:space="0"/>
              <w:right w:val="single" w:color="auto" w:sz="4" w:space="0"/>
            </w:tcBorders>
            <w:noWrap/>
            <w:vAlign w:val="center"/>
          </w:tcPr>
          <w:p w14:paraId="44D75C2F">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响应截止时间</w:t>
            </w:r>
          </w:p>
        </w:tc>
        <w:tc>
          <w:tcPr>
            <w:tcW w:w="7512" w:type="dxa"/>
            <w:tcBorders>
              <w:top w:val="single" w:color="auto" w:sz="4" w:space="0"/>
              <w:left w:val="single" w:color="auto" w:sz="4" w:space="0"/>
              <w:bottom w:val="single" w:color="auto" w:sz="4" w:space="0"/>
              <w:right w:val="single" w:color="auto" w:sz="4" w:space="0"/>
            </w:tcBorders>
            <w:noWrap/>
            <w:vAlign w:val="center"/>
          </w:tcPr>
          <w:p w14:paraId="35928E6F">
            <w:pPr>
              <w:kinsoku/>
              <w:overflowPunct/>
              <w:topLinePunct w:val="0"/>
              <w:bidi w:val="0"/>
              <w:snapToGrid w:val="0"/>
              <w:spacing w:line="520" w:lineRule="exact"/>
              <w:rPr>
                <w:rFonts w:hint="eastAsia" w:ascii="仿宋" w:hAnsi="仿宋" w:eastAsia="仿宋" w:cs="仿宋"/>
                <w:color w:val="auto"/>
                <w:sz w:val="24"/>
                <w:highlight w:val="none"/>
              </w:rPr>
            </w:pP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p>
        </w:tc>
      </w:tr>
      <w:tr w14:paraId="4563E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C69174B">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1736" w:type="dxa"/>
            <w:tcBorders>
              <w:top w:val="single" w:color="auto" w:sz="4" w:space="0"/>
              <w:left w:val="single" w:color="auto" w:sz="4" w:space="0"/>
              <w:bottom w:val="single" w:color="auto" w:sz="4" w:space="0"/>
              <w:right w:val="single" w:color="auto" w:sz="4" w:space="0"/>
            </w:tcBorders>
            <w:noWrap/>
            <w:vAlign w:val="center"/>
          </w:tcPr>
          <w:p w14:paraId="16AC9447">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r>
              <w:rPr>
                <w:rFonts w:hint="eastAsia" w:ascii="仿宋" w:hAnsi="仿宋" w:eastAsia="仿宋" w:cs="仿宋"/>
                <w:bCs/>
                <w:color w:val="auto"/>
                <w:sz w:val="24"/>
                <w:highlight w:val="none"/>
              </w:rPr>
              <w:t>提交</w:t>
            </w:r>
            <w:r>
              <w:rPr>
                <w:rFonts w:hint="eastAsia" w:ascii="仿宋" w:hAnsi="仿宋" w:eastAsia="仿宋" w:cs="仿宋"/>
                <w:color w:val="auto"/>
                <w:sz w:val="24"/>
                <w:highlight w:val="none"/>
              </w:rPr>
              <w:t>地点</w:t>
            </w:r>
          </w:p>
        </w:tc>
        <w:tc>
          <w:tcPr>
            <w:tcW w:w="7512" w:type="dxa"/>
            <w:tcBorders>
              <w:top w:val="single" w:color="auto" w:sz="4" w:space="0"/>
              <w:left w:val="single" w:color="auto" w:sz="4" w:space="0"/>
              <w:bottom w:val="single" w:color="auto" w:sz="4" w:space="0"/>
              <w:right w:val="single" w:color="auto" w:sz="4" w:space="0"/>
            </w:tcBorders>
            <w:noWrap/>
            <w:vAlign w:val="center"/>
          </w:tcPr>
          <w:p w14:paraId="06CBBC1D">
            <w:pPr>
              <w:kinsoku/>
              <w:overflowPunct/>
              <w:topLinePunct w:val="0"/>
              <w:bidi w:val="0"/>
              <w:spacing w:line="520" w:lineRule="exact"/>
              <w:rPr>
                <w:rFonts w:hint="eastAsia" w:ascii="仿宋" w:hAnsi="仿宋" w:eastAsia="仿宋" w:cs="仿宋"/>
                <w:color w:val="FF0000"/>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p>
          <w:p w14:paraId="613103EC">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磋商地点：湖州市公共资源交易中心（湖州市仁皇山片区金盖山路66号），具体详见二楼休息区电子显示屏。</w:t>
            </w:r>
          </w:p>
          <w:p w14:paraId="22208023">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722C1BA7">
            <w:pPr>
              <w:kinsoku/>
              <w:overflowPunct/>
              <w:topLinePunct w:val="0"/>
              <w:bidi w:val="0"/>
              <w:spacing w:line="520" w:lineRule="exact"/>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邮寄地址为：湖州市仁皇工程咨询有限公司[</w:t>
            </w:r>
            <w:r>
              <w:rPr>
                <w:rFonts w:hint="eastAsia" w:ascii="仿宋" w:hAnsi="仿宋" w:eastAsia="仿宋" w:cs="仿宋"/>
                <w:color w:val="auto"/>
                <w:sz w:val="24"/>
                <w:highlight w:val="none"/>
                <w:lang w:eastAsia="zh-CN"/>
              </w:rPr>
              <w:t>湖州市吴兴区太湖路51号湖州国际贸易大厦15楼</w:t>
            </w:r>
            <w:r>
              <w:rPr>
                <w:rFonts w:hint="eastAsia" w:ascii="仿宋" w:hAnsi="仿宋" w:eastAsia="仿宋" w:cs="仿宋"/>
                <w:b w:val="0"/>
                <w:bCs w:val="0"/>
                <w:color w:val="auto"/>
                <w:sz w:val="24"/>
                <w:highlight w:val="none"/>
              </w:rPr>
              <w:t>]，联系电话：</w:t>
            </w:r>
            <w:r>
              <w:rPr>
                <w:rFonts w:hint="eastAsia" w:ascii="仿宋" w:hAnsi="仿宋" w:eastAsia="仿宋" w:cs="仿宋"/>
                <w:b w:val="0"/>
                <w:bCs w:val="0"/>
                <w:color w:val="auto"/>
                <w:sz w:val="24"/>
                <w:highlight w:val="none"/>
                <w:lang w:eastAsia="zh-CN"/>
              </w:rPr>
              <w:t>15968175942</w:t>
            </w:r>
            <w:r>
              <w:rPr>
                <w:rFonts w:hint="eastAsia" w:ascii="仿宋" w:hAnsi="仿宋" w:eastAsia="仿宋" w:cs="仿宋"/>
                <w:b w:val="0"/>
                <w:bCs w:val="0"/>
                <w:color w:val="auto"/>
                <w:sz w:val="24"/>
                <w:highlight w:val="none"/>
              </w:rPr>
              <w:t>。邮寄截止时间：供应商应于</w:t>
            </w:r>
            <w:r>
              <w:rPr>
                <w:rFonts w:hint="eastAsia" w:ascii="仿宋" w:hAnsi="仿宋" w:eastAsia="仿宋" w:cs="仿宋"/>
                <w:b w:val="0"/>
                <w:bCs w:val="0"/>
                <w:color w:val="0000FF"/>
                <w:sz w:val="24"/>
                <w:highlight w:val="none"/>
                <w:lang w:eastAsia="zh-CN"/>
              </w:rPr>
              <w:t>2025年9月</w:t>
            </w:r>
            <w:r>
              <w:rPr>
                <w:rFonts w:hint="eastAsia" w:ascii="仿宋" w:hAnsi="仿宋" w:eastAsia="仿宋" w:cs="仿宋"/>
                <w:b w:val="0"/>
                <w:bCs w:val="0"/>
                <w:color w:val="0000FF"/>
                <w:sz w:val="24"/>
                <w:highlight w:val="none"/>
                <w:lang w:val="en-US" w:eastAsia="zh-CN"/>
              </w:rPr>
              <w:t xml:space="preserve"> </w:t>
            </w:r>
            <w:r>
              <w:rPr>
                <w:rFonts w:hint="eastAsia" w:ascii="仿宋" w:hAnsi="仿宋" w:eastAsia="仿宋" w:cs="仿宋"/>
                <w:b w:val="0"/>
                <w:bCs w:val="0"/>
                <w:color w:val="0000FF"/>
                <w:sz w:val="24"/>
                <w:highlight w:val="none"/>
                <w:lang w:eastAsia="zh-CN"/>
              </w:rPr>
              <w:t>日</w:t>
            </w:r>
            <w:r>
              <w:rPr>
                <w:rFonts w:hint="eastAsia" w:ascii="仿宋" w:hAnsi="仿宋" w:eastAsia="仿宋" w:cs="仿宋"/>
                <w:b w:val="0"/>
                <w:bCs w:val="0"/>
                <w:color w:val="0000FF"/>
                <w:sz w:val="24"/>
                <w:highlight w:val="none"/>
              </w:rPr>
              <w:t>17:00</w:t>
            </w:r>
            <w:r>
              <w:rPr>
                <w:rFonts w:hint="eastAsia" w:ascii="仿宋" w:hAnsi="仿宋" w:eastAsia="仿宋" w:cs="仿宋"/>
                <w:b w:val="0"/>
                <w:bCs w:val="0"/>
                <w:color w:val="auto"/>
                <w:sz w:val="24"/>
                <w:highlight w:val="none"/>
              </w:rPr>
              <w:t>时前准时送达，逾期不予受理。未按时送达的，均按未提供处理。</w:t>
            </w:r>
          </w:p>
          <w:p w14:paraId="33887D8D">
            <w:pPr>
              <w:kinsoku/>
              <w:overflowPunct/>
              <w:topLinePunct w:val="0"/>
              <w:bidi w:val="0"/>
              <w:spacing w:line="52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013B8FDC">
            <w:pPr>
              <w:kinsoku/>
              <w:overflowPunct/>
              <w:topLinePunct w:val="0"/>
              <w:bidi w:val="0"/>
              <w:spacing w:line="52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4、供应商仅提供其中一种形式的备份响应文件。造成项目开评标活动</w:t>
            </w:r>
          </w:p>
          <w:p w14:paraId="7610520B">
            <w:pPr>
              <w:kinsoku/>
              <w:overflowPunct/>
              <w:topLinePunct w:val="0"/>
              <w:bidi w:val="0"/>
              <w:spacing w:line="520" w:lineRule="exact"/>
              <w:rPr>
                <w:rFonts w:hint="eastAsia" w:ascii="仿宋" w:hAnsi="仿宋" w:eastAsia="仿宋" w:cs="仿宋"/>
                <w:b/>
                <w:color w:val="auto"/>
                <w:sz w:val="24"/>
                <w:highlight w:val="none"/>
              </w:rPr>
            </w:pPr>
            <w:r>
              <w:rPr>
                <w:rFonts w:hint="eastAsia" w:ascii="仿宋" w:hAnsi="仿宋" w:eastAsia="仿宋" w:cs="仿宋"/>
                <w:b w:val="0"/>
                <w:bCs w:val="0"/>
                <w:color w:val="auto"/>
                <w:sz w:val="24"/>
                <w:highlight w:val="none"/>
              </w:rPr>
              <w:t>无法进行下去的，相关风险由供应商自行承担。</w:t>
            </w:r>
          </w:p>
        </w:tc>
      </w:tr>
      <w:tr w14:paraId="2E816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BD1E52F">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1736" w:type="dxa"/>
            <w:tcBorders>
              <w:top w:val="single" w:color="auto" w:sz="4" w:space="0"/>
              <w:left w:val="single" w:color="auto" w:sz="4" w:space="0"/>
              <w:bottom w:val="single" w:color="auto" w:sz="4" w:space="0"/>
              <w:right w:val="single" w:color="auto" w:sz="4" w:space="0"/>
            </w:tcBorders>
            <w:noWrap/>
            <w:vAlign w:val="center"/>
          </w:tcPr>
          <w:p w14:paraId="398E6BC3">
            <w:pPr>
              <w:kinsoku/>
              <w:overflowPunct/>
              <w:topLinePunct w:val="0"/>
              <w:bidi w:val="0"/>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磋商时间</w:t>
            </w:r>
          </w:p>
        </w:tc>
        <w:tc>
          <w:tcPr>
            <w:tcW w:w="7512" w:type="dxa"/>
            <w:tcBorders>
              <w:top w:val="single" w:color="auto" w:sz="4" w:space="0"/>
              <w:left w:val="single" w:color="auto" w:sz="4" w:space="0"/>
              <w:bottom w:val="single" w:color="auto" w:sz="4" w:space="0"/>
              <w:right w:val="single" w:color="auto" w:sz="4" w:space="0"/>
            </w:tcBorders>
            <w:noWrap/>
            <w:vAlign w:val="center"/>
          </w:tcPr>
          <w:p w14:paraId="4F52EB3F">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0000FF"/>
                <w:kern w:val="0"/>
                <w:sz w:val="24"/>
                <w:highlight w:val="none"/>
                <w:lang w:eastAsia="zh-CN"/>
              </w:rPr>
              <w:t>2025年9月</w:t>
            </w:r>
            <w:r>
              <w:rPr>
                <w:rFonts w:hint="eastAsia" w:ascii="仿宋" w:hAnsi="仿宋" w:eastAsia="仿宋" w:cs="仿宋"/>
                <w:color w:val="0000FF"/>
                <w:kern w:val="0"/>
                <w:sz w:val="24"/>
                <w:highlight w:val="none"/>
                <w:lang w:val="en-US" w:eastAsia="zh-CN"/>
              </w:rPr>
              <w:t xml:space="preserve"> </w:t>
            </w:r>
            <w:r>
              <w:rPr>
                <w:rFonts w:hint="eastAsia" w:ascii="仿宋" w:hAnsi="仿宋" w:eastAsia="仿宋" w:cs="仿宋"/>
                <w:color w:val="0000FF"/>
                <w:kern w:val="0"/>
                <w:sz w:val="24"/>
                <w:highlight w:val="none"/>
                <w:lang w:eastAsia="zh-CN"/>
              </w:rPr>
              <w:t>日</w:t>
            </w:r>
            <w:r>
              <w:rPr>
                <w:rFonts w:hint="eastAsia" w:ascii="仿宋" w:hAnsi="仿宋" w:eastAsia="仿宋" w:cs="仿宋"/>
                <w:color w:val="0000FF"/>
                <w:kern w:val="0"/>
                <w:sz w:val="24"/>
                <w:highlight w:val="none"/>
                <w:lang w:val="en-US" w:eastAsia="zh-CN"/>
              </w:rPr>
              <w:t>14:00</w:t>
            </w:r>
            <w:r>
              <w:rPr>
                <w:rFonts w:hint="eastAsia" w:ascii="仿宋" w:hAnsi="仿宋" w:eastAsia="仿宋" w:cs="仿宋"/>
                <w:color w:val="0000FF"/>
                <w:sz w:val="24"/>
                <w:highlight w:val="none"/>
              </w:rPr>
              <w:t>整</w:t>
            </w:r>
          </w:p>
        </w:tc>
      </w:tr>
      <w:tr w14:paraId="1A4D3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F0905D9">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1736" w:type="dxa"/>
            <w:tcBorders>
              <w:top w:val="single" w:color="auto" w:sz="4" w:space="0"/>
              <w:left w:val="single" w:color="auto" w:sz="4" w:space="0"/>
              <w:bottom w:val="single" w:color="auto" w:sz="4" w:space="0"/>
              <w:right w:val="single" w:color="auto" w:sz="4" w:space="0"/>
            </w:tcBorders>
            <w:noWrap/>
            <w:vAlign w:val="center"/>
          </w:tcPr>
          <w:p w14:paraId="0574A221">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磋商地点</w:t>
            </w:r>
          </w:p>
        </w:tc>
        <w:tc>
          <w:tcPr>
            <w:tcW w:w="7512" w:type="dxa"/>
            <w:tcBorders>
              <w:top w:val="single" w:color="auto" w:sz="4" w:space="0"/>
              <w:left w:val="single" w:color="auto" w:sz="4" w:space="0"/>
              <w:bottom w:val="single" w:color="auto" w:sz="4" w:space="0"/>
              <w:right w:val="single" w:color="auto" w:sz="4" w:space="0"/>
            </w:tcBorders>
            <w:noWrap/>
            <w:vAlign w:val="center"/>
          </w:tcPr>
          <w:p w14:paraId="47A97A24">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湖州市公共资源交易中心（湖州市仁皇山片区金盖山路66号2号楼，届时详见二楼休息区电子显示屏），未按时上传电子响应文件的将拒绝接收，作无效标处理。</w:t>
            </w:r>
          </w:p>
        </w:tc>
      </w:tr>
      <w:tr w14:paraId="39D0C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442641A">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1736" w:type="dxa"/>
            <w:tcBorders>
              <w:top w:val="single" w:color="auto" w:sz="4" w:space="0"/>
              <w:left w:val="single" w:color="auto" w:sz="4" w:space="0"/>
              <w:bottom w:val="single" w:color="auto" w:sz="4" w:space="0"/>
              <w:right w:val="single" w:color="auto" w:sz="4" w:space="0"/>
            </w:tcBorders>
            <w:noWrap/>
            <w:vAlign w:val="center"/>
          </w:tcPr>
          <w:p w14:paraId="71B216A2">
            <w:pPr>
              <w:kinsoku/>
              <w:overflowPunct/>
              <w:topLinePunct w:val="0"/>
              <w:bidi w:val="0"/>
              <w:spacing w:line="5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履约保证金</w:t>
            </w:r>
          </w:p>
        </w:tc>
        <w:tc>
          <w:tcPr>
            <w:tcW w:w="7512" w:type="dxa"/>
            <w:tcBorders>
              <w:top w:val="single" w:color="auto" w:sz="4" w:space="0"/>
              <w:left w:val="single" w:color="auto" w:sz="4" w:space="0"/>
              <w:bottom w:val="single" w:color="auto" w:sz="4" w:space="0"/>
              <w:right w:val="single" w:color="auto" w:sz="4" w:space="0"/>
            </w:tcBorders>
            <w:noWrap/>
            <w:vAlign w:val="center"/>
          </w:tcPr>
          <w:p w14:paraId="57B2B093">
            <w:pPr>
              <w:kinsoku/>
              <w:overflowPunct/>
              <w:topLinePunct w:val="0"/>
              <w:bidi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无</w:t>
            </w:r>
          </w:p>
        </w:tc>
      </w:tr>
      <w:tr w14:paraId="59DF2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36B9D48">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1736" w:type="dxa"/>
            <w:tcBorders>
              <w:top w:val="single" w:color="auto" w:sz="4" w:space="0"/>
              <w:left w:val="single" w:color="auto" w:sz="4" w:space="0"/>
              <w:bottom w:val="single" w:color="auto" w:sz="4" w:space="0"/>
              <w:right w:val="single" w:color="auto" w:sz="4" w:space="0"/>
            </w:tcBorders>
            <w:noWrap/>
            <w:vAlign w:val="center"/>
          </w:tcPr>
          <w:p w14:paraId="63DA9C75">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磋商</w:t>
            </w:r>
            <w:r>
              <w:rPr>
                <w:rFonts w:hint="eastAsia" w:ascii="仿宋" w:hAnsi="仿宋" w:eastAsia="仿宋" w:cs="仿宋"/>
                <w:bCs/>
                <w:color w:val="auto"/>
                <w:sz w:val="24"/>
                <w:highlight w:val="none"/>
              </w:rPr>
              <w:t>有效期</w:t>
            </w:r>
          </w:p>
        </w:tc>
        <w:tc>
          <w:tcPr>
            <w:tcW w:w="7512" w:type="dxa"/>
            <w:tcBorders>
              <w:top w:val="single" w:color="auto" w:sz="4" w:space="0"/>
              <w:left w:val="single" w:color="auto" w:sz="4" w:space="0"/>
              <w:bottom w:val="single" w:color="auto" w:sz="4" w:space="0"/>
              <w:right w:val="single" w:color="auto" w:sz="4" w:space="0"/>
            </w:tcBorders>
            <w:noWrap/>
            <w:vAlign w:val="center"/>
          </w:tcPr>
          <w:p w14:paraId="41CFEE8E">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60天（日历天）</w:t>
            </w:r>
          </w:p>
        </w:tc>
      </w:tr>
      <w:tr w14:paraId="7E5D8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0ACC2BE">
            <w:pPr>
              <w:kinsoku/>
              <w:overflowPunct/>
              <w:topLinePunct w:val="0"/>
              <w:bidi w:val="0"/>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1736" w:type="dxa"/>
            <w:tcBorders>
              <w:top w:val="single" w:color="auto" w:sz="4" w:space="0"/>
              <w:left w:val="single" w:color="auto" w:sz="4" w:space="0"/>
              <w:bottom w:val="single" w:color="auto" w:sz="4" w:space="0"/>
              <w:right w:val="single" w:color="auto" w:sz="4" w:space="0"/>
            </w:tcBorders>
            <w:noWrap/>
            <w:vAlign w:val="center"/>
          </w:tcPr>
          <w:p w14:paraId="0032EC59">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磋商办法及评分标准</w:t>
            </w:r>
          </w:p>
        </w:tc>
        <w:tc>
          <w:tcPr>
            <w:tcW w:w="7512" w:type="dxa"/>
            <w:tcBorders>
              <w:top w:val="single" w:color="auto" w:sz="4" w:space="0"/>
              <w:left w:val="single" w:color="auto" w:sz="4" w:space="0"/>
              <w:bottom w:val="single" w:color="auto" w:sz="4" w:space="0"/>
              <w:right w:val="single" w:color="auto" w:sz="4" w:space="0"/>
            </w:tcBorders>
            <w:noWrap/>
            <w:vAlign w:val="center"/>
          </w:tcPr>
          <w:p w14:paraId="77CF0973">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详见磋商文件第六章</w:t>
            </w:r>
          </w:p>
        </w:tc>
      </w:tr>
      <w:tr w14:paraId="3D70E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0C6777D">
            <w:pPr>
              <w:kinsoku/>
              <w:overflowPunct/>
              <w:topLinePunct w:val="0"/>
              <w:bidi w:val="0"/>
              <w:spacing w:line="52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4</w:t>
            </w:r>
          </w:p>
        </w:tc>
        <w:tc>
          <w:tcPr>
            <w:tcW w:w="1736" w:type="dxa"/>
            <w:tcBorders>
              <w:top w:val="single" w:color="auto" w:sz="4" w:space="0"/>
              <w:left w:val="single" w:color="auto" w:sz="4" w:space="0"/>
              <w:bottom w:val="single" w:color="auto" w:sz="4" w:space="0"/>
              <w:right w:val="single" w:color="auto" w:sz="4" w:space="0"/>
            </w:tcBorders>
            <w:noWrap/>
            <w:vAlign w:val="center"/>
          </w:tcPr>
          <w:p w14:paraId="50A56F32">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采购人</w:t>
            </w:r>
          </w:p>
        </w:tc>
        <w:tc>
          <w:tcPr>
            <w:tcW w:w="7512" w:type="dxa"/>
            <w:tcBorders>
              <w:top w:val="single" w:color="auto" w:sz="4" w:space="0"/>
              <w:left w:val="single" w:color="auto" w:sz="4" w:space="0"/>
              <w:bottom w:val="single" w:color="auto" w:sz="4" w:space="0"/>
              <w:right w:val="single" w:color="auto" w:sz="4" w:space="0"/>
            </w:tcBorders>
            <w:noWrap/>
            <w:vAlign w:val="center"/>
          </w:tcPr>
          <w:p w14:paraId="6782AE35">
            <w:pPr>
              <w:kinsoku/>
              <w:overflowPunct/>
              <w:topLinePunct w:val="0"/>
              <w:bidi w:val="0"/>
              <w:spacing w:line="520" w:lineRule="exac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湖州市市容环境卫生管理中心</w:t>
            </w:r>
          </w:p>
        </w:tc>
      </w:tr>
      <w:tr w14:paraId="04071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EDFA8C1">
            <w:pPr>
              <w:kinsoku/>
              <w:overflowPunct/>
              <w:topLinePunct w:val="0"/>
              <w:bidi w:val="0"/>
              <w:spacing w:line="52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5</w:t>
            </w:r>
          </w:p>
        </w:tc>
        <w:tc>
          <w:tcPr>
            <w:tcW w:w="1736" w:type="dxa"/>
            <w:tcBorders>
              <w:top w:val="single" w:color="auto" w:sz="4" w:space="0"/>
              <w:left w:val="single" w:color="auto" w:sz="4" w:space="0"/>
              <w:bottom w:val="single" w:color="auto" w:sz="4" w:space="0"/>
              <w:right w:val="single" w:color="auto" w:sz="4" w:space="0"/>
            </w:tcBorders>
            <w:noWrap/>
            <w:vAlign w:val="center"/>
          </w:tcPr>
          <w:p w14:paraId="1EFD6AEB">
            <w:pPr>
              <w:kinsoku/>
              <w:overflowPunct/>
              <w:topLinePunct w:val="0"/>
              <w:bidi w:val="0"/>
              <w:spacing w:line="52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w:t>
            </w:r>
          </w:p>
        </w:tc>
        <w:tc>
          <w:tcPr>
            <w:tcW w:w="7512" w:type="dxa"/>
            <w:tcBorders>
              <w:top w:val="single" w:color="auto" w:sz="4" w:space="0"/>
              <w:left w:val="single" w:color="auto" w:sz="4" w:space="0"/>
              <w:bottom w:val="single" w:color="auto" w:sz="4" w:space="0"/>
              <w:right w:val="single" w:color="auto" w:sz="4" w:space="0"/>
            </w:tcBorders>
            <w:noWrap/>
            <w:vAlign w:val="center"/>
          </w:tcPr>
          <w:p w14:paraId="1B3D5510">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在确定成交供应商后，签订合同前，成交供应商须提供二份完整的纸质响应文件</w:t>
            </w:r>
            <w:r>
              <w:rPr>
                <w:rFonts w:hint="eastAsia" w:ascii="仿宋" w:hAnsi="仿宋" w:eastAsia="仿宋" w:cs="仿宋"/>
                <w:b/>
                <w:bCs/>
                <w:color w:val="auto"/>
                <w:sz w:val="24"/>
                <w:highlight w:val="none"/>
              </w:rPr>
              <w:t>（包括最后报价文件）</w:t>
            </w:r>
            <w:r>
              <w:rPr>
                <w:rFonts w:hint="eastAsia" w:ascii="仿宋" w:hAnsi="仿宋" w:eastAsia="仿宋" w:cs="仿宋"/>
                <w:bCs/>
                <w:color w:val="auto"/>
                <w:sz w:val="24"/>
                <w:highlight w:val="none"/>
              </w:rPr>
              <w:t>给采购人，纸质响应文件须与电子响应文件格式及内容一致。</w:t>
            </w:r>
          </w:p>
        </w:tc>
      </w:tr>
    </w:tbl>
    <w:p w14:paraId="30A8C4A1">
      <w:pPr>
        <w:pStyle w:val="3"/>
        <w:kinsoku/>
        <w:overflowPunct/>
        <w:topLinePunct w:val="0"/>
        <w:bidi w:val="0"/>
        <w:spacing w:line="520" w:lineRule="exact"/>
        <w:jc w:val="center"/>
        <w:rPr>
          <w:rFonts w:hint="eastAsia" w:ascii="仿宋" w:hAnsi="仿宋" w:eastAsia="仿宋" w:cs="仿宋"/>
          <w:color w:val="auto"/>
          <w:sz w:val="28"/>
          <w:szCs w:val="28"/>
          <w:highlight w:val="none"/>
        </w:rPr>
      </w:pPr>
      <w:bookmarkStart w:id="16" w:name="_Toc113441587"/>
      <w:bookmarkStart w:id="17" w:name="_Toc452995896"/>
      <w:r>
        <w:rPr>
          <w:rFonts w:hint="eastAsia" w:ascii="仿宋" w:hAnsi="仿宋" w:eastAsia="仿宋" w:cs="仿宋"/>
          <w:color w:val="auto"/>
          <w:sz w:val="28"/>
          <w:szCs w:val="28"/>
          <w:highlight w:val="none"/>
        </w:rPr>
        <w:t>一、</w:t>
      </w:r>
      <w:bookmarkEnd w:id="16"/>
      <w:r>
        <w:rPr>
          <w:rFonts w:hint="eastAsia" w:ascii="仿宋" w:hAnsi="仿宋" w:eastAsia="仿宋" w:cs="仿宋"/>
          <w:color w:val="auto"/>
          <w:sz w:val="28"/>
          <w:szCs w:val="28"/>
          <w:highlight w:val="none"/>
        </w:rPr>
        <w:t>总  则</w:t>
      </w:r>
      <w:bookmarkEnd w:id="17"/>
    </w:p>
    <w:p w14:paraId="28013A6A">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1．概况</w:t>
      </w:r>
    </w:p>
    <w:p w14:paraId="50318E7E">
      <w:pPr>
        <w:tabs>
          <w:tab w:val="left" w:pos="90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1.1项目名称：</w:t>
      </w:r>
      <w:r>
        <w:rPr>
          <w:rFonts w:hint="eastAsia" w:ascii="仿宋" w:hAnsi="仿宋" w:eastAsia="仿宋" w:cs="仿宋"/>
          <w:color w:val="auto"/>
          <w:sz w:val="24"/>
          <w:highlight w:val="none"/>
          <w:lang w:eastAsia="zh-CN"/>
        </w:rPr>
        <w:t>垃圾清运设施辅助管理服务项目</w:t>
      </w:r>
      <w:r>
        <w:rPr>
          <w:rFonts w:hint="eastAsia" w:ascii="仿宋" w:hAnsi="仿宋" w:eastAsia="仿宋" w:cs="仿宋"/>
          <w:color w:val="auto"/>
          <w:sz w:val="24"/>
          <w:highlight w:val="none"/>
        </w:rPr>
        <w:t>；</w:t>
      </w:r>
    </w:p>
    <w:p w14:paraId="2AEEB0D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1.2采购人：</w:t>
      </w:r>
      <w:r>
        <w:rPr>
          <w:rFonts w:hint="eastAsia" w:ascii="仿宋" w:hAnsi="仿宋" w:eastAsia="仿宋" w:cs="仿宋"/>
          <w:bCs/>
          <w:color w:val="auto"/>
          <w:sz w:val="24"/>
          <w:highlight w:val="none"/>
          <w:lang w:eastAsia="zh-CN"/>
        </w:rPr>
        <w:t>湖州市市容环境卫生管理中心</w:t>
      </w:r>
      <w:r>
        <w:rPr>
          <w:rFonts w:hint="eastAsia" w:ascii="仿宋" w:hAnsi="仿宋" w:eastAsia="仿宋" w:cs="仿宋"/>
          <w:color w:val="auto"/>
          <w:sz w:val="24"/>
          <w:highlight w:val="none"/>
        </w:rPr>
        <w:t>；</w:t>
      </w:r>
    </w:p>
    <w:p w14:paraId="236C9CCD">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1.3监管部门: </w:t>
      </w:r>
      <w:r>
        <w:rPr>
          <w:rFonts w:hint="eastAsia" w:ascii="仿宋" w:hAnsi="仿宋" w:eastAsia="仿宋" w:cs="仿宋"/>
          <w:color w:val="auto"/>
          <w:sz w:val="24"/>
          <w:highlight w:val="none"/>
          <w:lang w:eastAsia="zh-CN"/>
        </w:rPr>
        <w:t>湖州市财政局</w:t>
      </w:r>
      <w:r>
        <w:rPr>
          <w:rFonts w:hint="eastAsia" w:ascii="仿宋" w:hAnsi="仿宋" w:eastAsia="仿宋" w:cs="仿宋"/>
          <w:color w:val="auto"/>
          <w:sz w:val="24"/>
          <w:highlight w:val="none"/>
        </w:rPr>
        <w:t>政府采购监管处；</w:t>
      </w:r>
    </w:p>
    <w:p w14:paraId="51EAAC9D">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1.4项目资金来源：已得到政府有关部门的批准，其资金来源已落实；</w:t>
      </w:r>
    </w:p>
    <w:p w14:paraId="6207516B">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1.5采购方式:竞争性磋商；</w:t>
      </w:r>
    </w:p>
    <w:p w14:paraId="6CB03EDE">
      <w:pPr>
        <w:kinsoku/>
        <w:overflowPunct/>
        <w:topLinePunct w:val="0"/>
        <w:bidi w:val="0"/>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1.6采购项目服务地点：</w:t>
      </w:r>
      <w:r>
        <w:rPr>
          <w:rFonts w:hint="eastAsia" w:ascii="仿宋" w:hAnsi="仿宋" w:eastAsia="仿宋" w:cs="仿宋"/>
          <w:bCs/>
          <w:color w:val="auto"/>
          <w:sz w:val="24"/>
          <w:highlight w:val="none"/>
        </w:rPr>
        <w:t>根据采购人指令</w:t>
      </w:r>
      <w:r>
        <w:rPr>
          <w:rFonts w:hint="eastAsia" w:ascii="仿宋" w:hAnsi="仿宋" w:eastAsia="仿宋" w:cs="仿宋"/>
          <w:color w:val="auto"/>
          <w:sz w:val="24"/>
          <w:highlight w:val="none"/>
        </w:rPr>
        <w:t>；</w:t>
      </w:r>
    </w:p>
    <w:p w14:paraId="0F45E062">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1.7</w:t>
      </w:r>
      <w:r>
        <w:rPr>
          <w:rFonts w:hint="eastAsia" w:ascii="仿宋" w:hAnsi="仿宋" w:eastAsia="仿宋" w:cs="仿宋"/>
          <w:color w:val="auto"/>
          <w:sz w:val="24"/>
          <w:highlight w:val="none"/>
        </w:rPr>
        <w:t>采购代理机构：湖州市仁皇工程咨询有限公司；</w:t>
      </w:r>
    </w:p>
    <w:p w14:paraId="050B1B9E">
      <w:pPr>
        <w:tabs>
          <w:tab w:val="left" w:pos="90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1.8本磋商文件适用于</w:t>
      </w:r>
      <w:r>
        <w:rPr>
          <w:rFonts w:hint="eastAsia" w:ascii="仿宋" w:hAnsi="仿宋" w:eastAsia="仿宋" w:cs="仿宋"/>
          <w:bCs/>
          <w:color w:val="auto"/>
          <w:sz w:val="24"/>
          <w:highlight w:val="none"/>
        </w:rPr>
        <w:t>本</w:t>
      </w:r>
      <w:r>
        <w:rPr>
          <w:rFonts w:hint="eastAsia" w:ascii="仿宋" w:hAnsi="仿宋" w:eastAsia="仿宋" w:cs="仿宋"/>
          <w:color w:val="auto"/>
          <w:sz w:val="24"/>
          <w:highlight w:val="none"/>
        </w:rPr>
        <w:t>项目的磋商、成交、验收、合同履约、付款等（如法律、法规或省级以上规范性文件另有规定的，从其规定）。</w:t>
      </w:r>
    </w:p>
    <w:p w14:paraId="4E9DC14A">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2．供应商的资格条件</w:t>
      </w:r>
    </w:p>
    <w:p w14:paraId="7796E25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1符合《中华人民共和国政府采购法》第二十二条规定和浙财采监【2013】24号《关于规范政府采购</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设定及资格审查的通知》第六条规定,且未被“信用中国”（www.creditchina.gov.cn）、“中国政府采购网”（www.ccgp.gov.cn）列入失信被执行人、重大税收违法案件当事人名单、政府采购严重违法失信行为记录名单。</w:t>
      </w:r>
    </w:p>
    <w:p w14:paraId="03807F2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bCs/>
          <w:sz w:val="24"/>
        </w:rPr>
        <w:t>2.</w:t>
      </w:r>
      <w:r>
        <w:rPr>
          <w:rFonts w:hint="eastAsia" w:ascii="仿宋" w:hAnsi="仿宋" w:eastAsia="仿宋" w:cs="仿宋"/>
          <w:bCs/>
          <w:sz w:val="24"/>
          <w:lang w:val="en-US" w:eastAsia="zh-CN"/>
        </w:rPr>
        <w:t>2</w:t>
      </w:r>
      <w:r>
        <w:rPr>
          <w:rFonts w:hint="eastAsia" w:ascii="仿宋" w:hAnsi="仿宋" w:eastAsia="仿宋" w:cs="仿宋"/>
          <w:color w:val="auto"/>
          <w:sz w:val="24"/>
          <w:highlight w:val="none"/>
        </w:rPr>
        <w:t>本项目专门面向中小企业采购, 供应商需提供符合《政府采购促进中小企业发展管理办法》（财库【2020】46号）和本采购文件规定的《中小企业声明函》（模板详见附件）。(监狱企业参加投标【提供《监狱企业声明函》及其相关的证明材料】、残疾人福利性单位参加投标【提供《残疾人福利性单位声明函》及其相关的证明材料】，视为小型、微型企业，享受小微企业政策扶持)。</w:t>
      </w:r>
    </w:p>
    <w:p w14:paraId="1CE5E237">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bCs/>
          <w:sz w:val="24"/>
        </w:rPr>
        <w:t>2.</w:t>
      </w:r>
      <w:r>
        <w:rPr>
          <w:rFonts w:hint="eastAsia" w:ascii="仿宋" w:hAnsi="仿宋" w:eastAsia="仿宋" w:cs="仿宋"/>
          <w:bCs/>
          <w:sz w:val="24"/>
          <w:lang w:val="en-US" w:eastAsia="zh-CN"/>
        </w:rPr>
        <w:t>3</w:t>
      </w:r>
      <w:r>
        <w:rPr>
          <w:rFonts w:hint="eastAsia" w:ascii="仿宋" w:hAnsi="仿宋" w:eastAsia="仿宋" w:cs="仿宋"/>
          <w:color w:val="auto"/>
          <w:sz w:val="24"/>
          <w:highlight w:val="none"/>
        </w:rPr>
        <w:t>本项目不接受联合体</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w:t>
      </w:r>
    </w:p>
    <w:p w14:paraId="26601AE5">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3．磋商费用</w:t>
      </w:r>
    </w:p>
    <w:p w14:paraId="6834DA9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3.1无论磋商采购结果如何，供应商均应自行承担所有与参加本次磋商采购有关的全部费用。</w:t>
      </w:r>
      <w:r>
        <w:rPr>
          <w:rFonts w:hint="eastAsia" w:ascii="仿宋" w:hAnsi="仿宋" w:eastAsia="仿宋" w:cs="仿宋"/>
          <w:color w:val="auto"/>
          <w:sz w:val="24"/>
          <w:highlight w:val="none"/>
        </w:rPr>
        <w:t>不论磋商结果如何，采购代理机构对上述费用不负任何责任；</w:t>
      </w:r>
    </w:p>
    <w:p w14:paraId="7F3BB1A4">
      <w:pPr>
        <w:kinsoku/>
        <w:overflowPunct/>
        <w:topLinePunct w:val="0"/>
        <w:bidi w:val="0"/>
        <w:spacing w:line="520" w:lineRule="exact"/>
        <w:ind w:firstLine="480" w:firstLineChars="200"/>
        <w:rPr>
          <w:rFonts w:hint="eastAsia" w:ascii="仿宋" w:hAnsi="仿宋" w:eastAsia="仿宋" w:cs="仿宋"/>
          <w:b/>
          <w:color w:val="auto"/>
          <w:sz w:val="44"/>
          <w:szCs w:val="44"/>
          <w:highlight w:val="none"/>
        </w:rPr>
      </w:pPr>
      <w:r>
        <w:rPr>
          <w:rFonts w:hint="eastAsia" w:ascii="仿宋" w:hAnsi="仿宋" w:eastAsia="仿宋" w:cs="仿宋"/>
          <w:bCs/>
          <w:color w:val="auto"/>
          <w:sz w:val="24"/>
          <w:highlight w:val="none"/>
        </w:rPr>
        <w:t>3.2</w:t>
      </w:r>
      <w:r>
        <w:rPr>
          <w:rFonts w:hint="eastAsia" w:ascii="仿宋" w:hAnsi="仿宋" w:eastAsia="仿宋" w:cs="仿宋"/>
          <w:bCs/>
          <w:spacing w:val="-6"/>
          <w:sz w:val="24"/>
        </w:rPr>
        <w:t>本项目</w:t>
      </w:r>
      <w:r>
        <w:rPr>
          <w:rFonts w:hint="eastAsia" w:ascii="仿宋" w:hAnsi="仿宋" w:eastAsia="仿宋" w:cs="仿宋"/>
          <w:bCs/>
          <w:spacing w:val="-6"/>
          <w:sz w:val="24"/>
          <w:lang w:val="en-US" w:eastAsia="zh-CN"/>
        </w:rPr>
        <w:t>磋商</w:t>
      </w:r>
      <w:r>
        <w:rPr>
          <w:rFonts w:hint="eastAsia" w:ascii="仿宋" w:hAnsi="仿宋" w:eastAsia="仿宋" w:cs="仿宋"/>
          <w:bCs/>
          <w:spacing w:val="-6"/>
          <w:sz w:val="24"/>
        </w:rPr>
        <w:t>代理费由成交供应商支付，按人民币</w:t>
      </w:r>
      <w:r>
        <w:rPr>
          <w:rFonts w:hint="eastAsia" w:ascii="仿宋" w:hAnsi="仿宋" w:eastAsia="仿宋" w:cs="仿宋"/>
          <w:b/>
          <w:bCs w:val="0"/>
          <w:color w:val="auto"/>
          <w:spacing w:val="-6"/>
          <w:sz w:val="24"/>
          <w:u w:val="single"/>
          <w:lang w:val="en-US" w:eastAsia="zh-CN"/>
        </w:rPr>
        <w:t>捌仟壹佰元整</w:t>
      </w:r>
      <w:r>
        <w:rPr>
          <w:rFonts w:hint="eastAsia" w:ascii="仿宋" w:hAnsi="仿宋" w:eastAsia="仿宋" w:cs="仿宋"/>
          <w:bCs/>
          <w:spacing w:val="-6"/>
          <w:sz w:val="24"/>
        </w:rPr>
        <w:t>计取，由成交供应商在领取成交通知书前一次性支付给采购代理机构，该费用请综合考虑在磋商报价中</w:t>
      </w:r>
      <w:r>
        <w:rPr>
          <w:rFonts w:hint="eastAsia" w:ascii="仿宋" w:hAnsi="仿宋" w:eastAsia="仿宋"/>
          <w:sz w:val="24"/>
        </w:rPr>
        <w:t>。</w:t>
      </w:r>
    </w:p>
    <w:p w14:paraId="06C5DF5D">
      <w:pPr>
        <w:pStyle w:val="3"/>
        <w:kinsoku/>
        <w:overflowPunct/>
        <w:topLinePunct w:val="0"/>
        <w:bidi w:val="0"/>
        <w:spacing w:line="520" w:lineRule="exact"/>
        <w:jc w:val="center"/>
        <w:rPr>
          <w:rFonts w:hint="eastAsia" w:ascii="仿宋" w:hAnsi="仿宋" w:eastAsia="仿宋" w:cs="仿宋"/>
          <w:color w:val="auto"/>
          <w:kern w:val="44"/>
          <w:sz w:val="28"/>
          <w:szCs w:val="28"/>
          <w:highlight w:val="none"/>
        </w:rPr>
      </w:pPr>
      <w:bookmarkStart w:id="18" w:name="_Toc452995897"/>
      <w:r>
        <w:rPr>
          <w:rFonts w:hint="eastAsia" w:ascii="仿宋" w:hAnsi="仿宋" w:eastAsia="仿宋" w:cs="仿宋"/>
          <w:color w:val="auto"/>
          <w:kern w:val="44"/>
          <w:sz w:val="28"/>
          <w:szCs w:val="28"/>
          <w:highlight w:val="none"/>
        </w:rPr>
        <w:t>二、磋商文件的说明</w:t>
      </w:r>
      <w:bookmarkEnd w:id="18"/>
    </w:p>
    <w:p w14:paraId="6E3ECB70">
      <w:pPr>
        <w:kinsoku/>
        <w:overflowPunct/>
        <w:topLinePunct w:val="0"/>
        <w:bidi w:val="0"/>
        <w:spacing w:line="520" w:lineRule="exact"/>
        <w:rPr>
          <w:rFonts w:hint="eastAsia" w:ascii="仿宋" w:hAnsi="仿宋" w:eastAsia="仿宋" w:cs="仿宋"/>
          <w:color w:val="auto"/>
          <w:kern w:val="44"/>
          <w:sz w:val="24"/>
          <w:highlight w:val="none"/>
        </w:rPr>
      </w:pPr>
      <w:bookmarkStart w:id="19" w:name="_Toc113441589"/>
      <w:r>
        <w:rPr>
          <w:rFonts w:hint="eastAsia" w:ascii="仿宋" w:hAnsi="仿宋" w:eastAsia="仿宋" w:cs="仿宋"/>
          <w:color w:val="auto"/>
          <w:kern w:val="44"/>
          <w:sz w:val="24"/>
          <w:highlight w:val="none"/>
        </w:rPr>
        <w:t>4．磋商文件</w:t>
      </w:r>
      <w:bookmarkEnd w:id="19"/>
      <w:r>
        <w:rPr>
          <w:rFonts w:hint="eastAsia" w:ascii="仿宋" w:hAnsi="仿宋" w:eastAsia="仿宋" w:cs="仿宋"/>
          <w:color w:val="auto"/>
          <w:kern w:val="44"/>
          <w:sz w:val="24"/>
          <w:highlight w:val="none"/>
        </w:rPr>
        <w:t>的组成</w:t>
      </w:r>
    </w:p>
    <w:p w14:paraId="7673BA1F">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4.1</w:t>
      </w:r>
      <w:r>
        <w:rPr>
          <w:rFonts w:hint="eastAsia" w:ascii="仿宋" w:hAnsi="仿宋" w:eastAsia="仿宋" w:cs="仿宋"/>
          <w:bCs/>
          <w:color w:val="auto"/>
          <w:sz w:val="24"/>
          <w:highlight w:val="none"/>
        </w:rPr>
        <w:t>磋商文件为本次采购人发出的竞争性磋商文件；响应文件为参加磋商的供应商提交的磋商响应文件。</w:t>
      </w:r>
    </w:p>
    <w:p w14:paraId="7FE8D028">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4.2磋商文件包括以下内容：</w:t>
      </w:r>
    </w:p>
    <w:p w14:paraId="5B85603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4.2.1第一章  竞争性磋商公告</w:t>
      </w:r>
    </w:p>
    <w:p w14:paraId="0B072A6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4.2.2第二章  磋商项目采购需求</w:t>
      </w:r>
    </w:p>
    <w:p w14:paraId="5A98F292">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4.2.3第三章  供应商须知</w:t>
      </w:r>
    </w:p>
    <w:p w14:paraId="01FF327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4.2.4第四章  合同主要条款</w:t>
      </w:r>
    </w:p>
    <w:p w14:paraId="6721690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4.2.5第五章  响应文件格式</w:t>
      </w:r>
    </w:p>
    <w:p w14:paraId="47437F3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4.2.6第六章  磋商办法及评分标准</w:t>
      </w:r>
    </w:p>
    <w:p w14:paraId="5DA2439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采购代理机构在磋商截止时间前，以书面形式发出的对磋商文件的澄清或修改内容，均为磋商文件的组成部分，对采购人和供应商起约束作用；</w:t>
      </w:r>
    </w:p>
    <w:p w14:paraId="2695F7D2">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4.4供应商获取磋商文件后，应仔细检查磋商文件的所有内容，如有残缺等问题，均应在获得磋商文件后</w:t>
      </w:r>
      <w:r>
        <w:rPr>
          <w:rFonts w:hint="eastAsia" w:ascii="仿宋" w:hAnsi="仿宋" w:eastAsia="仿宋" w:cs="仿宋"/>
          <w:b/>
          <w:color w:val="auto"/>
          <w:sz w:val="24"/>
          <w:highlight w:val="none"/>
        </w:rPr>
        <w:t>在1个工作日</w:t>
      </w:r>
      <w:r>
        <w:rPr>
          <w:rFonts w:hint="eastAsia" w:ascii="仿宋" w:hAnsi="仿宋" w:eastAsia="仿宋" w:cs="仿宋"/>
          <w:color w:val="auto"/>
          <w:sz w:val="24"/>
          <w:highlight w:val="none"/>
        </w:rPr>
        <w:t>内向采购代理机构书面提出，否则，由此引起的损失由供应商自己承担。供应商同时应认真审阅竞争性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14:paraId="08CDDF19">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5.</w:t>
      </w:r>
      <w:r>
        <w:rPr>
          <w:rFonts w:hint="eastAsia" w:ascii="仿宋" w:hAnsi="仿宋" w:eastAsia="仿宋" w:cs="仿宋"/>
          <w:color w:val="auto"/>
          <w:sz w:val="24"/>
          <w:highlight w:val="none"/>
        </w:rPr>
        <w:t>磋商文件的答疑</w:t>
      </w:r>
    </w:p>
    <w:p w14:paraId="4AAA219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供应商如认为磋商文件表述不清晰、存在歧视性或者其他违法内容的，采购人将在规定的时间内统一进行澄清和修改，并书面（含传真）通知所有认购磋商文件的供应商。供应商未按规定要求提出的，则视同认可磋商文件，但法律法规及规范性文件有明确规定的除外；</w:t>
      </w:r>
    </w:p>
    <w:p w14:paraId="0CC04A62">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5.2答疑内容是磋商文件的组成部分，并将在网上发布补充（答疑、澄清）文件，潜在供应商应自行关注网站公告，采购人不再一一通知，供应商因自身贻误行为导致</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失效的，责任自负。</w:t>
      </w:r>
    </w:p>
    <w:p w14:paraId="7920C3A1">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6.磋商文件的澄清、修改</w:t>
      </w:r>
    </w:p>
    <w:p w14:paraId="1426CA00">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6.1</w:t>
      </w:r>
      <w:r>
        <w:rPr>
          <w:rFonts w:hint="eastAsia" w:ascii="仿宋" w:hAnsi="仿宋" w:eastAsia="仿宋" w:cs="仿宋"/>
          <w:bCs/>
          <w:color w:val="auto"/>
          <w:sz w:val="24"/>
          <w:highlight w:val="none"/>
        </w:rPr>
        <w:t>在磋商截止时间前，采购人及采购代理机构无论出于自己的考虑，还是出于对供应商提问的澄清，均可对磋商文件用补充文件的方式进行修改</w:t>
      </w:r>
      <w:r>
        <w:rPr>
          <w:rFonts w:hint="eastAsia" w:ascii="仿宋" w:hAnsi="仿宋" w:eastAsia="仿宋" w:cs="仿宋"/>
          <w:color w:val="auto"/>
          <w:sz w:val="24"/>
          <w:highlight w:val="none"/>
        </w:rPr>
        <w:t>；</w:t>
      </w:r>
    </w:p>
    <w:p w14:paraId="7D6A90D3">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6.2</w:t>
      </w:r>
      <w:r>
        <w:rPr>
          <w:rFonts w:hint="eastAsia" w:ascii="仿宋" w:hAnsi="仿宋" w:eastAsia="仿宋" w:cs="仿宋"/>
          <w:bCs/>
          <w:color w:val="auto"/>
          <w:sz w:val="24"/>
          <w:highlight w:val="none"/>
        </w:rPr>
        <w:t>对磋商文件的修改，将以书面、或传真的形式通知已购买同一磋商文件的每一供应商。补充文件将作为磋商文件的组成部分，对所有供应商有约束力。供应商在收到该补充文件后，应以书面方式予以确认</w:t>
      </w:r>
      <w:r>
        <w:rPr>
          <w:rFonts w:hint="eastAsia" w:ascii="仿宋" w:hAnsi="仿宋" w:eastAsia="仿宋" w:cs="仿宋"/>
          <w:color w:val="auto"/>
          <w:sz w:val="24"/>
          <w:highlight w:val="none"/>
        </w:rPr>
        <w:t>。</w:t>
      </w:r>
    </w:p>
    <w:p w14:paraId="49DD9344">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应当按照磋商文件的要求编制响应文件。响应文件应对磋商文件提出的要求和条件作出实质性响应（如对服务期限、售后服务、合同主要条款及其它要求等内容作出满足或者优于磋商文件要求和条件的承诺）。</w:t>
      </w:r>
    </w:p>
    <w:p w14:paraId="33F4EF8C">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8.响应文件的签署</w:t>
      </w:r>
    </w:p>
    <w:p w14:paraId="2E42A0B3">
      <w:pPr>
        <w:kinsoku/>
        <w:overflowPunct/>
        <w:topLinePunct w:val="0"/>
        <w:bidi w:val="0"/>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8.1响应文件的形式与效力：</w:t>
      </w:r>
    </w:p>
    <w:p w14:paraId="25184A95">
      <w:pPr>
        <w:tabs>
          <w:tab w:val="left" w:pos="3870"/>
          <w:tab w:val="left" w:pos="4085"/>
        </w:tabs>
        <w:kinsoku/>
        <w:overflowPunct/>
        <w:topLinePunct w:val="0"/>
        <w:bidi w:val="0"/>
        <w:snapToGrid w:val="0"/>
        <w:spacing w:line="52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（一）响应文件分为电子响应文件及数据电子备份响应文件（U盘），具体内容如下：</w:t>
      </w:r>
    </w:p>
    <w:p w14:paraId="50E8E0CD">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（1）电子响应文件：按政采云平台项目采购-电子交易操作指南及本磋商文件要求制作、加密并递交，供应商电子交易操作指南详见网址：</w:t>
      </w:r>
      <w:r>
        <w:rPr>
          <w:rFonts w:hint="eastAsia" w:ascii="仿宋" w:hAnsi="仿宋" w:eastAsia="仿宋" w:cs="仿宋"/>
          <w:color w:val="auto"/>
          <w:sz w:val="24"/>
          <w:highlight w:val="none"/>
          <w:lang w:eastAsia="zh-CN"/>
        </w:rPr>
        <w:t>https://zfcg.czt.zj.gov.cn/</w:t>
      </w:r>
      <w:r>
        <w:rPr>
          <w:rFonts w:hint="eastAsia" w:ascii="仿宋" w:hAnsi="仿宋" w:eastAsia="仿宋" w:cs="仿宋"/>
          <w:color w:val="auto"/>
          <w:sz w:val="24"/>
          <w:highlight w:val="none"/>
        </w:rPr>
        <w:t>）。</w:t>
      </w:r>
    </w:p>
    <w:p w14:paraId="237D1ADF">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数据电子备份响应文件（U盘）：以U盘形式提供的数据电子备份响应文件格式及内容须与政采云平台项目采购-电子交易操作指南中制作、加密并递交的电子响应文件格式及内容一致。数据电子备份响应文件应加密，允许制作成一个U盘，但须密封、包装，不按此规定密封、包装的数据电子备份响应文件（U盘）均按未提供处理</w:t>
      </w:r>
      <w:r>
        <w:rPr>
          <w:rFonts w:hint="eastAsia" w:ascii="仿宋" w:hAnsi="仿宋" w:eastAsia="仿宋" w:cs="仿宋"/>
          <w:color w:val="auto"/>
          <w:sz w:val="24"/>
          <w:highlight w:val="none"/>
          <w:lang w:eastAsia="zh-CN"/>
        </w:rPr>
        <w:t>。</w:t>
      </w:r>
    </w:p>
    <w:p w14:paraId="47BE5A37">
      <w:pPr>
        <w:tabs>
          <w:tab w:val="left" w:pos="3870"/>
          <w:tab w:val="left" w:pos="4085"/>
        </w:tabs>
        <w:kinsoku/>
        <w:overflowPunct/>
        <w:topLinePunct w:val="0"/>
        <w:bidi w:val="0"/>
        <w:snapToGrid w:val="0"/>
        <w:spacing w:line="5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（二）响应文件的效力：</w:t>
      </w:r>
    </w:p>
    <w:p w14:paraId="37BE1749">
      <w:pPr>
        <w:tabs>
          <w:tab w:val="left" w:pos="3870"/>
          <w:tab w:val="left" w:pos="4085"/>
        </w:tabs>
        <w:kinsoku/>
        <w:overflowPunct/>
        <w:topLinePunct w:val="0"/>
        <w:bidi w:val="0"/>
        <w:snapToGrid w:val="0"/>
        <w:spacing w:line="52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的启用：按先后顺位分别为电子响应文件、数据电子备份响应文件（U盘）。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2E155AC3">
      <w:pPr>
        <w:tabs>
          <w:tab w:val="left" w:pos="3870"/>
          <w:tab w:val="left" w:pos="4085"/>
        </w:tabs>
        <w:kinsoku/>
        <w:overflowPunct/>
        <w:topLinePunct w:val="0"/>
        <w:bidi w:val="0"/>
        <w:snapToGrid w:val="0"/>
        <w:spacing w:line="52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8.2响应文件的组成（如无格式、格式自拟）</w:t>
      </w:r>
    </w:p>
    <w:p w14:paraId="642BB1AE">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响应文件（包括电子响应文件及数据电子备份响应文件（U盘））由</w:t>
      </w:r>
      <w:bookmarkStart w:id="20" w:name="_Hlk69030389"/>
      <w:r>
        <w:rPr>
          <w:rFonts w:hint="eastAsia" w:ascii="仿宋" w:hAnsi="仿宋" w:eastAsia="仿宋" w:cs="仿宋"/>
          <w:color w:val="auto"/>
          <w:sz w:val="24"/>
          <w:highlight w:val="none"/>
        </w:rPr>
        <w:t>《技术、商务、资信及其他文件》</w:t>
      </w:r>
      <w:bookmarkEnd w:id="20"/>
      <w:r>
        <w:rPr>
          <w:rFonts w:hint="eastAsia" w:ascii="仿宋" w:hAnsi="仿宋" w:eastAsia="仿宋" w:cs="仿宋"/>
          <w:color w:val="auto"/>
          <w:sz w:val="24"/>
          <w:highlight w:val="none"/>
        </w:rPr>
        <w:t>和《首次报价文件》两部分组成，其中电子</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文件中所须加盖公章部分均采用CA签章。</w:t>
      </w:r>
    </w:p>
    <w:p w14:paraId="72FD8D07">
      <w:pPr>
        <w:tabs>
          <w:tab w:val="left" w:pos="3870"/>
          <w:tab w:val="left" w:pos="4085"/>
        </w:tabs>
        <w:kinsoku/>
        <w:overflowPunct/>
        <w:topLinePunct w:val="0"/>
        <w:bidi w:val="0"/>
        <w:snapToGrid w:val="0"/>
        <w:spacing w:line="520" w:lineRule="exact"/>
        <w:jc w:val="left"/>
        <w:rPr>
          <w:rFonts w:hint="eastAsia" w:ascii="仿宋" w:hAnsi="仿宋" w:eastAsia="仿宋" w:cs="仿宋"/>
          <w:b/>
          <w:bCs/>
          <w:color w:val="auto"/>
          <w:sz w:val="24"/>
          <w:highlight w:val="none"/>
        </w:rPr>
      </w:pPr>
      <w:bookmarkStart w:id="21" w:name="_Hlk69030881"/>
      <w:r>
        <w:rPr>
          <w:rFonts w:hint="eastAsia" w:ascii="仿宋" w:hAnsi="仿宋" w:eastAsia="仿宋" w:cs="仿宋"/>
          <w:b/>
          <w:bCs/>
          <w:color w:val="auto"/>
          <w:sz w:val="24"/>
          <w:highlight w:val="none"/>
        </w:rPr>
        <w:t>（一）《技术、商务、资信及其他文件</w:t>
      </w:r>
      <w:bookmarkEnd w:id="21"/>
      <w:r>
        <w:rPr>
          <w:rFonts w:hint="eastAsia" w:ascii="仿宋" w:hAnsi="仿宋" w:eastAsia="仿宋" w:cs="仿宋"/>
          <w:b/>
          <w:bCs/>
          <w:color w:val="auto"/>
          <w:sz w:val="24"/>
          <w:highlight w:val="none"/>
        </w:rPr>
        <w:t>》</w:t>
      </w:r>
    </w:p>
    <w:p w14:paraId="036A0069">
      <w:pPr>
        <w:tabs>
          <w:tab w:val="left" w:pos="3870"/>
          <w:tab w:val="left" w:pos="4085"/>
        </w:tabs>
        <w:kinsoku/>
        <w:overflowPunct/>
        <w:topLinePunct w:val="0"/>
        <w:bidi w:val="0"/>
        <w:snapToGrid w:val="0"/>
        <w:spacing w:line="52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bCs w:val="0"/>
          <w:color w:val="auto"/>
          <w:sz w:val="24"/>
          <w:highlight w:val="none"/>
        </w:rPr>
        <w:t>供应商自评分索引表</w:t>
      </w:r>
    </w:p>
    <w:p w14:paraId="6392822F">
      <w:pPr>
        <w:tabs>
          <w:tab w:val="left" w:pos="3870"/>
          <w:tab w:val="left" w:pos="4085"/>
        </w:tabs>
        <w:kinsoku/>
        <w:overflowPunct/>
        <w:topLinePunct w:val="0"/>
        <w:bidi w:val="0"/>
        <w:snapToGrid w:val="0"/>
        <w:spacing w:line="520" w:lineRule="exact"/>
        <w:ind w:firstLine="482" w:firstLineChars="200"/>
        <w:jc w:val="left"/>
        <w:outlineLvl w:val="1"/>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）技术部分：</w:t>
      </w:r>
    </w:p>
    <w:p w14:paraId="7438F899">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1、项目</w:t>
      </w:r>
      <w:r>
        <w:rPr>
          <w:rFonts w:hint="eastAsia" w:ascii="仿宋" w:hAnsi="仿宋" w:eastAsia="仿宋" w:cs="仿宋"/>
          <w:bCs/>
          <w:sz w:val="24"/>
          <w:szCs w:val="24"/>
          <w:lang w:val="en-US" w:eastAsia="zh-CN"/>
        </w:rPr>
        <w:t>实施方案</w:t>
      </w:r>
      <w:r>
        <w:rPr>
          <w:rFonts w:hint="eastAsia" w:ascii="仿宋" w:hAnsi="仿宋" w:eastAsia="仿宋" w:cs="仿宋"/>
          <w:color w:val="auto"/>
          <w:sz w:val="24"/>
          <w:highlight w:val="none"/>
          <w:lang w:val="en-US" w:eastAsia="zh-CN"/>
        </w:rPr>
        <w:t>；</w:t>
      </w:r>
    </w:p>
    <w:p w14:paraId="004F7074">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2、应急工作的</w:t>
      </w:r>
      <w:r>
        <w:rPr>
          <w:rFonts w:hint="eastAsia" w:ascii="仿宋" w:hAnsi="仿宋" w:eastAsia="仿宋" w:cs="仿宋"/>
          <w:bCs/>
          <w:sz w:val="24"/>
          <w:szCs w:val="24"/>
          <w:lang w:val="en-US" w:eastAsia="zh-CN"/>
        </w:rPr>
        <w:t>实施方案</w:t>
      </w:r>
      <w:r>
        <w:rPr>
          <w:rFonts w:hint="eastAsia" w:ascii="仿宋" w:hAnsi="仿宋" w:eastAsia="仿宋" w:cs="仿宋"/>
          <w:color w:val="auto"/>
          <w:sz w:val="24"/>
          <w:highlight w:val="none"/>
          <w:lang w:val="en-US" w:eastAsia="zh-CN"/>
        </w:rPr>
        <w:t>；</w:t>
      </w:r>
    </w:p>
    <w:p w14:paraId="4E051F5C">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bCs/>
          <w:sz w:val="24"/>
          <w:szCs w:val="24"/>
          <w:lang w:val="en-US" w:eastAsia="zh-CN"/>
        </w:rPr>
        <w:t>内部管理方案</w:t>
      </w:r>
      <w:r>
        <w:rPr>
          <w:rFonts w:hint="eastAsia" w:ascii="仿宋" w:hAnsi="仿宋" w:eastAsia="仿宋" w:cs="仿宋"/>
          <w:color w:val="auto"/>
          <w:sz w:val="24"/>
          <w:highlight w:val="none"/>
          <w:lang w:val="en-US" w:eastAsia="zh-CN"/>
        </w:rPr>
        <w:t>；</w:t>
      </w:r>
    </w:p>
    <w:p w14:paraId="705EA734">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sz w:val="24"/>
        </w:rPr>
        <w:t>建设性意见建议及应对措施方案</w:t>
      </w:r>
      <w:r>
        <w:rPr>
          <w:rFonts w:hint="eastAsia" w:ascii="仿宋" w:hAnsi="仿宋" w:eastAsia="仿宋" w:cs="仿宋"/>
          <w:color w:val="auto"/>
          <w:sz w:val="24"/>
          <w:highlight w:val="none"/>
          <w:lang w:val="en-US" w:eastAsia="zh-CN"/>
        </w:rPr>
        <w:t>；</w:t>
      </w:r>
    </w:p>
    <w:p w14:paraId="70DD476E">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sz w:val="24"/>
        </w:rPr>
        <w:t>项目重点、难点的分析和解决方案</w:t>
      </w:r>
      <w:r>
        <w:rPr>
          <w:rFonts w:hint="eastAsia" w:ascii="仿宋" w:hAnsi="仿宋" w:eastAsia="仿宋" w:cs="仿宋"/>
          <w:color w:val="auto"/>
          <w:sz w:val="24"/>
          <w:highlight w:val="none"/>
          <w:lang w:val="en-US" w:eastAsia="zh-CN"/>
        </w:rPr>
        <w:t>；</w:t>
      </w:r>
    </w:p>
    <w:p w14:paraId="3DE5C187">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sz w:val="24"/>
        </w:rPr>
        <w:t>保证项目进度和完成的方案及措施</w:t>
      </w:r>
      <w:r>
        <w:rPr>
          <w:rFonts w:hint="eastAsia" w:ascii="仿宋" w:hAnsi="仿宋" w:eastAsia="仿宋" w:cs="仿宋"/>
          <w:color w:val="auto"/>
          <w:sz w:val="24"/>
          <w:highlight w:val="none"/>
          <w:lang w:val="en-US" w:eastAsia="zh-CN"/>
        </w:rPr>
        <w:t>；</w:t>
      </w:r>
    </w:p>
    <w:p w14:paraId="4CEDB710">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sz w:val="24"/>
        </w:rPr>
        <w:t>人员配备</w:t>
      </w:r>
      <w:r>
        <w:rPr>
          <w:rFonts w:hint="eastAsia" w:ascii="仿宋" w:hAnsi="仿宋" w:eastAsia="仿宋" w:cs="仿宋"/>
          <w:sz w:val="24"/>
          <w:lang w:eastAsia="zh-CN"/>
        </w:rPr>
        <w:t>；</w:t>
      </w:r>
      <w:r>
        <w:rPr>
          <w:rFonts w:hint="eastAsia" w:ascii="仿宋" w:hAnsi="仿宋" w:eastAsia="仿宋" w:cs="仿宋"/>
          <w:sz w:val="24"/>
        </w:rPr>
        <w:t>（填写人员配备表，格式见第六章）</w:t>
      </w:r>
    </w:p>
    <w:p w14:paraId="71DBD6EB">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sz w:val="24"/>
          <w:lang w:val="en-US" w:eastAsia="zh-CN"/>
        </w:rPr>
        <w:t>设备配置。</w:t>
      </w:r>
    </w:p>
    <w:p w14:paraId="7AB7B89A">
      <w:pPr>
        <w:tabs>
          <w:tab w:val="left" w:pos="3870"/>
          <w:tab w:val="left" w:pos="4085"/>
        </w:tabs>
        <w:kinsoku/>
        <w:overflowPunct/>
        <w:topLinePunct w:val="0"/>
        <w:bidi w:val="0"/>
        <w:snapToGrid w:val="0"/>
        <w:spacing w:line="520" w:lineRule="exact"/>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9、供应商需要说明的其他文件和说明。</w:t>
      </w:r>
    </w:p>
    <w:p w14:paraId="1E7C0A4F">
      <w:pPr>
        <w:tabs>
          <w:tab w:val="left" w:pos="3870"/>
          <w:tab w:val="left" w:pos="4085"/>
        </w:tabs>
        <w:kinsoku/>
        <w:overflowPunct/>
        <w:topLinePunct w:val="0"/>
        <w:bidi w:val="0"/>
        <w:snapToGrid w:val="0"/>
        <w:spacing w:line="52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）商务部分：</w:t>
      </w:r>
    </w:p>
    <w:p w14:paraId="114AB848">
      <w:pPr>
        <w:tabs>
          <w:tab w:val="left" w:pos="3870"/>
          <w:tab w:val="left" w:pos="4085"/>
        </w:tabs>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商务响应表</w:t>
      </w:r>
      <w:r>
        <w:rPr>
          <w:rFonts w:hint="eastAsia" w:ascii="仿宋" w:hAnsi="仿宋" w:eastAsia="仿宋" w:cs="仿宋"/>
          <w:color w:val="auto"/>
          <w:sz w:val="24"/>
          <w:highlight w:val="none"/>
          <w:lang w:val="en-US" w:eastAsia="zh-CN"/>
        </w:rPr>
        <w:t>（格式见第五章）</w:t>
      </w:r>
      <w:r>
        <w:rPr>
          <w:rFonts w:hint="eastAsia" w:ascii="仿宋" w:hAnsi="仿宋" w:eastAsia="仿宋" w:cs="仿宋"/>
          <w:color w:val="auto"/>
          <w:sz w:val="24"/>
          <w:highlight w:val="none"/>
        </w:rPr>
        <w:t>；</w:t>
      </w:r>
    </w:p>
    <w:p w14:paraId="6F1C213B">
      <w:pPr>
        <w:tabs>
          <w:tab w:val="left" w:pos="3870"/>
          <w:tab w:val="left" w:pos="4085"/>
        </w:tabs>
        <w:kinsoku/>
        <w:overflowPunct/>
        <w:topLinePunct w:val="0"/>
        <w:bidi w:val="0"/>
        <w:snapToGrid w:val="0"/>
        <w:spacing w:line="520" w:lineRule="exact"/>
        <w:ind w:firstLine="480" w:firstLineChars="200"/>
        <w:jc w:val="lef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2、售后服务承诺</w:t>
      </w:r>
      <w:r>
        <w:rPr>
          <w:rFonts w:hint="eastAsia" w:ascii="仿宋" w:hAnsi="仿宋" w:eastAsia="仿宋" w:cs="仿宋"/>
          <w:color w:val="auto"/>
          <w:sz w:val="24"/>
          <w:highlight w:val="none"/>
        </w:rPr>
        <w:t>；</w:t>
      </w:r>
    </w:p>
    <w:p w14:paraId="03D3730D">
      <w:pPr>
        <w:kinsoku/>
        <w:overflowPunct/>
        <w:topLinePunct w:val="0"/>
        <w:bidi w:val="0"/>
        <w:snapToGrid w:val="0"/>
        <w:spacing w:line="520" w:lineRule="exact"/>
        <w:ind w:firstLine="470" w:firstLineChars="196"/>
        <w:jc w:val="lef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3、企业</w:t>
      </w:r>
      <w:r>
        <w:rPr>
          <w:rFonts w:hint="eastAsia" w:ascii="仿宋" w:hAnsi="仿宋" w:eastAsia="仿宋" w:cs="仿宋"/>
          <w:b w:val="0"/>
          <w:bCs w:val="0"/>
          <w:color w:val="auto"/>
          <w:sz w:val="24"/>
          <w:highlight w:val="none"/>
          <w:lang w:eastAsia="zh-CN"/>
        </w:rPr>
        <w:t>业绩</w:t>
      </w:r>
      <w:r>
        <w:rPr>
          <w:rFonts w:hint="eastAsia" w:ascii="仿宋" w:hAnsi="仿宋" w:eastAsia="仿宋" w:cs="仿宋"/>
          <w:b w:val="0"/>
          <w:bCs w:val="0"/>
          <w:color w:val="auto"/>
          <w:sz w:val="24"/>
          <w:highlight w:val="none"/>
          <w:lang w:val="en-US" w:eastAsia="zh-CN"/>
        </w:rPr>
        <w:t>；</w:t>
      </w:r>
    </w:p>
    <w:p w14:paraId="4E6E8358">
      <w:pPr>
        <w:kinsoku/>
        <w:overflowPunct/>
        <w:topLinePunct w:val="0"/>
        <w:bidi w:val="0"/>
        <w:snapToGrid w:val="0"/>
        <w:spacing w:line="520" w:lineRule="exact"/>
        <w:ind w:firstLine="470" w:firstLineChars="196"/>
        <w:jc w:val="left"/>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eastAsia="zh-CN"/>
        </w:rPr>
        <w:t>企业</w:t>
      </w:r>
      <w:r>
        <w:rPr>
          <w:rFonts w:hint="eastAsia" w:ascii="仿宋" w:hAnsi="仿宋" w:eastAsia="仿宋" w:cs="仿宋"/>
          <w:b w:val="0"/>
          <w:bCs w:val="0"/>
          <w:color w:val="auto"/>
          <w:sz w:val="24"/>
          <w:highlight w:val="none"/>
          <w:lang w:val="en-US" w:eastAsia="zh-CN"/>
        </w:rPr>
        <w:t>认证</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格式见第五章</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eastAsia="zh-CN"/>
        </w:rPr>
        <w:t>。</w:t>
      </w:r>
    </w:p>
    <w:p w14:paraId="6B630BC3">
      <w:pPr>
        <w:kinsoku/>
        <w:overflowPunct/>
        <w:topLinePunct w:val="0"/>
        <w:bidi w:val="0"/>
        <w:spacing w:line="52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）资信及其他部分：</w:t>
      </w:r>
    </w:p>
    <w:p w14:paraId="2A4D9957">
      <w:pPr>
        <w:kinsoku/>
        <w:overflowPunct/>
        <w:topLinePunct w:val="0"/>
        <w:bidi w:val="0"/>
        <w:snapToGrid w:val="0"/>
        <w:spacing w:line="520" w:lineRule="exact"/>
        <w:ind w:firstLine="470" w:firstLineChars="196"/>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有效的营业执照、税务登记证、组织机构代码证或“三证合一”的营业执照或“五证合一”的营业执照或事业单位法人登记证书；</w:t>
      </w:r>
      <w:r>
        <w:rPr>
          <w:rFonts w:hint="eastAsia" w:ascii="仿宋" w:hAnsi="仿宋" w:eastAsia="仿宋" w:cs="仿宋"/>
          <w:b/>
          <w:color w:val="auto"/>
          <w:sz w:val="24"/>
          <w:highlight w:val="none"/>
        </w:rPr>
        <w:t>（资格审查条款）</w:t>
      </w:r>
    </w:p>
    <w:p w14:paraId="605F355C">
      <w:pPr>
        <w:kinsoku/>
        <w:overflowPunct/>
        <w:topLinePunct w:val="0"/>
        <w:bidi w:val="0"/>
        <w:snapToGrid w:val="0"/>
        <w:spacing w:line="520" w:lineRule="exact"/>
        <w:ind w:firstLine="470" w:firstLineChars="196"/>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szCs w:val="24"/>
          <w:highlight w:val="none"/>
        </w:rPr>
        <w:t>法定代表人有效身份证明书及身份证（法定代表人参加磋商提供）或法定代表人授权书及授权人身份证、</w:t>
      </w:r>
      <w:r>
        <w:rPr>
          <w:rFonts w:hint="eastAsia" w:ascii="仿宋" w:hAnsi="仿宋" w:eastAsia="仿宋" w:cs="仿宋"/>
          <w:sz w:val="24"/>
        </w:rPr>
        <w:t>授权</w:t>
      </w:r>
      <w:r>
        <w:rPr>
          <w:rFonts w:hint="eastAsia" w:ascii="仿宋" w:hAnsi="仿宋" w:eastAsia="仿宋" w:cs="仿宋"/>
          <w:color w:val="auto"/>
          <w:sz w:val="24"/>
          <w:szCs w:val="24"/>
          <w:highlight w:val="none"/>
        </w:rPr>
        <w:t>委托人</w:t>
      </w:r>
      <w:r>
        <w:rPr>
          <w:rFonts w:hint="eastAsia" w:ascii="仿宋" w:hAnsi="仿宋" w:eastAsia="仿宋" w:cs="仿宋"/>
          <w:sz w:val="24"/>
          <w:lang w:val="en-US" w:eastAsia="zh-CN"/>
        </w:rPr>
        <w:t>最近三个月中任意一月个人社保缴纳证明文件</w:t>
      </w:r>
      <w:r>
        <w:rPr>
          <w:rFonts w:hint="eastAsia" w:ascii="仿宋" w:hAnsi="仿宋" w:eastAsia="仿宋" w:cs="仿宋"/>
          <w:color w:val="auto"/>
          <w:sz w:val="24"/>
          <w:szCs w:val="24"/>
          <w:highlight w:val="none"/>
        </w:rPr>
        <w:t>（法定代表人授权委托人参加磋商提供）</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lang w:val="en-US" w:eastAsia="zh-CN"/>
        </w:rPr>
        <w:t>格式见第五章，</w:t>
      </w:r>
      <w:r>
        <w:rPr>
          <w:rFonts w:hint="eastAsia" w:ascii="仿宋" w:hAnsi="仿宋" w:eastAsia="仿宋" w:cs="仿宋"/>
          <w:b/>
          <w:bCs/>
          <w:color w:val="auto"/>
          <w:sz w:val="24"/>
          <w:highlight w:val="none"/>
        </w:rPr>
        <w:t>资格审查条款）</w:t>
      </w:r>
    </w:p>
    <w:p w14:paraId="0E9EE61A">
      <w:pPr>
        <w:kinsoku/>
        <w:overflowPunct/>
        <w:topLinePunct w:val="0"/>
        <w:bidi w:val="0"/>
        <w:snapToGrid w:val="0"/>
        <w:spacing w:line="520" w:lineRule="exact"/>
        <w:ind w:firstLine="470" w:firstLineChars="196"/>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kern w:val="0"/>
          <w:sz w:val="24"/>
          <w:highlight w:val="none"/>
          <w:lang w:eastAsia="zh-CN"/>
        </w:rPr>
        <w:t>承诺书</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lang w:val="en-US" w:eastAsia="zh-CN"/>
        </w:rPr>
        <w:t>格式见第五章，</w:t>
      </w:r>
      <w:r>
        <w:rPr>
          <w:rFonts w:hint="eastAsia" w:ascii="仿宋" w:hAnsi="仿宋" w:eastAsia="仿宋" w:cs="仿宋"/>
          <w:b/>
          <w:bCs/>
          <w:color w:val="auto"/>
          <w:sz w:val="24"/>
          <w:highlight w:val="none"/>
        </w:rPr>
        <w:t>资格审查条款）</w:t>
      </w:r>
    </w:p>
    <w:p w14:paraId="48C132D8">
      <w:pPr>
        <w:kinsoku/>
        <w:overflowPunct/>
        <w:topLinePunct w:val="0"/>
        <w:bidi w:val="0"/>
        <w:snapToGrid w:val="0"/>
        <w:spacing w:line="520" w:lineRule="exact"/>
        <w:ind w:firstLine="470" w:firstLineChars="196"/>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信用承诺书；</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lang w:val="en-US" w:eastAsia="zh-CN"/>
        </w:rPr>
        <w:t>格式见第五章，</w:t>
      </w:r>
      <w:r>
        <w:rPr>
          <w:rFonts w:hint="eastAsia" w:ascii="仿宋" w:hAnsi="仿宋" w:eastAsia="仿宋" w:cs="仿宋"/>
          <w:b/>
          <w:bCs/>
          <w:color w:val="auto"/>
          <w:sz w:val="24"/>
          <w:highlight w:val="none"/>
        </w:rPr>
        <w:t>资格审查条款）</w:t>
      </w:r>
    </w:p>
    <w:p w14:paraId="7BA93127">
      <w:pPr>
        <w:kinsoku/>
        <w:overflowPunct/>
        <w:topLinePunct w:val="0"/>
        <w:bidi w:val="0"/>
        <w:snapToGrid w:val="0"/>
        <w:spacing w:line="520" w:lineRule="exact"/>
        <w:ind w:firstLine="470" w:firstLineChars="196"/>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w:t>
      </w:r>
      <w:r>
        <w:rPr>
          <w:rFonts w:hint="eastAsia" w:ascii="仿宋" w:hAnsi="仿宋" w:eastAsia="仿宋" w:cs="仿宋"/>
          <w:sz w:val="24"/>
        </w:rPr>
        <w:t>本项目属于《关于资格审查条款印发中小企业划型标准规定的通知》中规定的</w:t>
      </w:r>
      <w:r>
        <w:rPr>
          <w:rFonts w:hint="eastAsia" w:ascii="仿宋" w:hAnsi="仿宋" w:eastAsia="仿宋" w:cs="仿宋"/>
          <w:sz w:val="24"/>
          <w:highlight w:val="none"/>
        </w:rPr>
        <w:t>其他未列明行业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lang w:val="en-US" w:eastAsia="zh-CN"/>
        </w:rPr>
        <w:t>格式见第五章，</w:t>
      </w:r>
      <w:r>
        <w:rPr>
          <w:rFonts w:hint="eastAsia" w:ascii="仿宋" w:hAnsi="仿宋" w:eastAsia="仿宋" w:cs="仿宋"/>
          <w:b/>
          <w:bCs/>
          <w:color w:val="auto"/>
          <w:sz w:val="24"/>
          <w:highlight w:val="none"/>
        </w:rPr>
        <w:t>资格审查条款）</w:t>
      </w:r>
    </w:p>
    <w:p w14:paraId="44A1DABC">
      <w:pPr>
        <w:kinsoku/>
        <w:overflowPunct/>
        <w:topLinePunct w:val="0"/>
        <w:bidi w:val="0"/>
        <w:snapToGrid w:val="0"/>
        <w:spacing w:line="5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监狱企业声明函（如有</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lang w:val="en-US" w:eastAsia="zh-CN"/>
        </w:rPr>
        <w:t>格式见第五章</w:t>
      </w:r>
      <w:r>
        <w:rPr>
          <w:rFonts w:hint="eastAsia" w:ascii="仿宋" w:hAnsi="仿宋" w:eastAsia="仿宋" w:cs="仿宋"/>
          <w:color w:val="auto"/>
          <w:sz w:val="24"/>
          <w:highlight w:val="none"/>
        </w:rPr>
        <w:t>）；</w:t>
      </w:r>
    </w:p>
    <w:p w14:paraId="66FCD929">
      <w:pPr>
        <w:kinsoku/>
        <w:overflowPunct/>
        <w:topLinePunct w:val="0"/>
        <w:bidi w:val="0"/>
        <w:snapToGrid w:val="0"/>
        <w:spacing w:line="520" w:lineRule="exact"/>
        <w:ind w:firstLine="470" w:firstLineChars="196"/>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残疾人福利性单位声明函（如有</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lang w:val="en-US" w:eastAsia="zh-CN"/>
        </w:rPr>
        <w:t>格式见第五章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0856653E">
      <w:pPr>
        <w:kinsoku/>
        <w:overflowPunct/>
        <w:topLinePunct w:val="0"/>
        <w:bidi w:val="0"/>
        <w:spacing w:line="52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（5）</w:t>
      </w:r>
      <w:r>
        <w:rPr>
          <w:rFonts w:hint="eastAsia" w:ascii="仿宋" w:hAnsi="仿宋" w:eastAsia="仿宋" w:cs="仿宋"/>
          <w:color w:val="auto"/>
          <w:sz w:val="24"/>
          <w:highlight w:val="none"/>
        </w:rPr>
        <w:t>其他磋商文件要求提供的或供应商认为需要说明的技术、商务、资信及其他文件内容。</w:t>
      </w:r>
    </w:p>
    <w:p w14:paraId="2A4D8AC6">
      <w:pPr>
        <w:kinsoku/>
        <w:overflowPunct/>
        <w:topLinePunct w:val="0"/>
        <w:bidi w:val="0"/>
        <w:spacing w:line="52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（二）《首次报价文件》：</w:t>
      </w:r>
    </w:p>
    <w:p w14:paraId="2C36FE23">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（1）响应函</w:t>
      </w:r>
      <w:r>
        <w:rPr>
          <w:rFonts w:hint="eastAsia" w:ascii="仿宋" w:hAnsi="仿宋" w:eastAsia="仿宋" w:cs="仿宋"/>
          <w:color w:val="auto"/>
          <w:sz w:val="24"/>
          <w:highlight w:val="none"/>
          <w:lang w:eastAsia="zh-CN"/>
        </w:rPr>
        <w:t>（格式见第五章）</w:t>
      </w:r>
      <w:r>
        <w:rPr>
          <w:rFonts w:hint="eastAsia" w:ascii="仿宋" w:hAnsi="仿宋" w:eastAsia="仿宋" w:cs="仿宋"/>
          <w:color w:val="auto"/>
          <w:sz w:val="24"/>
          <w:highlight w:val="none"/>
        </w:rPr>
        <w:t>；</w:t>
      </w:r>
    </w:p>
    <w:p w14:paraId="7B2C7697">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（2）磋商报价表（首次报价）</w:t>
      </w:r>
      <w:r>
        <w:rPr>
          <w:rFonts w:hint="eastAsia" w:ascii="仿宋" w:hAnsi="仿宋" w:eastAsia="仿宋" w:cs="仿宋"/>
          <w:color w:val="auto"/>
          <w:sz w:val="24"/>
          <w:highlight w:val="none"/>
          <w:lang w:eastAsia="zh-CN"/>
        </w:rPr>
        <w:t>（格式见第五章）</w:t>
      </w:r>
      <w:r>
        <w:rPr>
          <w:rFonts w:hint="eastAsia" w:ascii="仿宋" w:hAnsi="仿宋" w:eastAsia="仿宋" w:cs="仿宋"/>
          <w:color w:val="auto"/>
          <w:sz w:val="24"/>
          <w:highlight w:val="none"/>
        </w:rPr>
        <w:t>；</w:t>
      </w:r>
    </w:p>
    <w:p w14:paraId="73968FD4">
      <w:pPr>
        <w:kinsoku/>
        <w:overflowPunct/>
        <w:topLinePunct w:val="0"/>
        <w:bidi w:val="0"/>
        <w:snapToGrid w:val="0"/>
        <w:spacing w:line="52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）报价明细表（</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14:paraId="23222E55">
      <w:pPr>
        <w:kinsoku/>
        <w:overflowPunct/>
        <w:topLinePunct w:val="0"/>
        <w:bidi w:val="0"/>
        <w:snapToGrid w:val="0"/>
        <w:spacing w:line="52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代理服务费承诺函</w:t>
      </w:r>
      <w:r>
        <w:rPr>
          <w:rFonts w:hint="eastAsia" w:ascii="仿宋" w:hAnsi="仿宋" w:eastAsia="仿宋" w:cs="仿宋"/>
          <w:color w:val="auto"/>
          <w:sz w:val="24"/>
          <w:highlight w:val="none"/>
          <w:lang w:eastAsia="zh-CN"/>
        </w:rPr>
        <w:t>（格式见第五章）</w:t>
      </w:r>
      <w:r>
        <w:rPr>
          <w:rFonts w:hint="eastAsia" w:ascii="仿宋" w:hAnsi="仿宋" w:eastAsia="仿宋" w:cs="仿宋"/>
          <w:color w:val="auto"/>
          <w:sz w:val="24"/>
          <w:highlight w:val="none"/>
        </w:rPr>
        <w:t>；</w:t>
      </w:r>
    </w:p>
    <w:p w14:paraId="5B1AEE06">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）供应商针对报价需要说明的其他材料（格式自拟）。</w:t>
      </w:r>
    </w:p>
    <w:p w14:paraId="323D0826">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9.磋商报价说明</w:t>
      </w:r>
    </w:p>
    <w:p w14:paraId="10323BD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9.1响应报价应按采购文件中相关附表格式填写；</w:t>
      </w:r>
    </w:p>
    <w:p w14:paraId="3E7F286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9.2供应商应按本磋商文件提供相应的报价，不得缺项和漏项，每一项目只允许有一个报价，任何有选择性的报价，将不予接受；</w:t>
      </w:r>
    </w:p>
    <w:p w14:paraId="5489FAC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供应商的报价应是完成本磋商文件规定内容所需发生的全部费用（包含税金、运输、保险、服务及其他应由供应商承担的费用），应为履行合同的最终价格，凡未列入表达清楚的，将被视为均已包含在投标总报价中；</w:t>
      </w:r>
    </w:p>
    <w:p w14:paraId="2C42199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9.4如实际服务中发生服务内容的调整须经采购人同意，增减服务内容的结算按相应成交价格计算；</w:t>
      </w:r>
    </w:p>
    <w:p w14:paraId="1B3D435B">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9.5供应商的最后报价由供应商自担全部风险责任，成交后不得以任何理由调报价或追加任何费用；</w:t>
      </w:r>
    </w:p>
    <w:p w14:paraId="0C47D10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9.6各供应商拟采取的竞争措施和提供给采购人的优惠条件应在响应文件中列明，开标后提出的优惠条件一律不予考虑；</w:t>
      </w:r>
    </w:p>
    <w:p w14:paraId="128EB7F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9.7供应商所有优惠条件和优惠费用不得降低和影响本采购项目质量；</w:t>
      </w:r>
    </w:p>
    <w:p w14:paraId="73B90A0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9.8供应商对磋商文件里有关响应报价的全部内容应仔细确认，若有个别异议，应在开标前五天提出修改意见，否则视同全部确认；</w:t>
      </w:r>
    </w:p>
    <w:p w14:paraId="3DCBF891">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9.9</w:t>
      </w:r>
      <w:r>
        <w:rPr>
          <w:rFonts w:hint="eastAsia" w:ascii="仿宋" w:hAnsi="仿宋" w:eastAsia="仿宋" w:cs="仿宋"/>
          <w:bCs/>
          <w:color w:val="auto"/>
          <w:sz w:val="24"/>
          <w:highlight w:val="none"/>
        </w:rPr>
        <w:t>供应商要按磋商项目内容、数量及服务要求，就采购事项按格式要求规范填写，并由法定代表人或授权代理人签署，未经采购人书面同意，</w:t>
      </w:r>
      <w:r>
        <w:rPr>
          <w:rFonts w:hint="eastAsia" w:ascii="仿宋" w:hAnsi="仿宋" w:eastAsia="仿宋" w:cs="仿宋"/>
          <w:color w:val="auto"/>
          <w:sz w:val="24"/>
          <w:highlight w:val="none"/>
        </w:rPr>
        <w:t>不得随意更改项目名称、计量单位，否则有可能被视为无效</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w:t>
      </w:r>
    </w:p>
    <w:p w14:paraId="23952C9F">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9.10磋商分二轮进行，首次报价在响应文件中体现；</w:t>
      </w:r>
    </w:p>
    <w:p w14:paraId="45A4C1B7">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9.11最后报价应通过政采云系统进行在线磋商、报价，若因系统原因无法在线磋商、报价时，可通过如下方式：代理机构通过电子邮箱（</w:t>
      </w:r>
      <w:r>
        <w:rPr>
          <w:rFonts w:hint="eastAsia" w:ascii="仿宋" w:hAnsi="仿宋" w:eastAsia="仿宋" w:cs="仿宋"/>
          <w:b w:val="0"/>
          <w:bCs/>
          <w:color w:val="auto"/>
          <w:sz w:val="24"/>
          <w:highlight w:val="none"/>
          <w:lang w:val="en-US" w:eastAsia="zh-CN"/>
        </w:rPr>
        <w:t>1054851444@qq.com</w:t>
      </w:r>
      <w:r>
        <w:rPr>
          <w:rFonts w:hint="eastAsia" w:ascii="仿宋" w:hAnsi="仿宋" w:eastAsia="仿宋" w:cs="仿宋"/>
          <w:b w:val="0"/>
          <w:bCs/>
          <w:color w:val="auto"/>
          <w:sz w:val="24"/>
          <w:highlight w:val="none"/>
        </w:rPr>
        <w:t>）向各供应商指定的电子邮箱发送最后报价的通知函，供应商在收到此函后30分钟内通过指定的电子邮箱进行最后报价，最后报价应按照本磋商文件规定的格式并以邮件的形式提供，且由法定代表人或其</w:t>
      </w:r>
      <w:r>
        <w:rPr>
          <w:rFonts w:hint="eastAsia" w:ascii="仿宋" w:hAnsi="仿宋" w:eastAsia="仿宋" w:cs="仿宋"/>
          <w:b w:val="0"/>
          <w:bCs/>
          <w:color w:val="auto"/>
          <w:sz w:val="24"/>
          <w:highlight w:val="none"/>
          <w:lang w:eastAsia="zh-CN"/>
        </w:rPr>
        <w:t>授权代理人</w:t>
      </w:r>
      <w:r>
        <w:rPr>
          <w:rFonts w:hint="eastAsia" w:ascii="仿宋" w:hAnsi="仿宋" w:eastAsia="仿宋" w:cs="仿宋"/>
          <w:b w:val="0"/>
          <w:bCs/>
          <w:color w:val="auto"/>
          <w:sz w:val="24"/>
          <w:highlight w:val="none"/>
        </w:rPr>
        <w:t>签字确认并加盖公章，最后报价由代理机构统一提交至磋商小组，并宣读最后报价，采购人及监督人在最后报价表上签字确认；</w:t>
      </w:r>
    </w:p>
    <w:p w14:paraId="66ED1B29">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9.12各供应商应事先做好充足准备，如未能在规定的时间内进行最后报价，作自动放弃处理；</w:t>
      </w:r>
    </w:p>
    <w:p w14:paraId="572A9F3D">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9.13</w:t>
      </w:r>
      <w:r>
        <w:rPr>
          <w:rFonts w:hint="eastAsia" w:ascii="仿宋" w:hAnsi="仿宋" w:eastAsia="仿宋" w:cs="仿宋"/>
          <w:bCs/>
          <w:color w:val="auto"/>
          <w:sz w:val="24"/>
          <w:highlight w:val="none"/>
        </w:rPr>
        <w:t>响应文件中的所有报价均以人民币（元）为单位；</w:t>
      </w:r>
    </w:p>
    <w:p w14:paraId="1AE8FBA8">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9.14采购人不接受备选方案。</w:t>
      </w:r>
    </w:p>
    <w:p w14:paraId="47FB590B">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10.磋商有效期</w:t>
      </w:r>
    </w:p>
    <w:p w14:paraId="076200D2">
      <w:pPr>
        <w:tabs>
          <w:tab w:val="left" w:pos="1440"/>
          <w:tab w:val="left" w:pos="1620"/>
        </w:tabs>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bCs/>
          <w:color w:val="auto"/>
          <w:sz w:val="24"/>
          <w:highlight w:val="none"/>
        </w:rPr>
        <w:t>自磋商开始之日起60天内。有效期短于这个规定期限的响应文件，将被拒绝；</w:t>
      </w:r>
    </w:p>
    <w:p w14:paraId="1127AD3B">
      <w:pPr>
        <w:tabs>
          <w:tab w:val="left" w:pos="1440"/>
          <w:tab w:val="left" w:pos="16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在特殊情况下，采购代理机构在原定磋商有效期内，可以根据需要以书面形式向供应商提出延长磋商有效期的要求，供应商须以书面形式予以答复。供应商可以拒绝采购代理机构的这种要求。同意延长磋商有效期的供应商既不能要求也不允许修改其响应文件。</w:t>
      </w:r>
    </w:p>
    <w:p w14:paraId="6B42B1DF">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11.响应文件的签署和份数</w:t>
      </w:r>
    </w:p>
    <w:p w14:paraId="43D1CE31">
      <w:pPr>
        <w:tabs>
          <w:tab w:val="left" w:pos="1440"/>
          <w:tab w:val="left" w:pos="1620"/>
        </w:tabs>
        <w:kinsoku/>
        <w:overflowPunct/>
        <w:topLinePunct w:val="0"/>
        <w:bidi w:val="0"/>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11.1电子响应文件：</w:t>
      </w:r>
    </w:p>
    <w:p w14:paraId="10F36352">
      <w:pPr>
        <w:tabs>
          <w:tab w:val="left" w:pos="1440"/>
          <w:tab w:val="left" w:pos="16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根据“政采云供应商项目采购-电子招投标操作指南”及本磋商文件规定的格式和顺序编制电子响应文件并进行关联定位，若因响应文件内容不完整、编排混乱导致响应文件被误读、漏读或者查找不到相关内容的，是供应商的责任。</w:t>
      </w:r>
    </w:p>
    <w:p w14:paraId="4C1A460B">
      <w:pPr>
        <w:tabs>
          <w:tab w:val="left" w:pos="1440"/>
          <w:tab w:val="left" w:pos="1620"/>
        </w:tabs>
        <w:kinsoku/>
        <w:overflowPunct/>
        <w:topLinePunct w:val="0"/>
        <w:bidi w:val="0"/>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11.2数据电子备份响应文件（U盘）：</w:t>
      </w:r>
    </w:p>
    <w:p w14:paraId="3F06DD07">
      <w:pPr>
        <w:tabs>
          <w:tab w:val="left" w:pos="1440"/>
          <w:tab w:val="left" w:pos="16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响应文件的备份文件以U盘形式存储。数据电子备份响应文件格式及内容须与政采云平台项目采购-电子交易操作指南中制作、加密并递交的电子响应文件格式及内容一致。数据电子备份响应文件（U盘）须密封、包装，不按此规定密封、包装的数据电子备份响应文件（U盘）均按未提供处理；</w:t>
      </w:r>
    </w:p>
    <w:p w14:paraId="111D3B00">
      <w:pPr>
        <w:kinsoku/>
        <w:overflowPunct/>
        <w:topLinePunct w:val="0"/>
        <w:autoSpaceDE w:val="0"/>
        <w:autoSpaceDN w:val="0"/>
        <w:bidi w:val="0"/>
        <w:spacing w:line="5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kern w:val="0"/>
          <w:sz w:val="24"/>
          <w:highlight w:val="none"/>
        </w:rPr>
        <w:t>响应文件需按磋商文件要求的格式填写，未按规定格式填写将有可能视为无效响应文件；</w:t>
      </w:r>
    </w:p>
    <w:p w14:paraId="687162F6">
      <w:pPr>
        <w:kinsoku/>
        <w:overflowPunct/>
        <w:topLinePunct w:val="0"/>
        <w:bidi w:val="0"/>
        <w:spacing w:line="52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kern w:val="0"/>
          <w:sz w:val="24"/>
          <w:highlight w:val="none"/>
        </w:rPr>
        <w:t>除供应商对错处做必要修改外，响应文件不得行间插字、涂改和增删，如有修改错漏处，应由供应商加盖校对章。</w:t>
      </w:r>
    </w:p>
    <w:p w14:paraId="0D01EC1B">
      <w:pPr>
        <w:pStyle w:val="3"/>
        <w:kinsoku/>
        <w:overflowPunct/>
        <w:topLinePunct w:val="0"/>
        <w:bidi w:val="0"/>
        <w:spacing w:line="520" w:lineRule="exact"/>
        <w:jc w:val="center"/>
        <w:rPr>
          <w:rFonts w:hint="eastAsia" w:ascii="仿宋" w:hAnsi="仿宋" w:eastAsia="仿宋" w:cs="仿宋"/>
          <w:color w:val="auto"/>
          <w:kern w:val="44"/>
          <w:sz w:val="28"/>
          <w:szCs w:val="28"/>
          <w:highlight w:val="none"/>
        </w:rPr>
      </w:pPr>
      <w:bookmarkStart w:id="22" w:name="_Toc452995898"/>
      <w:r>
        <w:rPr>
          <w:rFonts w:hint="eastAsia" w:ascii="仿宋" w:hAnsi="仿宋" w:eastAsia="仿宋" w:cs="仿宋"/>
          <w:color w:val="auto"/>
          <w:kern w:val="44"/>
          <w:sz w:val="28"/>
          <w:szCs w:val="28"/>
          <w:highlight w:val="none"/>
        </w:rPr>
        <w:t>三、响应文件的提交</w:t>
      </w:r>
      <w:bookmarkEnd w:id="22"/>
    </w:p>
    <w:p w14:paraId="758826E3">
      <w:pPr>
        <w:tabs>
          <w:tab w:val="left" w:pos="720"/>
        </w:tabs>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bCs/>
          <w:color w:val="auto"/>
          <w:sz w:val="24"/>
          <w:highlight w:val="none"/>
        </w:rPr>
        <w:t>.数据电子备份响应文件（U盘）的密封及标记</w:t>
      </w:r>
    </w:p>
    <w:p w14:paraId="32383ED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12.1供应商在数据电子备份响应文件（U盘）包封上应注明项目名称、项目编号、供应商名称并加盖供应商盖章；</w:t>
      </w:r>
    </w:p>
    <w:p w14:paraId="03B11E8A">
      <w:pPr>
        <w:kinsoku/>
        <w:overflowPunct/>
        <w:topLinePunct w:val="0"/>
        <w:bidi w:val="0"/>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b/>
          <w:bCs/>
          <w:color w:val="auto"/>
          <w:sz w:val="24"/>
          <w:highlight w:val="none"/>
        </w:rPr>
        <w:t>如果数据电子备份响应文件（U盘）未按上述要求密封和加写标记，采购人有权予以拒绝此响应文件，视为未提供，并退回供应商；</w:t>
      </w:r>
    </w:p>
    <w:p w14:paraId="72584551">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12.3如果因密封不严、标记不明而造成过早启封、失密等情况，</w:t>
      </w:r>
      <w:r>
        <w:rPr>
          <w:rFonts w:hint="eastAsia" w:ascii="仿宋" w:hAnsi="仿宋" w:eastAsia="仿宋" w:cs="仿宋"/>
          <w:bCs/>
          <w:color w:val="auto"/>
          <w:sz w:val="24"/>
          <w:highlight w:val="none"/>
        </w:rPr>
        <w:t>采购代理机构</w:t>
      </w:r>
      <w:r>
        <w:rPr>
          <w:rFonts w:hint="eastAsia" w:ascii="仿宋" w:hAnsi="仿宋" w:eastAsia="仿宋" w:cs="仿宋"/>
          <w:color w:val="auto"/>
          <w:sz w:val="24"/>
          <w:highlight w:val="none"/>
        </w:rPr>
        <w:t>概不负责。</w:t>
      </w:r>
    </w:p>
    <w:p w14:paraId="1354BC33">
      <w:pPr>
        <w:tabs>
          <w:tab w:val="left" w:pos="720"/>
        </w:tabs>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13.响应文件的递交及磋商截止时间：</w:t>
      </w:r>
    </w:p>
    <w:p w14:paraId="1FA7F0BD">
      <w:pPr>
        <w:tabs>
          <w:tab w:val="left" w:pos="7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2D5152A2">
      <w:pPr>
        <w:tabs>
          <w:tab w:val="left" w:pos="7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原则上邮寄公司统一采用EMS），邮寄地址为：湖州市仁皇工程咨询有限公司 [</w:t>
      </w:r>
      <w:r>
        <w:rPr>
          <w:rFonts w:hint="eastAsia" w:ascii="仿宋" w:hAnsi="仿宋" w:eastAsia="仿宋" w:cs="仿宋"/>
          <w:color w:val="auto"/>
          <w:sz w:val="24"/>
          <w:highlight w:val="none"/>
          <w:lang w:eastAsia="zh-CN"/>
        </w:rPr>
        <w:t>湖州市吴兴区太湖路51号湖州国际贸易大厦15楼</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15968175942</w:t>
      </w:r>
      <w:r>
        <w:rPr>
          <w:rFonts w:hint="eastAsia" w:ascii="仿宋" w:hAnsi="仿宋" w:eastAsia="仿宋" w:cs="仿宋"/>
          <w:color w:val="auto"/>
          <w:sz w:val="24"/>
          <w:highlight w:val="none"/>
        </w:rPr>
        <w:t>。邮寄截止时间：供应商应于</w:t>
      </w:r>
      <w:r>
        <w:rPr>
          <w:rFonts w:hint="eastAsia" w:ascii="仿宋" w:hAnsi="仿宋" w:eastAsia="仿宋" w:cs="仿宋"/>
          <w:color w:val="0000FF"/>
          <w:sz w:val="24"/>
          <w:highlight w:val="none"/>
          <w:lang w:eastAsia="zh-CN"/>
        </w:rPr>
        <w:t>2025年9月</w:t>
      </w:r>
      <w:r>
        <w:rPr>
          <w:rFonts w:hint="eastAsia" w:ascii="仿宋" w:hAnsi="仿宋" w:eastAsia="仿宋" w:cs="仿宋"/>
          <w:color w:val="0000FF"/>
          <w:sz w:val="24"/>
          <w:highlight w:val="none"/>
          <w:lang w:val="en-US" w:eastAsia="zh-CN"/>
        </w:rPr>
        <w:t xml:space="preserve"> </w:t>
      </w:r>
      <w:r>
        <w:rPr>
          <w:rFonts w:hint="eastAsia" w:ascii="仿宋" w:hAnsi="仿宋" w:eastAsia="仿宋" w:cs="仿宋"/>
          <w:color w:val="0000FF"/>
          <w:sz w:val="24"/>
          <w:highlight w:val="none"/>
          <w:lang w:eastAsia="zh-CN"/>
        </w:rPr>
        <w:t>日</w:t>
      </w:r>
      <w:r>
        <w:rPr>
          <w:rFonts w:hint="eastAsia" w:ascii="仿宋" w:hAnsi="仿宋" w:eastAsia="仿宋" w:cs="仿宋"/>
          <w:color w:val="0000FF"/>
          <w:sz w:val="24"/>
          <w:highlight w:val="none"/>
        </w:rPr>
        <w:t>17:00</w:t>
      </w:r>
      <w:r>
        <w:rPr>
          <w:rFonts w:hint="eastAsia" w:ascii="仿宋" w:hAnsi="仿宋" w:eastAsia="仿宋" w:cs="仿宋"/>
          <w:color w:val="auto"/>
          <w:sz w:val="24"/>
          <w:highlight w:val="none"/>
        </w:rPr>
        <w:t>时前准时送达，逾期不予受理。截止开标时间前，采购人由二名人员（一名接收人、一名监督人员）统一负责接收并送至专门的监控室，与</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资料一并归档。供应商须留足响应文件邮寄时间,确保数据电子备份响应文件（U盘）于规定的时间前送达指定地点，未按时送达的，均按未提供处理；</w:t>
      </w:r>
    </w:p>
    <w:p w14:paraId="0CA953FF">
      <w:pPr>
        <w:tabs>
          <w:tab w:val="left" w:pos="720"/>
        </w:tabs>
        <w:kinsoku/>
        <w:overflowPunct/>
        <w:topLinePunct w:val="0"/>
        <w:bidi w:val="0"/>
        <w:spacing w:line="520" w:lineRule="exact"/>
        <w:ind w:firstLine="480" w:firstLineChars="200"/>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rPr>
        <w:t>13.3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096D4D37">
      <w:pPr>
        <w:tabs>
          <w:tab w:val="left" w:pos="7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13.4采购代理机构可通过修改磋商文件酌情延长递交响应文件的截止时间，在此情况下，供应商的所有权利和义务以及供应商的磋商截止时间均应以延长后新的截止时间为准；</w:t>
      </w:r>
    </w:p>
    <w:p w14:paraId="04884B0B">
      <w:pPr>
        <w:tabs>
          <w:tab w:val="left" w:pos="7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13.5供应商的修改书和撤回通知应在规定的磋商截止日期前按规定的时间及方式（邮箱或传真等）送达；</w:t>
      </w:r>
    </w:p>
    <w:p w14:paraId="7B3B6A1E">
      <w:pPr>
        <w:tabs>
          <w:tab w:val="left" w:pos="720"/>
        </w:tabs>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13.6采购代理机构收到供应商的响应文件或修改撤回通知书后，应当出具签收单（或收回签收单），通过邮箱或传真等方式送达；</w:t>
      </w:r>
    </w:p>
    <w:p w14:paraId="2DAE7854">
      <w:pPr>
        <w:tabs>
          <w:tab w:val="left" w:pos="720"/>
        </w:tabs>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13.7因网络或其他非供应商问题造成电子响应文件未成功解密，且供应商提供了数据电子备份响应文件（U盘）的，以数据电子备份响应文件（U盘）作为评审依据，否则视为电子响应文件撤回，作无效标处理。电子响应文件已成功解密的，数据电子备份响应文件（U盘）自动失效，不予启封。</w:t>
      </w:r>
    </w:p>
    <w:p w14:paraId="1D7E40E2">
      <w:pPr>
        <w:tabs>
          <w:tab w:val="left" w:pos="720"/>
        </w:tabs>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14.迟交的响应文件</w:t>
      </w:r>
    </w:p>
    <w:p w14:paraId="33B9147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采购人将不接受在规定的磋商截止时间后收到的任何响应文件。</w:t>
      </w:r>
    </w:p>
    <w:p w14:paraId="2F3E524A">
      <w:pPr>
        <w:tabs>
          <w:tab w:val="left" w:pos="720"/>
        </w:tabs>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15.响应文件的修改和撤回</w:t>
      </w:r>
    </w:p>
    <w:p w14:paraId="714FEC1F">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15.1供应商在提交响应文件后，可以修改或撤回其响应文件，但这种修改和撤回通知，必须在规定的磋商截止时间前，以书面形式（包括邮箱或传真等方式）通知采购代理机构；</w:t>
      </w:r>
    </w:p>
    <w:p w14:paraId="4446F30D">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15.2在磋商截止时间至规定的磋商有效期满之间的这段时间，供应商不得撤回其响应文件。</w:t>
      </w:r>
    </w:p>
    <w:p w14:paraId="68858BBA">
      <w:pPr>
        <w:tabs>
          <w:tab w:val="left" w:pos="720"/>
        </w:tabs>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16.出现以下情形，导致电子交易平台无法正常进行，或者无法保证电子交易的公平、公正和安全时，中止电子交易活动：</w:t>
      </w:r>
    </w:p>
    <w:p w14:paraId="439D439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16.1电子交易平台发生故障而无法登录访问的；</w:t>
      </w:r>
    </w:p>
    <w:p w14:paraId="44EB213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16.2电子交易平台应用或数据库出现错误，不能进行正常操作的；</w:t>
      </w:r>
    </w:p>
    <w:p w14:paraId="0F8221B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16.3电子交易平台发现严重安全漏洞，有潜在泄密危险的；</w:t>
      </w:r>
    </w:p>
    <w:p w14:paraId="3C8AC54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16.4病毒发作导致不能进行正常操作的；</w:t>
      </w:r>
    </w:p>
    <w:p w14:paraId="4DA26BE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16.5其他无法保证电子交易的公平、公正和安全的情况。</w:t>
      </w:r>
    </w:p>
    <w:p w14:paraId="793DFC9D">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以上规定情形，不影响采购公平、公正性的，采购代理机构可以待上述情形消除后继续组织电子交易活动，也可以决定某些环节以其他形式（数据备份响应文件（U盘））进行；影响或可能影响采购公平、公正性的，重新采购。</w:t>
      </w:r>
    </w:p>
    <w:p w14:paraId="13F56B74">
      <w:pPr>
        <w:pStyle w:val="3"/>
        <w:kinsoku/>
        <w:overflowPunct/>
        <w:topLinePunct w:val="0"/>
        <w:bidi w:val="0"/>
        <w:spacing w:line="520" w:lineRule="exact"/>
        <w:jc w:val="center"/>
        <w:rPr>
          <w:rFonts w:hint="eastAsia" w:ascii="仿宋" w:hAnsi="仿宋" w:eastAsia="仿宋" w:cs="仿宋"/>
          <w:color w:val="auto"/>
          <w:sz w:val="28"/>
          <w:szCs w:val="28"/>
          <w:highlight w:val="none"/>
        </w:rPr>
      </w:pPr>
      <w:bookmarkStart w:id="23" w:name="_Toc452995899"/>
      <w:r>
        <w:rPr>
          <w:rFonts w:hint="eastAsia" w:ascii="仿宋" w:hAnsi="仿宋" w:eastAsia="仿宋" w:cs="仿宋"/>
          <w:color w:val="auto"/>
          <w:kern w:val="44"/>
          <w:sz w:val="28"/>
          <w:szCs w:val="28"/>
          <w:highlight w:val="none"/>
        </w:rPr>
        <w:t>四、</w:t>
      </w:r>
      <w:r>
        <w:rPr>
          <w:rFonts w:hint="eastAsia" w:ascii="仿宋" w:hAnsi="仿宋" w:eastAsia="仿宋" w:cs="仿宋"/>
          <w:color w:val="auto"/>
          <w:sz w:val="28"/>
          <w:szCs w:val="28"/>
          <w:highlight w:val="none"/>
        </w:rPr>
        <w:t>磋商</w:t>
      </w:r>
      <w:r>
        <w:rPr>
          <w:rFonts w:hint="eastAsia" w:ascii="仿宋" w:hAnsi="仿宋" w:eastAsia="仿宋" w:cs="仿宋"/>
          <w:color w:val="auto"/>
          <w:spacing w:val="14"/>
          <w:sz w:val="28"/>
          <w:szCs w:val="28"/>
          <w:highlight w:val="none"/>
        </w:rPr>
        <w:t>规则、</w:t>
      </w:r>
      <w:r>
        <w:rPr>
          <w:rFonts w:hint="eastAsia" w:ascii="仿宋" w:hAnsi="仿宋" w:eastAsia="仿宋" w:cs="仿宋"/>
          <w:color w:val="auto"/>
          <w:sz w:val="28"/>
          <w:szCs w:val="28"/>
          <w:highlight w:val="none"/>
        </w:rPr>
        <w:t>程序</w:t>
      </w:r>
      <w:bookmarkEnd w:id="23"/>
    </w:p>
    <w:p w14:paraId="11211E5E">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17.磋商规则</w:t>
      </w:r>
    </w:p>
    <w:p w14:paraId="0EBDD4C3">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17.1采购代理机构将于本须知前附表规定的时间和地点召开磋商会，所有供应商均应准时参加磋商会</w:t>
      </w:r>
      <w:r>
        <w:rPr>
          <w:rFonts w:hint="eastAsia" w:ascii="仿宋" w:hAnsi="仿宋" w:eastAsia="仿宋" w:cs="仿宋"/>
          <w:color w:val="auto"/>
          <w:sz w:val="24"/>
          <w:highlight w:val="none"/>
          <w:lang w:eastAsia="zh-CN"/>
        </w:rPr>
        <w:t>，本项目的磋商会采用不见面线上模式，供应商登录政采云平台在线响应</w:t>
      </w:r>
      <w:r>
        <w:rPr>
          <w:rFonts w:hint="eastAsia" w:ascii="仿宋" w:hAnsi="仿宋" w:eastAsia="仿宋" w:cs="仿宋"/>
          <w:color w:val="auto"/>
          <w:sz w:val="24"/>
          <w:highlight w:val="none"/>
        </w:rPr>
        <w:t>；</w:t>
      </w:r>
    </w:p>
    <w:p w14:paraId="4EFC2EB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17.2磋商会由采购代理机构主持。</w:t>
      </w:r>
    </w:p>
    <w:p w14:paraId="5A6375E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17.3对供应商的磋商文件出现下列情况之一的，按照无效响应文件处理：</w:t>
      </w:r>
    </w:p>
    <w:p w14:paraId="1AB47ED7">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17.3.1电子响应文件逾期未上传、传输的将拒绝接收；</w:t>
      </w:r>
    </w:p>
    <w:p w14:paraId="0D372B35">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17.3.2不具备磋商文件中规定的资格条件要求的；</w:t>
      </w:r>
    </w:p>
    <w:p w14:paraId="3E196DCD">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17.3.3供应商提交两份或两份以上内容不同的响应文件，或在一份响应文件中对同一采购项目有两个或两个以上报价的；</w:t>
      </w:r>
    </w:p>
    <w:p w14:paraId="4921F35E">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17.3.4响应文件载明的采购项目完成期限超过磋商文件规定的期限，采购人不能接受的；</w:t>
      </w:r>
    </w:p>
    <w:p w14:paraId="10A3DEF5">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17.3.5响应文件载明的采购项目磋商有效期、服务期少于磋商文件规定期限的；</w:t>
      </w:r>
    </w:p>
    <w:p w14:paraId="22869A6F">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17.3.6响应文件未响应磋商文件规定的付款方式的；</w:t>
      </w:r>
    </w:p>
    <w:p w14:paraId="5CDEA6D4">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17.3.7响应货物或服务的技术规范、技术标准明显不符合国家强制性要求的；</w:t>
      </w:r>
    </w:p>
    <w:p w14:paraId="52CE4061">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17.3.8响应货物或服务载明的验收标准和方法等不符合国家规定及竞争性磋商文件要求的；</w:t>
      </w:r>
    </w:p>
    <w:p w14:paraId="6D28002B">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17.3.9响应文件字迹模糊辨认不清的（磋商小组一致认为难以确认）；</w:t>
      </w:r>
    </w:p>
    <w:p w14:paraId="36B96206">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17.3.10未改变磋商文件采购需求的情况下，供应商二次报价高于首次报价或最后报价高于首次报价或二次报价的；</w:t>
      </w:r>
    </w:p>
    <w:p w14:paraId="084A5C9B">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17.3.11提供不真实资料的；</w:t>
      </w:r>
    </w:p>
    <w:p w14:paraId="1C9A14B2">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17.3.12不符合法律、法规和磋商文件规定的其他实质性要求（磋商小组一致认定）的；</w:t>
      </w:r>
    </w:p>
    <w:p w14:paraId="2F692FFE">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17.3.13磋商服务的服务指标、参数等存在实质性偏离（磋商小组一致认定）的；</w:t>
      </w:r>
    </w:p>
    <w:p w14:paraId="07F82169">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17.3.14二分之一以上的磋商小组认为供应商报价明显高于市场平均价的；</w:t>
      </w:r>
    </w:p>
    <w:p w14:paraId="2576F7E2">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17.3.15未在浙江政府采购网（政采云平台）完成本项目网上报名的；</w:t>
      </w:r>
    </w:p>
    <w:p w14:paraId="00A9F4B8">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17.3.16法律、法规、规章及省级以上规范性文件等规定的其他情形；</w:t>
      </w:r>
    </w:p>
    <w:p w14:paraId="164E23BB">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17.3.17未响应磋商文件中“▲”实质性条款。</w:t>
      </w:r>
    </w:p>
    <w:p w14:paraId="34956AF9">
      <w:pPr>
        <w:kinsoku/>
        <w:overflowPunct/>
        <w:topLinePunct w:val="0"/>
        <w:bidi w:val="0"/>
        <w:spacing w:line="520" w:lineRule="exac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18.磋商小组与磋商原则</w:t>
      </w:r>
    </w:p>
    <w:p w14:paraId="04AE0993">
      <w:pPr>
        <w:kinsoku/>
        <w:overflowPunct/>
        <w:topLinePunct w:val="0"/>
        <w:bidi w:val="0"/>
        <w:spacing w:line="520" w:lineRule="exact"/>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磋商小组由采购代理机构依法组建，负责磋商活动。磋商小组遵循公开、公平、公正、科学合理，竞争择优的原则。</w:t>
      </w:r>
    </w:p>
    <w:p w14:paraId="3163A25B">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19.磋商过程的保密</w:t>
      </w:r>
    </w:p>
    <w:p w14:paraId="517D81B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19.1磋商会开始后，直至授予成交供应商合同为止，凡属于对响应文件的审查、澄清、评判和比较的有关资料、成交候选供应商的推荐情况及与磋商有关的其他任何情况均依法严格保密；</w:t>
      </w:r>
    </w:p>
    <w:p w14:paraId="3A96DDB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19.2在响应文件的评判和比较、成交候选供应商推荐以及授予合同的过程中，供应商向采购人和磋商小组施加影响的任何行为，都将会导致其磋商被拒绝；</w:t>
      </w:r>
    </w:p>
    <w:p w14:paraId="709D13D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19.3磋商小组通过政采云系统分别与各供应商进行技术、商务、资信及价格磋商，在磋商过程中，磋商小组成员不得透露其他供应商的磋商信息，严守商业秘密；</w:t>
      </w:r>
    </w:p>
    <w:p w14:paraId="55F71AC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19.4供应商有下列情形之一的，视为供应商串通</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，其</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无效：</w:t>
      </w:r>
    </w:p>
    <w:p w14:paraId="043550E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19.4.1不同供应商的响应文件由同一单位或者个人编制；</w:t>
      </w:r>
    </w:p>
    <w:p w14:paraId="22C0DDE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19.4.2不同供应商委托同一单位或者个人办理</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事宜；</w:t>
      </w:r>
    </w:p>
    <w:p w14:paraId="00331E1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19.4.3不同供应商的响应文件载明的项目管理成员或者联系人员为同一人；</w:t>
      </w:r>
    </w:p>
    <w:p w14:paraId="7826DB9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19.4.4不同供应商的响应文件异常一致或者响应报价呈规律性差异；</w:t>
      </w:r>
    </w:p>
    <w:p w14:paraId="43F57C43">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19.4.5不同供应商的数据电子备份响应文件（U盘）相互混装。</w:t>
      </w:r>
    </w:p>
    <w:p w14:paraId="177D637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19.5供应商有下列情形之一的，属于恶意串通，其</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无效：</w:t>
      </w:r>
    </w:p>
    <w:p w14:paraId="58DEBF0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19.5.1供应商直接或者间接从采购人或者采购代理机构处获得其他供应商的相关情况并修改其响应文件；</w:t>
      </w:r>
    </w:p>
    <w:p w14:paraId="4E48EAC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19.5.2供应商按照采购人或者采购代理机构的授意撤换、修改响应文件；</w:t>
      </w:r>
    </w:p>
    <w:p w14:paraId="063484CD">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19.5.3供应商之间协商报价、技术方案等响应文件的实质性内容；</w:t>
      </w:r>
    </w:p>
    <w:p w14:paraId="4ED20C7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19.5.4属于同一集团、协会、商会等组织成员的供应商按照该组织要求协同参加政府采购活动；</w:t>
      </w:r>
    </w:p>
    <w:p w14:paraId="2B2C109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19.5.5供应商之间事先约定由某一特定供应商成交；</w:t>
      </w:r>
    </w:p>
    <w:p w14:paraId="462B3BEB">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19.5.6供应商之间商定部分供应商放弃参加政府采购活动或者放弃成交；</w:t>
      </w:r>
    </w:p>
    <w:p w14:paraId="176DECA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19.5.7供应商与采购人或者采购代理机构之间、供应商相互之间，为谋求特定供应商成交或者排斥其他供应商的其他串通行为。</w:t>
      </w:r>
    </w:p>
    <w:p w14:paraId="239E0F77">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20.响应文件的澄清</w:t>
      </w:r>
    </w:p>
    <w:p w14:paraId="6549E89F">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为有助于响应文件的审查、评判和比较，磋商小组可以要求供应商对响应文件含义不明确的内容作必要的澄清或说明，供应商应通过政采云系统采用书面形式进行必要的澄清、说明或承诺。</w:t>
      </w:r>
    </w:p>
    <w:p w14:paraId="1AD02209">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pacing w:val="14"/>
          <w:sz w:val="24"/>
          <w:highlight w:val="none"/>
        </w:rPr>
        <w:t>磋商程序与方法</w:t>
      </w:r>
    </w:p>
    <w:p w14:paraId="7E9FC37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21.1资格性审查</w:t>
      </w:r>
    </w:p>
    <w:p w14:paraId="233F3C9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磋商小组依据法律、法规和磋商文件规定，对响应文件中的资格证明等进行审查，以确定供应商是否具备磋商资格。</w:t>
      </w:r>
      <w:r>
        <w:rPr>
          <w:rFonts w:hint="eastAsia" w:ascii="仿宋" w:hAnsi="仿宋" w:eastAsia="仿宋" w:cs="仿宋"/>
          <w:b/>
          <w:color w:val="auto"/>
          <w:sz w:val="24"/>
          <w:highlight w:val="none"/>
          <w:u w:val="single"/>
        </w:rPr>
        <w:t>审查内容详见响应文件组成中资格</w:t>
      </w:r>
      <w:r>
        <w:rPr>
          <w:rFonts w:hint="eastAsia" w:ascii="仿宋" w:hAnsi="仿宋" w:eastAsia="仿宋" w:cs="仿宋"/>
          <w:b/>
          <w:bCs w:val="0"/>
          <w:color w:val="auto"/>
          <w:sz w:val="24"/>
          <w:highlight w:val="none"/>
          <w:u w:val="single"/>
        </w:rPr>
        <w:t>审查条款</w:t>
      </w:r>
      <w:r>
        <w:rPr>
          <w:rFonts w:hint="eastAsia" w:ascii="仿宋" w:hAnsi="仿宋" w:eastAsia="仿宋" w:cs="仿宋"/>
          <w:color w:val="auto"/>
          <w:sz w:val="24"/>
          <w:highlight w:val="none"/>
        </w:rPr>
        <w:t>。</w:t>
      </w:r>
    </w:p>
    <w:p w14:paraId="24DA053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21.2初步审查</w:t>
      </w:r>
    </w:p>
    <w:p w14:paraId="14DCD25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磋商小组对通过资格性检查的供应商进行</w:t>
      </w:r>
      <w:r>
        <w:rPr>
          <w:rFonts w:hint="eastAsia" w:ascii="仿宋" w:hAnsi="仿宋" w:eastAsia="仿宋" w:cs="仿宋"/>
          <w:bCs/>
          <w:color w:val="auto"/>
          <w:sz w:val="24"/>
          <w:highlight w:val="none"/>
        </w:rPr>
        <w:t>符合性</w:t>
      </w:r>
      <w:r>
        <w:rPr>
          <w:rFonts w:hint="eastAsia" w:ascii="仿宋" w:hAnsi="仿宋" w:eastAsia="仿宋" w:cs="仿宋"/>
          <w:color w:val="auto"/>
          <w:sz w:val="24"/>
          <w:highlight w:val="none"/>
        </w:rPr>
        <w:t>检查。依据磋商文件的规定，从响应文件的有效性、完整性和对磋商文件的响应程度进行初步审查，以确定是否对磋商文件的实质性要求作出响应。</w:t>
      </w:r>
    </w:p>
    <w:p w14:paraId="1076EB8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通过政采云系统，磋商小组根据磋商文件的内容与各供应商分别进行磋商，各供应商在线答复的同时，须对磋商中所涉及的澄清、修改、承诺等补充资料等在规定的时间内以书面文件形式通过系统提交至磋商小组，其书面文件必须由供应商的法定代表人或其授权代理人签字（或签章），作为响应文件的补充。如该供应商成为成交供应商，则该供应商的响应文件（含所有补充资料）将作为合同的组成部分。</w:t>
      </w:r>
    </w:p>
    <w:p w14:paraId="0F59C964">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21.4响应文件计算错误的修正</w:t>
      </w:r>
    </w:p>
    <w:p w14:paraId="34095A36">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21.4.1响应文件中磋商报价一览表内容与响应文件中磋商分项报价表内容不一致的，以磋商报价一览表为准；</w:t>
      </w:r>
    </w:p>
    <w:p w14:paraId="5763D7A7">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21.4.2响应文件的大写金额和小写金额不一致的，以大写金额为准；</w:t>
      </w:r>
    </w:p>
    <w:p w14:paraId="1B37E537">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21.4.3总</w:t>
      </w:r>
      <w:r>
        <w:rPr>
          <w:rFonts w:hint="eastAsia" w:ascii="仿宋" w:hAnsi="仿宋" w:eastAsia="仿宋" w:cs="仿宋"/>
          <w:color w:val="auto"/>
          <w:spacing w:val="-8"/>
          <w:sz w:val="24"/>
          <w:highlight w:val="none"/>
        </w:rPr>
        <w:t>价金额与按单价汇总金额不一致的，以单价金额计算结果为准</w:t>
      </w:r>
      <w:r>
        <w:rPr>
          <w:rFonts w:hint="eastAsia" w:ascii="仿宋" w:hAnsi="仿宋" w:eastAsia="仿宋" w:cs="仿宋"/>
          <w:color w:val="auto"/>
          <w:sz w:val="24"/>
          <w:highlight w:val="none"/>
        </w:rPr>
        <w:t>。</w:t>
      </w:r>
    </w:p>
    <w:p w14:paraId="3BFC97A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21.4.4单价金额小数点有明显错位的，应以总价为准，并修改单价；</w:t>
      </w:r>
    </w:p>
    <w:p w14:paraId="698D1CB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21.4.5对不同文字文本响应文件的解释发生异议的，以中文文本为准。</w:t>
      </w:r>
    </w:p>
    <w:p w14:paraId="4FEA5C4F">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21.5技术、商务、资信及其他部分磋商结束后，所有供应商须按磋商小组要求，在规定时间内通过政采云系统进行最后报价，并提交至磋商小组。</w:t>
      </w:r>
    </w:p>
    <w:p w14:paraId="45B61329">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21.6</w:t>
      </w:r>
      <w:r>
        <w:rPr>
          <w:rFonts w:hint="eastAsia" w:ascii="仿宋" w:hAnsi="仿宋" w:eastAsia="仿宋" w:cs="仿宋"/>
          <w:bCs/>
          <w:color w:val="auto"/>
          <w:sz w:val="24"/>
          <w:highlight w:val="none"/>
        </w:rPr>
        <w:t>确定成交供应商</w:t>
      </w:r>
    </w:p>
    <w:p w14:paraId="07F2C8E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21.6.1在全部满足磋商文件实质性要求的前提下，按综合得分高低确定成交供应商。</w:t>
      </w:r>
    </w:p>
    <w:p w14:paraId="6410E08B">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21.6.2采购代理机构应当在磋商结束后二个工作日内将磋商评审报告送采购人确认。</w:t>
      </w:r>
    </w:p>
    <w:p w14:paraId="0AD1C20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21.6.3采购人应当在收到磋商评审报告后五个工作日内，按照磋商评审报告中推荐的排列顺序依法确定成交供应商。</w:t>
      </w:r>
    </w:p>
    <w:p w14:paraId="79407EB6">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21.6.4替补候选人的设定与使用：第一成交候选供应商放弃成交或者因不可抗力提出不能履行合同，采购人可以确定第二成交候选供应商为成交供应商或重新组织采购活动，排名第二的成交候选供应商因前款同样的原因不能签订合同，采购人可以确定排名第三的成交候选供应商为成交供应商或重新组织采购活动。</w:t>
      </w:r>
    </w:p>
    <w:p w14:paraId="189981A2">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bCs/>
          <w:color w:val="auto"/>
          <w:sz w:val="24"/>
          <w:highlight w:val="none"/>
        </w:rPr>
        <w:t>成交公告</w:t>
      </w:r>
    </w:p>
    <w:p w14:paraId="6E32672D">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采购代理机构应当在收到采购人书面确定的成交供应商通知后将成交结果在原发布磋商公告的媒体上予以公告。公告期按有关规定执行。</w:t>
      </w:r>
    </w:p>
    <w:p w14:paraId="5B0E203E">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23.成交通知</w:t>
      </w:r>
    </w:p>
    <w:p w14:paraId="6745FD8C">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bCs/>
          <w:color w:val="auto"/>
          <w:sz w:val="24"/>
          <w:highlight w:val="none"/>
        </w:rPr>
        <w:t>在磋商有效期内，</w:t>
      </w:r>
      <w:r>
        <w:rPr>
          <w:rFonts w:hint="eastAsia" w:ascii="仿宋" w:hAnsi="仿宋" w:eastAsia="仿宋" w:cs="仿宋"/>
          <w:color w:val="auto"/>
          <w:sz w:val="24"/>
          <w:highlight w:val="none"/>
        </w:rPr>
        <w:t>采购代理机构</w:t>
      </w:r>
      <w:r>
        <w:rPr>
          <w:rFonts w:hint="eastAsia" w:ascii="仿宋" w:hAnsi="仿宋" w:eastAsia="仿宋" w:cs="仿宋"/>
          <w:bCs/>
          <w:color w:val="auto"/>
          <w:sz w:val="24"/>
          <w:highlight w:val="none"/>
        </w:rPr>
        <w:t>可以书面形式通知所选定的成交供应商。通知也可以传真、信函的形式，但需要以书面确认，</w:t>
      </w:r>
      <w:r>
        <w:rPr>
          <w:rFonts w:hint="eastAsia" w:ascii="仿宋" w:hAnsi="仿宋" w:eastAsia="仿宋" w:cs="仿宋"/>
          <w:color w:val="auto"/>
          <w:sz w:val="24"/>
          <w:highlight w:val="none"/>
        </w:rPr>
        <w:t>领取成交通知书前须完成以下事项：</w:t>
      </w:r>
    </w:p>
    <w:p w14:paraId="48F9DB6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23.2成交通知书为双方签订合同的依据；</w:t>
      </w:r>
    </w:p>
    <w:p w14:paraId="2579D55C">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23.3成交供应商应根据成交通知书中规定的时间内，由法定代表人或其授权代理人与采购人签订合同。</w:t>
      </w:r>
    </w:p>
    <w:p w14:paraId="34DAA093">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24.</w:t>
      </w:r>
      <w:r>
        <w:rPr>
          <w:rFonts w:hint="eastAsia" w:ascii="仿宋" w:hAnsi="仿宋" w:eastAsia="仿宋" w:cs="仿宋"/>
          <w:bCs/>
          <w:color w:val="auto"/>
          <w:sz w:val="24"/>
          <w:highlight w:val="none"/>
        </w:rPr>
        <w:t>废标</w:t>
      </w:r>
    </w:p>
    <w:p w14:paraId="0482D459">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在磋商中，出现下列情形之一的，应予废标：</w:t>
      </w:r>
    </w:p>
    <w:p w14:paraId="705A8FBC">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24.1出现影响采购公正的违法、违规行为的；</w:t>
      </w:r>
    </w:p>
    <w:p w14:paraId="2C2F36BE">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24.2因重大变故，采购任务取消的；</w:t>
      </w:r>
    </w:p>
    <w:p w14:paraId="27235E8B">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24.3供应商的报价均超采购预算的，采购人不能支付的；</w:t>
      </w:r>
    </w:p>
    <w:p w14:paraId="2323FB93">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24.4</w:t>
      </w:r>
      <w:r>
        <w:rPr>
          <w:rFonts w:hint="eastAsia" w:ascii="仿宋" w:hAnsi="仿宋" w:eastAsia="仿宋" w:cs="仿宋"/>
          <w:bCs/>
          <w:snapToGrid w:val="0"/>
          <w:color w:val="auto"/>
          <w:sz w:val="24"/>
          <w:highlight w:val="none"/>
        </w:rPr>
        <w:t>法律、法规、规章等规定的其他情形除外。</w:t>
      </w:r>
    </w:p>
    <w:p w14:paraId="60BFF3B7">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废标后，采购代理机构将废标理由通知所有供应商。</w:t>
      </w:r>
    </w:p>
    <w:p w14:paraId="46810F8C">
      <w:pPr>
        <w:kinsoku/>
        <w:overflowPunct/>
        <w:topLinePunct w:val="0"/>
        <w:bidi w:val="0"/>
        <w:spacing w:line="520" w:lineRule="exact"/>
        <w:ind w:firstLine="536" w:firstLineChars="200"/>
        <w:rPr>
          <w:rFonts w:hint="eastAsia" w:ascii="仿宋" w:hAnsi="仿宋" w:eastAsia="仿宋" w:cs="仿宋"/>
          <w:b/>
          <w:bCs/>
          <w:color w:val="auto"/>
          <w:spacing w:val="14"/>
          <w:sz w:val="24"/>
          <w:highlight w:val="none"/>
          <w:u w:val="single"/>
        </w:rPr>
      </w:pPr>
      <w:r>
        <w:rPr>
          <w:rFonts w:hint="eastAsia" w:ascii="仿宋" w:hAnsi="仿宋" w:eastAsia="仿宋" w:cs="仿宋"/>
          <w:bCs/>
          <w:color w:val="auto"/>
          <w:spacing w:val="14"/>
          <w:sz w:val="24"/>
          <w:highlight w:val="none"/>
        </w:rPr>
        <w:t>本磋商规则及</w:t>
      </w:r>
      <w:r>
        <w:rPr>
          <w:rFonts w:hint="eastAsia" w:ascii="仿宋" w:hAnsi="仿宋" w:eastAsia="仿宋" w:cs="仿宋"/>
          <w:bCs/>
          <w:color w:val="auto"/>
          <w:sz w:val="24"/>
          <w:highlight w:val="none"/>
        </w:rPr>
        <w:t>程序</w:t>
      </w:r>
      <w:r>
        <w:rPr>
          <w:rFonts w:hint="eastAsia" w:ascii="仿宋" w:hAnsi="仿宋" w:eastAsia="仿宋" w:cs="仿宋"/>
          <w:bCs/>
          <w:color w:val="auto"/>
          <w:spacing w:val="14"/>
          <w:sz w:val="24"/>
          <w:highlight w:val="none"/>
        </w:rPr>
        <w:t>只适用于</w:t>
      </w:r>
      <w:r>
        <w:rPr>
          <w:rFonts w:hint="eastAsia" w:ascii="仿宋" w:hAnsi="仿宋" w:eastAsia="仿宋" w:cs="仿宋"/>
          <w:b/>
          <w:bCs/>
          <w:color w:val="auto"/>
          <w:spacing w:val="14"/>
          <w:sz w:val="24"/>
          <w:highlight w:val="none"/>
          <w:u w:val="single"/>
        </w:rPr>
        <w:t>“</w:t>
      </w:r>
      <w:r>
        <w:rPr>
          <w:rFonts w:hint="eastAsia" w:ascii="仿宋" w:hAnsi="仿宋" w:eastAsia="仿宋" w:cs="仿宋"/>
          <w:b/>
          <w:bCs/>
          <w:color w:val="auto"/>
          <w:spacing w:val="14"/>
          <w:sz w:val="24"/>
          <w:highlight w:val="none"/>
          <w:u w:val="single"/>
          <w:lang w:eastAsia="zh-CN"/>
        </w:rPr>
        <w:t>垃圾清运设施辅助管理服务项目</w:t>
      </w:r>
      <w:r>
        <w:rPr>
          <w:rFonts w:hint="eastAsia" w:ascii="仿宋" w:hAnsi="仿宋" w:eastAsia="仿宋" w:cs="仿宋"/>
          <w:b/>
          <w:bCs/>
          <w:color w:val="auto"/>
          <w:spacing w:val="-4"/>
          <w:sz w:val="24"/>
          <w:szCs w:val="21"/>
          <w:highlight w:val="none"/>
          <w:u w:val="single"/>
        </w:rPr>
        <w:t>（</w:t>
      </w:r>
      <w:r>
        <w:rPr>
          <w:rFonts w:hint="eastAsia" w:ascii="仿宋" w:hAnsi="仿宋" w:eastAsia="仿宋" w:cs="仿宋"/>
          <w:b/>
          <w:color w:val="auto"/>
          <w:spacing w:val="14"/>
          <w:sz w:val="24"/>
          <w:highlight w:val="none"/>
          <w:u w:val="single"/>
        </w:rPr>
        <w:t>编号：</w:t>
      </w:r>
      <w:r>
        <w:rPr>
          <w:rFonts w:hint="eastAsia" w:ascii="仿宋" w:hAnsi="仿宋" w:eastAsia="仿宋" w:cs="仿宋"/>
          <w:b/>
          <w:color w:val="auto"/>
          <w:spacing w:val="14"/>
          <w:sz w:val="24"/>
          <w:highlight w:val="none"/>
          <w:u w:val="single"/>
          <w:lang w:eastAsia="zh-CN"/>
        </w:rPr>
        <w:t>仁皇招字2025249号</w:t>
      </w:r>
      <w:r>
        <w:rPr>
          <w:rFonts w:hint="eastAsia" w:ascii="仿宋" w:hAnsi="仿宋" w:eastAsia="仿宋" w:cs="仿宋"/>
          <w:b/>
          <w:color w:val="auto"/>
          <w:spacing w:val="14"/>
          <w:sz w:val="24"/>
          <w:highlight w:val="none"/>
          <w:u w:val="single"/>
        </w:rPr>
        <w:t xml:space="preserve"> )”</w:t>
      </w:r>
      <w:r>
        <w:rPr>
          <w:rFonts w:hint="eastAsia" w:ascii="仿宋" w:hAnsi="仿宋" w:eastAsia="仿宋" w:cs="仿宋"/>
          <w:bCs/>
          <w:color w:val="auto"/>
          <w:spacing w:val="14"/>
          <w:sz w:val="24"/>
          <w:highlight w:val="none"/>
        </w:rPr>
        <w:t>磋商文件。</w:t>
      </w:r>
    </w:p>
    <w:p w14:paraId="3486547B">
      <w:pPr>
        <w:pStyle w:val="3"/>
        <w:kinsoku/>
        <w:overflowPunct/>
        <w:topLinePunct w:val="0"/>
        <w:bidi w:val="0"/>
        <w:spacing w:line="520" w:lineRule="exact"/>
        <w:jc w:val="center"/>
        <w:rPr>
          <w:rFonts w:hint="eastAsia" w:ascii="仿宋" w:hAnsi="仿宋" w:eastAsia="仿宋" w:cs="仿宋"/>
          <w:color w:val="auto"/>
          <w:spacing w:val="14"/>
          <w:sz w:val="28"/>
          <w:szCs w:val="28"/>
          <w:highlight w:val="none"/>
        </w:rPr>
      </w:pPr>
      <w:bookmarkStart w:id="24" w:name="_Toc452995900"/>
      <w:r>
        <w:rPr>
          <w:rFonts w:hint="eastAsia" w:ascii="仿宋" w:hAnsi="仿宋" w:eastAsia="仿宋" w:cs="仿宋"/>
          <w:color w:val="auto"/>
          <w:spacing w:val="14"/>
          <w:sz w:val="28"/>
          <w:szCs w:val="28"/>
          <w:highlight w:val="none"/>
        </w:rPr>
        <w:t>五、授予合同</w:t>
      </w:r>
      <w:bookmarkEnd w:id="24"/>
    </w:p>
    <w:p w14:paraId="20D3988D">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25.授予合同的依据</w:t>
      </w:r>
    </w:p>
    <w:p w14:paraId="10453BC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采购代理机构签发的成交通知书；</w:t>
      </w:r>
    </w:p>
    <w:p w14:paraId="7417511C">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磋商文件、磋商文件的修改及补充通知（函）；</w:t>
      </w:r>
    </w:p>
    <w:p w14:paraId="111E1835">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.3</w:t>
      </w:r>
      <w:r>
        <w:rPr>
          <w:rFonts w:hint="eastAsia" w:ascii="仿宋" w:hAnsi="仿宋" w:eastAsia="仿宋" w:cs="仿宋"/>
          <w:color w:val="auto"/>
          <w:sz w:val="24"/>
          <w:highlight w:val="none"/>
        </w:rPr>
        <w:t>响应文件和磋商时供应商作出的书面澄清、说明、纠正、承诺等；</w:t>
      </w:r>
    </w:p>
    <w:p w14:paraId="6107C02B">
      <w:pPr>
        <w:kinsoku/>
        <w:overflowPunct/>
        <w:topLinePunct w:val="0"/>
        <w:bidi w:val="0"/>
        <w:spacing w:line="52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合同签订</w:t>
      </w:r>
    </w:p>
    <w:p w14:paraId="3620A90C">
      <w:pPr>
        <w:kinsoku/>
        <w:overflowPunct/>
        <w:topLinePunct w:val="0"/>
        <w:bidi w:val="0"/>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26.1成交供应商与采购人应按成交通知书中规定的时间、地点签订合同，否则应承担相应的法律责任。</w:t>
      </w:r>
    </w:p>
    <w:p w14:paraId="48000D24">
      <w:pPr>
        <w:kinsoku/>
        <w:overflowPunct/>
        <w:topLinePunct w:val="0"/>
        <w:bidi w:val="0"/>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26.2磋商文件、成交供应商的响应文件及磋商过程中有关澄清文件和承诺均为合同附件。</w:t>
      </w:r>
    </w:p>
    <w:p w14:paraId="2DD3B23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w:t>
      </w:r>
      <w:r>
        <w:rPr>
          <w:rFonts w:hint="eastAsia" w:ascii="仿宋" w:hAnsi="仿宋" w:eastAsia="仿宋" w:cs="仿宋"/>
          <w:snapToGrid w:val="0"/>
          <w:color w:val="auto"/>
          <w:sz w:val="24"/>
          <w:highlight w:val="none"/>
        </w:rPr>
        <w:t>采购人与成交供应商将根据《中华人民共和国合同法》的规定，依据磋商文件和成交供应商的响应文件签订书面合同。</w:t>
      </w:r>
    </w:p>
    <w:p w14:paraId="354AC2C9">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26.4采购人如不与</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供应商订立合同，或者采购人、</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供应商订立背离合同实质性内容的协议，由政府有关部门责令改正，同时依法承担相应法律责任；</w:t>
      </w:r>
    </w:p>
    <w:p w14:paraId="4DED0EE3">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供应商如不按规定与采购人订立合同，则采购代理机构将废除授标，保证金不予退还，给采购人造成的损失超过响应担保数额的，还应当对超过部分予以赔偿，同时依法承担相应法律责任。</w:t>
      </w:r>
    </w:p>
    <w:p w14:paraId="3D446CB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26.6</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供应商应当按照合同约定履行义务，完成</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项目各项工作，不得将</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项目违法转让（转包）给他人；</w:t>
      </w:r>
    </w:p>
    <w:p w14:paraId="1E339300">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26.7如果</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供应商未能遵守本须知第26.6条的规定，则可取消其</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资格。在此情况下，可将合同授予排序在</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供应商之后的第一位</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候选供应商。</w:t>
      </w:r>
    </w:p>
    <w:p w14:paraId="01313545">
      <w:pPr>
        <w:kinsoku/>
        <w:overflowPunct/>
        <w:topLinePunct w:val="0"/>
        <w:bidi w:val="0"/>
        <w:spacing w:line="520" w:lineRule="exact"/>
        <w:rPr>
          <w:rFonts w:hint="eastAsia" w:ascii="仿宋" w:hAnsi="仿宋" w:eastAsia="仿宋" w:cs="仿宋"/>
          <w:bCs/>
          <w:color w:val="auto"/>
          <w:sz w:val="24"/>
          <w:highlight w:val="none"/>
        </w:rPr>
      </w:pPr>
    </w:p>
    <w:p w14:paraId="66C681CA">
      <w:pPr>
        <w:pStyle w:val="3"/>
        <w:kinsoku/>
        <w:overflowPunct/>
        <w:topLinePunct w:val="0"/>
        <w:bidi w:val="0"/>
        <w:spacing w:line="520" w:lineRule="exact"/>
        <w:jc w:val="center"/>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六、其他内容</w:t>
      </w:r>
    </w:p>
    <w:p w14:paraId="6C01AA48">
      <w:pPr>
        <w:kinsoku/>
        <w:overflowPunct/>
        <w:topLinePunct w:val="0"/>
        <w:bidi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.发生下列情况之一，供应商自愿接受取消</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资格、记入信用档案、媒体通报、1-3年内禁止参与政府采购等处罚；如已成交的，自动放弃成交资格，并承担全部法律责任；给采购人造成损失的，依法承担赔偿责任：</w:t>
      </w:r>
    </w:p>
    <w:p w14:paraId="23A1BF08">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.1供应商在提交</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（响应）文件截止时间后撤回</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（响应）文件的；</w:t>
      </w:r>
    </w:p>
    <w:p w14:paraId="58FA08C6">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.2供应商在</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（响应）文件中提交虚假材料的；</w:t>
      </w:r>
    </w:p>
    <w:p w14:paraId="0F7D8DEF">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.3除因不可抗力或磋商文件认可的情形以外，成交供应商不与采购人签订合同的；</w:t>
      </w:r>
    </w:p>
    <w:p w14:paraId="36EDCAAA">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.4供应商与采购人、其他供应商或者采购代理机构恶意串通的；</w:t>
      </w:r>
    </w:p>
    <w:p w14:paraId="1A918B21">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磋商文件规定的其他情形。</w:t>
      </w:r>
    </w:p>
    <w:p w14:paraId="0B433717">
      <w:pPr>
        <w:kinsoku/>
        <w:overflowPunct/>
        <w:topLinePunct w:val="0"/>
        <w:bidi w:val="0"/>
        <w:spacing w:line="520" w:lineRule="exact"/>
        <w:jc w:val="center"/>
        <w:outlineLvl w:val="1"/>
        <w:rPr>
          <w:rFonts w:hint="default" w:ascii="仿宋" w:hAnsi="仿宋" w:eastAsia="仿宋" w:cs="仿宋"/>
          <w:b/>
          <w:bCs/>
          <w:color w:val="auto"/>
          <w:spacing w:val="14"/>
          <w:kern w:val="2"/>
          <w:sz w:val="28"/>
          <w:szCs w:val="28"/>
          <w:highlight w:val="none"/>
          <w:lang w:val="en-US" w:eastAsia="zh-CN" w:bidi="ar-SA"/>
        </w:rPr>
      </w:pPr>
      <w:r>
        <w:rPr>
          <w:rFonts w:hint="eastAsia" w:ascii="仿宋" w:hAnsi="仿宋" w:eastAsia="仿宋" w:cs="仿宋"/>
          <w:b/>
          <w:bCs/>
          <w:color w:val="auto"/>
          <w:spacing w:val="14"/>
          <w:kern w:val="2"/>
          <w:sz w:val="28"/>
          <w:szCs w:val="28"/>
          <w:highlight w:val="none"/>
          <w:lang w:val="en-US" w:eastAsia="zh-CN" w:bidi="ar-SA"/>
        </w:rPr>
        <w:t>七、履约验收</w:t>
      </w:r>
    </w:p>
    <w:p w14:paraId="1A3451DE">
      <w:pPr>
        <w:kinsoku/>
        <w:overflowPunct/>
        <w:topLinePunct w:val="0"/>
        <w:bidi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本项目采购人或其委托的采购代理机构将严格按照政府采购相关法律法规的要求进行验收。</w:t>
      </w:r>
    </w:p>
    <w:p w14:paraId="106A0F44">
      <w:pPr>
        <w:kinsoku/>
        <w:overflowPunct/>
        <w:topLinePunct w:val="0"/>
        <w:bidi w:val="0"/>
        <w:spacing w:line="52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5A73AE69">
      <w:pPr>
        <w:pageBreakBefore/>
        <w:kinsoku/>
        <w:overflowPunct/>
        <w:topLinePunct w:val="0"/>
        <w:bidi w:val="0"/>
        <w:spacing w:line="520" w:lineRule="exact"/>
        <w:ind w:firstLine="281" w:firstLineChars="100"/>
        <w:jc w:val="center"/>
        <w:outlineLvl w:val="0"/>
        <w:rPr>
          <w:rFonts w:ascii="仿宋" w:hAnsi="仿宋" w:eastAsia="仿宋"/>
          <w:b/>
          <w:kern w:val="0"/>
          <w:sz w:val="28"/>
          <w:szCs w:val="28"/>
        </w:rPr>
      </w:pPr>
      <w:r>
        <w:rPr>
          <w:rFonts w:hint="eastAsia" w:ascii="仿宋" w:hAnsi="仿宋" w:eastAsia="仿宋"/>
          <w:b/>
          <w:kern w:val="0"/>
          <w:sz w:val="28"/>
          <w:szCs w:val="28"/>
        </w:rPr>
        <w:t>第</w:t>
      </w:r>
      <w:r>
        <w:rPr>
          <w:rFonts w:hint="eastAsia" w:ascii="仿宋" w:hAnsi="仿宋" w:eastAsia="仿宋"/>
          <w:b/>
          <w:kern w:val="0"/>
          <w:sz w:val="28"/>
          <w:szCs w:val="28"/>
          <w:lang w:val="en-US" w:eastAsia="zh-CN"/>
        </w:rPr>
        <w:t>四</w:t>
      </w:r>
      <w:r>
        <w:rPr>
          <w:rFonts w:hint="eastAsia" w:ascii="仿宋" w:hAnsi="仿宋" w:eastAsia="仿宋"/>
          <w:b/>
          <w:kern w:val="0"/>
          <w:sz w:val="28"/>
          <w:szCs w:val="28"/>
        </w:rPr>
        <w:t>章  合同主要条款</w:t>
      </w:r>
    </w:p>
    <w:p w14:paraId="6B61175E">
      <w:pPr>
        <w:pStyle w:val="2"/>
        <w:kinsoku/>
        <w:overflowPunct/>
        <w:topLinePunct w:val="0"/>
        <w:bidi w:val="0"/>
        <w:spacing w:line="520" w:lineRule="exact"/>
        <w:rPr>
          <w:rFonts w:ascii="仿宋" w:hAnsi="仿宋" w:eastAsia="仿宋" w:cs="仿宋"/>
          <w:b w:val="0"/>
          <w:snapToGrid w:val="0"/>
          <w:sz w:val="24"/>
          <w:szCs w:val="24"/>
        </w:rPr>
      </w:pPr>
      <w:r>
        <w:rPr>
          <w:rFonts w:hint="eastAsia" w:ascii="仿宋" w:hAnsi="仿宋" w:eastAsia="仿宋" w:cs="仿宋"/>
          <w:sz w:val="24"/>
          <w:szCs w:val="24"/>
        </w:rPr>
        <w:t>（仅供参考，以正式合同为准）</w:t>
      </w:r>
    </w:p>
    <w:p w14:paraId="64375312">
      <w:pPr>
        <w:kinsoku/>
        <w:overflowPunct/>
        <w:topLinePunct w:val="0"/>
        <w:bidi w:val="0"/>
        <w:snapToGrid w:val="0"/>
        <w:spacing w:line="520" w:lineRule="exact"/>
        <w:jc w:val="left"/>
        <w:rPr>
          <w:rFonts w:ascii="仿宋" w:hAnsi="仿宋" w:eastAsia="仿宋" w:cs="仿宋"/>
          <w:sz w:val="24"/>
        </w:rPr>
      </w:pPr>
      <w:r>
        <w:rPr>
          <w:rFonts w:hint="eastAsia" w:ascii="仿宋" w:hAnsi="仿宋" w:eastAsia="仿宋" w:cs="仿宋"/>
          <w:sz w:val="24"/>
        </w:rPr>
        <w:t xml:space="preserve">财政审批编号:                            采购文件编号:    </w:t>
      </w:r>
    </w:p>
    <w:p w14:paraId="5CCB024E">
      <w:pPr>
        <w:kinsoku/>
        <w:overflowPunct/>
        <w:topLinePunct w:val="0"/>
        <w:bidi w:val="0"/>
        <w:snapToGrid w:val="0"/>
        <w:spacing w:line="520" w:lineRule="exact"/>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lang w:val="en-US" w:eastAsia="zh-CN"/>
        </w:rPr>
        <w:t>采购</w:t>
      </w:r>
      <w:r>
        <w:rPr>
          <w:rFonts w:hint="eastAsia" w:ascii="仿宋" w:hAnsi="仿宋" w:eastAsia="仿宋" w:cs="仿宋"/>
          <w:sz w:val="24"/>
        </w:rPr>
        <w:t>人）：</w:t>
      </w:r>
    </w:p>
    <w:p w14:paraId="7E128205">
      <w:pPr>
        <w:kinsoku/>
        <w:overflowPunct/>
        <w:topLinePunct w:val="0"/>
        <w:bidi w:val="0"/>
        <w:snapToGrid w:val="0"/>
        <w:spacing w:line="520" w:lineRule="exact"/>
        <w:jc w:val="left"/>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sz w:val="24"/>
          <w:lang w:val="en-US" w:eastAsia="zh-CN"/>
        </w:rPr>
        <w:t>成交</w:t>
      </w:r>
      <w:r>
        <w:rPr>
          <w:rFonts w:hint="eastAsia" w:ascii="仿宋" w:hAnsi="仿宋" w:eastAsia="仿宋" w:cs="仿宋"/>
          <w:sz w:val="24"/>
        </w:rPr>
        <w:t>人）：</w:t>
      </w:r>
    </w:p>
    <w:p w14:paraId="38803D53">
      <w:pPr>
        <w:kinsoku/>
        <w:overflowPunct/>
        <w:topLinePunct w:val="0"/>
        <w:bidi w:val="0"/>
        <w:snapToGrid w:val="0"/>
        <w:spacing w:line="520" w:lineRule="exact"/>
        <w:ind w:firstLine="480" w:firstLineChars="200"/>
        <w:jc w:val="left"/>
        <w:rPr>
          <w:rFonts w:ascii="仿宋" w:hAnsi="仿宋" w:eastAsia="仿宋" w:cs="仿宋"/>
          <w:sz w:val="24"/>
        </w:rPr>
      </w:pPr>
      <w:r>
        <w:rPr>
          <w:rFonts w:hint="eastAsia" w:ascii="仿宋" w:hAnsi="仿宋" w:eastAsia="仿宋" w:cs="仿宋"/>
          <w:sz w:val="24"/>
        </w:rPr>
        <w:t>甲、乙双方根据</w:t>
      </w:r>
      <w:r>
        <w:rPr>
          <w:rFonts w:hint="eastAsia" w:ascii="仿宋" w:hAnsi="仿宋" w:eastAsia="仿宋" w:cs="仿宋"/>
          <w:sz w:val="24"/>
          <w:u w:val="single"/>
        </w:rPr>
        <w:t>湖州市仁皇工程咨询有限公司</w:t>
      </w:r>
      <w:r>
        <w:rPr>
          <w:rFonts w:hint="eastAsia" w:ascii="仿宋" w:hAnsi="仿宋" w:eastAsia="仿宋" w:cs="仿宋"/>
          <w:sz w:val="24"/>
        </w:rPr>
        <w:t>关于</w:t>
      </w:r>
      <w:r>
        <w:rPr>
          <w:rFonts w:hint="eastAsia" w:ascii="仿宋" w:hAnsi="仿宋" w:eastAsia="仿宋"/>
          <w:bCs/>
          <w:sz w:val="24"/>
          <w:u w:val="single"/>
          <w:lang w:eastAsia="zh-CN"/>
        </w:rPr>
        <w:t>垃圾清运设施辅助管理服务项目</w:t>
      </w:r>
      <w:r>
        <w:rPr>
          <w:rFonts w:hint="eastAsia" w:ascii="仿宋" w:hAnsi="仿宋" w:eastAsia="仿宋" w:cs="仿宋"/>
          <w:sz w:val="24"/>
          <w:lang w:val="en-US" w:eastAsia="zh-CN"/>
        </w:rPr>
        <w:t>竞争性磋商</w:t>
      </w:r>
      <w:r>
        <w:rPr>
          <w:rFonts w:hint="eastAsia" w:ascii="仿宋" w:hAnsi="仿宋" w:eastAsia="仿宋" w:cs="仿宋"/>
          <w:sz w:val="24"/>
        </w:rPr>
        <w:t>的结果，签署本合同。</w:t>
      </w:r>
    </w:p>
    <w:p w14:paraId="14A9F8F2">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一、服务内容</w:t>
      </w:r>
    </w:p>
    <w:p w14:paraId="4F0D3A7D">
      <w:pPr>
        <w:kinsoku/>
        <w:overflowPunct/>
        <w:topLinePunct w:val="0"/>
        <w:bidi w:val="0"/>
        <w:spacing w:line="520" w:lineRule="exact"/>
        <w:ind w:firstLine="480" w:firstLineChars="200"/>
        <w:rPr>
          <w:rFonts w:ascii="仿宋" w:hAnsi="仿宋" w:eastAsia="仿宋" w:cs="仿宋"/>
          <w:color w:val="FF0000"/>
          <w:sz w:val="24"/>
        </w:rPr>
      </w:pPr>
      <w:r>
        <w:rPr>
          <w:rFonts w:hint="eastAsia" w:ascii="仿宋" w:hAnsi="仿宋" w:eastAsia="仿宋" w:cs="仿宋"/>
          <w:sz w:val="24"/>
        </w:rPr>
        <w:t>（一）本项目为专门面向中小企业采购项目。</w:t>
      </w:r>
    </w:p>
    <w:p w14:paraId="6219237A">
      <w:pPr>
        <w:kinsoku/>
        <w:overflowPunct/>
        <w:topLinePunct w:val="0"/>
        <w:bidi w:val="0"/>
        <w:spacing w:line="520" w:lineRule="exact"/>
        <w:ind w:firstLine="480" w:firstLineChars="200"/>
        <w:rPr>
          <w:rFonts w:ascii="仿宋" w:hAnsi="仿宋" w:eastAsia="仿宋" w:cs="仿宋"/>
          <w:color w:val="000000"/>
          <w:sz w:val="24"/>
          <w:u w:val="single"/>
        </w:rPr>
      </w:pPr>
      <w:r>
        <w:rPr>
          <w:rFonts w:hint="eastAsia" w:ascii="仿宋" w:hAnsi="仿宋" w:eastAsia="仿宋" w:cs="仿宋"/>
          <w:sz w:val="24"/>
        </w:rPr>
        <w:t>（二）………</w:t>
      </w:r>
    </w:p>
    <w:p w14:paraId="007A0A49">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二、合同金额</w:t>
      </w:r>
    </w:p>
    <w:p w14:paraId="373FA6BE">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本合同金额为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人民币（</w:t>
      </w:r>
      <w:r>
        <w:rPr>
          <w:rFonts w:hint="eastAsia" w:ascii="仿宋" w:hAnsi="仿宋" w:eastAsia="仿宋" w:cs="仿宋"/>
          <w:color w:val="000000"/>
          <w:sz w:val="24"/>
          <w:lang w:val="en-US" w:eastAsia="zh-CN"/>
        </w:rPr>
        <w:t>一</w:t>
      </w:r>
      <w:r>
        <w:rPr>
          <w:rFonts w:hint="eastAsia" w:ascii="仿宋" w:hAnsi="仿宋" w:eastAsia="仿宋" w:cs="仿宋"/>
          <w:color w:val="000000"/>
          <w:sz w:val="24"/>
        </w:rPr>
        <w:t>年）。</w:t>
      </w:r>
    </w:p>
    <w:p w14:paraId="2395F1EA">
      <w:pPr>
        <w:kinsoku/>
        <w:overflowPunct/>
        <w:topLinePunct w:val="0"/>
        <w:bidi w:val="0"/>
        <w:spacing w:line="520" w:lineRule="exact"/>
        <w:ind w:firstLine="482" w:firstLineChars="200"/>
        <w:rPr>
          <w:rFonts w:ascii="仿宋" w:hAnsi="仿宋" w:eastAsia="仿宋" w:cs="仿宋"/>
          <w:b/>
          <w:sz w:val="24"/>
        </w:rPr>
      </w:pPr>
      <w:r>
        <w:rPr>
          <w:rFonts w:hint="eastAsia" w:ascii="仿宋" w:hAnsi="仿宋" w:eastAsia="仿宋" w:cs="仿宋"/>
          <w:b/>
          <w:sz w:val="24"/>
        </w:rPr>
        <w:t>三、款项支付</w:t>
      </w:r>
    </w:p>
    <w:p w14:paraId="7E6E5FA4">
      <w:pPr>
        <w:kinsoku/>
        <w:overflowPunct/>
        <w:topLinePunct w:val="0"/>
        <w:bidi w:val="0"/>
        <w:spacing w:line="520" w:lineRule="exact"/>
        <w:ind w:firstLine="480" w:firstLineChars="200"/>
        <w:rPr>
          <w:rFonts w:ascii="仿宋" w:hAnsi="仿宋" w:eastAsia="仿宋" w:cs="仿宋"/>
          <w:sz w:val="24"/>
        </w:rPr>
      </w:pPr>
      <w:r>
        <w:rPr>
          <w:rFonts w:hint="eastAsia" w:ascii="仿宋" w:hAnsi="仿宋" w:eastAsia="仿宋" w:cs="仿宋"/>
          <w:sz w:val="24"/>
        </w:rPr>
        <w:t>（一）根据《保障中小企业款项支付条例》、省财政厅《关于进一步发挥政府采购政策功能全力推动经济稳进提质的通知》（浙财采监【2022】3 号）要求，制订如下付款方式：</w:t>
      </w:r>
    </w:p>
    <w:tbl>
      <w:tblPr>
        <w:tblStyle w:val="26"/>
        <w:tblW w:w="5396" w:type="pct"/>
        <w:tblInd w:w="-161" w:type="dxa"/>
        <w:tblLayout w:type="fixed"/>
        <w:tblCellMar>
          <w:top w:w="0" w:type="dxa"/>
          <w:left w:w="108" w:type="dxa"/>
          <w:bottom w:w="0" w:type="dxa"/>
          <w:right w:w="108" w:type="dxa"/>
        </w:tblCellMar>
      </w:tblPr>
      <w:tblGrid>
        <w:gridCol w:w="773"/>
        <w:gridCol w:w="2392"/>
        <w:gridCol w:w="3060"/>
        <w:gridCol w:w="3981"/>
      </w:tblGrid>
      <w:tr w14:paraId="66503D96">
        <w:tblPrEx>
          <w:tblCellMar>
            <w:top w:w="0" w:type="dxa"/>
            <w:left w:w="108" w:type="dxa"/>
            <w:bottom w:w="0" w:type="dxa"/>
            <w:right w:w="108" w:type="dxa"/>
          </w:tblCellMar>
        </w:tblPrEx>
        <w:trPr>
          <w:trHeight w:val="385" w:hRule="atLeast"/>
        </w:trPr>
        <w:tc>
          <w:tcPr>
            <w:tcW w:w="773" w:type="dxa"/>
            <w:tcBorders>
              <w:top w:val="single" w:color="auto" w:sz="4" w:space="0"/>
              <w:left w:val="single" w:color="auto" w:sz="4" w:space="0"/>
              <w:bottom w:val="single" w:color="auto" w:sz="4" w:space="0"/>
              <w:right w:val="single" w:color="auto" w:sz="4" w:space="0"/>
            </w:tcBorders>
            <w:noWrap/>
            <w:vAlign w:val="center"/>
          </w:tcPr>
          <w:p w14:paraId="2BDA6E7C">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序号</w:t>
            </w:r>
          </w:p>
        </w:tc>
        <w:tc>
          <w:tcPr>
            <w:tcW w:w="2392" w:type="dxa"/>
            <w:tcBorders>
              <w:top w:val="single" w:color="auto" w:sz="4" w:space="0"/>
              <w:left w:val="nil"/>
              <w:bottom w:val="single" w:color="auto" w:sz="4" w:space="0"/>
              <w:right w:val="single" w:color="auto" w:sz="4" w:space="0"/>
            </w:tcBorders>
            <w:noWrap/>
            <w:vAlign w:val="center"/>
          </w:tcPr>
          <w:p w14:paraId="62E529A3">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支付时间</w:t>
            </w:r>
          </w:p>
        </w:tc>
        <w:tc>
          <w:tcPr>
            <w:tcW w:w="3060" w:type="dxa"/>
            <w:tcBorders>
              <w:top w:val="single" w:color="auto" w:sz="4" w:space="0"/>
              <w:left w:val="nil"/>
              <w:bottom w:val="single" w:color="auto" w:sz="4" w:space="0"/>
              <w:right w:val="single" w:color="auto" w:sz="4" w:space="0"/>
            </w:tcBorders>
            <w:noWrap/>
            <w:vAlign w:val="center"/>
          </w:tcPr>
          <w:p w14:paraId="34F78C98">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支付比例</w:t>
            </w:r>
          </w:p>
        </w:tc>
        <w:tc>
          <w:tcPr>
            <w:tcW w:w="3981" w:type="dxa"/>
            <w:tcBorders>
              <w:top w:val="single" w:color="auto" w:sz="4" w:space="0"/>
              <w:left w:val="nil"/>
              <w:bottom w:val="single" w:color="auto" w:sz="4" w:space="0"/>
              <w:right w:val="single" w:color="auto" w:sz="4" w:space="0"/>
            </w:tcBorders>
            <w:noWrap/>
            <w:vAlign w:val="center"/>
          </w:tcPr>
          <w:p w14:paraId="5E0B3150">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备注</w:t>
            </w:r>
          </w:p>
        </w:tc>
      </w:tr>
      <w:tr w14:paraId="04110015">
        <w:tblPrEx>
          <w:tblCellMar>
            <w:top w:w="0" w:type="dxa"/>
            <w:left w:w="108" w:type="dxa"/>
            <w:bottom w:w="0" w:type="dxa"/>
            <w:right w:w="108" w:type="dxa"/>
          </w:tblCellMar>
        </w:tblPrEx>
        <w:trPr>
          <w:trHeight w:val="567" w:hRule="atLeast"/>
        </w:trPr>
        <w:tc>
          <w:tcPr>
            <w:tcW w:w="773" w:type="dxa"/>
            <w:tcBorders>
              <w:top w:val="nil"/>
              <w:left w:val="single" w:color="auto" w:sz="4" w:space="0"/>
              <w:bottom w:val="single" w:color="auto" w:sz="4" w:space="0"/>
              <w:right w:val="single" w:color="auto" w:sz="4" w:space="0"/>
            </w:tcBorders>
            <w:noWrap/>
            <w:vAlign w:val="center"/>
          </w:tcPr>
          <w:p w14:paraId="76457EDE">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1</w:t>
            </w:r>
          </w:p>
        </w:tc>
        <w:tc>
          <w:tcPr>
            <w:tcW w:w="2392" w:type="dxa"/>
            <w:tcBorders>
              <w:top w:val="nil"/>
              <w:left w:val="nil"/>
              <w:bottom w:val="single" w:color="auto" w:sz="4" w:space="0"/>
              <w:right w:val="single" w:color="auto" w:sz="4" w:space="0"/>
            </w:tcBorders>
            <w:noWrap/>
            <w:vAlign w:val="center"/>
          </w:tcPr>
          <w:p w14:paraId="4CA5D8CB">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合同签订之日后七个工作日内（预付款）</w:t>
            </w:r>
          </w:p>
        </w:tc>
        <w:tc>
          <w:tcPr>
            <w:tcW w:w="3060" w:type="dxa"/>
            <w:tcBorders>
              <w:top w:val="nil"/>
              <w:left w:val="nil"/>
              <w:bottom w:val="single" w:color="auto" w:sz="4" w:space="0"/>
              <w:right w:val="single" w:color="auto" w:sz="4" w:space="0"/>
            </w:tcBorders>
            <w:noWrap/>
            <w:vAlign w:val="center"/>
          </w:tcPr>
          <w:p w14:paraId="3B0E7FEB">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年合同金额的40%</w:t>
            </w:r>
          </w:p>
        </w:tc>
        <w:tc>
          <w:tcPr>
            <w:tcW w:w="3981" w:type="dxa"/>
            <w:tcBorders>
              <w:top w:val="nil"/>
              <w:left w:val="nil"/>
              <w:bottom w:val="single" w:color="auto" w:sz="4" w:space="0"/>
              <w:right w:val="single" w:color="auto" w:sz="4" w:space="0"/>
            </w:tcBorders>
            <w:vAlign w:val="center"/>
          </w:tcPr>
          <w:p w14:paraId="73F31DF4">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w:t>
            </w:r>
          </w:p>
        </w:tc>
      </w:tr>
      <w:tr w14:paraId="558A3615">
        <w:tblPrEx>
          <w:tblCellMar>
            <w:top w:w="0" w:type="dxa"/>
            <w:left w:w="108" w:type="dxa"/>
            <w:bottom w:w="0" w:type="dxa"/>
            <w:right w:w="108" w:type="dxa"/>
          </w:tblCellMar>
        </w:tblPrEx>
        <w:trPr>
          <w:trHeight w:val="567" w:hRule="atLeast"/>
        </w:trPr>
        <w:tc>
          <w:tcPr>
            <w:tcW w:w="773" w:type="dxa"/>
            <w:tcBorders>
              <w:top w:val="nil"/>
              <w:left w:val="single" w:color="auto" w:sz="4" w:space="0"/>
              <w:bottom w:val="single" w:color="auto" w:sz="4" w:space="0"/>
              <w:right w:val="single" w:color="auto" w:sz="4" w:space="0"/>
            </w:tcBorders>
            <w:noWrap/>
            <w:vAlign w:val="center"/>
          </w:tcPr>
          <w:p w14:paraId="40D95113">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lang w:val="en-US" w:eastAsia="zh-CN"/>
              </w:rPr>
              <w:t>2</w:t>
            </w:r>
          </w:p>
        </w:tc>
        <w:tc>
          <w:tcPr>
            <w:tcW w:w="2392" w:type="dxa"/>
            <w:tcBorders>
              <w:top w:val="single" w:color="auto" w:sz="4" w:space="0"/>
              <w:left w:val="nil"/>
              <w:bottom w:val="single" w:color="auto" w:sz="4" w:space="0"/>
              <w:right w:val="single" w:color="auto" w:sz="4" w:space="0"/>
            </w:tcBorders>
            <w:noWrap/>
            <w:vAlign w:val="center"/>
          </w:tcPr>
          <w:p w14:paraId="18785EB4">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月31日前</w:t>
            </w:r>
          </w:p>
        </w:tc>
        <w:tc>
          <w:tcPr>
            <w:tcW w:w="3060" w:type="dxa"/>
            <w:tcBorders>
              <w:top w:val="single" w:color="auto" w:sz="4" w:space="0"/>
              <w:left w:val="nil"/>
              <w:bottom w:val="single" w:color="auto" w:sz="4" w:space="0"/>
              <w:right w:val="single" w:color="auto" w:sz="4" w:space="0"/>
            </w:tcBorders>
            <w:noWrap/>
            <w:vAlign w:val="center"/>
          </w:tcPr>
          <w:p w14:paraId="2AEE426B">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10</w:t>
            </w:r>
            <w:r>
              <w:rPr>
                <w:rFonts w:hint="eastAsia" w:ascii="仿宋" w:hAnsi="仿宋" w:eastAsia="仿宋" w:cs="仿宋"/>
                <w:sz w:val="24"/>
              </w:rPr>
              <w:t>%</w:t>
            </w:r>
          </w:p>
        </w:tc>
        <w:tc>
          <w:tcPr>
            <w:tcW w:w="3981" w:type="dxa"/>
            <w:tcBorders>
              <w:top w:val="single" w:color="auto" w:sz="4" w:space="0"/>
              <w:left w:val="nil"/>
              <w:bottom w:val="single" w:color="auto" w:sz="4" w:space="0"/>
              <w:right w:val="single" w:color="auto" w:sz="4" w:space="0"/>
            </w:tcBorders>
            <w:vAlign w:val="center"/>
          </w:tcPr>
          <w:p w14:paraId="15F8AE01">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r w14:paraId="4580954C">
        <w:tblPrEx>
          <w:tblCellMar>
            <w:top w:w="0" w:type="dxa"/>
            <w:left w:w="108" w:type="dxa"/>
            <w:bottom w:w="0" w:type="dxa"/>
            <w:right w:w="108" w:type="dxa"/>
          </w:tblCellMar>
        </w:tblPrEx>
        <w:trPr>
          <w:trHeight w:val="567" w:hRule="atLeast"/>
        </w:trPr>
        <w:tc>
          <w:tcPr>
            <w:tcW w:w="773" w:type="dxa"/>
            <w:tcBorders>
              <w:top w:val="nil"/>
              <w:left w:val="single" w:color="auto" w:sz="4" w:space="0"/>
              <w:bottom w:val="single" w:color="auto" w:sz="4" w:space="0"/>
              <w:right w:val="single" w:color="auto" w:sz="4" w:space="0"/>
            </w:tcBorders>
            <w:noWrap/>
            <w:vAlign w:val="center"/>
          </w:tcPr>
          <w:p w14:paraId="3823C4E7">
            <w:pPr>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2392" w:type="dxa"/>
            <w:tcBorders>
              <w:top w:val="single" w:color="auto" w:sz="4" w:space="0"/>
              <w:left w:val="nil"/>
              <w:bottom w:val="single" w:color="auto" w:sz="4" w:space="0"/>
              <w:right w:val="single" w:color="auto" w:sz="4" w:space="0"/>
            </w:tcBorders>
            <w:noWrap/>
            <w:vAlign w:val="center"/>
          </w:tcPr>
          <w:p w14:paraId="3D8585DE">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月3</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日前</w:t>
            </w:r>
          </w:p>
        </w:tc>
        <w:tc>
          <w:tcPr>
            <w:tcW w:w="3060" w:type="dxa"/>
            <w:tcBorders>
              <w:top w:val="single" w:color="auto" w:sz="4" w:space="0"/>
              <w:left w:val="nil"/>
              <w:bottom w:val="single" w:color="auto" w:sz="4" w:space="0"/>
              <w:right w:val="single" w:color="auto" w:sz="4" w:space="0"/>
            </w:tcBorders>
            <w:noWrap/>
            <w:vAlign w:val="center"/>
          </w:tcPr>
          <w:p w14:paraId="4F6B3159">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25</w:t>
            </w:r>
            <w:r>
              <w:rPr>
                <w:rFonts w:hint="eastAsia" w:ascii="仿宋" w:hAnsi="仿宋" w:eastAsia="仿宋" w:cs="仿宋"/>
                <w:sz w:val="24"/>
              </w:rPr>
              <w:t>%</w:t>
            </w:r>
          </w:p>
        </w:tc>
        <w:tc>
          <w:tcPr>
            <w:tcW w:w="3981" w:type="dxa"/>
            <w:tcBorders>
              <w:top w:val="single" w:color="auto" w:sz="4" w:space="0"/>
              <w:left w:val="nil"/>
              <w:bottom w:val="single" w:color="auto" w:sz="4" w:space="0"/>
              <w:right w:val="single" w:color="auto" w:sz="4" w:space="0"/>
            </w:tcBorders>
            <w:vAlign w:val="center"/>
          </w:tcPr>
          <w:p w14:paraId="3E7C13CE">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r w14:paraId="4B1C467F">
        <w:tblPrEx>
          <w:tblCellMar>
            <w:top w:w="0" w:type="dxa"/>
            <w:left w:w="108" w:type="dxa"/>
            <w:bottom w:w="0" w:type="dxa"/>
            <w:right w:w="108" w:type="dxa"/>
          </w:tblCellMar>
        </w:tblPrEx>
        <w:trPr>
          <w:trHeight w:val="567" w:hRule="atLeast"/>
        </w:trPr>
        <w:tc>
          <w:tcPr>
            <w:tcW w:w="773" w:type="dxa"/>
            <w:tcBorders>
              <w:top w:val="nil"/>
              <w:left w:val="single" w:color="auto" w:sz="4" w:space="0"/>
              <w:bottom w:val="single" w:color="auto" w:sz="4" w:space="0"/>
              <w:right w:val="single" w:color="auto" w:sz="4" w:space="0"/>
            </w:tcBorders>
            <w:noWrap/>
            <w:vAlign w:val="center"/>
          </w:tcPr>
          <w:p w14:paraId="1885D839">
            <w:pPr>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2392" w:type="dxa"/>
            <w:tcBorders>
              <w:top w:val="single" w:color="auto" w:sz="4" w:space="0"/>
              <w:left w:val="nil"/>
              <w:bottom w:val="single" w:color="auto" w:sz="4" w:space="0"/>
              <w:right w:val="single" w:color="auto" w:sz="4" w:space="0"/>
            </w:tcBorders>
            <w:noWrap/>
            <w:vAlign w:val="center"/>
          </w:tcPr>
          <w:p w14:paraId="30579268">
            <w:pPr>
              <w:kinsoku/>
              <w:overflowPunct/>
              <w:topLinePunct w:val="0"/>
              <w:bidi w:val="0"/>
              <w:spacing w:line="520" w:lineRule="exact"/>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日前</w:t>
            </w:r>
          </w:p>
        </w:tc>
        <w:tc>
          <w:tcPr>
            <w:tcW w:w="3060" w:type="dxa"/>
            <w:tcBorders>
              <w:top w:val="single" w:color="auto" w:sz="4" w:space="0"/>
              <w:left w:val="nil"/>
              <w:bottom w:val="single" w:color="auto" w:sz="4" w:space="0"/>
              <w:right w:val="single" w:color="auto" w:sz="4" w:space="0"/>
            </w:tcBorders>
            <w:noWrap/>
            <w:vAlign w:val="center"/>
          </w:tcPr>
          <w:p w14:paraId="17C1B7B6">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年合同金额的</w:t>
            </w:r>
            <w:r>
              <w:rPr>
                <w:rFonts w:hint="eastAsia" w:ascii="仿宋" w:hAnsi="仿宋" w:eastAsia="仿宋" w:cs="仿宋"/>
                <w:sz w:val="24"/>
                <w:lang w:val="en-US" w:eastAsia="zh-CN"/>
              </w:rPr>
              <w:t>25</w:t>
            </w:r>
            <w:r>
              <w:rPr>
                <w:rFonts w:hint="eastAsia" w:ascii="仿宋" w:hAnsi="仿宋" w:eastAsia="仿宋" w:cs="仿宋"/>
                <w:sz w:val="24"/>
              </w:rPr>
              <w:t>%</w:t>
            </w:r>
          </w:p>
        </w:tc>
        <w:tc>
          <w:tcPr>
            <w:tcW w:w="3981" w:type="dxa"/>
            <w:tcBorders>
              <w:top w:val="single" w:color="auto" w:sz="4" w:space="0"/>
              <w:left w:val="nil"/>
              <w:bottom w:val="single" w:color="auto" w:sz="4" w:space="0"/>
              <w:right w:val="single" w:color="auto" w:sz="4" w:space="0"/>
            </w:tcBorders>
            <w:vAlign w:val="center"/>
          </w:tcPr>
          <w:p w14:paraId="05C27692">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扣除考核处罚金等相关费用后结算</w:t>
            </w:r>
          </w:p>
        </w:tc>
      </w:tr>
    </w:tbl>
    <w:p w14:paraId="0D0BA907">
      <w:pPr>
        <w:pStyle w:val="15"/>
        <w:kinsoku/>
        <w:overflowPunct/>
        <w:topLinePunct w:val="0"/>
        <w:bidi w:val="0"/>
        <w:spacing w:line="520" w:lineRule="exact"/>
        <w:ind w:firstLine="482" w:firstLineChars="200"/>
        <w:rPr>
          <w:rFonts w:ascii="仿宋" w:hAnsi="仿宋" w:eastAsia="仿宋" w:cs="仿宋"/>
          <w:b/>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u w:val="single"/>
          <w:lang w:val="en-US" w:eastAsia="zh-CN"/>
        </w:rPr>
        <w:t>乙方</w:t>
      </w:r>
      <w:r>
        <w:rPr>
          <w:rFonts w:hint="eastAsia" w:ascii="仿宋" w:hAnsi="仿宋" w:eastAsia="仿宋" w:cs="仿宋"/>
          <w:b/>
          <w:bCs/>
          <w:sz w:val="24"/>
          <w:szCs w:val="24"/>
          <w:u w:val="single"/>
        </w:rPr>
        <w:t>明确表示无需预付款或者主动要求降低预付款比例的，采购合同可不适用前述规定</w:t>
      </w:r>
      <w:r>
        <w:rPr>
          <w:rFonts w:hint="eastAsia" w:ascii="仿宋" w:hAnsi="仿宋" w:eastAsia="仿宋" w:cs="仿宋"/>
          <w:b/>
          <w:bCs/>
          <w:sz w:val="24"/>
          <w:szCs w:val="24"/>
        </w:rPr>
        <w:t>。</w:t>
      </w:r>
    </w:p>
    <w:p w14:paraId="65B2AF09">
      <w:pPr>
        <w:kinsoku/>
        <w:overflowPunct/>
        <w:topLinePunct w:val="0"/>
        <w:bidi w:val="0"/>
        <w:spacing w:line="520" w:lineRule="exact"/>
        <w:ind w:firstLine="480" w:firstLineChars="200"/>
        <w:jc w:val="left"/>
        <w:rPr>
          <w:rFonts w:ascii="仿宋" w:hAnsi="仿宋" w:eastAsia="仿宋" w:cs="仿宋"/>
          <w:bCs/>
          <w:sz w:val="24"/>
        </w:rPr>
      </w:pPr>
      <w:r>
        <w:rPr>
          <w:rFonts w:hint="eastAsia" w:ascii="仿宋" w:hAnsi="仿宋" w:eastAsia="仿宋" w:cs="仿宋"/>
          <w:bCs/>
          <w:sz w:val="24"/>
          <w:u w:val="single"/>
        </w:rPr>
        <w:t>（二）乙方在接到甲方通知后的七个工作日内将增值税发票送达甲方，甲方在收到乙方发票后于一个月内以转账的方式支付给乙方</w:t>
      </w:r>
      <w:r>
        <w:rPr>
          <w:rFonts w:hint="eastAsia" w:ascii="仿宋" w:hAnsi="仿宋" w:eastAsia="仿宋" w:cs="仿宋"/>
          <w:bCs/>
          <w:sz w:val="24"/>
        </w:rPr>
        <w:t>。</w:t>
      </w:r>
    </w:p>
    <w:p w14:paraId="09A8F6C5">
      <w:pPr>
        <w:kinsoku/>
        <w:overflowPunct/>
        <w:topLinePunct w:val="0"/>
        <w:bidi w:val="0"/>
        <w:spacing w:line="520" w:lineRule="exact"/>
        <w:ind w:firstLine="480" w:firstLineChars="200"/>
        <w:jc w:val="left"/>
        <w:rPr>
          <w:rFonts w:ascii="仿宋" w:hAnsi="仿宋" w:eastAsia="仿宋" w:cs="仿宋"/>
          <w:bCs/>
          <w:color w:val="000000"/>
          <w:sz w:val="24"/>
        </w:rPr>
      </w:pPr>
      <w:r>
        <w:rPr>
          <w:rFonts w:hint="eastAsia" w:ascii="仿宋" w:hAnsi="仿宋" w:eastAsia="仿宋" w:cs="仿宋"/>
          <w:bCs/>
          <w:sz w:val="24"/>
        </w:rPr>
        <w:t>（三）本服务执行中相关的一切税费均由乙方负担。</w:t>
      </w:r>
    </w:p>
    <w:p w14:paraId="50428469">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四、合同履行时间、履行方式及履行地点</w:t>
      </w:r>
    </w:p>
    <w:p w14:paraId="32943000">
      <w:pPr>
        <w:kinsoku/>
        <w:overflowPunct/>
        <w:topLinePunct w:val="0"/>
        <w:bidi w:val="0"/>
        <w:spacing w:line="520" w:lineRule="exact"/>
        <w:ind w:firstLine="480" w:firstLineChars="200"/>
        <w:jc w:val="left"/>
        <w:rPr>
          <w:rFonts w:ascii="仿宋" w:hAnsi="仿宋" w:eastAsia="仿宋" w:cs="仿宋"/>
          <w:b/>
          <w:kern w:val="0"/>
          <w:sz w:val="24"/>
        </w:rPr>
      </w:pPr>
      <w:r>
        <w:rPr>
          <w:rFonts w:hint="eastAsia" w:ascii="仿宋" w:hAnsi="仿宋" w:eastAsia="仿宋" w:cs="仿宋"/>
          <w:color w:val="000000"/>
          <w:sz w:val="24"/>
        </w:rPr>
        <w:t>（一）履行时间：</w:t>
      </w:r>
      <w:r>
        <w:rPr>
          <w:rFonts w:hint="eastAsia" w:ascii="仿宋" w:hAnsi="仿宋" w:eastAsia="仿宋" w:cs="仿宋"/>
          <w:sz w:val="24"/>
          <w:highlight w:val="none"/>
        </w:rPr>
        <w:t>自合同签订并乙方收到甲方发出正式进场通知之日起</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年。</w:t>
      </w:r>
    </w:p>
    <w:p w14:paraId="4614FA6E">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（二）履行方式：</w:t>
      </w:r>
    </w:p>
    <w:p w14:paraId="27D24BAA">
      <w:pPr>
        <w:kinsoku/>
        <w:overflowPunct/>
        <w:topLinePunct w:val="0"/>
        <w:bidi w:val="0"/>
        <w:spacing w:line="520" w:lineRule="exact"/>
        <w:ind w:firstLine="480" w:firstLineChars="200"/>
        <w:rPr>
          <w:rFonts w:ascii="仿宋" w:hAnsi="仿宋" w:eastAsia="仿宋" w:cs="仿宋"/>
          <w:b/>
          <w:color w:val="000000"/>
          <w:sz w:val="24"/>
        </w:rPr>
      </w:pPr>
      <w:r>
        <w:rPr>
          <w:rFonts w:hint="eastAsia" w:ascii="仿宋" w:hAnsi="仿宋" w:eastAsia="仿宋" w:cs="仿宋"/>
          <w:color w:val="000000"/>
          <w:sz w:val="24"/>
        </w:rPr>
        <w:t>（三）履行地点：</w:t>
      </w:r>
    </w:p>
    <w:p w14:paraId="7DFD927C">
      <w:pPr>
        <w:kinsoku/>
        <w:overflowPunct/>
        <w:topLinePunct w:val="0"/>
        <w:bidi w:val="0"/>
        <w:spacing w:line="520" w:lineRule="exact"/>
        <w:ind w:firstLine="482" w:firstLineChars="200"/>
        <w:rPr>
          <w:rFonts w:ascii="仿宋" w:hAnsi="仿宋" w:eastAsia="仿宋" w:cs="仿宋"/>
          <w:color w:val="000000"/>
          <w:sz w:val="24"/>
        </w:rPr>
      </w:pPr>
      <w:r>
        <w:rPr>
          <w:rFonts w:hint="eastAsia" w:ascii="仿宋" w:hAnsi="仿宋" w:eastAsia="仿宋" w:cs="仿宋"/>
          <w:b/>
          <w:color w:val="000000"/>
          <w:sz w:val="24"/>
        </w:rPr>
        <w:t>五、履约保证金：</w:t>
      </w:r>
      <w:r>
        <w:rPr>
          <w:rFonts w:hint="eastAsia" w:ascii="仿宋" w:hAnsi="仿宋" w:eastAsia="仿宋" w:cs="仿宋"/>
          <w:color w:val="000000"/>
          <w:sz w:val="24"/>
        </w:rPr>
        <w:t>无</w:t>
      </w:r>
    </w:p>
    <w:p w14:paraId="11F91B87">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六、转包或分包</w:t>
      </w:r>
    </w:p>
    <w:p w14:paraId="18FCFB2A">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（一）本合同范围的服务，应由乙方直接提供，不得转让他人提供。</w:t>
      </w:r>
    </w:p>
    <w:p w14:paraId="4BE6BEF4">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（二）除非得到甲方的书面同意，乙方不得部分分包给他人供应。甲方有绝对权力阻止分包。</w:t>
      </w:r>
    </w:p>
    <w:p w14:paraId="73BBD3DE">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（三）如有转让和未经甲方同意的分包行为或其他行为等，甲方有权给予终止合同。</w:t>
      </w:r>
    </w:p>
    <w:p w14:paraId="6DA17464">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七、服务质量保证及后续服务</w:t>
      </w:r>
    </w:p>
    <w:p w14:paraId="37789AA3">
      <w:pPr>
        <w:kinsoku/>
        <w:overflowPunct/>
        <w:topLinePunct w:val="0"/>
        <w:bidi w:val="0"/>
        <w:spacing w:line="5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（一）乙方应按招标文件规定向甲方提供服务。</w:t>
      </w:r>
    </w:p>
    <w:p w14:paraId="46125354">
      <w:pPr>
        <w:kinsoku/>
        <w:overflowPunct/>
        <w:topLinePunct w:val="0"/>
        <w:bidi w:val="0"/>
        <w:spacing w:line="5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（二）如在服务过程中，乙方按照投标文件响应甲方要求 。</w:t>
      </w:r>
    </w:p>
    <w:p w14:paraId="5D2C0BCB">
      <w:pPr>
        <w:kinsoku/>
        <w:overflowPunct/>
        <w:topLinePunct w:val="0"/>
        <w:bidi w:val="0"/>
        <w:spacing w:line="52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（三）</w:t>
      </w:r>
      <w:r>
        <w:rPr>
          <w:rFonts w:hint="eastAsia" w:ascii="仿宋" w:hAnsi="仿宋" w:eastAsia="仿宋" w:cs="仿宋"/>
          <w:color w:val="000000"/>
          <w:sz w:val="24"/>
          <w:highlight w:val="none"/>
          <w:lang w:val="en-US" w:eastAsia="zh-CN"/>
        </w:rPr>
        <w:t>本合同范围内作业需严格按照考核相关规定执行。如市容环卫中心为提高环卫作业质量对考核相关规定作出补充、修订，由此引起的与原考核相关规定内容不一致的，以最新规定为准。</w:t>
      </w:r>
    </w:p>
    <w:p w14:paraId="48735A85">
      <w:pPr>
        <w:kinsoku/>
        <w:overflowPunct/>
        <w:topLinePunct w:val="0"/>
        <w:bidi w:val="0"/>
        <w:spacing w:line="52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rPr>
        <w:t>八、</w:t>
      </w:r>
      <w:r>
        <w:rPr>
          <w:rFonts w:hint="eastAsia" w:ascii="仿宋" w:hAnsi="仿宋" w:eastAsia="仿宋" w:cs="仿宋"/>
          <w:b/>
          <w:color w:val="000000"/>
          <w:sz w:val="24"/>
          <w:highlight w:val="none"/>
          <w:lang w:val="en-US" w:eastAsia="zh-CN"/>
        </w:rPr>
        <w:t>合同的变更、解除和终止</w:t>
      </w:r>
    </w:p>
    <w:p w14:paraId="6F93B6CC">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sz w:val="24"/>
          <w:highlight w:val="none"/>
        </w:rPr>
        <w:t>（一）</w:t>
      </w:r>
      <w:r>
        <w:rPr>
          <w:rFonts w:hint="eastAsia" w:ascii="仿宋" w:hAnsi="仿宋" w:eastAsia="仿宋" w:cs="仿宋"/>
          <w:color w:val="000000"/>
          <w:sz w:val="24"/>
          <w:highlight w:val="none"/>
          <w:lang w:val="en-US" w:eastAsia="zh-CN"/>
        </w:rPr>
        <w:t>不可抗力等致使合同目的不能实现的，双方可协议解除本合同。</w:t>
      </w:r>
    </w:p>
    <w:p w14:paraId="5DC82990">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lang w:val="en-US" w:eastAsia="zh-CN"/>
        </w:rPr>
        <w:t>乙方存在以下行为的，甲方有权解除合同：</w:t>
      </w:r>
    </w:p>
    <w:p w14:paraId="1B05FDBE">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1.本项目在服务期内，乙方连续2个月考核不合格或年度累计3个月考核不合格的。</w:t>
      </w:r>
    </w:p>
    <w:p w14:paraId="38DFBF95">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2.未经甲方书面同意将合同以任何形式转包或者分包给他人的。</w:t>
      </w:r>
    </w:p>
    <w:p w14:paraId="5E14020A">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3.违反法律、法规及国家有关政策造成严重后果的，如区级以上政府问责、人员伤亡等。</w:t>
      </w:r>
    </w:p>
    <w:p w14:paraId="72CF96AB">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4.乙方存在拖欠薪资或其他严重侵害环卫工人合法权益情形的。</w:t>
      </w:r>
    </w:p>
    <w:p w14:paraId="249F8213">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5.乙方违反考核要求，甲方出具书面整改通知，乙方整改后仍达不到甲方要求的。</w:t>
      </w:r>
    </w:p>
    <w:p w14:paraId="3311D552">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（三）</w:t>
      </w:r>
      <w:r>
        <w:rPr>
          <w:rFonts w:hint="eastAsia" w:ascii="仿宋" w:hAnsi="仿宋" w:eastAsia="仿宋" w:cs="仿宋"/>
          <w:color w:val="000000"/>
          <w:sz w:val="24"/>
          <w:highlight w:val="none"/>
          <w:lang w:val="en-US" w:eastAsia="zh-CN"/>
        </w:rPr>
        <w:t>甲方存在以下行为的，乙方有权解除合同：</w:t>
      </w:r>
    </w:p>
    <w:p w14:paraId="30C397F5">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1.甲方拖欠乙方服务费用六个月及以上且拖欠总额达到年合同价款25%的。</w:t>
      </w:r>
    </w:p>
    <w:p w14:paraId="5162CB23">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2.甲方拖欠乙方服务费用三个月及以上且拖欠总额达到年合同价款50%的。</w:t>
      </w:r>
    </w:p>
    <w:p w14:paraId="0FB5F2D4">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3.甲方要求的工作服务量不足合同约定50%的。</w:t>
      </w:r>
    </w:p>
    <w:p w14:paraId="7AF45791">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四</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双方协商一致的，可解除合同并均不承担违约责任。</w:t>
      </w:r>
    </w:p>
    <w:p w14:paraId="0DFEA104">
      <w:pPr>
        <w:kinsoku/>
        <w:overflowPunct/>
        <w:topLinePunct w:val="0"/>
        <w:bidi w:val="0"/>
        <w:spacing w:line="520" w:lineRule="exact"/>
        <w:ind w:firstLine="482" w:firstLineChars="20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九、违约责任</w:t>
      </w:r>
    </w:p>
    <w:p w14:paraId="12E5D92D">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sz w:val="24"/>
          <w:highlight w:val="none"/>
        </w:rPr>
        <w:t>（一）</w:t>
      </w:r>
      <w:r>
        <w:rPr>
          <w:rFonts w:hint="eastAsia" w:ascii="仿宋" w:hAnsi="仿宋" w:eastAsia="仿宋" w:cs="仿宋"/>
          <w:color w:val="000000"/>
          <w:sz w:val="24"/>
          <w:highlight w:val="none"/>
          <w:lang w:val="en-US" w:eastAsia="zh-CN"/>
        </w:rPr>
        <w:t>乙方将本项目分包、转包、内部经济承包及变相经济转承包，一经发现，甲方有权责令乙方停止作业并取消承包资格，作违约处理，并由乙方承担由此引起的法律责任及一切经济损失。</w:t>
      </w:r>
    </w:p>
    <w:p w14:paraId="1F734161">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lang w:val="en-US" w:eastAsia="zh-CN"/>
        </w:rPr>
        <w:t>甲方无任何理由终止承包合同的，需向乙方支付年合同价款的5%作为违约金，并折价补偿乙方所购的工具费；乙方无任何理由终止承包合同的，需向甲方支付年合同价款的5%作为违约金。</w:t>
      </w:r>
      <w:r>
        <w:rPr>
          <w:rFonts w:hint="eastAsia" w:ascii="仿宋" w:hAnsi="仿宋" w:eastAsia="仿宋" w:cs="仿宋"/>
          <w:color w:val="000000"/>
          <w:sz w:val="24"/>
          <w:highlight w:val="none"/>
          <w:lang w:val="en-US" w:eastAsia="zh-Hans"/>
        </w:rPr>
        <w:t>造成</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lang w:val="en-US" w:eastAsia="zh-Hans"/>
        </w:rPr>
        <w:t>损失的，应该赔偿。</w:t>
      </w:r>
    </w:p>
    <w:p w14:paraId="45C16409">
      <w:pPr>
        <w:kinsoku/>
        <w:overflowPunct/>
        <w:topLinePunct w:val="0"/>
        <w:bidi w:val="0"/>
        <w:spacing w:line="52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（三）</w:t>
      </w:r>
      <w:r>
        <w:rPr>
          <w:rFonts w:hint="eastAsia" w:ascii="仿宋" w:hAnsi="仿宋" w:eastAsia="仿宋" w:cs="仿宋"/>
          <w:color w:val="000000"/>
          <w:sz w:val="24"/>
          <w:highlight w:val="none"/>
          <w:lang w:val="en-US" w:eastAsia="zh-CN"/>
        </w:rPr>
        <w:t>在合同有效期内,乙方服务质量达不到甲方要求，甲方出具书面整改通知书后，乙方必须无条件整改。整改中所产生的一切费用由乙方负责。如整改后服务质量仍达不到甲方要求的，甲方有权单方面解除合同。</w:t>
      </w:r>
    </w:p>
    <w:p w14:paraId="5CB118D6">
      <w:pPr>
        <w:kinsoku/>
        <w:overflowPunct/>
        <w:topLinePunct w:val="0"/>
        <w:bidi w:val="0"/>
        <w:spacing w:line="520" w:lineRule="exact"/>
        <w:ind w:firstLine="480" w:firstLineChars="200"/>
        <w:rPr>
          <w:rFonts w:hint="eastAsia" w:ascii="仿宋" w:hAnsi="仿宋" w:eastAsia="仿宋" w:cs="仿宋"/>
          <w:color w:val="000000"/>
          <w:sz w:val="24"/>
          <w:highlight w:val="yellow"/>
          <w:lang w:val="en-US" w:eastAsia="zh-CN"/>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四</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因乙方原因中止或终止履行合同的，甲方就额外的损失保留索赔权利。</w:t>
      </w:r>
    </w:p>
    <w:p w14:paraId="4A31AED5">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十、不可抗力事件处理</w:t>
      </w:r>
    </w:p>
    <w:p w14:paraId="7BB0FFD8">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（一）在合同有效期内，任何一方因不可抗力事件导致不能履行合同，则合同履行期可延长，其延长期与不可抗力影响期相同。</w:t>
      </w:r>
    </w:p>
    <w:p w14:paraId="0B937602">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（二）不可抗力事件发生后，应立即通知对方，并寄送有关权威机构出具的证明。</w:t>
      </w:r>
    </w:p>
    <w:p w14:paraId="55990686">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（三）不可抗力事件延续120天以上，双方应通过友好协商，确定是否继续履行合同。</w:t>
      </w:r>
    </w:p>
    <w:p w14:paraId="3519B704">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十一、争议解决</w:t>
      </w:r>
    </w:p>
    <w:p w14:paraId="63318531">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双方在执行合同中所发生的一切争议，应通过协商解决。如协商不成，可向甲方所在地法院起诉。</w:t>
      </w:r>
    </w:p>
    <w:p w14:paraId="7FF1A395">
      <w:pPr>
        <w:kinsoku/>
        <w:overflowPunct/>
        <w:topLinePunct w:val="0"/>
        <w:bidi w:val="0"/>
        <w:spacing w:line="520" w:lineRule="exact"/>
        <w:ind w:firstLine="482" w:firstLineChars="200"/>
        <w:rPr>
          <w:rFonts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、合同生效及其他</w:t>
      </w:r>
    </w:p>
    <w:p w14:paraId="742EBE97">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（一）合同经甲乙双方法定代表人或授权委托代理人签字并加盖单位公章后生效。</w:t>
      </w:r>
    </w:p>
    <w:p w14:paraId="554F34E9">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（二）合同执行中涉及采购资金和招标内容修改或补充的，须签书面补充协议报采购代理机构备案，方可作为主合同不可分割的一部分。</w:t>
      </w:r>
    </w:p>
    <w:p w14:paraId="1119EFBA">
      <w:pPr>
        <w:kinsoku/>
        <w:overflowPunct/>
        <w:topLinePunct w:val="0"/>
        <w:bidi w:val="0"/>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（三）本合同未尽事宜，遵照《中华人民共和国民法典》有关条文执行。</w:t>
      </w:r>
    </w:p>
    <w:p w14:paraId="643485E6">
      <w:pPr>
        <w:kinsoku/>
        <w:overflowPunct/>
        <w:topLinePunct w:val="0"/>
        <w:bidi w:val="0"/>
        <w:spacing w:line="5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rPr>
        <w:t>（四）本合同正本一式伍份，甲乙双方各执两份，湖州市仁皇工程咨询有限公司（采购代理机构）执一份备案。</w:t>
      </w:r>
    </w:p>
    <w:p w14:paraId="38DDD02B">
      <w:pPr>
        <w:pStyle w:val="15"/>
        <w:kinsoku/>
        <w:overflowPunct/>
        <w:topLinePunct w:val="0"/>
        <w:bidi w:val="0"/>
        <w:spacing w:line="520" w:lineRule="exact"/>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 xml:space="preserve">甲方：                                     乙方：   </w:t>
      </w:r>
    </w:p>
    <w:p w14:paraId="6D62D0AE">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 xml:space="preserve">地址：                                     地址： </w:t>
      </w:r>
    </w:p>
    <w:p w14:paraId="50150108">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 xml:space="preserve">法定代表人：                               法定代表人： </w:t>
      </w:r>
    </w:p>
    <w:p w14:paraId="40596BD9">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联系人：                                   联系人：</w:t>
      </w:r>
    </w:p>
    <w:p w14:paraId="00441C17">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电话：                                     电话：</w:t>
      </w:r>
    </w:p>
    <w:p w14:paraId="1B522593">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 xml:space="preserve">开户银行：                                 开户银行： </w:t>
      </w:r>
    </w:p>
    <w:p w14:paraId="64ACCD99">
      <w:pPr>
        <w:tabs>
          <w:tab w:val="left" w:pos="1440"/>
        </w:tabs>
        <w:kinsoku/>
        <w:overflowPunct/>
        <w:topLinePunct w:val="0"/>
        <w:bidi w:val="0"/>
        <w:spacing w:line="520" w:lineRule="exact"/>
        <w:ind w:firstLine="240" w:firstLineChars="100"/>
        <w:rPr>
          <w:rFonts w:ascii="仿宋" w:hAnsi="仿宋" w:eastAsia="仿宋" w:cs="仿宋"/>
          <w:color w:val="000000"/>
          <w:sz w:val="24"/>
        </w:rPr>
      </w:pPr>
      <w:r>
        <w:rPr>
          <w:rFonts w:hint="eastAsia" w:ascii="仿宋" w:hAnsi="仿宋" w:eastAsia="仿宋" w:cs="仿宋"/>
          <w:color w:val="000000"/>
          <w:sz w:val="24"/>
        </w:rPr>
        <w:t xml:space="preserve">账号：                                     账号： </w:t>
      </w:r>
    </w:p>
    <w:p w14:paraId="4250BE25">
      <w:pPr>
        <w:tabs>
          <w:tab w:val="left" w:pos="1440"/>
        </w:tabs>
        <w:kinsoku/>
        <w:overflowPunct/>
        <w:topLinePunct w:val="0"/>
        <w:bidi w:val="0"/>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color w:val="000000"/>
          <w:sz w:val="24"/>
        </w:rPr>
        <w:t>签订时间：     年  月  日</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9A773D4">
      <w:pPr>
        <w:kinsoku/>
        <w:overflowPunct/>
        <w:topLinePunct w:val="0"/>
        <w:bidi w:val="0"/>
        <w:spacing w:before="120" w:line="520" w:lineRule="exact"/>
        <w:ind w:firstLine="241"/>
        <w:jc w:val="left"/>
        <w:rPr>
          <w:rFonts w:hint="eastAsia" w:ascii="仿宋" w:hAnsi="仿宋" w:eastAsia="仿宋" w:cs="仿宋"/>
          <w:b/>
          <w:bCs/>
          <w:sz w:val="24"/>
          <w:szCs w:val="24"/>
        </w:rPr>
        <w:sectPr>
          <w:headerReference r:id="rId10" w:type="default"/>
          <w:footerReference r:id="rId11" w:type="default"/>
          <w:pgSz w:w="11906" w:h="16838"/>
          <w:pgMar w:top="1417" w:right="1248" w:bottom="1417" w:left="1418" w:header="851" w:footer="992" w:gutter="0"/>
          <w:pgNumType w:fmt="decimal"/>
          <w:cols w:space="720" w:num="1"/>
          <w:docGrid w:type="lines" w:linePitch="312" w:charSpace="0"/>
        </w:sectPr>
      </w:pPr>
    </w:p>
    <w:p w14:paraId="6AF36195">
      <w:pPr>
        <w:kinsoku/>
        <w:overflowPunct/>
        <w:topLinePunct w:val="0"/>
        <w:autoSpaceDE w:val="0"/>
        <w:autoSpaceDN w:val="0"/>
        <w:bidi w:val="0"/>
        <w:adjustRightInd w:val="0"/>
        <w:spacing w:line="520" w:lineRule="exact"/>
        <w:contextualSpacing/>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第五章  响应文件格式</w:t>
      </w:r>
    </w:p>
    <w:p w14:paraId="7B82145C">
      <w:pPr>
        <w:pStyle w:val="35"/>
        <w:kinsoku/>
        <w:overflowPunct/>
        <w:topLinePunct w:val="0"/>
        <w:bidi w:val="0"/>
        <w:spacing w:line="520" w:lineRule="exact"/>
        <w:rPr>
          <w:rFonts w:ascii="仿宋" w:hAnsi="仿宋" w:eastAsia="仿宋" w:cs="Times New Roman"/>
          <w:color w:val="auto"/>
        </w:rPr>
      </w:pPr>
    </w:p>
    <w:p w14:paraId="5EA4A21B">
      <w:pPr>
        <w:pStyle w:val="35"/>
        <w:kinsoku/>
        <w:overflowPunct/>
        <w:topLinePunct w:val="0"/>
        <w:bidi w:val="0"/>
        <w:spacing w:line="520" w:lineRule="exact"/>
        <w:rPr>
          <w:rFonts w:ascii="仿宋" w:hAnsi="仿宋" w:eastAsia="仿宋" w:cs="Times New Roman"/>
          <w:b/>
          <w:color w:val="auto"/>
        </w:rPr>
      </w:pPr>
      <w:r>
        <w:rPr>
          <w:rFonts w:ascii="仿宋" w:hAnsi="仿宋" w:eastAsia="仿宋" w:cs="Times New Roman"/>
          <w:color w:val="auto"/>
        </w:rPr>
        <w:t>封面格式</w:t>
      </w:r>
      <w:r>
        <w:rPr>
          <w:rFonts w:hint="eastAsia" w:ascii="仿宋" w:hAnsi="仿宋" w:eastAsia="仿宋" w:cs="Times New Roman"/>
          <w:b/>
          <w:color w:val="auto"/>
        </w:rPr>
        <w:t>（</w:t>
      </w:r>
      <w:r>
        <w:rPr>
          <w:rFonts w:hint="eastAsia" w:ascii="仿宋" w:hAnsi="仿宋" w:eastAsia="仿宋" w:cs="Times New Roman"/>
          <w:b/>
          <w:color w:val="auto"/>
          <w:lang w:eastAsia="zh-CN"/>
        </w:rPr>
        <w:t>成交</w:t>
      </w:r>
      <w:r>
        <w:rPr>
          <w:rFonts w:hint="eastAsia" w:ascii="仿宋" w:hAnsi="仿宋" w:eastAsia="仿宋" w:cs="Times New Roman"/>
          <w:b/>
          <w:color w:val="auto"/>
        </w:rPr>
        <w:t>后提供的纸质版本格式）</w:t>
      </w:r>
    </w:p>
    <w:p w14:paraId="6AE05997">
      <w:pPr>
        <w:pStyle w:val="35"/>
        <w:kinsoku/>
        <w:overflowPunct/>
        <w:topLinePunct w:val="0"/>
        <w:bidi w:val="0"/>
        <w:spacing w:line="520" w:lineRule="exact"/>
        <w:rPr>
          <w:rFonts w:ascii="仿宋" w:hAnsi="仿宋" w:eastAsia="仿宋" w:cs="Times New Roman"/>
          <w:color w:val="auto"/>
        </w:rPr>
      </w:pPr>
    </w:p>
    <w:p w14:paraId="4E923E03">
      <w:pPr>
        <w:pStyle w:val="35"/>
        <w:kinsoku/>
        <w:overflowPunct/>
        <w:topLinePunct w:val="0"/>
        <w:bidi w:val="0"/>
        <w:spacing w:line="520" w:lineRule="exact"/>
        <w:rPr>
          <w:rFonts w:ascii="仿宋" w:hAnsi="仿宋" w:eastAsia="仿宋" w:cs="Times New Roman"/>
          <w:color w:val="auto"/>
        </w:rPr>
      </w:pPr>
    </w:p>
    <w:p w14:paraId="640F9301">
      <w:pPr>
        <w:pStyle w:val="35"/>
        <w:kinsoku/>
        <w:overflowPunct/>
        <w:topLinePunct w:val="0"/>
        <w:bidi w:val="0"/>
        <w:spacing w:line="520" w:lineRule="exact"/>
        <w:rPr>
          <w:rFonts w:ascii="仿宋" w:hAnsi="仿宋" w:eastAsia="仿宋" w:cs="Times New Roman"/>
          <w:color w:val="auto"/>
          <w:sz w:val="36"/>
          <w:szCs w:val="36"/>
        </w:rPr>
      </w:pPr>
    </w:p>
    <w:p w14:paraId="1012FCC1">
      <w:pPr>
        <w:pStyle w:val="35"/>
        <w:kinsoku/>
        <w:overflowPunct/>
        <w:topLinePunct w:val="0"/>
        <w:bidi w:val="0"/>
        <w:spacing w:line="520" w:lineRule="exact"/>
        <w:jc w:val="center"/>
        <w:rPr>
          <w:rFonts w:ascii="仿宋" w:hAnsi="仿宋" w:eastAsia="仿宋" w:cs="Times New Roman"/>
          <w:color w:val="auto"/>
          <w:sz w:val="36"/>
          <w:szCs w:val="36"/>
        </w:rPr>
      </w:pPr>
      <w:r>
        <w:rPr>
          <w:rFonts w:hint="eastAsia" w:ascii="仿宋" w:hAnsi="仿宋" w:eastAsia="仿宋" w:cs="Times New Roman"/>
          <w:b/>
          <w:color w:val="auto"/>
          <w:sz w:val="36"/>
          <w:szCs w:val="36"/>
          <w:lang w:eastAsia="zh-CN"/>
        </w:rPr>
        <w:t>磋商响应</w:t>
      </w:r>
      <w:r>
        <w:rPr>
          <w:rFonts w:hint="eastAsia" w:ascii="仿宋" w:hAnsi="仿宋" w:eastAsia="仿宋" w:cs="Times New Roman"/>
          <w:b/>
          <w:color w:val="auto"/>
          <w:sz w:val="36"/>
          <w:szCs w:val="36"/>
        </w:rPr>
        <w:t>文件</w:t>
      </w:r>
    </w:p>
    <w:p w14:paraId="316C9735">
      <w:pPr>
        <w:pStyle w:val="35"/>
        <w:kinsoku/>
        <w:overflowPunct/>
        <w:topLinePunct w:val="0"/>
        <w:bidi w:val="0"/>
        <w:spacing w:line="520" w:lineRule="exact"/>
        <w:jc w:val="right"/>
        <w:rPr>
          <w:rFonts w:ascii="仿宋" w:hAnsi="仿宋" w:eastAsia="仿宋" w:cs="Times New Roman"/>
          <w:color w:val="auto"/>
        </w:rPr>
      </w:pPr>
    </w:p>
    <w:p w14:paraId="22F5D698">
      <w:pPr>
        <w:pStyle w:val="35"/>
        <w:kinsoku/>
        <w:overflowPunct/>
        <w:topLinePunct w:val="0"/>
        <w:bidi w:val="0"/>
        <w:spacing w:line="520" w:lineRule="exact"/>
        <w:jc w:val="center"/>
        <w:rPr>
          <w:rFonts w:ascii="仿宋" w:hAnsi="仿宋" w:eastAsia="仿宋" w:cs="Times New Roman"/>
          <w:b/>
          <w:color w:val="auto"/>
        </w:rPr>
      </w:pPr>
      <w:r>
        <w:rPr>
          <w:rFonts w:ascii="仿宋" w:hAnsi="仿宋" w:eastAsia="仿宋" w:cs="Times New Roman"/>
          <w:b/>
          <w:color w:val="auto"/>
        </w:rPr>
        <w:t>技术、商务、资信及其他文件</w:t>
      </w:r>
      <w:r>
        <w:rPr>
          <w:rFonts w:hint="eastAsia" w:ascii="仿宋" w:hAnsi="仿宋" w:eastAsia="仿宋" w:cs="Times New Roman"/>
          <w:b/>
          <w:color w:val="auto"/>
        </w:rPr>
        <w:t>/报价文件</w:t>
      </w:r>
    </w:p>
    <w:p w14:paraId="7056B65A">
      <w:pPr>
        <w:pStyle w:val="35"/>
        <w:kinsoku/>
        <w:overflowPunct/>
        <w:topLinePunct w:val="0"/>
        <w:bidi w:val="0"/>
        <w:spacing w:line="520" w:lineRule="exact"/>
        <w:jc w:val="center"/>
        <w:rPr>
          <w:rFonts w:ascii="仿宋" w:hAnsi="仿宋" w:eastAsia="仿宋" w:cs="Times New Roman"/>
          <w:b/>
          <w:color w:val="auto"/>
        </w:rPr>
      </w:pPr>
    </w:p>
    <w:p w14:paraId="2242A150">
      <w:pPr>
        <w:pStyle w:val="35"/>
        <w:kinsoku/>
        <w:overflowPunct/>
        <w:topLinePunct w:val="0"/>
        <w:bidi w:val="0"/>
        <w:spacing w:line="520" w:lineRule="exact"/>
        <w:jc w:val="center"/>
        <w:rPr>
          <w:rFonts w:ascii="仿宋" w:hAnsi="仿宋" w:eastAsia="仿宋" w:cs="Times New Roman"/>
          <w:b/>
          <w:color w:val="auto"/>
        </w:rPr>
      </w:pPr>
    </w:p>
    <w:p w14:paraId="2AB8F12A">
      <w:pPr>
        <w:pStyle w:val="35"/>
        <w:kinsoku/>
        <w:overflowPunct/>
        <w:topLinePunct w:val="0"/>
        <w:bidi w:val="0"/>
        <w:spacing w:line="520" w:lineRule="exact"/>
        <w:jc w:val="center"/>
        <w:rPr>
          <w:rFonts w:ascii="仿宋" w:hAnsi="仿宋" w:eastAsia="仿宋" w:cs="Times New Roman"/>
          <w:b/>
          <w:color w:val="auto"/>
        </w:rPr>
      </w:pPr>
    </w:p>
    <w:p w14:paraId="1E415E01">
      <w:pPr>
        <w:pStyle w:val="35"/>
        <w:kinsoku/>
        <w:overflowPunct/>
        <w:topLinePunct w:val="0"/>
        <w:bidi w:val="0"/>
        <w:spacing w:line="520" w:lineRule="exact"/>
        <w:jc w:val="center"/>
        <w:rPr>
          <w:rFonts w:ascii="仿宋" w:hAnsi="仿宋" w:eastAsia="仿宋" w:cs="Times New Roman"/>
          <w:b/>
          <w:color w:val="auto"/>
        </w:rPr>
      </w:pPr>
    </w:p>
    <w:p w14:paraId="0C8F6B46">
      <w:pPr>
        <w:pStyle w:val="35"/>
        <w:kinsoku/>
        <w:overflowPunct/>
        <w:topLinePunct w:val="0"/>
        <w:bidi w:val="0"/>
        <w:spacing w:line="520" w:lineRule="exact"/>
        <w:rPr>
          <w:rFonts w:ascii="仿宋" w:hAnsi="仿宋" w:eastAsia="仿宋" w:cs="Times New Roman"/>
          <w:color w:val="auto"/>
        </w:rPr>
      </w:pPr>
    </w:p>
    <w:p w14:paraId="4053AEDC">
      <w:pPr>
        <w:pStyle w:val="35"/>
        <w:kinsoku/>
        <w:overflowPunct/>
        <w:topLinePunct w:val="0"/>
        <w:bidi w:val="0"/>
        <w:spacing w:line="520" w:lineRule="exact"/>
        <w:rPr>
          <w:rFonts w:ascii="仿宋" w:hAnsi="仿宋" w:eastAsia="仿宋" w:cs="Times New Roman"/>
          <w:color w:val="auto"/>
        </w:rPr>
      </w:pPr>
      <w:r>
        <w:rPr>
          <w:rFonts w:ascii="仿宋" w:hAnsi="仿宋" w:eastAsia="仿宋" w:cs="Times New Roman"/>
          <w:color w:val="auto"/>
        </w:rPr>
        <w:t xml:space="preserve">项目名称： </w:t>
      </w:r>
    </w:p>
    <w:p w14:paraId="0363C48C">
      <w:pPr>
        <w:pStyle w:val="35"/>
        <w:kinsoku/>
        <w:overflowPunct/>
        <w:topLinePunct w:val="0"/>
        <w:bidi w:val="0"/>
        <w:spacing w:line="520" w:lineRule="exact"/>
        <w:rPr>
          <w:rFonts w:ascii="仿宋" w:hAnsi="仿宋" w:eastAsia="仿宋" w:cs="Times New Roman"/>
          <w:color w:val="auto"/>
        </w:rPr>
      </w:pPr>
    </w:p>
    <w:p w14:paraId="032B0F1D">
      <w:pPr>
        <w:pStyle w:val="35"/>
        <w:kinsoku/>
        <w:overflowPunct/>
        <w:topLinePunct w:val="0"/>
        <w:bidi w:val="0"/>
        <w:spacing w:line="520" w:lineRule="exact"/>
        <w:rPr>
          <w:rFonts w:ascii="仿宋" w:hAnsi="仿宋" w:eastAsia="仿宋" w:cs="Times New Roman"/>
          <w:color w:val="auto"/>
        </w:rPr>
      </w:pPr>
      <w:r>
        <w:rPr>
          <w:rFonts w:ascii="仿宋" w:hAnsi="仿宋" w:eastAsia="仿宋" w:cs="Times New Roman"/>
          <w:color w:val="auto"/>
        </w:rPr>
        <w:t>项目编号</w:t>
      </w:r>
      <w:r>
        <w:rPr>
          <w:rFonts w:hint="eastAsia" w:ascii="仿宋" w:hAnsi="仿宋" w:eastAsia="仿宋" w:cs="Times New Roman"/>
          <w:color w:val="auto"/>
        </w:rPr>
        <w:t>：</w:t>
      </w:r>
    </w:p>
    <w:p w14:paraId="36A50654">
      <w:pPr>
        <w:pStyle w:val="35"/>
        <w:kinsoku/>
        <w:overflowPunct/>
        <w:topLinePunct w:val="0"/>
        <w:bidi w:val="0"/>
        <w:spacing w:line="520" w:lineRule="exact"/>
        <w:rPr>
          <w:rFonts w:ascii="仿宋" w:hAnsi="仿宋" w:eastAsia="仿宋" w:cs="Times New Roman"/>
          <w:color w:val="auto"/>
        </w:rPr>
      </w:pPr>
    </w:p>
    <w:p w14:paraId="27D150B4">
      <w:pPr>
        <w:pStyle w:val="35"/>
        <w:kinsoku/>
        <w:overflowPunct/>
        <w:topLinePunct w:val="0"/>
        <w:bidi w:val="0"/>
        <w:spacing w:line="520" w:lineRule="exact"/>
        <w:rPr>
          <w:rFonts w:ascii="仿宋" w:hAnsi="仿宋" w:eastAsia="仿宋" w:cs="Times New Roman"/>
          <w:color w:val="auto"/>
        </w:rPr>
      </w:pPr>
      <w:r>
        <w:rPr>
          <w:rFonts w:hint="eastAsia" w:ascii="仿宋" w:hAnsi="仿宋" w:eastAsia="仿宋" w:cs="Times New Roman"/>
          <w:color w:val="auto"/>
          <w:lang w:eastAsia="zh-CN"/>
        </w:rPr>
        <w:t>响应</w:t>
      </w:r>
      <w:r>
        <w:rPr>
          <w:rFonts w:ascii="仿宋" w:hAnsi="仿宋" w:eastAsia="仿宋" w:cs="Times New Roman"/>
          <w:color w:val="auto"/>
        </w:rPr>
        <w:t xml:space="preserve">文件名称：技术、商务、资信及其他文件 </w:t>
      </w:r>
      <w:r>
        <w:rPr>
          <w:rFonts w:hint="eastAsia" w:ascii="仿宋" w:hAnsi="仿宋" w:eastAsia="仿宋" w:cs="Times New Roman"/>
          <w:color w:val="auto"/>
        </w:rPr>
        <w:t>/报价文件</w:t>
      </w:r>
    </w:p>
    <w:p w14:paraId="51C8E49F">
      <w:pPr>
        <w:pStyle w:val="35"/>
        <w:kinsoku/>
        <w:overflowPunct/>
        <w:topLinePunct w:val="0"/>
        <w:bidi w:val="0"/>
        <w:spacing w:line="520" w:lineRule="exact"/>
        <w:rPr>
          <w:rFonts w:ascii="仿宋" w:hAnsi="仿宋" w:eastAsia="仿宋" w:cs="Times New Roman"/>
          <w:color w:val="auto"/>
        </w:rPr>
      </w:pPr>
    </w:p>
    <w:p w14:paraId="131CC84E">
      <w:pPr>
        <w:pStyle w:val="35"/>
        <w:kinsoku/>
        <w:overflowPunct/>
        <w:topLinePunct w:val="0"/>
        <w:bidi w:val="0"/>
        <w:spacing w:line="520" w:lineRule="exact"/>
        <w:rPr>
          <w:rFonts w:ascii="仿宋" w:hAnsi="仿宋" w:eastAsia="仿宋" w:cs="Times New Roman"/>
          <w:color w:val="auto"/>
        </w:rPr>
      </w:pPr>
      <w:r>
        <w:rPr>
          <w:rFonts w:hint="eastAsia" w:ascii="仿宋" w:hAnsi="仿宋" w:eastAsia="仿宋" w:cs="Times New Roman"/>
          <w:color w:val="auto"/>
          <w:lang w:eastAsia="zh-CN"/>
        </w:rPr>
        <w:t>供应商</w:t>
      </w:r>
      <w:r>
        <w:rPr>
          <w:rFonts w:ascii="仿宋" w:hAnsi="仿宋" w:eastAsia="仿宋" w:cs="Times New Roman"/>
          <w:color w:val="auto"/>
        </w:rPr>
        <w:t xml:space="preserve">名称： </w:t>
      </w:r>
    </w:p>
    <w:p w14:paraId="6C5C186F">
      <w:pPr>
        <w:pStyle w:val="35"/>
        <w:kinsoku/>
        <w:overflowPunct/>
        <w:topLinePunct w:val="0"/>
        <w:bidi w:val="0"/>
        <w:spacing w:line="520" w:lineRule="exact"/>
        <w:rPr>
          <w:rFonts w:ascii="仿宋" w:hAnsi="仿宋" w:eastAsia="仿宋" w:cs="Times New Roman"/>
          <w:color w:val="auto"/>
        </w:rPr>
      </w:pPr>
    </w:p>
    <w:p w14:paraId="0BD0FFC6">
      <w:pPr>
        <w:pStyle w:val="35"/>
        <w:kinsoku/>
        <w:overflowPunct/>
        <w:topLinePunct w:val="0"/>
        <w:bidi w:val="0"/>
        <w:spacing w:line="520" w:lineRule="exact"/>
        <w:rPr>
          <w:rFonts w:ascii="仿宋" w:hAnsi="仿宋" w:eastAsia="仿宋" w:cs="Times New Roman"/>
          <w:color w:val="auto"/>
        </w:rPr>
      </w:pPr>
      <w:r>
        <w:rPr>
          <w:rFonts w:hint="eastAsia" w:ascii="仿宋" w:hAnsi="仿宋" w:eastAsia="仿宋" w:cs="Times New Roman"/>
          <w:color w:val="auto"/>
          <w:lang w:eastAsia="zh-CN"/>
        </w:rPr>
        <w:t>供应商</w:t>
      </w:r>
      <w:r>
        <w:rPr>
          <w:rFonts w:ascii="仿宋" w:hAnsi="仿宋" w:eastAsia="仿宋" w:cs="Times New Roman"/>
          <w:color w:val="auto"/>
        </w:rPr>
        <w:t xml:space="preserve">地址： </w:t>
      </w:r>
    </w:p>
    <w:p w14:paraId="5116AA14">
      <w:pPr>
        <w:pStyle w:val="35"/>
        <w:kinsoku/>
        <w:overflowPunct/>
        <w:topLinePunct w:val="0"/>
        <w:bidi w:val="0"/>
        <w:spacing w:line="520" w:lineRule="exact"/>
        <w:rPr>
          <w:rFonts w:ascii="仿宋" w:hAnsi="仿宋" w:eastAsia="仿宋" w:cs="Times New Roman"/>
          <w:color w:val="auto"/>
        </w:rPr>
      </w:pPr>
    </w:p>
    <w:p w14:paraId="30E876AF">
      <w:pPr>
        <w:kinsoku/>
        <w:wordWrap w:val="0"/>
        <w:overflowPunct/>
        <w:topLinePunct w:val="0"/>
        <w:bidi w:val="0"/>
        <w:spacing w:line="520" w:lineRule="exact"/>
        <w:ind w:firstLine="480" w:firstLineChars="200"/>
        <w:jc w:val="right"/>
        <w:rPr>
          <w:rFonts w:ascii="仿宋" w:hAnsi="仿宋" w:eastAsia="仿宋"/>
          <w:color w:val="auto"/>
          <w:sz w:val="24"/>
        </w:rPr>
      </w:pPr>
      <w:r>
        <w:rPr>
          <w:rFonts w:ascii="仿宋" w:hAnsi="仿宋" w:eastAsia="仿宋"/>
          <w:color w:val="auto"/>
          <w:sz w:val="24"/>
        </w:rPr>
        <w:t>年 月 日</w:t>
      </w:r>
    </w:p>
    <w:p w14:paraId="493975B0">
      <w:pPr>
        <w:pStyle w:val="34"/>
        <w:kinsoku/>
        <w:wordWrap/>
        <w:overflowPunct/>
        <w:topLinePunct w:val="0"/>
        <w:bidi w:val="0"/>
        <w:spacing w:line="520" w:lineRule="exact"/>
        <w:rPr>
          <w:rFonts w:ascii="仿宋" w:hAnsi="仿宋" w:eastAsia="仿宋"/>
          <w:color w:val="auto"/>
          <w:sz w:val="24"/>
        </w:rPr>
      </w:pPr>
    </w:p>
    <w:p w14:paraId="1BF8FCB3">
      <w:pPr>
        <w:pStyle w:val="34"/>
        <w:kinsoku/>
        <w:wordWrap/>
        <w:overflowPunct/>
        <w:topLinePunct w:val="0"/>
        <w:bidi w:val="0"/>
        <w:spacing w:line="520" w:lineRule="exact"/>
        <w:ind w:left="0" w:leftChars="0" w:firstLine="0" w:firstLineChars="0"/>
        <w:rPr>
          <w:rFonts w:ascii="仿宋" w:hAnsi="仿宋" w:eastAsia="仿宋"/>
          <w:color w:val="auto"/>
          <w:sz w:val="24"/>
        </w:rPr>
      </w:pPr>
    </w:p>
    <w:p w14:paraId="743C268B">
      <w:pPr>
        <w:kinsoku/>
        <w:overflowPunct/>
        <w:topLinePunct w:val="0"/>
        <w:autoSpaceDE w:val="0"/>
        <w:autoSpaceDN w:val="0"/>
        <w:bidi w:val="0"/>
        <w:adjustRightInd w:val="0"/>
        <w:spacing w:line="520" w:lineRule="exact"/>
        <w:contextualSpacing/>
        <w:jc w:val="center"/>
        <w:rPr>
          <w:rFonts w:hint="eastAsia" w:ascii="仿宋" w:hAnsi="仿宋" w:eastAsia="仿宋" w:cs="仿宋"/>
          <w:b/>
          <w:color w:val="auto"/>
          <w:sz w:val="36"/>
          <w:szCs w:val="36"/>
          <w:highlight w:val="none"/>
        </w:rPr>
      </w:pPr>
    </w:p>
    <w:p w14:paraId="21F60A0D">
      <w:pPr>
        <w:kinsoku/>
        <w:overflowPunct/>
        <w:topLinePunct w:val="0"/>
        <w:bidi w:val="0"/>
        <w:snapToGrid w:val="0"/>
        <w:spacing w:before="50" w:after="50" w:line="52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录</w:t>
      </w:r>
    </w:p>
    <w:p w14:paraId="51FB973E">
      <w:pPr>
        <w:pStyle w:val="34"/>
        <w:kinsoku/>
        <w:overflowPunct/>
        <w:topLinePunct w:val="0"/>
        <w:bidi w:val="0"/>
        <w:spacing w:line="520" w:lineRule="exact"/>
        <w:rPr>
          <w:rFonts w:hint="eastAsia"/>
          <w:lang w:eastAsia="zh-CN"/>
        </w:rPr>
      </w:pPr>
    </w:p>
    <w:p w14:paraId="0413913F">
      <w:pPr>
        <w:kinsoku/>
        <w:overflowPunct/>
        <w:topLinePunct w:val="0"/>
        <w:bidi w:val="0"/>
        <w:snapToGrid w:val="0"/>
        <w:spacing w:before="50" w:after="50" w:line="52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1、技术、商务、资信及其他文件目录（具体参考第三章供应商须知“响应文件的组成”）</w:t>
      </w:r>
    </w:p>
    <w:p w14:paraId="65751739">
      <w:pPr>
        <w:kinsoku/>
        <w:overflowPunct/>
        <w:topLinePunct w:val="0"/>
        <w:bidi w:val="0"/>
        <w:snapToGrid w:val="0"/>
        <w:spacing w:before="50" w:after="50" w:line="520" w:lineRule="exact"/>
        <w:rPr>
          <w:rFonts w:hint="eastAsia" w:ascii="仿宋" w:hAnsi="仿宋" w:eastAsia="仿宋" w:cs="仿宋"/>
          <w:color w:val="auto"/>
          <w:sz w:val="24"/>
          <w:szCs w:val="28"/>
          <w:highlight w:val="none"/>
        </w:rPr>
      </w:pPr>
    </w:p>
    <w:p w14:paraId="334FE968">
      <w:pPr>
        <w:kinsoku/>
        <w:overflowPunct/>
        <w:topLinePunct w:val="0"/>
        <w:bidi w:val="0"/>
        <w:snapToGrid w:val="0"/>
        <w:spacing w:before="50" w:after="50" w:line="520" w:lineRule="exact"/>
        <w:rPr>
          <w:rFonts w:hint="eastAsia" w:ascii="仿宋" w:hAnsi="仿宋" w:eastAsia="仿宋" w:cs="仿宋"/>
          <w:color w:val="auto"/>
          <w:szCs w:val="28"/>
          <w:highlight w:val="none"/>
        </w:rPr>
      </w:pPr>
    </w:p>
    <w:p w14:paraId="6C0A75F5">
      <w:pPr>
        <w:kinsoku/>
        <w:overflowPunct/>
        <w:topLinePunct w:val="0"/>
        <w:bidi w:val="0"/>
        <w:snapToGrid w:val="0"/>
        <w:spacing w:before="50" w:after="50" w:line="52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rPr>
        <w:t>报价文件目录（具体参考第三章供应商须知“响应文件的组成”）</w:t>
      </w:r>
    </w:p>
    <w:p w14:paraId="556506A5">
      <w:pPr>
        <w:kinsoku/>
        <w:overflowPunct/>
        <w:topLinePunct w:val="0"/>
        <w:bidi w:val="0"/>
        <w:snapToGrid w:val="0"/>
        <w:spacing w:before="50" w:after="156" w:afterLines="50" w:line="520" w:lineRule="exact"/>
        <w:jc w:val="left"/>
        <w:rPr>
          <w:rFonts w:hint="eastAsia" w:ascii="仿宋" w:hAnsi="仿宋" w:eastAsia="仿宋" w:cs="仿宋"/>
          <w:color w:val="auto"/>
          <w:szCs w:val="28"/>
          <w:highlight w:val="none"/>
        </w:rPr>
      </w:pPr>
    </w:p>
    <w:p w14:paraId="2EA18569">
      <w:pPr>
        <w:kinsoku/>
        <w:overflowPunct/>
        <w:topLinePunct w:val="0"/>
        <w:bidi w:val="0"/>
        <w:snapToGrid w:val="0"/>
        <w:spacing w:before="50" w:after="156" w:afterLines="50" w:line="520" w:lineRule="exact"/>
        <w:jc w:val="left"/>
        <w:rPr>
          <w:rFonts w:hint="eastAsia" w:ascii="仿宋" w:hAnsi="仿宋" w:eastAsia="仿宋" w:cs="仿宋"/>
          <w:color w:val="auto"/>
          <w:szCs w:val="28"/>
          <w:highlight w:val="none"/>
        </w:rPr>
      </w:pPr>
    </w:p>
    <w:p w14:paraId="4C95562E">
      <w:pPr>
        <w:kinsoku/>
        <w:overflowPunct/>
        <w:topLinePunct w:val="0"/>
        <w:bidi w:val="0"/>
        <w:snapToGrid w:val="0"/>
        <w:spacing w:before="50" w:after="156" w:afterLines="50" w:line="5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（本章仅提供部分标准通用表格，具体格式内容请参照本磋商文件中对响应文件编制要求）</w:t>
      </w:r>
    </w:p>
    <w:p w14:paraId="7227D090">
      <w:pPr>
        <w:kinsoku/>
        <w:overflowPunct/>
        <w:topLinePunct w:val="0"/>
        <w:bidi w:val="0"/>
        <w:snapToGrid w:val="0"/>
        <w:spacing w:before="50" w:after="156" w:afterLines="50" w:line="520" w:lineRule="exact"/>
        <w:jc w:val="left"/>
        <w:rPr>
          <w:rFonts w:hint="eastAsia" w:ascii="仿宋" w:hAnsi="仿宋" w:eastAsia="仿宋" w:cs="仿宋"/>
          <w:color w:val="auto"/>
          <w:sz w:val="24"/>
          <w:highlight w:val="none"/>
        </w:rPr>
      </w:pPr>
    </w:p>
    <w:p w14:paraId="28D9E76C">
      <w:pPr>
        <w:kinsoku/>
        <w:overflowPunct/>
        <w:topLinePunct w:val="0"/>
        <w:bidi w:val="0"/>
        <w:snapToGrid w:val="0"/>
        <w:spacing w:before="50" w:after="156" w:afterLines="50" w:line="520" w:lineRule="exact"/>
        <w:jc w:val="left"/>
        <w:rPr>
          <w:rFonts w:hint="eastAsia" w:ascii="仿宋" w:hAnsi="仿宋" w:eastAsia="仿宋" w:cs="仿宋"/>
          <w:color w:val="auto"/>
          <w:sz w:val="24"/>
          <w:highlight w:val="none"/>
        </w:rPr>
      </w:pPr>
    </w:p>
    <w:p w14:paraId="536B5670">
      <w:pPr>
        <w:kinsoku/>
        <w:overflowPunct/>
        <w:topLinePunct w:val="0"/>
        <w:bidi w:val="0"/>
        <w:spacing w:line="520" w:lineRule="exact"/>
        <w:jc w:val="center"/>
        <w:outlineLvl w:val="9"/>
        <w:rPr>
          <w:rFonts w:hint="eastAsia" w:ascii="仿宋" w:hAnsi="仿宋" w:eastAsia="仿宋" w:cs="仿宋"/>
          <w:b/>
          <w:bCs/>
          <w:color w:val="auto"/>
          <w:sz w:val="28"/>
          <w:szCs w:val="28"/>
          <w:highlight w:val="none"/>
        </w:rPr>
        <w:sectPr>
          <w:headerReference r:id="rId12" w:type="default"/>
          <w:footerReference r:id="rId13" w:type="default"/>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b/>
          <w:bCs/>
          <w:color w:val="auto"/>
          <w:sz w:val="28"/>
          <w:szCs w:val="28"/>
          <w:highlight w:val="none"/>
        </w:rPr>
        <w:br w:type="page"/>
      </w:r>
    </w:p>
    <w:p w14:paraId="5096445C">
      <w:pPr>
        <w:kinsoku/>
        <w:overflowPunct/>
        <w:topLinePunct w:val="0"/>
        <w:bidi w:val="0"/>
        <w:snapToGrid w:val="0"/>
        <w:spacing w:before="120" w:beforeLines="50" w:after="50" w:line="520" w:lineRule="exact"/>
        <w:jc w:val="center"/>
        <w:outlineLvl w:val="1"/>
        <w:rPr>
          <w:rFonts w:ascii="仿宋" w:hAnsi="仿宋" w:eastAsia="仿宋" w:cs="宋体"/>
          <w:b/>
          <w:sz w:val="28"/>
          <w:szCs w:val="28"/>
        </w:rPr>
      </w:pPr>
      <w:r>
        <w:rPr>
          <w:rFonts w:hint="eastAsia" w:ascii="仿宋" w:hAnsi="仿宋" w:eastAsia="仿宋" w:cs="宋体"/>
          <w:b/>
          <w:sz w:val="28"/>
          <w:szCs w:val="28"/>
        </w:rPr>
        <w:t>1、法定代表人有效身份证明书</w:t>
      </w:r>
    </w:p>
    <w:p w14:paraId="374A81EE">
      <w:pPr>
        <w:pStyle w:val="14"/>
        <w:kinsoku/>
        <w:overflowPunct/>
        <w:topLinePunct w:val="0"/>
        <w:bidi w:val="0"/>
        <w:spacing w:line="520" w:lineRule="exact"/>
        <w:rPr>
          <w:rFonts w:ascii="仿宋" w:hAnsi="仿宋" w:eastAsia="仿宋" w:cs="宋体"/>
        </w:rPr>
      </w:pPr>
    </w:p>
    <w:p w14:paraId="5EA328A8">
      <w:pPr>
        <w:kinsoku/>
        <w:overflowPunct/>
        <w:topLinePunct w:val="0"/>
        <w:bidi w:val="0"/>
        <w:spacing w:line="520" w:lineRule="exact"/>
        <w:ind w:firstLine="360" w:firstLineChars="150"/>
        <w:jc w:val="left"/>
        <w:rPr>
          <w:rFonts w:ascii="仿宋" w:hAnsi="仿宋" w:eastAsia="仿宋" w:cs="宋体"/>
          <w:kern w:val="0"/>
          <w:sz w:val="24"/>
        </w:rPr>
      </w:pPr>
      <w:r>
        <w:rPr>
          <w:rFonts w:hint="eastAsia" w:ascii="仿宋" w:hAnsi="仿宋" w:eastAsia="仿宋" w:cs="宋体"/>
          <w:kern w:val="0"/>
          <w:sz w:val="24"/>
          <w:u w:val="single"/>
        </w:rPr>
        <w:t>（姓名）</w:t>
      </w:r>
      <w:r>
        <w:rPr>
          <w:rFonts w:hint="eastAsia" w:ascii="仿宋" w:hAnsi="仿宋" w:eastAsia="仿宋" w:cs="宋体"/>
          <w:kern w:val="0"/>
          <w:sz w:val="24"/>
        </w:rPr>
        <w:t>是</w:t>
      </w:r>
      <w:r>
        <w:rPr>
          <w:rFonts w:hint="eastAsia" w:ascii="仿宋" w:hAnsi="仿宋" w:eastAsia="仿宋" w:cs="宋体"/>
          <w:kern w:val="0"/>
          <w:sz w:val="24"/>
          <w:u w:val="single"/>
        </w:rPr>
        <w:t>（供应商全称）</w:t>
      </w:r>
      <w:r>
        <w:rPr>
          <w:rFonts w:hint="eastAsia" w:ascii="仿宋" w:hAnsi="仿宋" w:eastAsia="仿宋" w:cs="宋体"/>
          <w:kern w:val="0"/>
          <w:sz w:val="24"/>
        </w:rPr>
        <w:t>的法定代表人，身份证号码为 ______________。</w:t>
      </w:r>
    </w:p>
    <w:p w14:paraId="7E5CFB52">
      <w:pPr>
        <w:kinsoku/>
        <w:overflowPunct/>
        <w:topLinePunct w:val="0"/>
        <w:bidi w:val="0"/>
        <w:spacing w:line="520" w:lineRule="exact"/>
        <w:jc w:val="left"/>
        <w:rPr>
          <w:rFonts w:ascii="仿宋" w:hAnsi="仿宋" w:eastAsia="仿宋" w:cs="宋体"/>
          <w:kern w:val="0"/>
          <w:sz w:val="24"/>
        </w:rPr>
      </w:pPr>
      <w:r>
        <w:rPr>
          <w:rFonts w:hint="eastAsia" w:ascii="仿宋" w:hAnsi="仿宋" w:eastAsia="仿宋" w:cs="宋体"/>
          <w:kern w:val="0"/>
          <w:sz w:val="24"/>
        </w:rPr>
        <w:t>特此证明。</w:t>
      </w:r>
    </w:p>
    <w:p w14:paraId="7BB76D56">
      <w:pPr>
        <w:kinsoku/>
        <w:overflowPunct/>
        <w:topLinePunct w:val="0"/>
        <w:bidi w:val="0"/>
        <w:spacing w:line="520" w:lineRule="exact"/>
        <w:jc w:val="left"/>
        <w:rPr>
          <w:rFonts w:ascii="仿宋" w:hAnsi="仿宋" w:eastAsia="仿宋" w:cs="宋体"/>
          <w:kern w:val="0"/>
          <w:sz w:val="24"/>
        </w:rPr>
      </w:pPr>
    </w:p>
    <w:p w14:paraId="4B00291A">
      <w:pPr>
        <w:kinsoku/>
        <w:overflowPunct/>
        <w:topLinePunct w:val="0"/>
        <w:bidi w:val="0"/>
        <w:spacing w:line="520" w:lineRule="exact"/>
        <w:jc w:val="left"/>
        <w:rPr>
          <w:rFonts w:ascii="仿宋" w:hAnsi="仿宋" w:eastAsia="仿宋" w:cs="宋体"/>
          <w:kern w:val="0"/>
          <w:sz w:val="24"/>
        </w:rPr>
      </w:pPr>
    </w:p>
    <w:p w14:paraId="507F94B4">
      <w:pPr>
        <w:kinsoku/>
        <w:overflowPunct/>
        <w:topLinePunct w:val="0"/>
        <w:bidi w:val="0"/>
        <w:spacing w:line="520" w:lineRule="exact"/>
        <w:jc w:val="left"/>
        <w:rPr>
          <w:rFonts w:ascii="仿宋" w:hAnsi="仿宋" w:eastAsia="仿宋" w:cs="宋体"/>
          <w:kern w:val="0"/>
          <w:sz w:val="24"/>
        </w:rPr>
      </w:pPr>
      <w:r>
        <w:rPr>
          <w:rFonts w:hint="eastAsia" w:ascii="仿宋" w:hAnsi="仿宋" w:eastAsia="仿宋" w:cs="宋体"/>
          <w:kern w:val="0"/>
          <w:sz w:val="24"/>
        </w:rPr>
        <w:t>供应商：（盖章）</w:t>
      </w:r>
    </w:p>
    <w:p w14:paraId="71259AAF">
      <w:pPr>
        <w:kinsoku/>
        <w:overflowPunct/>
        <w:topLinePunct w:val="0"/>
        <w:bidi w:val="0"/>
        <w:spacing w:line="520" w:lineRule="exact"/>
        <w:jc w:val="left"/>
        <w:rPr>
          <w:rFonts w:ascii="仿宋" w:hAnsi="仿宋" w:eastAsia="仿宋" w:cs="宋体"/>
          <w:kern w:val="0"/>
          <w:sz w:val="24"/>
        </w:rPr>
      </w:pPr>
    </w:p>
    <w:p w14:paraId="37656C5A">
      <w:pPr>
        <w:kinsoku/>
        <w:overflowPunct/>
        <w:topLinePunct w:val="0"/>
        <w:bidi w:val="0"/>
        <w:spacing w:line="520" w:lineRule="exact"/>
        <w:jc w:val="left"/>
        <w:rPr>
          <w:rFonts w:ascii="仿宋" w:hAnsi="仿宋" w:eastAsia="仿宋" w:cs="宋体"/>
          <w:kern w:val="0"/>
          <w:sz w:val="24"/>
        </w:rPr>
      </w:pPr>
      <w:r>
        <w:rPr>
          <w:rFonts w:hint="eastAsia" w:ascii="仿宋" w:hAnsi="仿宋" w:eastAsia="仿宋" w:cs="宋体"/>
          <w:kern w:val="0"/>
          <w:sz w:val="24"/>
        </w:rPr>
        <w:t>法定代表人（签名或盖章）：</w:t>
      </w:r>
    </w:p>
    <w:p w14:paraId="1AA33EDA">
      <w:pPr>
        <w:kinsoku/>
        <w:overflowPunct/>
        <w:topLinePunct w:val="0"/>
        <w:bidi w:val="0"/>
        <w:spacing w:line="520" w:lineRule="exact"/>
        <w:jc w:val="left"/>
        <w:rPr>
          <w:rFonts w:ascii="仿宋" w:hAnsi="仿宋" w:eastAsia="仿宋" w:cs="宋体"/>
          <w:kern w:val="0"/>
          <w:sz w:val="24"/>
        </w:rPr>
      </w:pPr>
    </w:p>
    <w:p w14:paraId="62624BC8">
      <w:pPr>
        <w:kinsoku/>
        <w:overflowPunct/>
        <w:topLinePunct w:val="0"/>
        <w:bidi w:val="0"/>
        <w:spacing w:line="520" w:lineRule="exact"/>
        <w:jc w:val="left"/>
        <w:rPr>
          <w:rFonts w:ascii="仿宋" w:hAnsi="仿宋" w:eastAsia="仿宋" w:cs="宋体"/>
          <w:kern w:val="0"/>
          <w:sz w:val="24"/>
        </w:rPr>
      </w:pPr>
      <w:r>
        <w:rPr>
          <w:rFonts w:hint="eastAsia" w:ascii="仿宋" w:hAnsi="仿宋" w:eastAsia="仿宋" w:cs="宋体"/>
          <w:kern w:val="0"/>
          <w:sz w:val="24"/>
        </w:rPr>
        <w:t>日期：      年   月   日</w:t>
      </w:r>
    </w:p>
    <w:p w14:paraId="102F3BC5">
      <w:pPr>
        <w:kinsoku/>
        <w:overflowPunct/>
        <w:topLinePunct w:val="0"/>
        <w:bidi w:val="0"/>
        <w:spacing w:line="520" w:lineRule="exact"/>
        <w:jc w:val="left"/>
        <w:rPr>
          <w:rFonts w:ascii="仿宋" w:hAnsi="仿宋" w:eastAsia="仿宋" w:cs="宋体"/>
          <w:kern w:val="0"/>
          <w:sz w:val="24"/>
        </w:rPr>
      </w:pPr>
      <w:r>
        <w:rPr>
          <w:rFonts w:hint="eastAsia" w:ascii="仿宋" w:hAnsi="仿宋" w:eastAsia="仿宋" w:cs="宋体"/>
          <w:kern w:val="0"/>
          <w:sz w:val="24"/>
        </w:rPr>
        <w:t>——————————————————————————————</w:t>
      </w:r>
    </w:p>
    <w:p w14:paraId="1FC6B598">
      <w:pPr>
        <w:kinsoku/>
        <w:overflowPunct/>
        <w:topLinePunct w:val="0"/>
        <w:bidi w:val="0"/>
        <w:spacing w:line="520" w:lineRule="exact"/>
        <w:jc w:val="center"/>
        <w:rPr>
          <w:rFonts w:ascii="仿宋" w:hAnsi="仿宋" w:eastAsia="仿宋" w:cs="宋体"/>
          <w:kern w:val="0"/>
          <w:sz w:val="24"/>
        </w:rPr>
      </w:pPr>
    </w:p>
    <w:p w14:paraId="4831D453">
      <w:pPr>
        <w:kinsoku/>
        <w:overflowPunct/>
        <w:topLinePunct w:val="0"/>
        <w:bidi w:val="0"/>
        <w:spacing w:line="520" w:lineRule="exact"/>
        <w:jc w:val="center"/>
        <w:rPr>
          <w:rFonts w:ascii="仿宋" w:hAnsi="仿宋" w:eastAsia="仿宋" w:cs="宋体"/>
          <w:kern w:val="0"/>
          <w:sz w:val="24"/>
        </w:rPr>
      </w:pPr>
    </w:p>
    <w:p w14:paraId="27B292B9">
      <w:pPr>
        <w:kinsoku/>
        <w:overflowPunct/>
        <w:topLinePunct w:val="0"/>
        <w:bidi w:val="0"/>
        <w:spacing w:line="520" w:lineRule="exact"/>
        <w:jc w:val="center"/>
        <w:rPr>
          <w:rFonts w:ascii="仿宋" w:hAnsi="仿宋" w:eastAsia="仿宋" w:cs="宋体"/>
          <w:kern w:val="0"/>
          <w:sz w:val="24"/>
        </w:rPr>
      </w:pPr>
    </w:p>
    <w:p w14:paraId="662943D7">
      <w:pPr>
        <w:kinsoku/>
        <w:overflowPunct/>
        <w:topLinePunct w:val="0"/>
        <w:bidi w:val="0"/>
        <w:spacing w:line="520" w:lineRule="exact"/>
        <w:jc w:val="center"/>
        <w:rPr>
          <w:rFonts w:ascii="仿宋" w:hAnsi="仿宋" w:eastAsia="仿宋" w:cs="宋体"/>
          <w:kern w:val="0"/>
          <w:sz w:val="24"/>
        </w:rPr>
      </w:pPr>
      <w:r>
        <w:rPr>
          <w:rFonts w:hint="eastAsia" w:ascii="仿宋" w:hAnsi="仿宋" w:eastAsia="仿宋" w:cs="宋体"/>
          <w:kern w:val="0"/>
          <w:sz w:val="24"/>
        </w:rPr>
        <w:t>有效身份证明复印件粘贴处</w:t>
      </w:r>
    </w:p>
    <w:p w14:paraId="0BEE63B1">
      <w:pPr>
        <w:kinsoku/>
        <w:overflowPunct/>
        <w:topLinePunct w:val="0"/>
        <w:bidi w:val="0"/>
        <w:spacing w:line="520" w:lineRule="exact"/>
        <w:jc w:val="center"/>
        <w:outlineLvl w:val="9"/>
        <w:rPr>
          <w:rFonts w:hint="eastAsia" w:ascii="仿宋" w:hAnsi="仿宋" w:eastAsia="仿宋" w:cs="仿宋"/>
          <w:b/>
          <w:bCs/>
          <w:color w:val="auto"/>
          <w:sz w:val="28"/>
          <w:szCs w:val="28"/>
          <w:highlight w:val="none"/>
        </w:rPr>
        <w:sectPr>
          <w:pgSz w:w="11906" w:h="16838"/>
          <w:pgMar w:top="1134" w:right="1247" w:bottom="1032" w:left="1247" w:header="851" w:footer="850" w:gutter="0"/>
          <w:pgNumType w:fmt="decimal"/>
          <w:cols w:space="720" w:num="1"/>
          <w:docGrid w:type="lines" w:linePitch="312" w:charSpace="0"/>
        </w:sectPr>
      </w:pPr>
    </w:p>
    <w:p w14:paraId="5B1A7521">
      <w:pPr>
        <w:kinsoku/>
        <w:overflowPunct/>
        <w:topLinePunct w:val="0"/>
        <w:bidi w:val="0"/>
        <w:snapToGrid w:val="0"/>
        <w:spacing w:before="120" w:beforeLines="50" w:after="50" w:line="520" w:lineRule="exact"/>
        <w:jc w:val="center"/>
        <w:outlineLvl w:val="1"/>
        <w:rPr>
          <w:rFonts w:ascii="仿宋" w:hAnsi="仿宋" w:eastAsia="仿宋" w:cs="宋体"/>
          <w:b/>
          <w:sz w:val="28"/>
          <w:szCs w:val="28"/>
        </w:rPr>
      </w:pPr>
      <w:r>
        <w:rPr>
          <w:rFonts w:hint="eastAsia" w:ascii="仿宋" w:hAnsi="仿宋" w:eastAsia="仿宋" w:cs="宋体"/>
          <w:b/>
          <w:sz w:val="28"/>
          <w:szCs w:val="28"/>
        </w:rPr>
        <w:t>2、法定代表人授权委托书</w:t>
      </w:r>
    </w:p>
    <w:p w14:paraId="5724B8CF">
      <w:pPr>
        <w:kinsoku/>
        <w:overflowPunct/>
        <w:topLinePunct w:val="0"/>
        <w:bidi w:val="0"/>
        <w:snapToGrid w:val="0"/>
        <w:spacing w:before="120" w:beforeLines="50" w:after="50" w:line="520" w:lineRule="exact"/>
        <w:rPr>
          <w:rFonts w:ascii="仿宋" w:hAnsi="仿宋" w:eastAsia="仿宋" w:cs="宋体"/>
          <w:b/>
          <w:bCs/>
          <w:sz w:val="24"/>
        </w:rPr>
      </w:pPr>
      <w:r>
        <w:rPr>
          <w:rFonts w:hint="eastAsia" w:ascii="仿宋" w:hAnsi="仿宋" w:eastAsia="仿宋" w:cs="宋体"/>
          <w:sz w:val="24"/>
        </w:rPr>
        <w:t>致</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采购</w:t>
      </w:r>
      <w:r>
        <w:rPr>
          <w:rFonts w:hint="eastAsia" w:ascii="仿宋" w:hAnsi="仿宋" w:eastAsia="仿宋" w:cs="宋体"/>
          <w:sz w:val="24"/>
          <w:u w:val="single"/>
        </w:rPr>
        <w:t>人名称）</w:t>
      </w:r>
      <w:r>
        <w:rPr>
          <w:rFonts w:hint="eastAsia" w:ascii="仿宋" w:hAnsi="仿宋" w:eastAsia="仿宋" w:cs="宋体"/>
          <w:sz w:val="24"/>
        </w:rPr>
        <w:t>：</w:t>
      </w:r>
    </w:p>
    <w:p w14:paraId="07262F3F">
      <w:pPr>
        <w:kinsoku/>
        <w:overflowPunct/>
        <w:topLinePunct w:val="0"/>
        <w:bidi w:val="0"/>
        <w:snapToGrid w:val="0"/>
        <w:spacing w:before="120" w:beforeLines="50" w:after="50" w:line="520" w:lineRule="exact"/>
        <w:ind w:firstLine="600" w:firstLineChars="250"/>
        <w:rPr>
          <w:rFonts w:ascii="仿宋" w:hAnsi="仿宋" w:eastAsia="仿宋" w:cs="宋体"/>
          <w:sz w:val="24"/>
        </w:rPr>
      </w:pPr>
      <w:r>
        <w:rPr>
          <w:rFonts w:hint="eastAsia" w:ascii="仿宋" w:hAnsi="仿宋" w:eastAsia="仿宋" w:cs="宋体"/>
          <w:sz w:val="24"/>
        </w:rPr>
        <w:t xml:space="preserve">我 </w:t>
      </w:r>
      <w:r>
        <w:rPr>
          <w:rFonts w:hint="eastAsia" w:ascii="仿宋" w:hAnsi="仿宋" w:eastAsia="仿宋" w:cs="宋体"/>
          <w:sz w:val="24"/>
          <w:u w:val="single"/>
        </w:rPr>
        <w:t>（姓名）</w:t>
      </w:r>
      <w:r>
        <w:rPr>
          <w:rFonts w:hint="eastAsia" w:ascii="仿宋" w:hAnsi="仿宋" w:eastAsia="仿宋" w:cs="宋体"/>
          <w:sz w:val="24"/>
        </w:rPr>
        <w:t>系</w:t>
      </w:r>
      <w:r>
        <w:rPr>
          <w:rFonts w:hint="eastAsia" w:ascii="仿宋" w:hAnsi="仿宋" w:eastAsia="仿宋" w:cs="宋体"/>
          <w:sz w:val="24"/>
          <w:u w:val="single"/>
        </w:rPr>
        <w:t xml:space="preserve"> （供应商名称）</w:t>
      </w:r>
      <w:r>
        <w:rPr>
          <w:rFonts w:hint="eastAsia" w:ascii="仿宋" w:hAnsi="仿宋" w:eastAsia="仿宋" w:cs="宋体"/>
          <w:sz w:val="24"/>
        </w:rPr>
        <w:t>的法定代表人，现授权委托本单位</w:t>
      </w:r>
      <w:r>
        <w:rPr>
          <w:rFonts w:hint="eastAsia" w:ascii="仿宋" w:hAnsi="仿宋" w:eastAsia="仿宋" w:cs="宋体"/>
          <w:sz w:val="24"/>
          <w:u w:val="single"/>
        </w:rPr>
        <w:t xml:space="preserve"> （姓名）</w:t>
      </w:r>
      <w:r>
        <w:rPr>
          <w:rFonts w:hint="eastAsia" w:ascii="仿宋" w:hAnsi="仿宋" w:eastAsia="仿宋" w:cs="宋体"/>
          <w:sz w:val="24"/>
        </w:rPr>
        <w:t>以我方的名义参加___________________项目的</w:t>
      </w:r>
      <w:r>
        <w:rPr>
          <w:rFonts w:hint="eastAsia" w:ascii="仿宋" w:hAnsi="仿宋" w:eastAsia="仿宋" w:cs="宋体"/>
          <w:sz w:val="24"/>
          <w:lang w:val="en-US" w:eastAsia="zh-CN"/>
        </w:rPr>
        <w:t>磋商活动</w:t>
      </w:r>
      <w:r>
        <w:rPr>
          <w:rFonts w:hint="eastAsia" w:ascii="仿宋" w:hAnsi="仿宋" w:eastAsia="仿宋" w:cs="宋体"/>
          <w:sz w:val="24"/>
        </w:rPr>
        <w:t>，并代表我方全权办理针对上述项目的投标、签约等具体事务和签署相关文件。</w:t>
      </w:r>
    </w:p>
    <w:p w14:paraId="2EFB56ED">
      <w:pPr>
        <w:kinsoku/>
        <w:overflowPunct/>
        <w:topLinePunct w:val="0"/>
        <w:bidi w:val="0"/>
        <w:snapToGrid w:val="0"/>
        <w:spacing w:before="120" w:beforeLines="50" w:after="50" w:line="520" w:lineRule="exact"/>
        <w:rPr>
          <w:rFonts w:ascii="仿宋" w:hAnsi="仿宋" w:eastAsia="仿宋" w:cs="宋体"/>
          <w:sz w:val="24"/>
        </w:rPr>
      </w:pPr>
      <w:r>
        <w:rPr>
          <w:rFonts w:hint="eastAsia" w:ascii="仿宋" w:hAnsi="仿宋" w:eastAsia="仿宋" w:cs="宋体"/>
          <w:sz w:val="24"/>
        </w:rPr>
        <w:t xml:space="preserve">    我方对授权代理人的签名事项负全部责任。</w:t>
      </w:r>
    </w:p>
    <w:p w14:paraId="28AF63CC">
      <w:pPr>
        <w:kinsoku/>
        <w:overflowPunct/>
        <w:topLinePunct w:val="0"/>
        <w:bidi w:val="0"/>
        <w:snapToGrid w:val="0"/>
        <w:spacing w:before="120" w:beforeLines="50" w:after="50" w:line="520" w:lineRule="exact"/>
        <w:ind w:firstLine="482"/>
        <w:rPr>
          <w:rFonts w:ascii="仿宋" w:hAnsi="仿宋" w:eastAsia="仿宋" w:cs="宋体"/>
          <w:sz w:val="24"/>
        </w:rPr>
      </w:pPr>
      <w:r>
        <w:rPr>
          <w:rFonts w:hint="eastAsia" w:ascii="仿宋" w:hAnsi="仿宋" w:eastAsia="仿宋" w:cs="宋体"/>
          <w:sz w:val="24"/>
        </w:rPr>
        <w:t>在撤销授权的书面通知以前，本授权书一直有效。授权代理人在授权书有效期内签署的所有文件不因授权的撤销而失效。</w:t>
      </w:r>
    </w:p>
    <w:p w14:paraId="073B6124">
      <w:pPr>
        <w:kinsoku/>
        <w:overflowPunct/>
        <w:topLinePunct w:val="0"/>
        <w:bidi w:val="0"/>
        <w:snapToGrid w:val="0"/>
        <w:spacing w:before="120" w:beforeLines="50" w:after="50" w:line="520" w:lineRule="exact"/>
        <w:ind w:firstLine="480"/>
        <w:rPr>
          <w:rFonts w:ascii="仿宋" w:hAnsi="仿宋" w:eastAsia="仿宋" w:cs="宋体"/>
          <w:sz w:val="24"/>
        </w:rPr>
      </w:pPr>
      <w:r>
        <w:rPr>
          <w:rFonts w:hint="eastAsia" w:ascii="仿宋" w:hAnsi="仿宋" w:eastAsia="仿宋" w:cs="宋体"/>
          <w:sz w:val="24"/>
        </w:rPr>
        <w:t>授权代理人无转委托权，特此委托。</w:t>
      </w:r>
    </w:p>
    <w:p w14:paraId="0D35608A">
      <w:pPr>
        <w:kinsoku/>
        <w:overflowPunct/>
        <w:topLinePunct w:val="0"/>
        <w:bidi w:val="0"/>
        <w:snapToGrid w:val="0"/>
        <w:spacing w:before="120" w:beforeLines="50" w:after="50" w:line="520" w:lineRule="exact"/>
        <w:rPr>
          <w:rFonts w:ascii="仿宋" w:hAnsi="仿宋" w:eastAsia="仿宋" w:cs="宋体"/>
          <w:sz w:val="24"/>
        </w:rPr>
      </w:pPr>
    </w:p>
    <w:p w14:paraId="430E692D">
      <w:pPr>
        <w:kinsoku/>
        <w:overflowPunct/>
        <w:topLinePunct w:val="0"/>
        <w:bidi w:val="0"/>
        <w:snapToGrid w:val="0"/>
        <w:spacing w:before="120" w:beforeLines="50" w:after="50" w:line="520" w:lineRule="exact"/>
        <w:rPr>
          <w:rFonts w:ascii="仿宋" w:hAnsi="仿宋" w:eastAsia="仿宋" w:cs="宋体"/>
          <w:sz w:val="24"/>
          <w:u w:val="single"/>
        </w:rPr>
      </w:pPr>
      <w:r>
        <w:rPr>
          <w:rFonts w:hint="eastAsia" w:ascii="仿宋" w:hAnsi="仿宋" w:eastAsia="仿宋" w:cs="宋体"/>
          <w:sz w:val="24"/>
        </w:rPr>
        <w:t>授权代理人签名：         法定代表人签名：</w:t>
      </w:r>
    </w:p>
    <w:p w14:paraId="0DAAF228">
      <w:pPr>
        <w:kinsoku/>
        <w:overflowPunct/>
        <w:topLinePunct w:val="0"/>
        <w:bidi w:val="0"/>
        <w:snapToGrid w:val="0"/>
        <w:spacing w:before="120" w:beforeLines="50" w:after="50" w:line="520" w:lineRule="exact"/>
        <w:rPr>
          <w:rFonts w:ascii="仿宋" w:hAnsi="仿宋" w:eastAsia="仿宋" w:cs="宋体"/>
          <w:sz w:val="24"/>
          <w:u w:val="single"/>
        </w:rPr>
      </w:pPr>
    </w:p>
    <w:p w14:paraId="0EA18E08">
      <w:pPr>
        <w:kinsoku/>
        <w:overflowPunct/>
        <w:topLinePunct w:val="0"/>
        <w:bidi w:val="0"/>
        <w:snapToGrid w:val="0"/>
        <w:spacing w:before="120" w:beforeLines="50" w:after="50" w:line="520" w:lineRule="exact"/>
        <w:rPr>
          <w:rFonts w:ascii="仿宋" w:hAnsi="仿宋" w:eastAsia="仿宋" w:cs="宋体"/>
          <w:sz w:val="24"/>
          <w:u w:val="single"/>
        </w:rPr>
      </w:pPr>
      <w:r>
        <w:rPr>
          <w:rFonts w:hint="eastAsia" w:ascii="仿宋" w:hAnsi="仿宋" w:eastAsia="仿宋" w:cs="宋体"/>
          <w:sz w:val="24"/>
        </w:rPr>
        <w:t>职务：                   职务：</w:t>
      </w:r>
    </w:p>
    <w:p w14:paraId="3AFFFD81">
      <w:pPr>
        <w:kinsoku/>
        <w:overflowPunct/>
        <w:topLinePunct w:val="0"/>
        <w:bidi w:val="0"/>
        <w:snapToGrid w:val="0"/>
        <w:spacing w:before="120" w:beforeLines="50" w:after="50" w:line="520" w:lineRule="exact"/>
        <w:ind w:firstLine="960" w:firstLineChars="400"/>
        <w:rPr>
          <w:rFonts w:ascii="仿宋" w:hAnsi="仿宋" w:eastAsia="仿宋" w:cs="宋体"/>
          <w:sz w:val="24"/>
        </w:rPr>
      </w:pPr>
    </w:p>
    <w:p w14:paraId="4453C3BB">
      <w:pPr>
        <w:kinsoku/>
        <w:overflowPunct/>
        <w:topLinePunct w:val="0"/>
        <w:bidi w:val="0"/>
        <w:snapToGrid w:val="0"/>
        <w:spacing w:before="120" w:beforeLines="50" w:after="50" w:line="520" w:lineRule="exact"/>
        <w:rPr>
          <w:rFonts w:ascii="仿宋" w:hAnsi="仿宋" w:eastAsia="仿宋" w:cs="宋体"/>
          <w:sz w:val="24"/>
        </w:rPr>
      </w:pPr>
      <w:r>
        <w:rPr>
          <w:rFonts w:hint="eastAsia" w:ascii="仿宋" w:hAnsi="仿宋" w:eastAsia="仿宋" w:cs="宋体"/>
          <w:sz w:val="24"/>
        </w:rPr>
        <w:t>授权代理人身份证号码：</w:t>
      </w:r>
    </w:p>
    <w:p w14:paraId="60DF44FE">
      <w:pPr>
        <w:kinsoku/>
        <w:overflowPunct/>
        <w:topLinePunct w:val="0"/>
        <w:bidi w:val="0"/>
        <w:snapToGrid w:val="0"/>
        <w:spacing w:before="120" w:beforeLines="50" w:after="50" w:line="520" w:lineRule="exact"/>
        <w:rPr>
          <w:rFonts w:ascii="仿宋" w:hAnsi="仿宋" w:eastAsia="仿宋" w:cs="宋体"/>
          <w:sz w:val="24"/>
        </w:rPr>
      </w:pPr>
    </w:p>
    <w:p w14:paraId="1E0D9ECB">
      <w:pPr>
        <w:kinsoku/>
        <w:overflowPunct/>
        <w:topLinePunct w:val="0"/>
        <w:bidi w:val="0"/>
        <w:snapToGrid w:val="0"/>
        <w:spacing w:before="120" w:beforeLines="50" w:after="50" w:line="520" w:lineRule="exact"/>
        <w:rPr>
          <w:rFonts w:ascii="仿宋" w:hAnsi="仿宋" w:eastAsia="仿宋" w:cs="宋体"/>
          <w:sz w:val="24"/>
        </w:rPr>
      </w:pPr>
      <w:r>
        <w:rPr>
          <w:rFonts w:hint="eastAsia" w:ascii="仿宋" w:hAnsi="仿宋" w:eastAsia="仿宋" w:cs="宋体"/>
          <w:sz w:val="24"/>
        </w:rPr>
        <w:t xml:space="preserve">                                     供应商公章：</w:t>
      </w:r>
    </w:p>
    <w:p w14:paraId="566C69EF">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 xml:space="preserve">                                        年    月    日</w:t>
      </w:r>
    </w:p>
    <w:p w14:paraId="01F1CF60">
      <w:pPr>
        <w:kinsoku/>
        <w:overflowPunct/>
        <w:topLinePunct w:val="0"/>
        <w:bidi w:val="0"/>
        <w:spacing w:line="520" w:lineRule="exact"/>
        <w:jc w:val="center"/>
        <w:rPr>
          <w:rFonts w:ascii="仿宋" w:hAnsi="仿宋" w:eastAsia="仿宋" w:cs="宋体"/>
          <w:kern w:val="0"/>
          <w:sz w:val="24"/>
        </w:rPr>
      </w:pPr>
      <w:r>
        <w:rPr>
          <w:rFonts w:hint="eastAsia" w:ascii="仿宋" w:hAnsi="仿宋" w:eastAsia="仿宋" w:cs="宋体"/>
          <w:kern w:val="0"/>
          <w:sz w:val="24"/>
        </w:rPr>
        <w:t>——————————————————————————————</w:t>
      </w:r>
    </w:p>
    <w:p w14:paraId="314B2AC4">
      <w:pPr>
        <w:kinsoku/>
        <w:overflowPunct/>
        <w:topLinePunct w:val="0"/>
        <w:bidi w:val="0"/>
        <w:spacing w:line="520" w:lineRule="exact"/>
        <w:jc w:val="center"/>
        <w:rPr>
          <w:rFonts w:ascii="仿宋" w:hAnsi="仿宋" w:eastAsia="仿宋" w:cs="宋体"/>
          <w:kern w:val="0"/>
          <w:sz w:val="24"/>
        </w:rPr>
      </w:pPr>
      <w:r>
        <w:rPr>
          <w:rFonts w:hint="eastAsia" w:ascii="仿宋" w:hAnsi="仿宋" w:eastAsia="仿宋" w:cs="宋体"/>
          <w:kern w:val="0"/>
          <w:sz w:val="24"/>
        </w:rPr>
        <w:t>授权代理人有效身份证明复印件粘贴处</w:t>
      </w:r>
    </w:p>
    <w:p w14:paraId="2A6580E7">
      <w:pPr>
        <w:kinsoku/>
        <w:overflowPunct/>
        <w:topLinePunct w:val="0"/>
        <w:bidi w:val="0"/>
        <w:spacing w:line="520" w:lineRule="exact"/>
        <w:jc w:val="center"/>
        <w:rPr>
          <w:rFonts w:ascii="仿宋" w:hAnsi="仿宋" w:eastAsia="仿宋" w:cs="宋体"/>
          <w:kern w:val="0"/>
          <w:sz w:val="28"/>
          <w:szCs w:val="28"/>
        </w:rPr>
      </w:pPr>
    </w:p>
    <w:p w14:paraId="3734DE70">
      <w:pPr>
        <w:pStyle w:val="35"/>
        <w:kinsoku/>
        <w:overflowPunct/>
        <w:topLinePunct w:val="0"/>
        <w:bidi w:val="0"/>
        <w:spacing w:line="520" w:lineRule="exact"/>
        <w:rPr>
          <w:rFonts w:ascii="仿宋" w:hAnsi="仿宋" w:eastAsia="仿宋"/>
          <w:color w:val="auto"/>
        </w:rPr>
      </w:pPr>
    </w:p>
    <w:p w14:paraId="2FE1E524">
      <w:pPr>
        <w:pStyle w:val="35"/>
        <w:kinsoku/>
        <w:overflowPunct/>
        <w:topLinePunct w:val="0"/>
        <w:bidi w:val="0"/>
        <w:spacing w:line="520" w:lineRule="exact"/>
        <w:rPr>
          <w:rFonts w:ascii="仿宋" w:hAnsi="仿宋" w:eastAsia="仿宋"/>
          <w:color w:val="auto"/>
        </w:rPr>
      </w:pPr>
    </w:p>
    <w:p w14:paraId="3E4D2840">
      <w:pPr>
        <w:pStyle w:val="35"/>
        <w:kinsoku/>
        <w:overflowPunct/>
        <w:topLinePunct w:val="0"/>
        <w:bidi w:val="0"/>
        <w:spacing w:line="520" w:lineRule="exact"/>
        <w:rPr>
          <w:rFonts w:ascii="仿宋" w:hAnsi="仿宋" w:eastAsia="仿宋"/>
          <w:color w:val="auto"/>
        </w:rPr>
      </w:pPr>
    </w:p>
    <w:p w14:paraId="0CBBF6E2">
      <w:pPr>
        <w:kinsoku/>
        <w:overflowPunct/>
        <w:topLinePunct w:val="0"/>
        <w:bidi w:val="0"/>
        <w:spacing w:line="520" w:lineRule="exact"/>
        <w:jc w:val="center"/>
        <w:outlineLvl w:val="9"/>
        <w:rPr>
          <w:rFonts w:hint="eastAsia" w:ascii="仿宋" w:hAnsi="仿宋" w:eastAsia="仿宋" w:cs="仿宋"/>
          <w:b/>
          <w:bCs/>
          <w:color w:val="auto"/>
          <w:sz w:val="28"/>
          <w:szCs w:val="28"/>
          <w:highlight w:val="none"/>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b/>
        </w:rPr>
        <w:t>（后附授权代理人最近三个月内任意一个月个人社保缴纳证明文件）</w:t>
      </w:r>
    </w:p>
    <w:p w14:paraId="1DEB84AB">
      <w:pPr>
        <w:kinsoku/>
        <w:overflowPunct/>
        <w:topLinePunct w:val="0"/>
        <w:bidi w:val="0"/>
        <w:snapToGrid w:val="0"/>
        <w:spacing w:line="520" w:lineRule="exact"/>
        <w:jc w:val="center"/>
        <w:outlineLvl w:val="1"/>
        <w:rPr>
          <w:rFonts w:ascii="仿宋" w:hAnsi="仿宋" w:eastAsia="仿宋" w:cs="仿宋"/>
          <w:b/>
          <w:sz w:val="28"/>
          <w:szCs w:val="28"/>
        </w:rPr>
      </w:pPr>
      <w:r>
        <w:rPr>
          <w:rFonts w:hint="eastAsia" w:ascii="仿宋" w:hAnsi="仿宋" w:eastAsia="仿宋" w:cs="仿宋"/>
          <w:b/>
          <w:sz w:val="28"/>
          <w:szCs w:val="28"/>
        </w:rPr>
        <w:t>3、承诺书</w:t>
      </w:r>
    </w:p>
    <w:p w14:paraId="12B4F545">
      <w:pPr>
        <w:kinsoku/>
        <w:overflowPunct/>
        <w:topLinePunct w:val="0"/>
        <w:bidi w:val="0"/>
        <w:snapToGrid w:val="0"/>
        <w:spacing w:line="520" w:lineRule="exact"/>
        <w:jc w:val="center"/>
        <w:rPr>
          <w:rFonts w:ascii="仿宋" w:hAnsi="仿宋" w:eastAsia="仿宋" w:cs="仿宋"/>
          <w:b/>
          <w:sz w:val="28"/>
          <w:szCs w:val="28"/>
        </w:rPr>
      </w:pPr>
    </w:p>
    <w:p w14:paraId="71A87B1F">
      <w:pPr>
        <w:tabs>
          <w:tab w:val="left" w:pos="1650"/>
        </w:tabs>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u w:val="single"/>
        </w:rPr>
        <w:t>（供应商）</w:t>
      </w:r>
      <w:r>
        <w:rPr>
          <w:rFonts w:hint="eastAsia" w:ascii="仿宋" w:hAnsi="仿宋" w:eastAsia="仿宋" w:cs="仿宋"/>
          <w:sz w:val="24"/>
        </w:rPr>
        <w:t>现参加</w:t>
      </w:r>
      <w:r>
        <w:rPr>
          <w:rFonts w:hint="eastAsia" w:ascii="仿宋" w:hAnsi="仿宋" w:eastAsia="仿宋" w:cs="仿宋"/>
          <w:sz w:val="24"/>
          <w:u w:val="single"/>
        </w:rPr>
        <w:t>（项目名称）</w:t>
      </w:r>
      <w:r>
        <w:rPr>
          <w:rFonts w:hint="eastAsia" w:ascii="仿宋" w:hAnsi="仿宋" w:eastAsia="仿宋" w:cs="仿宋"/>
          <w:sz w:val="24"/>
        </w:rPr>
        <w:t>政府采购活动，郑重承诺如下：</w:t>
      </w:r>
    </w:p>
    <w:p w14:paraId="22AC199F">
      <w:pPr>
        <w:tabs>
          <w:tab w:val="left" w:pos="1650"/>
        </w:tabs>
        <w:kinsoku/>
        <w:overflowPunct/>
        <w:topLinePunct w:val="0"/>
        <w:bidi w:val="0"/>
        <w:spacing w:line="520" w:lineRule="exact"/>
        <w:jc w:val="left"/>
        <w:rPr>
          <w:rFonts w:ascii="仿宋" w:hAnsi="仿宋" w:eastAsia="仿宋" w:cs="仿宋"/>
          <w:sz w:val="24"/>
          <w:u w:val="single"/>
        </w:rPr>
      </w:pPr>
    </w:p>
    <w:p w14:paraId="1D2ADC5B">
      <w:pPr>
        <w:tabs>
          <w:tab w:val="left" w:pos="1650"/>
        </w:tabs>
        <w:kinsoku/>
        <w:overflowPunct/>
        <w:topLinePunct w:val="0"/>
        <w:bidi w:val="0"/>
        <w:spacing w:line="520" w:lineRule="exact"/>
        <w:ind w:firstLine="480" w:firstLineChars="200"/>
        <w:jc w:val="left"/>
        <w:rPr>
          <w:rFonts w:ascii="仿宋" w:hAnsi="仿宋" w:eastAsia="仿宋" w:cs="仿宋"/>
          <w:sz w:val="24"/>
        </w:rPr>
      </w:pPr>
      <w:r>
        <w:rPr>
          <w:rFonts w:hint="eastAsia" w:ascii="仿宋" w:hAnsi="仿宋" w:eastAsia="仿宋" w:cs="仿宋"/>
          <w:sz w:val="24"/>
        </w:rPr>
        <w:t>符合参与政府采购活动的资格条件并且没有税收缴纳、社会保障等方面的失信记录。且在投标时间截止前未被“信用中国”（www.creditchina.gov.cn）、“中国政府采购网”（www.ccgp.gov.cn）等列入失信被执行人、重大税收违法案件当事人名单、政府采购严重违法失信行为记录名单。</w:t>
      </w:r>
    </w:p>
    <w:p w14:paraId="364E48DB">
      <w:pPr>
        <w:pStyle w:val="8"/>
        <w:kinsoku/>
        <w:overflowPunct/>
        <w:topLinePunct w:val="0"/>
        <w:bidi w:val="0"/>
        <w:spacing w:line="520" w:lineRule="exact"/>
        <w:rPr>
          <w:rFonts w:ascii="仿宋" w:hAnsi="仿宋" w:eastAsia="仿宋" w:cs="仿宋"/>
          <w:b/>
          <w:sz w:val="28"/>
          <w:szCs w:val="28"/>
        </w:rPr>
      </w:pPr>
    </w:p>
    <w:p w14:paraId="374CDDF7">
      <w:pPr>
        <w:kinsoku/>
        <w:overflowPunct/>
        <w:topLinePunct w:val="0"/>
        <w:bidi w:val="0"/>
        <w:spacing w:line="520" w:lineRule="exact"/>
        <w:rPr>
          <w:rFonts w:ascii="仿宋" w:hAnsi="仿宋" w:eastAsia="仿宋" w:cs="仿宋"/>
          <w:b/>
          <w:sz w:val="28"/>
          <w:szCs w:val="28"/>
        </w:rPr>
      </w:pPr>
    </w:p>
    <w:p w14:paraId="33C2E66C">
      <w:pPr>
        <w:pStyle w:val="8"/>
        <w:kinsoku/>
        <w:overflowPunct/>
        <w:topLinePunct w:val="0"/>
        <w:bidi w:val="0"/>
        <w:spacing w:line="520" w:lineRule="exact"/>
        <w:rPr>
          <w:rFonts w:ascii="仿宋" w:hAnsi="仿宋" w:eastAsia="仿宋" w:cs="仿宋"/>
          <w:b/>
          <w:sz w:val="28"/>
          <w:szCs w:val="28"/>
        </w:rPr>
      </w:pPr>
    </w:p>
    <w:p w14:paraId="44B955A2">
      <w:pPr>
        <w:kinsoku/>
        <w:overflowPunct/>
        <w:topLinePunct w:val="0"/>
        <w:bidi w:val="0"/>
        <w:spacing w:line="520" w:lineRule="exact"/>
        <w:rPr>
          <w:rFonts w:ascii="仿宋" w:hAnsi="仿宋" w:eastAsia="仿宋" w:cs="仿宋"/>
          <w:b/>
          <w:sz w:val="28"/>
          <w:szCs w:val="28"/>
        </w:rPr>
      </w:pPr>
    </w:p>
    <w:p w14:paraId="515E9370">
      <w:pPr>
        <w:pStyle w:val="8"/>
        <w:kinsoku/>
        <w:overflowPunct/>
        <w:topLinePunct w:val="0"/>
        <w:bidi w:val="0"/>
        <w:spacing w:line="520" w:lineRule="exact"/>
        <w:rPr>
          <w:rFonts w:ascii="仿宋" w:hAnsi="仿宋" w:eastAsia="仿宋" w:cs="仿宋"/>
          <w:b/>
          <w:sz w:val="28"/>
          <w:szCs w:val="28"/>
        </w:rPr>
      </w:pPr>
    </w:p>
    <w:p w14:paraId="348217DE">
      <w:pPr>
        <w:kinsoku/>
        <w:overflowPunct/>
        <w:topLinePunct w:val="0"/>
        <w:bidi w:val="0"/>
        <w:spacing w:line="520" w:lineRule="exact"/>
        <w:rPr>
          <w:rFonts w:ascii="仿宋" w:hAnsi="仿宋" w:eastAsia="仿宋" w:cs="仿宋"/>
          <w:b/>
          <w:sz w:val="28"/>
          <w:szCs w:val="28"/>
        </w:rPr>
      </w:pPr>
    </w:p>
    <w:p w14:paraId="6A8C794E">
      <w:pPr>
        <w:pStyle w:val="8"/>
        <w:kinsoku/>
        <w:overflowPunct/>
        <w:topLinePunct w:val="0"/>
        <w:bidi w:val="0"/>
        <w:spacing w:line="520" w:lineRule="exact"/>
        <w:rPr>
          <w:rFonts w:ascii="仿宋" w:hAnsi="仿宋" w:eastAsia="仿宋" w:cs="仿宋"/>
          <w:b/>
          <w:sz w:val="28"/>
          <w:szCs w:val="28"/>
        </w:rPr>
      </w:pPr>
    </w:p>
    <w:p w14:paraId="33777FBE">
      <w:pPr>
        <w:pStyle w:val="36"/>
        <w:kinsoku/>
        <w:overflowPunct/>
        <w:topLinePunct w:val="0"/>
        <w:bidi w:val="0"/>
        <w:spacing w:before="0" w:beforeAutospacing="0" w:after="0" w:afterAutospacing="0" w:line="520" w:lineRule="exact"/>
        <w:ind w:firstLine="3960" w:firstLineChars="1650"/>
        <w:rPr>
          <w:rFonts w:ascii="仿宋" w:hAnsi="仿宋" w:eastAsia="仿宋" w:cs="仿宋"/>
          <w:kern w:val="2"/>
        </w:rPr>
      </w:pPr>
      <w:r>
        <w:rPr>
          <w:rFonts w:hint="eastAsia" w:ascii="仿宋" w:hAnsi="仿宋" w:eastAsia="仿宋" w:cs="仿宋"/>
          <w:kern w:val="2"/>
        </w:rPr>
        <w:t>承诺单位（盖章）</w:t>
      </w:r>
    </w:p>
    <w:p w14:paraId="6BB58E3E">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 xml:space="preserve">                               时间：20**年*月*日</w:t>
      </w:r>
    </w:p>
    <w:p w14:paraId="03B56531">
      <w:pPr>
        <w:kinsoku/>
        <w:overflowPunct/>
        <w:topLinePunct w:val="0"/>
        <w:bidi w:val="0"/>
        <w:spacing w:line="520" w:lineRule="exact"/>
        <w:jc w:val="center"/>
        <w:outlineLvl w:val="9"/>
        <w:rPr>
          <w:rFonts w:hint="eastAsia" w:ascii="仿宋" w:hAnsi="仿宋" w:eastAsia="仿宋" w:cs="仿宋"/>
          <w:b/>
          <w:bCs/>
          <w:color w:val="auto"/>
          <w:sz w:val="28"/>
          <w:szCs w:val="28"/>
          <w:highlight w:val="none"/>
        </w:rPr>
        <w:sectPr>
          <w:pgSz w:w="11906" w:h="16838"/>
          <w:pgMar w:top="1134" w:right="1247" w:bottom="1032" w:left="1247" w:header="851" w:footer="850" w:gutter="0"/>
          <w:pgNumType w:fmt="decimal"/>
          <w:cols w:space="720" w:num="1"/>
          <w:docGrid w:type="lines" w:linePitch="312" w:charSpace="0"/>
        </w:sectPr>
      </w:pPr>
    </w:p>
    <w:p w14:paraId="67B2CE96">
      <w:pPr>
        <w:pStyle w:val="24"/>
        <w:kinsoku/>
        <w:overflowPunct/>
        <w:topLinePunct w:val="0"/>
        <w:bidi w:val="0"/>
        <w:spacing w:line="520" w:lineRule="exact"/>
        <w:ind w:firstLine="2811" w:firstLineChars="1000"/>
        <w:outlineLvl w:val="1"/>
        <w:rPr>
          <w:rFonts w:ascii="仿宋" w:hAnsi="仿宋" w:eastAsia="仿宋" w:cs="宋体"/>
          <w:b/>
          <w:sz w:val="28"/>
          <w:szCs w:val="28"/>
        </w:rPr>
      </w:pPr>
      <w:r>
        <w:rPr>
          <w:rFonts w:hint="eastAsia" w:ascii="仿宋" w:hAnsi="仿宋" w:eastAsia="仿宋" w:cs="宋体"/>
          <w:b/>
          <w:sz w:val="28"/>
          <w:szCs w:val="28"/>
        </w:rPr>
        <w:t>4、信用承诺书</w:t>
      </w:r>
    </w:p>
    <w:p w14:paraId="774F38B8">
      <w:pPr>
        <w:pStyle w:val="24"/>
        <w:kinsoku/>
        <w:overflowPunct/>
        <w:topLinePunct w:val="0"/>
        <w:bidi w:val="0"/>
        <w:spacing w:line="520" w:lineRule="exact"/>
        <w:ind w:firstLine="562"/>
        <w:jc w:val="center"/>
        <w:rPr>
          <w:rFonts w:ascii="仿宋" w:hAnsi="仿宋" w:eastAsia="仿宋" w:cs="宋体"/>
          <w:b/>
          <w:bCs/>
          <w:sz w:val="28"/>
          <w:szCs w:val="28"/>
        </w:rPr>
      </w:pPr>
    </w:p>
    <w:p w14:paraId="3800C4CA">
      <w:pPr>
        <w:tabs>
          <w:tab w:val="left" w:pos="1650"/>
        </w:tabs>
        <w:kinsoku/>
        <w:overflowPunct/>
        <w:topLinePunct w:val="0"/>
        <w:bidi w:val="0"/>
        <w:spacing w:line="520" w:lineRule="exact"/>
        <w:jc w:val="left"/>
        <w:rPr>
          <w:rFonts w:ascii="仿宋" w:hAnsi="仿宋" w:eastAsia="仿宋" w:cs="宋体"/>
          <w:sz w:val="24"/>
        </w:rPr>
      </w:pPr>
      <w:r>
        <w:rPr>
          <w:rFonts w:hint="eastAsia" w:ascii="仿宋" w:hAnsi="仿宋" w:eastAsia="仿宋" w:cs="宋体"/>
          <w:sz w:val="24"/>
          <w:u w:val="single"/>
        </w:rPr>
        <w:t>（供应商）</w:t>
      </w:r>
      <w:r>
        <w:rPr>
          <w:rFonts w:hint="eastAsia" w:ascii="仿宋" w:hAnsi="仿宋" w:eastAsia="仿宋" w:cs="宋体"/>
          <w:sz w:val="24"/>
        </w:rPr>
        <w:t>现参加</w:t>
      </w:r>
      <w:r>
        <w:rPr>
          <w:rFonts w:hint="eastAsia" w:ascii="仿宋" w:hAnsi="仿宋" w:eastAsia="仿宋" w:cs="宋体"/>
          <w:sz w:val="24"/>
          <w:u w:val="single"/>
        </w:rPr>
        <w:t>（项目名称）</w:t>
      </w:r>
      <w:r>
        <w:rPr>
          <w:rFonts w:hint="eastAsia" w:ascii="仿宋" w:hAnsi="仿宋" w:eastAsia="仿宋" w:cs="宋体"/>
          <w:sz w:val="24"/>
        </w:rPr>
        <w:t>政府采购活动，郑重承诺如下：</w:t>
      </w:r>
    </w:p>
    <w:p w14:paraId="71FD4CA4">
      <w:pPr>
        <w:tabs>
          <w:tab w:val="left" w:pos="1650"/>
        </w:tabs>
        <w:kinsoku/>
        <w:overflowPunct/>
        <w:topLinePunct w:val="0"/>
        <w:bidi w:val="0"/>
        <w:spacing w:line="520" w:lineRule="exact"/>
        <w:ind w:firstLine="630"/>
        <w:rPr>
          <w:rFonts w:ascii="仿宋" w:hAnsi="仿宋" w:eastAsia="仿宋" w:cs="宋体"/>
          <w:sz w:val="24"/>
        </w:rPr>
      </w:pPr>
      <w:r>
        <w:rPr>
          <w:rFonts w:hint="eastAsia" w:ascii="仿宋" w:hAnsi="仿宋" w:eastAsia="仿宋" w:cs="宋体"/>
          <w:sz w:val="24"/>
        </w:rPr>
        <w:t>对所提供的资料合法性、真实性、准确性和有效性负责；</w:t>
      </w:r>
    </w:p>
    <w:p w14:paraId="44E27E16">
      <w:pPr>
        <w:tabs>
          <w:tab w:val="left" w:pos="1650"/>
        </w:tabs>
        <w:kinsoku/>
        <w:overflowPunct/>
        <w:topLinePunct w:val="0"/>
        <w:bidi w:val="0"/>
        <w:spacing w:line="520" w:lineRule="exact"/>
        <w:ind w:firstLine="630"/>
        <w:rPr>
          <w:rFonts w:ascii="仿宋" w:hAnsi="仿宋" w:eastAsia="仿宋" w:cs="宋体"/>
          <w:sz w:val="24"/>
        </w:rPr>
      </w:pPr>
      <w:r>
        <w:rPr>
          <w:rFonts w:hint="eastAsia" w:ascii="仿宋" w:hAnsi="仿宋" w:eastAsia="仿宋" w:cs="宋体"/>
          <w:sz w:val="24"/>
        </w:rPr>
        <w:t>严格按照国家法律、法规和规章，依法开展相关经济活动，全面履行应尽的责任和义务；</w:t>
      </w:r>
    </w:p>
    <w:p w14:paraId="31FB1FD7">
      <w:pPr>
        <w:tabs>
          <w:tab w:val="left" w:pos="1650"/>
        </w:tabs>
        <w:kinsoku/>
        <w:overflowPunct/>
        <w:topLinePunct w:val="0"/>
        <w:bidi w:val="0"/>
        <w:spacing w:line="520" w:lineRule="exact"/>
        <w:ind w:firstLine="630"/>
        <w:rPr>
          <w:rFonts w:ascii="仿宋" w:hAnsi="仿宋" w:eastAsia="仿宋" w:cs="宋体"/>
          <w:sz w:val="24"/>
        </w:rPr>
      </w:pPr>
      <w:r>
        <w:rPr>
          <w:rFonts w:hint="eastAsia" w:ascii="仿宋" w:hAnsi="仿宋" w:eastAsia="仿宋" w:cs="宋体"/>
          <w:sz w:val="24"/>
        </w:rPr>
        <w:t>加强自我约束、自我规范、自我管理，不制假售假、不虚假宣传、不违约毁约、不恶意逃债、不偷税漏税，诚信依法经营；</w:t>
      </w:r>
    </w:p>
    <w:p w14:paraId="2EDEBCBD">
      <w:pPr>
        <w:tabs>
          <w:tab w:val="left" w:pos="1650"/>
        </w:tabs>
        <w:kinsoku/>
        <w:overflowPunct/>
        <w:topLinePunct w:val="0"/>
        <w:bidi w:val="0"/>
        <w:spacing w:line="520" w:lineRule="exact"/>
        <w:ind w:firstLine="630"/>
        <w:rPr>
          <w:rFonts w:ascii="仿宋" w:hAnsi="仿宋" w:eastAsia="仿宋" w:cs="宋体"/>
          <w:sz w:val="24"/>
        </w:rPr>
      </w:pPr>
      <w:r>
        <w:rPr>
          <w:rFonts w:hint="eastAsia" w:ascii="仿宋" w:hAnsi="仿宋" w:eastAsia="仿宋" w:cs="宋体"/>
          <w:sz w:val="24"/>
        </w:rPr>
        <w:t>自愿接受行政主管部门的依法检查、违背承诺约定将自愿承担违约责任，并接受法律法规和相关部门规章制度的惩戒和约束；</w:t>
      </w:r>
    </w:p>
    <w:p w14:paraId="49891CA5">
      <w:pPr>
        <w:tabs>
          <w:tab w:val="left" w:pos="1650"/>
        </w:tabs>
        <w:kinsoku/>
        <w:overflowPunct/>
        <w:topLinePunct w:val="0"/>
        <w:bidi w:val="0"/>
        <w:spacing w:line="520" w:lineRule="exact"/>
        <w:ind w:firstLine="630"/>
        <w:rPr>
          <w:rFonts w:ascii="仿宋" w:hAnsi="仿宋" w:eastAsia="仿宋" w:cs="宋体"/>
          <w:sz w:val="24"/>
        </w:rPr>
      </w:pPr>
      <w:r>
        <w:rPr>
          <w:rFonts w:hint="eastAsia" w:ascii="仿宋" w:hAnsi="仿宋" w:eastAsia="仿宋" w:cs="宋体"/>
          <w:kern w:val="0"/>
          <w:sz w:val="24"/>
        </w:rPr>
        <w:t>按照信用信息管理有关要求，本单位（个人）同意将以上承诺在信用湖州网站公示，若违背以上承诺，依据相关规定记入企业（个人）信用档案；性质严重的，承担相应法律后果和责任，并依法依规列入严重失信名单。</w:t>
      </w:r>
    </w:p>
    <w:p w14:paraId="3E3F3977">
      <w:pPr>
        <w:tabs>
          <w:tab w:val="left" w:pos="1650"/>
        </w:tabs>
        <w:kinsoku/>
        <w:overflowPunct/>
        <w:topLinePunct w:val="0"/>
        <w:bidi w:val="0"/>
        <w:spacing w:line="520" w:lineRule="exact"/>
        <w:rPr>
          <w:rFonts w:ascii="仿宋" w:hAnsi="仿宋" w:eastAsia="仿宋" w:cs="宋体"/>
          <w:sz w:val="24"/>
          <w:u w:val="single"/>
        </w:rPr>
      </w:pPr>
    </w:p>
    <w:p w14:paraId="787F90E6">
      <w:pPr>
        <w:tabs>
          <w:tab w:val="left" w:pos="1650"/>
        </w:tabs>
        <w:kinsoku/>
        <w:overflowPunct/>
        <w:topLinePunct w:val="0"/>
        <w:bidi w:val="0"/>
        <w:spacing w:line="520" w:lineRule="exact"/>
        <w:rPr>
          <w:rFonts w:ascii="仿宋" w:hAnsi="仿宋" w:eastAsia="仿宋" w:cs="宋体"/>
          <w:sz w:val="24"/>
          <w:u w:val="single"/>
        </w:rPr>
      </w:pPr>
    </w:p>
    <w:p w14:paraId="6E426737">
      <w:pPr>
        <w:pStyle w:val="36"/>
        <w:kinsoku/>
        <w:overflowPunct/>
        <w:topLinePunct w:val="0"/>
        <w:bidi w:val="0"/>
        <w:spacing w:before="0" w:beforeAutospacing="0" w:after="0" w:afterAutospacing="0" w:line="520" w:lineRule="exact"/>
        <w:ind w:firstLine="600" w:firstLineChars="250"/>
        <w:rPr>
          <w:rFonts w:ascii="仿宋" w:hAnsi="仿宋" w:eastAsia="仿宋"/>
          <w:spacing w:val="-7"/>
        </w:rPr>
      </w:pPr>
      <w:r>
        <w:rPr>
          <w:rFonts w:hint="eastAsia" w:ascii="仿宋" w:hAnsi="仿宋" w:eastAsia="仿宋"/>
          <w:kern w:val="2"/>
        </w:rPr>
        <w:t>统一社会信用代码：</w:t>
      </w:r>
    </w:p>
    <w:p w14:paraId="27339ED5">
      <w:pPr>
        <w:pStyle w:val="36"/>
        <w:kinsoku/>
        <w:overflowPunct/>
        <w:topLinePunct w:val="0"/>
        <w:bidi w:val="0"/>
        <w:spacing w:before="0" w:beforeAutospacing="0" w:after="0" w:afterAutospacing="0" w:line="520" w:lineRule="exact"/>
        <w:rPr>
          <w:rFonts w:ascii="仿宋" w:hAnsi="仿宋" w:eastAsia="仿宋"/>
        </w:rPr>
      </w:pPr>
    </w:p>
    <w:p w14:paraId="284C9982">
      <w:pPr>
        <w:pStyle w:val="36"/>
        <w:kinsoku/>
        <w:overflowPunct/>
        <w:topLinePunct w:val="0"/>
        <w:bidi w:val="0"/>
        <w:spacing w:before="0" w:beforeAutospacing="0" w:after="0" w:afterAutospacing="0" w:line="520" w:lineRule="exact"/>
        <w:ind w:firstLine="4440" w:firstLineChars="1850"/>
        <w:rPr>
          <w:rFonts w:ascii="仿宋" w:hAnsi="仿宋" w:eastAsia="仿宋"/>
          <w:kern w:val="2"/>
        </w:rPr>
      </w:pPr>
      <w:r>
        <w:rPr>
          <w:rFonts w:hint="eastAsia" w:ascii="仿宋" w:hAnsi="仿宋" w:eastAsia="仿宋"/>
          <w:kern w:val="2"/>
        </w:rPr>
        <w:t>承诺单位（盖章）</w:t>
      </w:r>
    </w:p>
    <w:p w14:paraId="4CE6F2DB">
      <w:pPr>
        <w:kinsoku/>
        <w:overflowPunct/>
        <w:topLinePunct w:val="0"/>
        <w:bidi w:val="0"/>
        <w:spacing w:line="520" w:lineRule="exact"/>
        <w:jc w:val="center"/>
        <w:outlineLvl w:val="9"/>
        <w:rPr>
          <w:rFonts w:hint="eastAsia" w:ascii="仿宋" w:hAnsi="仿宋" w:eastAsia="仿宋" w:cs="仿宋"/>
          <w:b/>
          <w:bCs/>
          <w:color w:val="auto"/>
          <w:sz w:val="28"/>
          <w:szCs w:val="28"/>
          <w:highlight w:val="none"/>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宋体"/>
          <w:sz w:val="24"/>
        </w:rPr>
        <w:t xml:space="preserve">            时间：20**年*月*日</w:t>
      </w:r>
    </w:p>
    <w:p w14:paraId="76C0E9A3">
      <w:pPr>
        <w:kinsoku/>
        <w:overflowPunct/>
        <w:topLinePunct w:val="0"/>
        <w:bidi w:val="0"/>
        <w:spacing w:line="520" w:lineRule="exact"/>
        <w:jc w:val="center"/>
        <w:outlineLvl w:val="1"/>
        <w:rPr>
          <w:rFonts w:ascii="仿宋" w:hAnsi="仿宋" w:eastAsia="仿宋" w:cs="仿宋"/>
          <w:b/>
          <w:bCs/>
          <w:sz w:val="28"/>
          <w:szCs w:val="28"/>
        </w:rPr>
      </w:pPr>
      <w:r>
        <w:rPr>
          <w:rFonts w:hint="eastAsia" w:ascii="仿宋" w:hAnsi="仿宋" w:eastAsia="仿宋" w:cs="宋体"/>
          <w:b/>
          <w:sz w:val="28"/>
          <w:szCs w:val="28"/>
        </w:rPr>
        <w:t>5、</w:t>
      </w:r>
      <w:r>
        <w:rPr>
          <w:rFonts w:hint="eastAsia" w:ascii="仿宋" w:hAnsi="仿宋" w:eastAsia="仿宋" w:cs="仿宋"/>
          <w:b/>
          <w:bCs/>
          <w:sz w:val="28"/>
          <w:szCs w:val="28"/>
        </w:rPr>
        <w:t>中小企业声明函（工程、 服务）</w:t>
      </w:r>
    </w:p>
    <w:p w14:paraId="0AFAB997">
      <w:pPr>
        <w:kinsoku/>
        <w:overflowPunct/>
        <w:topLinePunct w:val="0"/>
        <w:bidi w:val="0"/>
        <w:spacing w:line="520" w:lineRule="exact"/>
        <w:ind w:firstLine="720" w:firstLineChars="300"/>
        <w:rPr>
          <w:rFonts w:ascii="仿宋" w:hAnsi="仿宋" w:eastAsia="仿宋" w:cs="仿宋"/>
          <w:sz w:val="24"/>
          <w:u w:val="single"/>
        </w:rPr>
      </w:pPr>
      <w:r>
        <w:rPr>
          <w:rFonts w:hint="eastAsia" w:ascii="仿宋" w:hAnsi="仿宋" w:eastAsia="仿宋" w:cs="仿宋"/>
          <w:sz w:val="24"/>
        </w:rPr>
        <w:t>本公司（联合体）郑重声明，根据《政府采购促进中小企业发展管理办法》（财库﹝2020﹞46 号）的规定，本公司 （联合体）参加</w:t>
      </w:r>
      <w:r>
        <w:rPr>
          <w:rFonts w:hint="eastAsia" w:ascii="仿宋" w:hAnsi="仿宋" w:eastAsia="仿宋" w:cs="仿宋"/>
          <w:sz w:val="24"/>
          <w:u w:val="single"/>
        </w:rPr>
        <w:t xml:space="preserve"> （ 单位名称 ） </w:t>
      </w:r>
      <w:r>
        <w:rPr>
          <w:rFonts w:hint="eastAsia" w:ascii="仿宋" w:hAnsi="仿宋" w:eastAsia="仿宋" w:cs="仿宋"/>
          <w:sz w:val="24"/>
        </w:rPr>
        <w:t xml:space="preserve">的 </w:t>
      </w:r>
      <w:r>
        <w:rPr>
          <w:rFonts w:hint="eastAsia" w:ascii="仿宋" w:hAnsi="仿宋" w:eastAsia="仿宋" w:cs="仿宋"/>
          <w:sz w:val="24"/>
          <w:u w:val="single"/>
        </w:rPr>
        <w:t>（ 项目名称 ）</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195FC84">
      <w:pPr>
        <w:kinsoku/>
        <w:overflowPunct/>
        <w:topLinePunct w:val="0"/>
        <w:bidi w:val="0"/>
        <w:spacing w:line="520" w:lineRule="exact"/>
        <w:ind w:firstLine="960" w:firstLineChars="400"/>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 标的名称 ） </w:t>
      </w:r>
      <w:r>
        <w:rPr>
          <w:rFonts w:hint="eastAsia" w:ascii="仿宋" w:hAnsi="仿宋" w:eastAsia="仿宋" w:cs="仿宋"/>
          <w:sz w:val="24"/>
        </w:rPr>
        <w:t>，属于</w:t>
      </w:r>
      <w:r>
        <w:rPr>
          <w:rFonts w:hint="eastAsia" w:ascii="仿宋" w:hAnsi="仿宋" w:eastAsia="仿宋" w:cs="仿宋"/>
          <w:sz w:val="24"/>
          <w:u w:val="single"/>
        </w:rPr>
        <w:t xml:space="preserve"> （ 采购文件中明确的所属行业 ）</w:t>
      </w:r>
      <w:r>
        <w:rPr>
          <w:rFonts w:hint="eastAsia" w:ascii="仿宋" w:hAnsi="仿宋" w:eastAsia="仿宋" w:cs="仿宋"/>
          <w:sz w:val="24"/>
        </w:rPr>
        <w:t xml:space="preserve"> ； 承建（承接）企业为</w:t>
      </w:r>
      <w:r>
        <w:rPr>
          <w:rFonts w:hint="eastAsia" w:ascii="仿宋" w:hAnsi="仿宋" w:eastAsia="仿宋" w:cs="仿宋"/>
          <w:sz w:val="24"/>
          <w:u w:val="single"/>
        </w:rPr>
        <w:t xml:space="preserve"> （ 企业名称）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 、小型企业 、微型企业 ） </w:t>
      </w:r>
      <w:r>
        <w:rPr>
          <w:rFonts w:hint="eastAsia" w:ascii="仿宋" w:hAnsi="仿宋" w:eastAsia="仿宋" w:cs="仿宋"/>
          <w:sz w:val="24"/>
        </w:rPr>
        <w:t xml:space="preserve">； </w:t>
      </w:r>
    </w:p>
    <w:p w14:paraId="45C7A2D5">
      <w:pPr>
        <w:kinsoku/>
        <w:overflowPunct/>
        <w:topLinePunct w:val="0"/>
        <w:bidi w:val="0"/>
        <w:spacing w:line="520" w:lineRule="exact"/>
        <w:ind w:firstLine="960" w:firstLineChars="400"/>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 xml:space="preserve">（ 标的名称 ） </w:t>
      </w:r>
      <w:r>
        <w:rPr>
          <w:rFonts w:hint="eastAsia" w:ascii="仿宋" w:hAnsi="仿宋" w:eastAsia="仿宋" w:cs="仿宋"/>
          <w:sz w:val="24"/>
        </w:rPr>
        <w:t>，属于</w:t>
      </w:r>
      <w:r>
        <w:rPr>
          <w:rFonts w:hint="eastAsia" w:ascii="仿宋" w:hAnsi="仿宋" w:eastAsia="仿宋" w:cs="仿宋"/>
          <w:sz w:val="24"/>
          <w:u w:val="single"/>
        </w:rPr>
        <w:t xml:space="preserve"> （ 采购文件中明确的所属行业 ）</w:t>
      </w:r>
      <w:r>
        <w:rPr>
          <w:rFonts w:hint="eastAsia" w:ascii="仿宋" w:hAnsi="仿宋" w:eastAsia="仿宋" w:cs="仿宋"/>
          <w:sz w:val="24"/>
        </w:rPr>
        <w:t xml:space="preserve"> ； 承建（承接）企业为</w:t>
      </w:r>
      <w:r>
        <w:rPr>
          <w:rFonts w:hint="eastAsia" w:ascii="仿宋" w:hAnsi="仿宋" w:eastAsia="仿宋" w:cs="仿宋"/>
          <w:sz w:val="24"/>
          <w:u w:val="single"/>
        </w:rPr>
        <w:t xml:space="preserve"> （ 企业名称）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 、小型企业 、微型企业 ） </w:t>
      </w:r>
      <w:r>
        <w:rPr>
          <w:rFonts w:hint="eastAsia" w:ascii="仿宋" w:hAnsi="仿宋" w:eastAsia="仿宋" w:cs="仿宋"/>
          <w:sz w:val="24"/>
        </w:rPr>
        <w:t>；</w:t>
      </w:r>
    </w:p>
    <w:p w14:paraId="515DAFE6">
      <w:pPr>
        <w:kinsoku/>
        <w:overflowPunct/>
        <w:topLinePunct w:val="0"/>
        <w:bidi w:val="0"/>
        <w:spacing w:line="520" w:lineRule="exact"/>
        <w:ind w:firstLine="960" w:firstLineChars="400"/>
        <w:rPr>
          <w:rFonts w:ascii="仿宋" w:hAnsi="仿宋" w:eastAsia="仿宋" w:cs="仿宋"/>
          <w:sz w:val="24"/>
        </w:rPr>
      </w:pPr>
      <w:r>
        <w:rPr>
          <w:rFonts w:hint="eastAsia" w:ascii="仿宋" w:hAnsi="仿宋" w:eastAsia="仿宋" w:cs="仿宋"/>
          <w:sz w:val="24"/>
        </w:rPr>
        <w:t xml:space="preserve"> ……</w:t>
      </w:r>
    </w:p>
    <w:p w14:paraId="0B40A8FF">
      <w:pPr>
        <w:kinsoku/>
        <w:overflowPunct/>
        <w:topLinePunct w:val="0"/>
        <w:bidi w:val="0"/>
        <w:spacing w:line="520" w:lineRule="exact"/>
        <w:ind w:firstLine="960" w:firstLineChars="400"/>
        <w:rPr>
          <w:rFonts w:ascii="仿宋" w:hAnsi="仿宋" w:eastAsia="仿宋" w:cs="仿宋"/>
          <w:sz w:val="24"/>
        </w:rPr>
      </w:pPr>
      <w:r>
        <w:rPr>
          <w:rFonts w:hint="eastAsia" w:ascii="仿宋" w:hAnsi="仿宋" w:eastAsia="仿宋" w:cs="仿宋"/>
          <w:sz w:val="24"/>
        </w:rPr>
        <w:t xml:space="preserve"> 以上企业，不属于大企业的分支机构，不存在控股股东 为大企业的情形，也不存在与大企业的负责人为同一人的情形。 本企业对上述声明内容的真实性负责。如有虚假，将依 法承担相应责任。 </w:t>
      </w:r>
    </w:p>
    <w:p w14:paraId="46357CC6">
      <w:pPr>
        <w:tabs>
          <w:tab w:val="left" w:pos="2996"/>
        </w:tabs>
        <w:kinsoku/>
        <w:overflowPunct/>
        <w:topLinePunct w:val="0"/>
        <w:bidi w:val="0"/>
        <w:spacing w:line="520" w:lineRule="exact"/>
        <w:ind w:firstLine="480" w:firstLineChars="200"/>
        <w:rPr>
          <w:rFonts w:ascii="仿宋" w:hAnsi="仿宋" w:eastAsia="仿宋" w:cs="仿宋"/>
          <w:sz w:val="24"/>
        </w:rPr>
      </w:pPr>
    </w:p>
    <w:p w14:paraId="7F7EB198">
      <w:pPr>
        <w:tabs>
          <w:tab w:val="left" w:pos="2996"/>
        </w:tabs>
        <w:kinsoku/>
        <w:overflowPunct/>
        <w:topLinePunct w:val="0"/>
        <w:bidi w:val="0"/>
        <w:spacing w:line="520" w:lineRule="exact"/>
        <w:ind w:firstLine="480" w:firstLineChars="200"/>
        <w:rPr>
          <w:rFonts w:ascii="仿宋" w:hAnsi="仿宋" w:eastAsia="仿宋" w:cs="仿宋"/>
          <w:sz w:val="24"/>
        </w:rPr>
      </w:pPr>
    </w:p>
    <w:p w14:paraId="5FF5CEA2">
      <w:pPr>
        <w:tabs>
          <w:tab w:val="left" w:pos="2996"/>
        </w:tabs>
        <w:kinsoku/>
        <w:overflowPunct/>
        <w:topLinePunct w:val="0"/>
        <w:bidi w:val="0"/>
        <w:spacing w:line="520" w:lineRule="exact"/>
        <w:ind w:firstLine="6480" w:firstLineChars="2700"/>
        <w:jc w:val="both"/>
        <w:rPr>
          <w:rFonts w:hint="eastAsia" w:ascii="仿宋" w:hAnsi="仿宋" w:eastAsia="仿宋" w:cs="仿宋"/>
          <w:sz w:val="24"/>
        </w:rPr>
      </w:pPr>
      <w:r>
        <w:rPr>
          <w:rFonts w:hint="eastAsia" w:ascii="仿宋" w:hAnsi="仿宋" w:eastAsia="仿宋" w:cs="仿宋"/>
          <w:sz w:val="24"/>
        </w:rPr>
        <w:t>供应商名称（盖章）：</w:t>
      </w:r>
    </w:p>
    <w:p w14:paraId="74616376">
      <w:pPr>
        <w:tabs>
          <w:tab w:val="left" w:pos="2996"/>
        </w:tabs>
        <w:kinsoku/>
        <w:overflowPunct/>
        <w:topLinePunct w:val="0"/>
        <w:bidi w:val="0"/>
        <w:spacing w:line="520" w:lineRule="exact"/>
        <w:ind w:firstLine="6480" w:firstLineChars="2700"/>
        <w:jc w:val="both"/>
        <w:rPr>
          <w:rFonts w:hint="eastAsia" w:ascii="仿宋" w:hAnsi="仿宋" w:eastAsia="仿宋" w:cs="仿宋"/>
          <w:b/>
          <w:bCs/>
          <w:color w:val="auto"/>
          <w:sz w:val="28"/>
          <w:szCs w:val="28"/>
          <w:highlight w:val="none"/>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sz w:val="24"/>
        </w:rPr>
        <w:t>日　期：</w:t>
      </w:r>
    </w:p>
    <w:p w14:paraId="21668EA6">
      <w:pPr>
        <w:jc w:val="both"/>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附：</w:t>
      </w:r>
    </w:p>
    <w:p w14:paraId="7007131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u w:val="none"/>
          <w:lang w:val="en-US" w:eastAsia="zh-CN"/>
        </w:rPr>
        <w:t>《中小企业声明函》</w:t>
      </w:r>
      <w:r>
        <w:rPr>
          <w:rFonts w:hint="eastAsia" w:ascii="仿宋" w:hAnsi="仿宋" w:eastAsia="仿宋" w:cs="仿宋"/>
          <w:b/>
          <w:bCs/>
          <w:sz w:val="32"/>
          <w:szCs w:val="32"/>
          <w:lang w:val="en-US" w:eastAsia="zh-CN"/>
        </w:rPr>
        <w:t>填写说明</w:t>
      </w:r>
    </w:p>
    <w:p w14:paraId="2C741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本项目所属行业为</w:t>
      </w:r>
      <w:r>
        <w:rPr>
          <w:rFonts w:hint="eastAsia" w:ascii="仿宋" w:hAnsi="仿宋" w:eastAsia="仿宋" w:cs="仿宋"/>
          <w:sz w:val="24"/>
          <w:u w:val="single"/>
        </w:rPr>
        <w:t>其他未列明行业</w:t>
      </w:r>
      <w:r>
        <w:rPr>
          <w:rFonts w:hint="eastAsia" w:ascii="仿宋" w:hAnsi="仿宋" w:eastAsia="仿宋" w:cs="仿宋"/>
          <w:sz w:val="24"/>
          <w:szCs w:val="24"/>
          <w:u w:val="none"/>
          <w:lang w:val="en-US" w:eastAsia="zh-CN"/>
        </w:rPr>
        <w:t>，声明函填写行业错误或者未填写行业的，声明函无效，供应商不得享受《政府采购促进中小企业发展管理办法》（财库〔2020〕46号）文件规定的相关中小企业扶持政策；</w:t>
      </w:r>
    </w:p>
    <w:p w14:paraId="5F1ECB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u w:val="none"/>
          <w:lang w:val="en-US" w:eastAsia="zh-CN"/>
        </w:rPr>
        <w:t>供应商应如实填写声明函中企业有关数据，如项目评审阶段评审小组对声明函数据有疑义的，或成交后其他参与采购活动的供应商对公示的声明函数据有疑义的，相应供应商应在代理机构规定的时间内提供澄清说明，对填报的数据来源作出合理解释，否则声明函无效；</w:t>
      </w:r>
    </w:p>
    <w:p w14:paraId="068672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u w:val="none"/>
          <w:lang w:val="en-US" w:eastAsia="zh-CN"/>
        </w:rPr>
        <w:t>供应商须按照《统计上大中小微型企业划分办法（2017）》（国统字〔2017〕213号）文件规定判断自身中小企业类型，如填写类型与文件规定不符的，声明函无效；</w:t>
      </w:r>
    </w:p>
    <w:p w14:paraId="3AFD1B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u w:val="none"/>
          <w:lang w:val="en-US" w:eastAsia="zh-CN"/>
        </w:rPr>
        <w:t>本年度新成立的公司，在声明函中对营业收入、资产总额、从业人员的数据可不填写，对企业类型以及是否与大企业的负责人为同一人，或者与大企业存在直接控股、管理关系进行声明，否则声明函无效；</w:t>
      </w:r>
    </w:p>
    <w:p w14:paraId="69DF3D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u w:val="none"/>
          <w:lang w:val="en-US" w:eastAsia="zh-CN"/>
        </w:rPr>
        <w:t>供应商与大企业存在直接控股、管理关系的不得享受《政府采购促进中小企业发展管理办法》（财库〔2020〕46号）文件规定的相关中小企业扶持政策，货物类项目制造商的控股公司、管理公司或者工程、服务累项目投标供应商的控股公司、管理公司按照其本身的行业认定企业类型，不按照采购文件明确的行业认定企业类型；</w:t>
      </w:r>
    </w:p>
    <w:p w14:paraId="1B7CCA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6、货物类项目</w:t>
      </w:r>
      <w:r>
        <w:rPr>
          <w:rFonts w:hint="eastAsia" w:ascii="仿宋" w:hAnsi="仿宋" w:eastAsia="仿宋" w:cs="仿宋"/>
          <w:sz w:val="24"/>
          <w:szCs w:val="24"/>
          <w:u w:val="none"/>
          <w:lang w:val="en-US" w:eastAsia="zh-CN"/>
        </w:rPr>
        <w:t>声明函中的制造商不可使用他人授权品牌、不可授权他人实际生产，否则声明函无效；</w:t>
      </w:r>
    </w:p>
    <w:p w14:paraId="79F90EB1">
      <w:pPr>
        <w:kinsoku/>
        <w:overflowPunct/>
        <w:topLinePunct w:val="0"/>
        <w:bidi w:val="0"/>
        <w:snapToGrid w:val="0"/>
        <w:spacing w:before="50" w:after="50" w:line="520" w:lineRule="exact"/>
        <w:jc w:val="center"/>
        <w:outlineLvl w:val="1"/>
        <w:rPr>
          <w:rFonts w:hint="eastAsia" w:ascii="仿宋" w:hAnsi="仿宋" w:eastAsia="仿宋" w:cs="仿宋"/>
          <w:sz w:val="24"/>
          <w:szCs w:val="24"/>
          <w:u w:val="none"/>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u w:val="none"/>
          <w:lang w:val="en-US" w:eastAsia="zh-CN"/>
        </w:rPr>
        <w:t>其他未尽事宜参照《政府采购促进中小企业发展管理办法》（财库〔2020〕46号）文件规定执行。</w:t>
      </w:r>
    </w:p>
    <w:p w14:paraId="3C3F3AFF">
      <w:pPr>
        <w:kinsoku/>
        <w:overflowPunct/>
        <w:topLinePunct w:val="0"/>
        <w:bidi w:val="0"/>
        <w:snapToGrid w:val="0"/>
        <w:spacing w:before="50" w:after="50" w:line="520" w:lineRule="exact"/>
        <w:jc w:val="center"/>
        <w:outlineLvl w:val="1"/>
        <w:rPr>
          <w:rFonts w:hint="eastAsia" w:ascii="仿宋" w:hAnsi="仿宋" w:eastAsia="仿宋" w:cs="宋体"/>
          <w:b/>
          <w:sz w:val="28"/>
          <w:szCs w:val="28"/>
        </w:rPr>
      </w:pPr>
    </w:p>
    <w:p w14:paraId="7845F0E8">
      <w:pPr>
        <w:kinsoku/>
        <w:overflowPunct/>
        <w:topLinePunct w:val="0"/>
        <w:bidi w:val="0"/>
        <w:snapToGrid w:val="0"/>
        <w:spacing w:before="50" w:after="50" w:line="520" w:lineRule="exact"/>
        <w:jc w:val="center"/>
        <w:outlineLvl w:val="1"/>
        <w:rPr>
          <w:rFonts w:hint="eastAsia" w:ascii="仿宋" w:hAnsi="仿宋" w:eastAsia="仿宋" w:cs="宋体"/>
          <w:b/>
          <w:sz w:val="28"/>
          <w:szCs w:val="28"/>
        </w:rPr>
      </w:pPr>
    </w:p>
    <w:p w14:paraId="3A1627B6">
      <w:pPr>
        <w:kinsoku/>
        <w:overflowPunct/>
        <w:topLinePunct w:val="0"/>
        <w:bidi w:val="0"/>
        <w:snapToGrid w:val="0"/>
        <w:spacing w:before="50" w:after="50" w:line="520" w:lineRule="exact"/>
        <w:jc w:val="center"/>
        <w:outlineLvl w:val="1"/>
        <w:rPr>
          <w:rFonts w:hint="eastAsia" w:ascii="仿宋" w:hAnsi="仿宋" w:eastAsia="仿宋" w:cs="宋体"/>
          <w:b/>
          <w:sz w:val="28"/>
          <w:szCs w:val="28"/>
        </w:rPr>
      </w:pPr>
    </w:p>
    <w:p w14:paraId="2B2E9A21">
      <w:pPr>
        <w:kinsoku/>
        <w:overflowPunct/>
        <w:topLinePunct w:val="0"/>
        <w:bidi w:val="0"/>
        <w:snapToGrid w:val="0"/>
        <w:spacing w:before="50" w:after="50" w:line="520" w:lineRule="exact"/>
        <w:jc w:val="center"/>
        <w:outlineLvl w:val="1"/>
        <w:rPr>
          <w:rFonts w:hint="eastAsia" w:ascii="仿宋" w:hAnsi="仿宋" w:eastAsia="仿宋" w:cs="宋体"/>
          <w:b/>
          <w:sz w:val="28"/>
          <w:szCs w:val="28"/>
        </w:rPr>
      </w:pPr>
    </w:p>
    <w:p w14:paraId="7C46B913">
      <w:pPr>
        <w:kinsoku/>
        <w:overflowPunct/>
        <w:topLinePunct w:val="0"/>
        <w:bidi w:val="0"/>
        <w:snapToGrid w:val="0"/>
        <w:spacing w:before="50" w:after="50" w:line="520" w:lineRule="exact"/>
        <w:jc w:val="center"/>
        <w:outlineLvl w:val="1"/>
        <w:rPr>
          <w:rFonts w:ascii="仿宋" w:hAnsi="仿宋" w:eastAsia="仿宋" w:cs="宋体"/>
          <w:b/>
          <w:sz w:val="28"/>
          <w:szCs w:val="28"/>
        </w:rPr>
      </w:pPr>
      <w:r>
        <w:rPr>
          <w:rFonts w:hint="eastAsia" w:ascii="仿宋" w:hAnsi="仿宋" w:eastAsia="仿宋" w:cs="宋体"/>
          <w:b/>
          <w:sz w:val="28"/>
          <w:szCs w:val="28"/>
        </w:rPr>
        <w:t>6、监狱企业声明函（如有）</w:t>
      </w:r>
    </w:p>
    <w:p w14:paraId="6F4FEB8C">
      <w:pPr>
        <w:pStyle w:val="35"/>
        <w:kinsoku/>
        <w:overflowPunct/>
        <w:topLinePunct w:val="0"/>
        <w:bidi w:val="0"/>
        <w:spacing w:line="520" w:lineRule="exact"/>
        <w:jc w:val="center"/>
        <w:rPr>
          <w:rFonts w:ascii="仿宋" w:hAnsi="仿宋" w:eastAsia="仿宋"/>
          <w:color w:val="auto"/>
        </w:rPr>
      </w:pPr>
      <w:r>
        <w:rPr>
          <w:rFonts w:hint="eastAsia" w:ascii="仿宋" w:hAnsi="仿宋" w:eastAsia="仿宋"/>
          <w:color w:val="auto"/>
        </w:rPr>
        <w:t>【非监狱企业的不用提供】</w:t>
      </w:r>
    </w:p>
    <w:p w14:paraId="5D0780E3">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 xml:space="preserve">本企业郑重声明，根据《关于政府采购支持监狱企业发展有关问题的通知》(财库[2014]68号）的规定，本企业为监狱企业。 </w:t>
      </w:r>
    </w:p>
    <w:p w14:paraId="2CA8702B">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 xml:space="preserve">根据上述标准，我企业属于监狱企业的理由为: </w:t>
      </w:r>
    </w:p>
    <w:p w14:paraId="00943A21">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本企业为参加</w:t>
      </w:r>
      <w:r>
        <w:rPr>
          <w:rFonts w:hint="eastAsia" w:ascii="仿宋" w:hAnsi="仿宋" w:eastAsia="仿宋"/>
          <w:color w:val="auto"/>
          <w:u w:val="single"/>
        </w:rPr>
        <w:t>(项目名称: ) (项目编号: )</w:t>
      </w:r>
      <w:r>
        <w:rPr>
          <w:rFonts w:hint="eastAsia" w:ascii="仿宋" w:hAnsi="仿宋" w:eastAsia="仿宋"/>
          <w:color w:val="auto"/>
        </w:rPr>
        <w:t xml:space="preserve">采购活动提供本企业的产品。 </w:t>
      </w:r>
    </w:p>
    <w:p w14:paraId="0309324B">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 xml:space="preserve">本企业对上述声明的真实性负责。如有虚假，将依法承担相应责任。 </w:t>
      </w:r>
    </w:p>
    <w:p w14:paraId="2991A480">
      <w:pPr>
        <w:pStyle w:val="35"/>
        <w:kinsoku/>
        <w:overflowPunct/>
        <w:topLinePunct w:val="0"/>
        <w:bidi w:val="0"/>
        <w:spacing w:line="520" w:lineRule="exact"/>
        <w:ind w:firstLine="480" w:firstLineChars="200"/>
        <w:rPr>
          <w:rFonts w:ascii="仿宋" w:hAnsi="仿宋" w:eastAsia="仿宋"/>
          <w:color w:val="auto"/>
        </w:rPr>
      </w:pPr>
    </w:p>
    <w:p w14:paraId="48347FFC">
      <w:pPr>
        <w:pStyle w:val="35"/>
        <w:kinsoku/>
        <w:overflowPunct/>
        <w:topLinePunct w:val="0"/>
        <w:bidi w:val="0"/>
        <w:spacing w:line="520" w:lineRule="exact"/>
        <w:ind w:firstLine="480" w:firstLineChars="200"/>
        <w:rPr>
          <w:rFonts w:ascii="仿宋" w:hAnsi="仿宋" w:eastAsia="仿宋"/>
          <w:color w:val="auto"/>
        </w:rPr>
      </w:pPr>
    </w:p>
    <w:p w14:paraId="3C9063CB">
      <w:pPr>
        <w:pStyle w:val="35"/>
        <w:kinsoku/>
        <w:overflowPunct/>
        <w:topLinePunct w:val="0"/>
        <w:bidi w:val="0"/>
        <w:spacing w:line="520" w:lineRule="exact"/>
        <w:rPr>
          <w:rFonts w:ascii="仿宋" w:hAnsi="仿宋" w:eastAsia="仿宋"/>
          <w:color w:val="auto"/>
        </w:rPr>
      </w:pPr>
      <w:r>
        <w:rPr>
          <w:rFonts w:hint="eastAsia" w:ascii="仿宋" w:hAnsi="仿宋" w:eastAsia="仿宋"/>
          <w:color w:val="auto"/>
        </w:rPr>
        <w:t xml:space="preserve">供应商名称(盖章) : </w:t>
      </w:r>
    </w:p>
    <w:p w14:paraId="1A1444AC">
      <w:pPr>
        <w:pStyle w:val="35"/>
        <w:kinsoku/>
        <w:overflowPunct/>
        <w:topLinePunct w:val="0"/>
        <w:bidi w:val="0"/>
        <w:spacing w:line="520" w:lineRule="exact"/>
        <w:rPr>
          <w:rFonts w:ascii="仿宋" w:hAnsi="仿宋" w:eastAsia="仿宋"/>
          <w:color w:val="auto"/>
        </w:rPr>
      </w:pPr>
    </w:p>
    <w:p w14:paraId="26C86567">
      <w:pPr>
        <w:pStyle w:val="35"/>
        <w:kinsoku/>
        <w:overflowPunct/>
        <w:topLinePunct w:val="0"/>
        <w:bidi w:val="0"/>
        <w:spacing w:line="520" w:lineRule="exact"/>
        <w:rPr>
          <w:rFonts w:ascii="仿宋" w:hAnsi="仿宋" w:eastAsia="仿宋"/>
          <w:color w:val="auto"/>
        </w:rPr>
      </w:pPr>
      <w:r>
        <w:rPr>
          <w:rFonts w:hint="eastAsia" w:ascii="仿宋" w:hAnsi="仿宋" w:eastAsia="仿宋"/>
          <w:color w:val="auto"/>
        </w:rPr>
        <w:t xml:space="preserve">日期: 年 月 日 </w:t>
      </w:r>
    </w:p>
    <w:p w14:paraId="3886D203">
      <w:pPr>
        <w:pStyle w:val="35"/>
        <w:kinsoku/>
        <w:overflowPunct/>
        <w:topLinePunct w:val="0"/>
        <w:bidi w:val="0"/>
        <w:spacing w:line="520" w:lineRule="exact"/>
        <w:rPr>
          <w:rFonts w:ascii="仿宋" w:hAnsi="仿宋" w:eastAsia="仿宋"/>
          <w:color w:val="auto"/>
        </w:rPr>
      </w:pPr>
    </w:p>
    <w:p w14:paraId="2E18C059">
      <w:pPr>
        <w:kinsoku/>
        <w:overflowPunct/>
        <w:topLinePunct w:val="0"/>
        <w:bidi w:val="0"/>
        <w:snapToGrid w:val="0"/>
        <w:spacing w:before="120" w:beforeLines="50" w:after="50" w:line="520" w:lineRule="exact"/>
        <w:ind w:firstLine="480" w:firstLineChars="200"/>
        <w:jc w:val="left"/>
        <w:rPr>
          <w:rFonts w:ascii="仿宋" w:hAnsi="仿宋" w:eastAsia="仿宋" w:cs="宋体"/>
          <w:sz w:val="24"/>
        </w:rPr>
      </w:pPr>
      <w:r>
        <w:rPr>
          <w:rFonts w:hint="eastAsia" w:ascii="仿宋" w:hAnsi="仿宋" w:eastAsia="仿宋" w:cs="宋体"/>
          <w:sz w:val="24"/>
        </w:rPr>
        <w:t>监狱企业参加政府采购活动时，应当提供由省级以上监狱管理局、戒毒管理局(含新疆生产建设兵团)出具的属于监狱企业的证明文件。</w:t>
      </w:r>
    </w:p>
    <w:p w14:paraId="2858C08C">
      <w:pPr>
        <w:kinsoku/>
        <w:overflowPunct/>
        <w:topLinePunct w:val="0"/>
        <w:bidi w:val="0"/>
        <w:spacing w:line="520" w:lineRule="exact"/>
        <w:ind w:firstLine="480" w:firstLineChars="200"/>
        <w:jc w:val="left"/>
        <w:outlineLvl w:val="9"/>
        <w:rPr>
          <w:rFonts w:hint="eastAsia" w:ascii="仿宋" w:hAnsi="仿宋" w:eastAsia="仿宋" w:cs="宋体"/>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宋体"/>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CEF8BC">
      <w:pPr>
        <w:kinsoku/>
        <w:overflowPunct/>
        <w:topLinePunct w:val="0"/>
        <w:bidi w:val="0"/>
        <w:snapToGrid w:val="0"/>
        <w:spacing w:before="50" w:after="50" w:line="520" w:lineRule="exact"/>
        <w:jc w:val="center"/>
        <w:outlineLvl w:val="1"/>
        <w:rPr>
          <w:rFonts w:ascii="仿宋" w:hAnsi="仿宋" w:eastAsia="仿宋" w:cs="宋体"/>
          <w:b/>
          <w:sz w:val="28"/>
          <w:szCs w:val="28"/>
        </w:rPr>
      </w:pPr>
      <w:r>
        <w:rPr>
          <w:rFonts w:hint="eastAsia" w:ascii="仿宋" w:hAnsi="仿宋" w:eastAsia="仿宋" w:cs="宋体"/>
          <w:b/>
          <w:sz w:val="28"/>
          <w:szCs w:val="28"/>
        </w:rPr>
        <w:t>7、残疾人福利性单位声明函（如有）</w:t>
      </w:r>
    </w:p>
    <w:p w14:paraId="1E274D09">
      <w:pPr>
        <w:pStyle w:val="35"/>
        <w:kinsoku/>
        <w:overflowPunct/>
        <w:topLinePunct w:val="0"/>
        <w:bidi w:val="0"/>
        <w:spacing w:line="520" w:lineRule="exact"/>
        <w:jc w:val="center"/>
        <w:rPr>
          <w:rFonts w:ascii="仿宋" w:hAnsi="仿宋" w:eastAsia="仿宋"/>
          <w:color w:val="auto"/>
        </w:rPr>
      </w:pPr>
      <w:r>
        <w:rPr>
          <w:rFonts w:hint="eastAsia" w:ascii="仿宋" w:hAnsi="仿宋" w:eastAsia="仿宋"/>
          <w:color w:val="auto"/>
        </w:rPr>
        <w:t>【非残疾人福利性单位不用提供】</w:t>
      </w:r>
    </w:p>
    <w:p w14:paraId="7A834984">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olor w:val="auto"/>
          <w:u w:val="single"/>
        </w:rPr>
        <w:t xml:space="preserve"> (</w:t>
      </w:r>
      <w:r>
        <w:rPr>
          <w:rFonts w:hint="eastAsia" w:ascii="仿宋" w:hAnsi="仿宋" w:eastAsia="仿宋"/>
          <w:color w:val="auto"/>
          <w:u w:val="single"/>
          <w:lang w:val="en-US" w:eastAsia="zh-CN"/>
        </w:rPr>
        <w:t>采购</w:t>
      </w:r>
      <w:r>
        <w:rPr>
          <w:rFonts w:hint="eastAsia" w:ascii="仿宋" w:hAnsi="仿宋" w:eastAsia="仿宋"/>
          <w:color w:val="auto"/>
          <w:u w:val="single"/>
        </w:rPr>
        <w:t>人名称)</w:t>
      </w:r>
      <w:r>
        <w:rPr>
          <w:rFonts w:hint="eastAsia" w:ascii="仿宋" w:hAnsi="仿宋" w:eastAsia="仿宋"/>
          <w:color w:val="auto"/>
        </w:rPr>
        <w:t>单位的</w:t>
      </w:r>
      <w:r>
        <w:rPr>
          <w:rFonts w:hint="eastAsia" w:ascii="仿宋" w:hAnsi="仿宋" w:eastAsia="仿宋"/>
          <w:color w:val="auto"/>
          <w:u w:val="single"/>
        </w:rPr>
        <w:t xml:space="preserve"> (项目名称)</w:t>
      </w:r>
      <w:r>
        <w:rPr>
          <w:rFonts w:hint="eastAsia" w:ascii="仿宋" w:hAnsi="仿宋" w:eastAsia="仿宋"/>
          <w:color w:val="auto"/>
        </w:rPr>
        <w:t xml:space="preserve">项目采购活动提供本单位制造的货物(由本单位承担工程/提供服务)，成者提供其他残疾人福利性单位制造的货物(不包括使用非残疾人福利性单位往册商标的货物)。 </w:t>
      </w:r>
    </w:p>
    <w:p w14:paraId="3BBE2348">
      <w:pPr>
        <w:pStyle w:val="35"/>
        <w:kinsoku/>
        <w:overflowPunct/>
        <w:topLinePunct w:val="0"/>
        <w:bidi w:val="0"/>
        <w:spacing w:line="520" w:lineRule="exact"/>
        <w:ind w:firstLine="480" w:firstLineChars="200"/>
        <w:rPr>
          <w:rFonts w:ascii="仿宋" w:hAnsi="仿宋" w:eastAsia="仿宋"/>
          <w:color w:val="auto"/>
        </w:rPr>
      </w:pPr>
      <w:r>
        <w:rPr>
          <w:rFonts w:hint="eastAsia" w:ascii="仿宋" w:hAnsi="仿宋" w:eastAsia="仿宋"/>
          <w:color w:val="auto"/>
        </w:rPr>
        <w:t>本单位对上述声明的真实性负责，如有虚假，将依法</w:t>
      </w:r>
      <w:r>
        <w:rPr>
          <w:rFonts w:hint="eastAsia" w:ascii="仿宋" w:hAnsi="仿宋" w:eastAsia="仿宋"/>
          <w:color w:val="auto"/>
          <w:lang w:val="en-US" w:eastAsia="zh-CN"/>
        </w:rPr>
        <w:t>承担</w:t>
      </w:r>
      <w:r>
        <w:rPr>
          <w:rFonts w:hint="eastAsia" w:ascii="仿宋" w:hAnsi="仿宋" w:eastAsia="仿宋"/>
          <w:color w:val="auto"/>
        </w:rPr>
        <w:t xml:space="preserve">相应责任。 </w:t>
      </w:r>
    </w:p>
    <w:p w14:paraId="30AEBC07">
      <w:pPr>
        <w:pStyle w:val="35"/>
        <w:kinsoku/>
        <w:overflowPunct/>
        <w:topLinePunct w:val="0"/>
        <w:bidi w:val="0"/>
        <w:spacing w:line="520" w:lineRule="exact"/>
        <w:ind w:firstLine="480" w:firstLineChars="200"/>
        <w:rPr>
          <w:rFonts w:ascii="仿宋" w:hAnsi="仿宋" w:eastAsia="仿宋"/>
          <w:color w:val="auto"/>
        </w:rPr>
      </w:pPr>
    </w:p>
    <w:p w14:paraId="628A4874">
      <w:pPr>
        <w:pStyle w:val="35"/>
        <w:kinsoku/>
        <w:overflowPunct/>
        <w:topLinePunct w:val="0"/>
        <w:bidi w:val="0"/>
        <w:spacing w:line="520" w:lineRule="exact"/>
        <w:rPr>
          <w:rFonts w:ascii="仿宋" w:hAnsi="仿宋" w:eastAsia="仿宋"/>
          <w:color w:val="auto"/>
        </w:rPr>
      </w:pPr>
      <w:r>
        <w:rPr>
          <w:rFonts w:hint="eastAsia" w:ascii="仿宋" w:hAnsi="仿宋" w:eastAsia="仿宋"/>
          <w:color w:val="auto"/>
        </w:rPr>
        <w:t xml:space="preserve">供应商名称(盖章)： </w:t>
      </w:r>
    </w:p>
    <w:p w14:paraId="50F33DD9">
      <w:pPr>
        <w:pStyle w:val="35"/>
        <w:kinsoku/>
        <w:overflowPunct/>
        <w:topLinePunct w:val="0"/>
        <w:bidi w:val="0"/>
        <w:spacing w:line="520" w:lineRule="exact"/>
        <w:rPr>
          <w:rFonts w:ascii="仿宋" w:hAnsi="仿宋" w:eastAsia="仿宋"/>
          <w:color w:val="auto"/>
        </w:rPr>
      </w:pPr>
    </w:p>
    <w:p w14:paraId="2993C6A4">
      <w:pPr>
        <w:kinsoku/>
        <w:overflowPunct/>
        <w:topLinePunct w:val="0"/>
        <w:bidi w:val="0"/>
        <w:spacing w:line="520" w:lineRule="exact"/>
        <w:jc w:val="left"/>
        <w:outlineLvl w:val="9"/>
        <w:rPr>
          <w:rFonts w:hint="eastAsia" w:ascii="仿宋" w:hAnsi="仿宋" w:eastAsia="仿宋" w:cs="宋体"/>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宋体"/>
          <w:sz w:val="24"/>
        </w:rPr>
        <w:t>日期： 年 月 日</w:t>
      </w:r>
    </w:p>
    <w:p w14:paraId="5754D060">
      <w:pPr>
        <w:kinsoku/>
        <w:overflowPunct/>
        <w:topLinePunct w:val="0"/>
        <w:bidi w:val="0"/>
        <w:spacing w:line="520" w:lineRule="exact"/>
        <w:jc w:val="center"/>
        <w:outlineLvl w:val="1"/>
        <w:rPr>
          <w:rFonts w:ascii="仿宋" w:hAnsi="仿宋" w:eastAsia="仿宋" w:cs="宋体"/>
          <w:b/>
          <w:bCs/>
          <w:sz w:val="28"/>
          <w:szCs w:val="28"/>
        </w:rPr>
      </w:pPr>
      <w:r>
        <w:rPr>
          <w:rFonts w:hint="eastAsia" w:ascii="仿宋" w:hAnsi="仿宋" w:eastAsia="仿宋" w:cs="宋体"/>
          <w:b/>
          <w:bCs/>
          <w:sz w:val="28"/>
          <w:szCs w:val="28"/>
        </w:rPr>
        <w:t>8、供应商自评分索引表</w:t>
      </w:r>
    </w:p>
    <w:p w14:paraId="6314CEE2">
      <w:pPr>
        <w:kinsoku/>
        <w:overflowPunct/>
        <w:topLinePunct w:val="0"/>
        <w:bidi w:val="0"/>
        <w:snapToGrid w:val="0"/>
        <w:spacing w:before="120" w:beforeLines="50" w:after="50" w:line="520" w:lineRule="exact"/>
        <w:jc w:val="left"/>
        <w:rPr>
          <w:rFonts w:ascii="仿宋" w:hAnsi="仿宋" w:eastAsia="仿宋" w:cs="宋体"/>
          <w:sz w:val="24"/>
        </w:rPr>
      </w:pPr>
      <w:r>
        <w:rPr>
          <w:rFonts w:hint="eastAsia" w:ascii="仿宋" w:hAnsi="仿宋" w:eastAsia="仿宋" w:cs="宋体"/>
          <w:sz w:val="24"/>
        </w:rPr>
        <w:t>供应商全称（公章）：</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35"/>
        <w:gridCol w:w="1329"/>
        <w:gridCol w:w="2181"/>
      </w:tblGrid>
      <w:tr w14:paraId="23EF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8E83C6F">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评分项目</w:t>
            </w:r>
          </w:p>
        </w:tc>
        <w:tc>
          <w:tcPr>
            <w:tcW w:w="2835" w:type="dxa"/>
            <w:vAlign w:val="center"/>
          </w:tcPr>
          <w:p w14:paraId="4910159E">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投标文件对应资料</w:t>
            </w:r>
          </w:p>
        </w:tc>
        <w:tc>
          <w:tcPr>
            <w:tcW w:w="1329" w:type="dxa"/>
            <w:vAlign w:val="center"/>
          </w:tcPr>
          <w:p w14:paraId="15C16A1E">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自评分</w:t>
            </w:r>
          </w:p>
        </w:tc>
        <w:tc>
          <w:tcPr>
            <w:tcW w:w="2181" w:type="dxa"/>
            <w:vAlign w:val="center"/>
          </w:tcPr>
          <w:p w14:paraId="06EF9439">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投标文件页码</w:t>
            </w:r>
          </w:p>
        </w:tc>
      </w:tr>
      <w:tr w14:paraId="4DCE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57DCCE0">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对应第四章评分办法及评分标准（报价除外）</w:t>
            </w:r>
          </w:p>
        </w:tc>
        <w:tc>
          <w:tcPr>
            <w:tcW w:w="2835" w:type="dxa"/>
            <w:vAlign w:val="center"/>
          </w:tcPr>
          <w:p w14:paraId="3CF87934">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32558AA8">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1DEB4225">
            <w:pPr>
              <w:kinsoku/>
              <w:overflowPunct/>
              <w:topLinePunct w:val="0"/>
              <w:bidi w:val="0"/>
              <w:snapToGrid w:val="0"/>
              <w:spacing w:before="120" w:beforeLines="50" w:after="50" w:line="520" w:lineRule="exact"/>
              <w:jc w:val="center"/>
              <w:rPr>
                <w:rFonts w:ascii="仿宋" w:hAnsi="仿宋" w:eastAsia="仿宋" w:cs="宋体"/>
                <w:sz w:val="24"/>
              </w:rPr>
            </w:pPr>
          </w:p>
        </w:tc>
      </w:tr>
      <w:tr w14:paraId="544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8035D58">
            <w:pPr>
              <w:kinsoku/>
              <w:overflowPunct/>
              <w:topLinePunct w:val="0"/>
              <w:bidi w:val="0"/>
              <w:snapToGrid w:val="0"/>
              <w:spacing w:before="120" w:beforeLines="50" w:after="50" w:line="520" w:lineRule="exact"/>
              <w:jc w:val="center"/>
              <w:rPr>
                <w:rFonts w:ascii="仿宋" w:hAnsi="仿宋" w:eastAsia="仿宋" w:cs="宋体"/>
                <w:sz w:val="24"/>
              </w:rPr>
            </w:pPr>
            <w:r>
              <w:rPr>
                <w:rFonts w:hint="eastAsia" w:ascii="仿宋" w:hAnsi="仿宋" w:eastAsia="仿宋" w:cs="宋体"/>
                <w:sz w:val="24"/>
              </w:rPr>
              <w:t>……</w:t>
            </w:r>
          </w:p>
        </w:tc>
        <w:tc>
          <w:tcPr>
            <w:tcW w:w="2835" w:type="dxa"/>
            <w:vAlign w:val="center"/>
          </w:tcPr>
          <w:p w14:paraId="71D9D05B">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2F27115A">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5C843059">
            <w:pPr>
              <w:kinsoku/>
              <w:overflowPunct/>
              <w:topLinePunct w:val="0"/>
              <w:bidi w:val="0"/>
              <w:snapToGrid w:val="0"/>
              <w:spacing w:before="120" w:beforeLines="50" w:after="50" w:line="520" w:lineRule="exact"/>
              <w:jc w:val="center"/>
              <w:rPr>
                <w:rFonts w:ascii="仿宋" w:hAnsi="仿宋" w:eastAsia="仿宋" w:cs="宋体"/>
                <w:sz w:val="24"/>
              </w:rPr>
            </w:pPr>
          </w:p>
        </w:tc>
      </w:tr>
      <w:tr w14:paraId="2061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578D7EA">
            <w:pPr>
              <w:kinsoku/>
              <w:overflowPunct/>
              <w:topLinePunct w:val="0"/>
              <w:bidi w:val="0"/>
              <w:snapToGrid w:val="0"/>
              <w:spacing w:before="120" w:beforeLines="50" w:after="50" w:line="520" w:lineRule="exact"/>
              <w:jc w:val="center"/>
              <w:rPr>
                <w:rFonts w:ascii="仿宋" w:hAnsi="仿宋" w:eastAsia="仿宋" w:cs="宋体"/>
                <w:sz w:val="24"/>
              </w:rPr>
            </w:pPr>
          </w:p>
        </w:tc>
        <w:tc>
          <w:tcPr>
            <w:tcW w:w="2835" w:type="dxa"/>
            <w:vAlign w:val="center"/>
          </w:tcPr>
          <w:p w14:paraId="0A9731F3">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2E23258E">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0FA9C023">
            <w:pPr>
              <w:kinsoku/>
              <w:overflowPunct/>
              <w:topLinePunct w:val="0"/>
              <w:bidi w:val="0"/>
              <w:snapToGrid w:val="0"/>
              <w:spacing w:before="120" w:beforeLines="50" w:after="50" w:line="520" w:lineRule="exact"/>
              <w:jc w:val="center"/>
              <w:rPr>
                <w:rFonts w:ascii="仿宋" w:hAnsi="仿宋" w:eastAsia="仿宋" w:cs="宋体"/>
                <w:sz w:val="24"/>
              </w:rPr>
            </w:pPr>
          </w:p>
        </w:tc>
      </w:tr>
      <w:tr w14:paraId="2A24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8872EC1">
            <w:pPr>
              <w:kinsoku/>
              <w:overflowPunct/>
              <w:topLinePunct w:val="0"/>
              <w:bidi w:val="0"/>
              <w:snapToGrid w:val="0"/>
              <w:spacing w:before="120" w:beforeLines="50" w:after="50" w:line="520" w:lineRule="exact"/>
              <w:jc w:val="center"/>
              <w:rPr>
                <w:rFonts w:ascii="仿宋" w:hAnsi="仿宋" w:eastAsia="仿宋" w:cs="宋体"/>
                <w:sz w:val="24"/>
              </w:rPr>
            </w:pPr>
          </w:p>
        </w:tc>
        <w:tc>
          <w:tcPr>
            <w:tcW w:w="2835" w:type="dxa"/>
            <w:vAlign w:val="center"/>
          </w:tcPr>
          <w:p w14:paraId="6F04D807">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7B1A1F37">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494A01E7">
            <w:pPr>
              <w:kinsoku/>
              <w:overflowPunct/>
              <w:topLinePunct w:val="0"/>
              <w:bidi w:val="0"/>
              <w:snapToGrid w:val="0"/>
              <w:spacing w:before="120" w:beforeLines="50" w:after="50" w:line="520" w:lineRule="exact"/>
              <w:jc w:val="center"/>
              <w:rPr>
                <w:rFonts w:ascii="仿宋" w:hAnsi="仿宋" w:eastAsia="仿宋" w:cs="宋体"/>
                <w:sz w:val="24"/>
              </w:rPr>
            </w:pPr>
          </w:p>
        </w:tc>
      </w:tr>
      <w:tr w14:paraId="257C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53309D6">
            <w:pPr>
              <w:kinsoku/>
              <w:overflowPunct/>
              <w:topLinePunct w:val="0"/>
              <w:bidi w:val="0"/>
              <w:snapToGrid w:val="0"/>
              <w:spacing w:before="120" w:beforeLines="50" w:after="50" w:line="520" w:lineRule="exact"/>
              <w:jc w:val="center"/>
              <w:rPr>
                <w:rFonts w:ascii="仿宋" w:hAnsi="仿宋" w:eastAsia="仿宋" w:cs="宋体"/>
                <w:sz w:val="24"/>
              </w:rPr>
            </w:pPr>
          </w:p>
        </w:tc>
        <w:tc>
          <w:tcPr>
            <w:tcW w:w="2835" w:type="dxa"/>
            <w:vAlign w:val="center"/>
          </w:tcPr>
          <w:p w14:paraId="2EFFFA8B">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347E4E0F">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052082E6">
            <w:pPr>
              <w:kinsoku/>
              <w:overflowPunct/>
              <w:topLinePunct w:val="0"/>
              <w:bidi w:val="0"/>
              <w:snapToGrid w:val="0"/>
              <w:spacing w:before="120" w:beforeLines="50" w:after="50" w:line="520" w:lineRule="exact"/>
              <w:jc w:val="center"/>
              <w:rPr>
                <w:rFonts w:ascii="仿宋" w:hAnsi="仿宋" w:eastAsia="仿宋" w:cs="宋体"/>
                <w:sz w:val="24"/>
              </w:rPr>
            </w:pPr>
          </w:p>
        </w:tc>
      </w:tr>
      <w:tr w14:paraId="033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9542CEE">
            <w:pPr>
              <w:kinsoku/>
              <w:overflowPunct/>
              <w:topLinePunct w:val="0"/>
              <w:bidi w:val="0"/>
              <w:snapToGrid w:val="0"/>
              <w:spacing w:before="120" w:beforeLines="50" w:after="50" w:line="520" w:lineRule="exact"/>
              <w:jc w:val="center"/>
              <w:rPr>
                <w:rFonts w:ascii="仿宋" w:hAnsi="仿宋" w:eastAsia="仿宋" w:cs="宋体"/>
                <w:sz w:val="24"/>
              </w:rPr>
            </w:pPr>
          </w:p>
        </w:tc>
        <w:tc>
          <w:tcPr>
            <w:tcW w:w="2835" w:type="dxa"/>
            <w:vAlign w:val="center"/>
          </w:tcPr>
          <w:p w14:paraId="60E3BE63">
            <w:pPr>
              <w:kinsoku/>
              <w:overflowPunct/>
              <w:topLinePunct w:val="0"/>
              <w:bidi w:val="0"/>
              <w:snapToGrid w:val="0"/>
              <w:spacing w:before="120" w:beforeLines="50" w:after="50" w:line="520" w:lineRule="exact"/>
              <w:jc w:val="center"/>
              <w:rPr>
                <w:rFonts w:ascii="仿宋" w:hAnsi="仿宋" w:eastAsia="仿宋" w:cs="宋体"/>
                <w:sz w:val="24"/>
              </w:rPr>
            </w:pPr>
          </w:p>
        </w:tc>
        <w:tc>
          <w:tcPr>
            <w:tcW w:w="1329" w:type="dxa"/>
            <w:vAlign w:val="center"/>
          </w:tcPr>
          <w:p w14:paraId="75160D0C">
            <w:pPr>
              <w:kinsoku/>
              <w:overflowPunct/>
              <w:topLinePunct w:val="0"/>
              <w:bidi w:val="0"/>
              <w:snapToGrid w:val="0"/>
              <w:spacing w:before="120" w:beforeLines="50" w:after="50" w:line="520" w:lineRule="exact"/>
              <w:jc w:val="center"/>
              <w:rPr>
                <w:rFonts w:ascii="仿宋" w:hAnsi="仿宋" w:eastAsia="仿宋" w:cs="宋体"/>
                <w:sz w:val="24"/>
              </w:rPr>
            </w:pPr>
          </w:p>
        </w:tc>
        <w:tc>
          <w:tcPr>
            <w:tcW w:w="2181" w:type="dxa"/>
            <w:vAlign w:val="center"/>
          </w:tcPr>
          <w:p w14:paraId="0010B9C8">
            <w:pPr>
              <w:kinsoku/>
              <w:overflowPunct/>
              <w:topLinePunct w:val="0"/>
              <w:bidi w:val="0"/>
              <w:snapToGrid w:val="0"/>
              <w:spacing w:before="120" w:beforeLines="50" w:after="50" w:line="520" w:lineRule="exact"/>
              <w:jc w:val="center"/>
              <w:rPr>
                <w:rFonts w:ascii="仿宋" w:hAnsi="仿宋" w:eastAsia="仿宋" w:cs="宋体"/>
                <w:sz w:val="24"/>
              </w:rPr>
            </w:pPr>
          </w:p>
        </w:tc>
      </w:tr>
    </w:tbl>
    <w:p w14:paraId="6C4354E8">
      <w:pPr>
        <w:kinsoku/>
        <w:overflowPunct/>
        <w:topLinePunct w:val="0"/>
        <w:bidi w:val="0"/>
        <w:snapToGrid w:val="0"/>
        <w:spacing w:before="120" w:beforeLines="50" w:after="50" w:line="520" w:lineRule="exact"/>
        <w:jc w:val="left"/>
        <w:rPr>
          <w:rFonts w:ascii="仿宋" w:hAnsi="仿宋" w:eastAsia="仿宋" w:cs="宋体"/>
          <w:sz w:val="24"/>
        </w:rPr>
      </w:pPr>
    </w:p>
    <w:p w14:paraId="401DEF9A">
      <w:pPr>
        <w:kinsoku/>
        <w:overflowPunct/>
        <w:topLinePunct w:val="0"/>
        <w:bidi w:val="0"/>
        <w:snapToGrid w:val="0"/>
        <w:spacing w:before="120" w:beforeLines="50" w:after="50" w:line="520" w:lineRule="exact"/>
        <w:jc w:val="left"/>
        <w:rPr>
          <w:rFonts w:ascii="仿宋" w:hAnsi="仿宋" w:eastAsia="仿宋" w:cs="宋体"/>
          <w:sz w:val="24"/>
        </w:rPr>
      </w:pPr>
    </w:p>
    <w:p w14:paraId="647763FB">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法定代表人或其授权代理人签名或盖章：</w:t>
      </w:r>
    </w:p>
    <w:p w14:paraId="2FF2F92C">
      <w:pPr>
        <w:kinsoku/>
        <w:overflowPunct/>
        <w:topLinePunct w:val="0"/>
        <w:bidi w:val="0"/>
        <w:snapToGrid w:val="0"/>
        <w:spacing w:before="120" w:beforeLines="50" w:after="50" w:line="520" w:lineRule="exact"/>
        <w:jc w:val="left"/>
        <w:rPr>
          <w:rFonts w:ascii="仿宋" w:hAnsi="仿宋" w:eastAsia="仿宋" w:cs="宋体"/>
          <w:sz w:val="24"/>
        </w:rPr>
      </w:pPr>
    </w:p>
    <w:p w14:paraId="72BB17AC">
      <w:pPr>
        <w:kinsoku/>
        <w:overflowPunct/>
        <w:topLinePunct w:val="0"/>
        <w:bidi w:val="0"/>
        <w:spacing w:line="520" w:lineRule="exact"/>
        <w:jc w:val="left"/>
        <w:outlineLvl w:val="9"/>
        <w:rPr>
          <w:rFonts w:hint="eastAsia" w:ascii="仿宋" w:hAnsi="仿宋" w:eastAsia="仿宋" w:cs="宋体"/>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宋体"/>
          <w:sz w:val="24"/>
        </w:rPr>
        <w:t>日期： 年 月 日</w:t>
      </w:r>
    </w:p>
    <w:p w14:paraId="32936B24">
      <w:pPr>
        <w:kinsoku/>
        <w:overflowPunct/>
        <w:topLinePunct w:val="0"/>
        <w:bidi w:val="0"/>
        <w:spacing w:line="520" w:lineRule="exact"/>
        <w:jc w:val="center"/>
        <w:outlineLvl w:val="1"/>
        <w:rPr>
          <w:rFonts w:ascii="仿宋" w:hAnsi="仿宋" w:eastAsia="仿宋" w:cs="宋体"/>
          <w:b/>
          <w:bCs/>
          <w:sz w:val="28"/>
          <w:szCs w:val="28"/>
        </w:rPr>
      </w:pPr>
      <w:r>
        <w:rPr>
          <w:rFonts w:hint="eastAsia" w:ascii="仿宋" w:hAnsi="仿宋" w:eastAsia="仿宋" w:cs="宋体"/>
          <w:b/>
          <w:bCs/>
          <w:sz w:val="28"/>
          <w:szCs w:val="28"/>
        </w:rPr>
        <w:t>9、项目实施人员配备表</w:t>
      </w:r>
    </w:p>
    <w:p w14:paraId="0785EF99">
      <w:pPr>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（项目负责人）</w:t>
      </w:r>
    </w:p>
    <w:p w14:paraId="3357FF87">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BF22BFB">
      <w:pPr>
        <w:kinsoku/>
        <w:overflowPunct/>
        <w:topLinePunct w:val="0"/>
        <w:bidi w:val="0"/>
        <w:spacing w:line="520" w:lineRule="exact"/>
        <w:rPr>
          <w:rFonts w:ascii="仿宋" w:hAnsi="仿宋" w:eastAsia="仿宋" w:cs="仿宋"/>
          <w:b/>
          <w:sz w:val="24"/>
        </w:rPr>
      </w:pPr>
      <w:r>
        <w:rPr>
          <w:rFonts w:hint="eastAsia" w:ascii="仿宋" w:hAnsi="仿宋" w:eastAsia="仿宋" w:cs="仿宋"/>
          <w:sz w:val="24"/>
        </w:rPr>
        <w:t>项目编号：</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938"/>
        <w:gridCol w:w="4833"/>
      </w:tblGrid>
      <w:tr w14:paraId="576A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50D7929C">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姓名</w:t>
            </w:r>
          </w:p>
        </w:tc>
        <w:tc>
          <w:tcPr>
            <w:tcW w:w="1938" w:type="dxa"/>
            <w:tcBorders>
              <w:top w:val="single" w:color="auto" w:sz="4" w:space="0"/>
              <w:left w:val="single" w:color="auto" w:sz="4" w:space="0"/>
              <w:bottom w:val="single" w:color="auto" w:sz="4" w:space="0"/>
              <w:right w:val="single" w:color="auto" w:sz="4" w:space="0"/>
            </w:tcBorders>
            <w:noWrap/>
            <w:vAlign w:val="center"/>
          </w:tcPr>
          <w:p w14:paraId="1E3CC0E7">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tcBorders>
              <w:top w:val="single" w:color="auto" w:sz="4" w:space="0"/>
              <w:left w:val="single" w:color="auto" w:sz="4" w:space="0"/>
              <w:bottom w:val="single" w:color="auto" w:sz="4" w:space="0"/>
              <w:right w:val="single" w:color="auto" w:sz="4" w:space="0"/>
            </w:tcBorders>
            <w:noWrap/>
            <w:vAlign w:val="center"/>
          </w:tcPr>
          <w:p w14:paraId="2068B48C">
            <w:pPr>
              <w:kinsoku/>
              <w:overflowPunct/>
              <w:topLinePunct w:val="0"/>
              <w:autoSpaceDE w:val="0"/>
              <w:autoSpaceDN w:val="0"/>
              <w:bidi w:val="0"/>
              <w:adjustRightInd w:val="0"/>
              <w:spacing w:line="520" w:lineRule="exact"/>
              <w:ind w:firstLine="480" w:firstLineChars="200"/>
              <w:rPr>
                <w:rFonts w:ascii="仿宋" w:hAnsi="仿宋" w:eastAsia="仿宋" w:cs="仿宋"/>
                <w:sz w:val="24"/>
                <w:lang w:val="zh-CN"/>
              </w:rPr>
            </w:pPr>
            <w:r>
              <w:rPr>
                <w:rFonts w:hint="eastAsia" w:ascii="仿宋" w:hAnsi="仿宋" w:eastAsia="仿宋" w:cs="仿宋"/>
                <w:sz w:val="24"/>
                <w:lang w:val="zh-CN"/>
              </w:rPr>
              <w:t>近3年业绩及承担的主要工作情况，曾担任项目经理的项目应列明细</w:t>
            </w:r>
          </w:p>
        </w:tc>
      </w:tr>
      <w:tr w14:paraId="1B3A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7DA368DA">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性别</w:t>
            </w:r>
          </w:p>
        </w:tc>
        <w:tc>
          <w:tcPr>
            <w:tcW w:w="1938" w:type="dxa"/>
            <w:tcBorders>
              <w:top w:val="single" w:color="auto" w:sz="4" w:space="0"/>
              <w:left w:val="single" w:color="auto" w:sz="4" w:space="0"/>
              <w:bottom w:val="single" w:color="auto" w:sz="4" w:space="0"/>
              <w:right w:val="single" w:color="auto" w:sz="4" w:space="0"/>
            </w:tcBorders>
            <w:noWrap/>
            <w:vAlign w:val="center"/>
          </w:tcPr>
          <w:p w14:paraId="6F8AE11C">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restart"/>
            <w:tcBorders>
              <w:top w:val="single" w:color="auto" w:sz="4" w:space="0"/>
              <w:left w:val="single" w:color="auto" w:sz="4" w:space="0"/>
              <w:bottom w:val="single" w:color="auto" w:sz="4" w:space="0"/>
              <w:right w:val="single" w:color="auto" w:sz="4" w:space="0"/>
            </w:tcBorders>
            <w:noWrap/>
            <w:vAlign w:val="center"/>
          </w:tcPr>
          <w:p w14:paraId="709A9F6D">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51CE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40D0164">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年龄</w:t>
            </w:r>
          </w:p>
        </w:tc>
        <w:tc>
          <w:tcPr>
            <w:tcW w:w="1938" w:type="dxa"/>
            <w:tcBorders>
              <w:top w:val="single" w:color="auto" w:sz="4" w:space="0"/>
              <w:left w:val="single" w:color="auto" w:sz="4" w:space="0"/>
              <w:bottom w:val="single" w:color="auto" w:sz="4" w:space="0"/>
              <w:right w:val="single" w:color="auto" w:sz="4" w:space="0"/>
            </w:tcBorders>
            <w:noWrap/>
            <w:vAlign w:val="center"/>
          </w:tcPr>
          <w:p w14:paraId="05663A8B">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77A0FA02">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465D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23CF09F">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职称</w:t>
            </w:r>
          </w:p>
        </w:tc>
        <w:tc>
          <w:tcPr>
            <w:tcW w:w="1938" w:type="dxa"/>
            <w:tcBorders>
              <w:top w:val="single" w:color="auto" w:sz="4" w:space="0"/>
              <w:left w:val="single" w:color="auto" w:sz="4" w:space="0"/>
              <w:bottom w:val="single" w:color="auto" w:sz="4" w:space="0"/>
              <w:right w:val="single" w:color="auto" w:sz="4" w:space="0"/>
            </w:tcBorders>
            <w:noWrap/>
            <w:vAlign w:val="center"/>
          </w:tcPr>
          <w:p w14:paraId="08D7A085">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50EAC43">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5BC7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5097BCCF">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毕业时间</w:t>
            </w:r>
          </w:p>
        </w:tc>
        <w:tc>
          <w:tcPr>
            <w:tcW w:w="1938" w:type="dxa"/>
            <w:tcBorders>
              <w:top w:val="single" w:color="auto" w:sz="4" w:space="0"/>
              <w:left w:val="single" w:color="auto" w:sz="4" w:space="0"/>
              <w:bottom w:val="single" w:color="auto" w:sz="4" w:space="0"/>
              <w:right w:val="single" w:color="auto" w:sz="4" w:space="0"/>
            </w:tcBorders>
            <w:noWrap/>
            <w:vAlign w:val="center"/>
          </w:tcPr>
          <w:p w14:paraId="0C15ED19">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63C58CB">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79A5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591A23BD">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所学专业</w:t>
            </w:r>
          </w:p>
        </w:tc>
        <w:tc>
          <w:tcPr>
            <w:tcW w:w="1938" w:type="dxa"/>
            <w:tcBorders>
              <w:top w:val="single" w:color="auto" w:sz="4" w:space="0"/>
              <w:left w:val="single" w:color="auto" w:sz="4" w:space="0"/>
              <w:bottom w:val="single" w:color="auto" w:sz="4" w:space="0"/>
              <w:right w:val="single" w:color="auto" w:sz="4" w:space="0"/>
            </w:tcBorders>
            <w:noWrap/>
            <w:vAlign w:val="center"/>
          </w:tcPr>
          <w:p w14:paraId="219054AC">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0565016">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599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40FAC398">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学历</w:t>
            </w:r>
          </w:p>
        </w:tc>
        <w:tc>
          <w:tcPr>
            <w:tcW w:w="1938" w:type="dxa"/>
            <w:tcBorders>
              <w:top w:val="single" w:color="auto" w:sz="4" w:space="0"/>
              <w:left w:val="single" w:color="auto" w:sz="4" w:space="0"/>
              <w:bottom w:val="single" w:color="auto" w:sz="4" w:space="0"/>
              <w:right w:val="single" w:color="auto" w:sz="4" w:space="0"/>
            </w:tcBorders>
            <w:noWrap/>
            <w:vAlign w:val="center"/>
          </w:tcPr>
          <w:p w14:paraId="6F15E708">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4D9B0BBC">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38B8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6A23637">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资质证书编号</w:t>
            </w:r>
          </w:p>
        </w:tc>
        <w:tc>
          <w:tcPr>
            <w:tcW w:w="1938" w:type="dxa"/>
            <w:tcBorders>
              <w:top w:val="single" w:color="auto" w:sz="4" w:space="0"/>
              <w:left w:val="single" w:color="auto" w:sz="4" w:space="0"/>
              <w:bottom w:val="single" w:color="auto" w:sz="4" w:space="0"/>
              <w:right w:val="single" w:color="auto" w:sz="4" w:space="0"/>
            </w:tcBorders>
            <w:noWrap/>
            <w:vAlign w:val="center"/>
          </w:tcPr>
          <w:p w14:paraId="6DE255B7">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272868B3">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0848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7D16751E">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其他资质情况</w:t>
            </w:r>
          </w:p>
        </w:tc>
        <w:tc>
          <w:tcPr>
            <w:tcW w:w="1938" w:type="dxa"/>
            <w:tcBorders>
              <w:top w:val="single" w:color="auto" w:sz="4" w:space="0"/>
              <w:left w:val="single" w:color="auto" w:sz="4" w:space="0"/>
              <w:bottom w:val="single" w:color="auto" w:sz="4" w:space="0"/>
              <w:right w:val="single" w:color="auto" w:sz="4" w:space="0"/>
            </w:tcBorders>
            <w:noWrap/>
            <w:vAlign w:val="center"/>
          </w:tcPr>
          <w:p w14:paraId="731CC8F9">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201AEF7F">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r w14:paraId="476D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66D86C28">
            <w:pPr>
              <w:kinsoku/>
              <w:overflowPunct/>
              <w:topLinePunct w:val="0"/>
              <w:autoSpaceDE w:val="0"/>
              <w:autoSpaceDN w:val="0"/>
              <w:bidi w:val="0"/>
              <w:adjustRightInd w:val="0"/>
              <w:spacing w:line="520" w:lineRule="exact"/>
              <w:jc w:val="center"/>
              <w:rPr>
                <w:rFonts w:ascii="仿宋" w:hAnsi="仿宋" w:eastAsia="仿宋" w:cs="仿宋"/>
                <w:sz w:val="24"/>
                <w:lang w:val="zh-CN"/>
              </w:rPr>
            </w:pPr>
            <w:r>
              <w:rPr>
                <w:rFonts w:hint="eastAsia" w:ascii="仿宋" w:hAnsi="仿宋" w:eastAsia="仿宋" w:cs="仿宋"/>
                <w:sz w:val="24"/>
                <w:lang w:val="zh-CN"/>
              </w:rPr>
              <w:t>联系电话</w:t>
            </w:r>
          </w:p>
        </w:tc>
        <w:tc>
          <w:tcPr>
            <w:tcW w:w="1938" w:type="dxa"/>
            <w:tcBorders>
              <w:top w:val="single" w:color="auto" w:sz="4" w:space="0"/>
              <w:left w:val="single" w:color="auto" w:sz="4" w:space="0"/>
              <w:bottom w:val="single" w:color="auto" w:sz="4" w:space="0"/>
              <w:right w:val="single" w:color="auto" w:sz="4" w:space="0"/>
            </w:tcBorders>
            <w:noWrap/>
            <w:vAlign w:val="center"/>
          </w:tcPr>
          <w:p w14:paraId="22949AA4">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5F02A4D3">
            <w:pPr>
              <w:kinsoku/>
              <w:overflowPunct/>
              <w:topLinePunct w:val="0"/>
              <w:autoSpaceDE w:val="0"/>
              <w:autoSpaceDN w:val="0"/>
              <w:bidi w:val="0"/>
              <w:adjustRightInd w:val="0"/>
              <w:spacing w:line="520" w:lineRule="exact"/>
              <w:jc w:val="center"/>
              <w:rPr>
                <w:rFonts w:ascii="仿宋" w:hAnsi="仿宋" w:eastAsia="仿宋" w:cs="仿宋"/>
                <w:sz w:val="24"/>
                <w:lang w:val="zh-CN"/>
              </w:rPr>
            </w:pPr>
          </w:p>
        </w:tc>
      </w:tr>
    </w:tbl>
    <w:p w14:paraId="55F8E323">
      <w:pPr>
        <w:kinsoku/>
        <w:overflowPunct/>
        <w:topLinePunct w:val="0"/>
        <w:bidi w:val="0"/>
        <w:spacing w:line="520" w:lineRule="exact"/>
        <w:jc w:val="center"/>
        <w:rPr>
          <w:rFonts w:ascii="仿宋" w:hAnsi="仿宋" w:eastAsia="仿宋" w:cs="仿宋"/>
          <w:b/>
          <w:bCs/>
          <w:sz w:val="24"/>
        </w:rPr>
      </w:pPr>
    </w:p>
    <w:p w14:paraId="6B2987C3">
      <w:pPr>
        <w:kinsoku/>
        <w:overflowPunct/>
        <w:topLinePunct w:val="0"/>
        <w:bidi w:val="0"/>
        <w:spacing w:line="520" w:lineRule="exact"/>
        <w:ind w:firstLine="480" w:firstLineChars="200"/>
        <w:rPr>
          <w:rFonts w:ascii="仿宋" w:hAnsi="仿宋" w:eastAsia="仿宋" w:cs="仿宋"/>
          <w:bCs/>
          <w:sz w:val="24"/>
        </w:rPr>
      </w:pPr>
    </w:p>
    <w:p w14:paraId="39F78E7F">
      <w:pPr>
        <w:kinsoku/>
        <w:overflowPunct/>
        <w:topLinePunct w:val="0"/>
        <w:bidi w:val="0"/>
        <w:spacing w:line="520" w:lineRule="exact"/>
        <w:rPr>
          <w:rFonts w:ascii="仿宋" w:hAnsi="仿宋" w:eastAsia="仿宋" w:cs="仿宋"/>
          <w:bCs/>
          <w:sz w:val="24"/>
        </w:rPr>
      </w:pPr>
      <w:r>
        <w:rPr>
          <w:rFonts w:hint="eastAsia" w:ascii="仿宋" w:hAnsi="仿宋" w:eastAsia="仿宋" w:cs="仿宋"/>
          <w:bCs/>
          <w:sz w:val="24"/>
        </w:rPr>
        <w:t>注：1、</w:t>
      </w:r>
      <w:r>
        <w:rPr>
          <w:rFonts w:hint="eastAsia" w:ascii="仿宋" w:hAnsi="仿宋" w:eastAsia="仿宋" w:cs="仿宋"/>
          <w:sz w:val="24"/>
        </w:rPr>
        <w:t>此表仅提供了表格形式，供应商应根据需要准备足够数量的表格来填写；</w:t>
      </w:r>
    </w:p>
    <w:p w14:paraId="18CF3620">
      <w:pPr>
        <w:numPr>
          <w:ilvl w:val="0"/>
          <w:numId w:val="2"/>
        </w:numPr>
        <w:kinsoku/>
        <w:overflowPunct/>
        <w:topLinePunct w:val="0"/>
        <w:bidi w:val="0"/>
        <w:spacing w:line="520" w:lineRule="exact"/>
        <w:ind w:firstLine="480" w:firstLineChars="200"/>
        <w:rPr>
          <w:rFonts w:hint="eastAsia" w:ascii="仿宋" w:hAnsi="仿宋" w:eastAsia="仿宋" w:cs="仿宋"/>
          <w:bCs/>
          <w:sz w:val="24"/>
        </w:rPr>
      </w:pPr>
      <w:r>
        <w:rPr>
          <w:rFonts w:hint="eastAsia" w:ascii="仿宋" w:hAnsi="仿宋" w:eastAsia="仿宋" w:cs="仿宋"/>
          <w:bCs/>
          <w:sz w:val="24"/>
        </w:rPr>
        <w:t>请附</w:t>
      </w:r>
      <w:r>
        <w:rPr>
          <w:rFonts w:hint="eastAsia" w:ascii="仿宋" w:hAnsi="仿宋" w:eastAsia="仿宋" w:cs="仿宋"/>
          <w:sz w:val="24"/>
          <w:lang w:val="zh-CN"/>
        </w:rPr>
        <w:t>随表</w:t>
      </w:r>
      <w:r>
        <w:rPr>
          <w:rFonts w:hint="eastAsia" w:ascii="仿宋" w:hAnsi="仿宋" w:eastAsia="仿宋" w:cs="仿宋"/>
          <w:bCs/>
          <w:sz w:val="24"/>
        </w:rPr>
        <w:t>相应证书、身份证复印件等（加盖公章）。</w:t>
      </w:r>
    </w:p>
    <w:p w14:paraId="062483DC">
      <w:pPr>
        <w:numPr>
          <w:ilvl w:val="0"/>
          <w:numId w:val="0"/>
        </w:numPr>
        <w:kinsoku/>
        <w:overflowPunct/>
        <w:topLinePunct w:val="0"/>
        <w:bidi w:val="0"/>
        <w:spacing w:line="520" w:lineRule="exact"/>
        <w:ind w:firstLine="480" w:firstLineChars="200"/>
        <w:rPr>
          <w:rFonts w:hint="eastAsia" w:ascii="仿宋" w:hAnsi="仿宋" w:eastAsia="仿宋" w:cs="宋体"/>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bCs/>
          <w:sz w:val="24"/>
        </w:rPr>
        <w:t>3、项目负责人</w:t>
      </w:r>
      <w:r>
        <w:rPr>
          <w:rFonts w:hint="eastAsia" w:ascii="仿宋" w:hAnsi="仿宋" w:eastAsia="仿宋" w:cs="仿宋"/>
          <w:kern w:val="0"/>
          <w:sz w:val="24"/>
        </w:rPr>
        <w:t>参加供应商社会保险的证明。</w:t>
      </w:r>
    </w:p>
    <w:p w14:paraId="51952D53">
      <w:pPr>
        <w:kinsoku/>
        <w:overflowPunct/>
        <w:topLinePunct w:val="0"/>
        <w:bidi w:val="0"/>
        <w:spacing w:line="520" w:lineRule="exact"/>
        <w:jc w:val="center"/>
        <w:rPr>
          <w:rFonts w:ascii="仿宋" w:hAnsi="仿宋" w:eastAsia="仿宋" w:cs="仿宋"/>
          <w:b/>
          <w:bCs/>
          <w:sz w:val="24"/>
        </w:rPr>
      </w:pPr>
      <w:r>
        <w:rPr>
          <w:rFonts w:hint="eastAsia" w:ascii="仿宋" w:hAnsi="仿宋" w:eastAsia="仿宋" w:cs="仿宋"/>
          <w:b/>
          <w:bCs/>
          <w:sz w:val="24"/>
        </w:rPr>
        <w:t>（项目团队，除项目负责人以外的配备人员）</w:t>
      </w:r>
    </w:p>
    <w:p w14:paraId="31262159">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7D95B1">
      <w:pPr>
        <w:kinsoku/>
        <w:overflowPunct/>
        <w:topLinePunct w:val="0"/>
        <w:bidi w:val="0"/>
        <w:spacing w:line="520" w:lineRule="exact"/>
        <w:rPr>
          <w:rFonts w:ascii="仿宋" w:hAnsi="仿宋" w:eastAsia="仿宋" w:cs="仿宋"/>
          <w:b/>
          <w:sz w:val="24"/>
        </w:rPr>
      </w:pPr>
      <w:r>
        <w:rPr>
          <w:rFonts w:hint="eastAsia" w:ascii="仿宋" w:hAnsi="仿宋" w:eastAsia="仿宋" w:cs="仿宋"/>
          <w:sz w:val="24"/>
        </w:rPr>
        <w:t>项目编号：</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28"/>
        <w:gridCol w:w="696"/>
        <w:gridCol w:w="911"/>
        <w:gridCol w:w="1316"/>
        <w:gridCol w:w="1316"/>
        <w:gridCol w:w="1481"/>
        <w:gridCol w:w="1978"/>
      </w:tblGrid>
      <w:tr w14:paraId="43F6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344" w:type="pct"/>
            <w:noWrap/>
            <w:vAlign w:val="center"/>
          </w:tcPr>
          <w:p w14:paraId="520BF31C">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序号</w:t>
            </w:r>
          </w:p>
        </w:tc>
        <w:tc>
          <w:tcPr>
            <w:tcW w:w="645" w:type="pct"/>
            <w:noWrap/>
            <w:vAlign w:val="center"/>
          </w:tcPr>
          <w:p w14:paraId="23AA9BBC">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姓名</w:t>
            </w:r>
          </w:p>
        </w:tc>
        <w:tc>
          <w:tcPr>
            <w:tcW w:w="338" w:type="pct"/>
            <w:noWrap/>
            <w:vAlign w:val="center"/>
          </w:tcPr>
          <w:p w14:paraId="3A7E7364">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性别</w:t>
            </w:r>
          </w:p>
        </w:tc>
        <w:tc>
          <w:tcPr>
            <w:tcW w:w="480" w:type="pct"/>
            <w:noWrap/>
            <w:vAlign w:val="center"/>
          </w:tcPr>
          <w:p w14:paraId="67D4E992">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年龄</w:t>
            </w:r>
          </w:p>
        </w:tc>
        <w:tc>
          <w:tcPr>
            <w:tcW w:w="690" w:type="pct"/>
            <w:noWrap/>
            <w:vAlign w:val="center"/>
          </w:tcPr>
          <w:p w14:paraId="31876B8A">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学历</w:t>
            </w:r>
          </w:p>
        </w:tc>
        <w:tc>
          <w:tcPr>
            <w:tcW w:w="690" w:type="pct"/>
            <w:noWrap/>
            <w:vAlign w:val="center"/>
          </w:tcPr>
          <w:p w14:paraId="452711E9">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专业</w:t>
            </w:r>
          </w:p>
        </w:tc>
        <w:tc>
          <w:tcPr>
            <w:tcW w:w="776" w:type="pct"/>
            <w:noWrap/>
            <w:vAlign w:val="center"/>
          </w:tcPr>
          <w:p w14:paraId="308B617B">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职称</w:t>
            </w:r>
          </w:p>
        </w:tc>
        <w:tc>
          <w:tcPr>
            <w:tcW w:w="1034" w:type="pct"/>
            <w:noWrap/>
            <w:vAlign w:val="center"/>
          </w:tcPr>
          <w:p w14:paraId="77037713">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本项目中的职责</w:t>
            </w:r>
          </w:p>
        </w:tc>
      </w:tr>
      <w:tr w14:paraId="48FE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344" w:type="pct"/>
            <w:noWrap/>
            <w:vAlign w:val="center"/>
          </w:tcPr>
          <w:p w14:paraId="3D82D60A">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114A0A55">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267B4809">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162E5FA5">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5A2C5B0E">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1A8EFE16">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204113A7">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3127D77B">
            <w:pPr>
              <w:kinsoku/>
              <w:overflowPunct/>
              <w:topLinePunct w:val="0"/>
              <w:bidi w:val="0"/>
              <w:spacing w:line="520" w:lineRule="exact"/>
              <w:jc w:val="center"/>
              <w:rPr>
                <w:rFonts w:ascii="仿宋" w:hAnsi="仿宋" w:eastAsia="仿宋" w:cs="仿宋"/>
                <w:szCs w:val="28"/>
              </w:rPr>
            </w:pPr>
          </w:p>
        </w:tc>
      </w:tr>
      <w:tr w14:paraId="0C6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1460ECEE">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5094D05F">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52A68D7D">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51B3BFFD">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34D2949A">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639432E8">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73CD01A8">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0736E977">
            <w:pPr>
              <w:kinsoku/>
              <w:overflowPunct/>
              <w:topLinePunct w:val="0"/>
              <w:bidi w:val="0"/>
              <w:spacing w:line="520" w:lineRule="exact"/>
              <w:jc w:val="center"/>
              <w:rPr>
                <w:rFonts w:ascii="仿宋" w:hAnsi="仿宋" w:eastAsia="仿宋" w:cs="仿宋"/>
                <w:szCs w:val="28"/>
              </w:rPr>
            </w:pPr>
          </w:p>
        </w:tc>
      </w:tr>
      <w:tr w14:paraId="3BD7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5A604587">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25061EB2">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00FBA400">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65A02BB3">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6AEB5A90">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0F2C492A">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0C5FFA7E">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69A7D8D4">
            <w:pPr>
              <w:kinsoku/>
              <w:overflowPunct/>
              <w:topLinePunct w:val="0"/>
              <w:bidi w:val="0"/>
              <w:spacing w:line="520" w:lineRule="exact"/>
              <w:jc w:val="center"/>
              <w:rPr>
                <w:rFonts w:ascii="仿宋" w:hAnsi="仿宋" w:eastAsia="仿宋" w:cs="仿宋"/>
                <w:szCs w:val="28"/>
              </w:rPr>
            </w:pPr>
          </w:p>
        </w:tc>
      </w:tr>
      <w:tr w14:paraId="09A8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ED3C2C2">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73D80E34">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7B38F6B4">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34B70132">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2AD97A0C">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4ECF9670">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5F94C889">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0E44F765">
            <w:pPr>
              <w:kinsoku/>
              <w:overflowPunct/>
              <w:topLinePunct w:val="0"/>
              <w:bidi w:val="0"/>
              <w:spacing w:line="520" w:lineRule="exact"/>
              <w:jc w:val="center"/>
              <w:rPr>
                <w:rFonts w:ascii="仿宋" w:hAnsi="仿宋" w:eastAsia="仿宋" w:cs="仿宋"/>
                <w:szCs w:val="28"/>
              </w:rPr>
            </w:pPr>
          </w:p>
        </w:tc>
      </w:tr>
      <w:tr w14:paraId="67F2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7E76803E">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4BB51FB4">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40FF49E6">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2BF3EC5D">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017DC81B">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0FD4223C">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26AEFF03">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7921F1C8">
            <w:pPr>
              <w:kinsoku/>
              <w:overflowPunct/>
              <w:topLinePunct w:val="0"/>
              <w:bidi w:val="0"/>
              <w:spacing w:line="520" w:lineRule="exact"/>
              <w:jc w:val="center"/>
              <w:rPr>
                <w:rFonts w:ascii="仿宋" w:hAnsi="仿宋" w:eastAsia="仿宋" w:cs="仿宋"/>
                <w:szCs w:val="28"/>
              </w:rPr>
            </w:pPr>
          </w:p>
        </w:tc>
      </w:tr>
      <w:tr w14:paraId="4FD1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7505A26">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0B245F36">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68EF5E1C">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59A75564">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309AB140">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634244CF">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5269C097">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53E51DB5">
            <w:pPr>
              <w:kinsoku/>
              <w:overflowPunct/>
              <w:topLinePunct w:val="0"/>
              <w:bidi w:val="0"/>
              <w:spacing w:line="520" w:lineRule="exact"/>
              <w:jc w:val="center"/>
              <w:rPr>
                <w:rFonts w:ascii="仿宋" w:hAnsi="仿宋" w:eastAsia="仿宋" w:cs="仿宋"/>
                <w:szCs w:val="28"/>
              </w:rPr>
            </w:pPr>
          </w:p>
        </w:tc>
      </w:tr>
      <w:tr w14:paraId="4EC8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0B54CB3E">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3C013156">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74E431DD">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468AED28">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21A543D2">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19D8A8FC">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0F1BD782">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2020F067">
            <w:pPr>
              <w:kinsoku/>
              <w:overflowPunct/>
              <w:topLinePunct w:val="0"/>
              <w:bidi w:val="0"/>
              <w:spacing w:line="520" w:lineRule="exact"/>
              <w:jc w:val="center"/>
              <w:rPr>
                <w:rFonts w:ascii="仿宋" w:hAnsi="仿宋" w:eastAsia="仿宋" w:cs="仿宋"/>
                <w:szCs w:val="28"/>
              </w:rPr>
            </w:pPr>
          </w:p>
        </w:tc>
      </w:tr>
      <w:tr w14:paraId="5E4E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5CD2E291">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52E90801">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6425C074">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2E481B6E">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4C8B63E1">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21997AE6">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459F3A86">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5C1F081A">
            <w:pPr>
              <w:kinsoku/>
              <w:overflowPunct/>
              <w:topLinePunct w:val="0"/>
              <w:bidi w:val="0"/>
              <w:spacing w:line="520" w:lineRule="exact"/>
              <w:jc w:val="center"/>
              <w:rPr>
                <w:rFonts w:ascii="仿宋" w:hAnsi="仿宋" w:eastAsia="仿宋" w:cs="仿宋"/>
                <w:szCs w:val="28"/>
              </w:rPr>
            </w:pPr>
          </w:p>
        </w:tc>
      </w:tr>
      <w:tr w14:paraId="4E99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0377D792">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28D4E40E">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4F64309D">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7B55511C">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21132363">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25E2D3BD">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0FF77364">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484EC285">
            <w:pPr>
              <w:kinsoku/>
              <w:overflowPunct/>
              <w:topLinePunct w:val="0"/>
              <w:bidi w:val="0"/>
              <w:spacing w:line="520" w:lineRule="exact"/>
              <w:jc w:val="center"/>
              <w:rPr>
                <w:rFonts w:ascii="仿宋" w:hAnsi="仿宋" w:eastAsia="仿宋" w:cs="仿宋"/>
                <w:szCs w:val="28"/>
              </w:rPr>
            </w:pPr>
          </w:p>
        </w:tc>
      </w:tr>
      <w:tr w14:paraId="3F2F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12FC27FD">
            <w:pPr>
              <w:kinsoku/>
              <w:overflowPunct/>
              <w:topLinePunct w:val="0"/>
              <w:bidi w:val="0"/>
              <w:spacing w:line="520" w:lineRule="exact"/>
              <w:jc w:val="center"/>
              <w:rPr>
                <w:rFonts w:ascii="仿宋" w:hAnsi="仿宋" w:eastAsia="仿宋" w:cs="仿宋"/>
                <w:szCs w:val="28"/>
              </w:rPr>
            </w:pPr>
          </w:p>
        </w:tc>
        <w:tc>
          <w:tcPr>
            <w:tcW w:w="645" w:type="pct"/>
            <w:noWrap/>
            <w:vAlign w:val="center"/>
          </w:tcPr>
          <w:p w14:paraId="4ADF55F7">
            <w:pPr>
              <w:kinsoku/>
              <w:overflowPunct/>
              <w:topLinePunct w:val="0"/>
              <w:bidi w:val="0"/>
              <w:spacing w:line="520" w:lineRule="exact"/>
              <w:jc w:val="center"/>
              <w:rPr>
                <w:rFonts w:ascii="仿宋" w:hAnsi="仿宋" w:eastAsia="仿宋" w:cs="仿宋"/>
                <w:szCs w:val="28"/>
              </w:rPr>
            </w:pPr>
          </w:p>
        </w:tc>
        <w:tc>
          <w:tcPr>
            <w:tcW w:w="338" w:type="pct"/>
            <w:noWrap/>
            <w:vAlign w:val="center"/>
          </w:tcPr>
          <w:p w14:paraId="75005AD8">
            <w:pPr>
              <w:kinsoku/>
              <w:overflowPunct/>
              <w:topLinePunct w:val="0"/>
              <w:bidi w:val="0"/>
              <w:spacing w:line="520" w:lineRule="exact"/>
              <w:jc w:val="center"/>
              <w:rPr>
                <w:rFonts w:ascii="仿宋" w:hAnsi="仿宋" w:eastAsia="仿宋" w:cs="仿宋"/>
                <w:szCs w:val="28"/>
              </w:rPr>
            </w:pPr>
          </w:p>
        </w:tc>
        <w:tc>
          <w:tcPr>
            <w:tcW w:w="480" w:type="pct"/>
            <w:noWrap/>
            <w:vAlign w:val="center"/>
          </w:tcPr>
          <w:p w14:paraId="2581A726">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13CC9AAB">
            <w:pPr>
              <w:kinsoku/>
              <w:overflowPunct/>
              <w:topLinePunct w:val="0"/>
              <w:bidi w:val="0"/>
              <w:spacing w:line="520" w:lineRule="exact"/>
              <w:jc w:val="center"/>
              <w:rPr>
                <w:rFonts w:ascii="仿宋" w:hAnsi="仿宋" w:eastAsia="仿宋" w:cs="仿宋"/>
                <w:szCs w:val="28"/>
              </w:rPr>
            </w:pPr>
          </w:p>
        </w:tc>
        <w:tc>
          <w:tcPr>
            <w:tcW w:w="690" w:type="pct"/>
            <w:noWrap/>
            <w:vAlign w:val="center"/>
          </w:tcPr>
          <w:p w14:paraId="35B72FE6">
            <w:pPr>
              <w:kinsoku/>
              <w:overflowPunct/>
              <w:topLinePunct w:val="0"/>
              <w:bidi w:val="0"/>
              <w:spacing w:line="520" w:lineRule="exact"/>
              <w:jc w:val="center"/>
              <w:rPr>
                <w:rFonts w:ascii="仿宋" w:hAnsi="仿宋" w:eastAsia="仿宋" w:cs="仿宋"/>
                <w:szCs w:val="28"/>
              </w:rPr>
            </w:pPr>
          </w:p>
        </w:tc>
        <w:tc>
          <w:tcPr>
            <w:tcW w:w="776" w:type="pct"/>
            <w:noWrap/>
            <w:vAlign w:val="center"/>
          </w:tcPr>
          <w:p w14:paraId="313531CB">
            <w:pPr>
              <w:kinsoku/>
              <w:overflowPunct/>
              <w:topLinePunct w:val="0"/>
              <w:bidi w:val="0"/>
              <w:spacing w:line="520" w:lineRule="exact"/>
              <w:jc w:val="center"/>
              <w:rPr>
                <w:rFonts w:ascii="仿宋" w:hAnsi="仿宋" w:eastAsia="仿宋" w:cs="仿宋"/>
                <w:szCs w:val="28"/>
              </w:rPr>
            </w:pPr>
          </w:p>
        </w:tc>
        <w:tc>
          <w:tcPr>
            <w:tcW w:w="1034" w:type="pct"/>
            <w:noWrap/>
            <w:vAlign w:val="center"/>
          </w:tcPr>
          <w:p w14:paraId="5E890ED4">
            <w:pPr>
              <w:kinsoku/>
              <w:overflowPunct/>
              <w:topLinePunct w:val="0"/>
              <w:bidi w:val="0"/>
              <w:spacing w:line="520" w:lineRule="exact"/>
              <w:jc w:val="center"/>
              <w:rPr>
                <w:rFonts w:ascii="仿宋" w:hAnsi="仿宋" w:eastAsia="仿宋" w:cs="仿宋"/>
                <w:szCs w:val="28"/>
              </w:rPr>
            </w:pPr>
          </w:p>
        </w:tc>
      </w:tr>
    </w:tbl>
    <w:p w14:paraId="366DBC34">
      <w:pPr>
        <w:tabs>
          <w:tab w:val="left" w:pos="3654"/>
        </w:tabs>
        <w:kinsoku/>
        <w:overflowPunct/>
        <w:topLinePunct w:val="0"/>
        <w:bidi w:val="0"/>
        <w:spacing w:line="520" w:lineRule="exact"/>
        <w:rPr>
          <w:rFonts w:ascii="仿宋" w:hAnsi="仿宋" w:eastAsia="仿宋" w:cs="仿宋"/>
          <w:sz w:val="24"/>
        </w:rPr>
      </w:pPr>
    </w:p>
    <w:p w14:paraId="7734EC69">
      <w:pPr>
        <w:tabs>
          <w:tab w:val="left" w:pos="3654"/>
        </w:tabs>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法定代表人或其授权代理人签名或盖章：</w:t>
      </w:r>
    </w:p>
    <w:p w14:paraId="2064CBA3">
      <w:pPr>
        <w:tabs>
          <w:tab w:val="left" w:pos="3654"/>
        </w:tabs>
        <w:kinsoku/>
        <w:overflowPunct/>
        <w:topLinePunct w:val="0"/>
        <w:bidi w:val="0"/>
        <w:spacing w:line="520" w:lineRule="exact"/>
        <w:rPr>
          <w:rFonts w:ascii="仿宋" w:hAnsi="仿宋" w:eastAsia="仿宋" w:cs="仿宋"/>
          <w:sz w:val="24"/>
        </w:rPr>
      </w:pPr>
    </w:p>
    <w:p w14:paraId="3D53AB76">
      <w:pPr>
        <w:tabs>
          <w:tab w:val="left" w:pos="3654"/>
        </w:tabs>
        <w:kinsoku/>
        <w:overflowPunct/>
        <w:topLinePunct w:val="0"/>
        <w:bidi w:val="0"/>
        <w:spacing w:line="520" w:lineRule="exact"/>
        <w:rPr>
          <w:rFonts w:ascii="仿宋" w:hAnsi="仿宋" w:eastAsia="仿宋" w:cs="仿宋"/>
          <w:sz w:val="24"/>
        </w:rPr>
      </w:pPr>
      <w:r>
        <w:rPr>
          <w:rFonts w:hint="eastAsia" w:ascii="仿宋" w:hAnsi="仿宋" w:eastAsia="仿宋" w:cs="仿宋"/>
          <w:sz w:val="24"/>
        </w:rPr>
        <w:t>日期：    年  月  日</w:t>
      </w:r>
    </w:p>
    <w:p w14:paraId="17C94FD0">
      <w:pPr>
        <w:kinsoku/>
        <w:overflowPunct/>
        <w:topLinePunct w:val="0"/>
        <w:bidi w:val="0"/>
        <w:spacing w:line="520" w:lineRule="exact"/>
        <w:rPr>
          <w:rFonts w:ascii="仿宋" w:hAnsi="仿宋" w:eastAsia="仿宋" w:cs="仿宋"/>
          <w:bCs/>
          <w:sz w:val="24"/>
        </w:rPr>
      </w:pPr>
    </w:p>
    <w:p w14:paraId="1B0F39FD">
      <w:pPr>
        <w:kinsoku/>
        <w:overflowPunct/>
        <w:topLinePunct w:val="0"/>
        <w:bidi w:val="0"/>
        <w:spacing w:line="520" w:lineRule="exact"/>
        <w:jc w:val="left"/>
        <w:outlineLvl w:val="9"/>
        <w:rPr>
          <w:rFonts w:hint="eastAsia" w:ascii="仿宋" w:hAnsi="仿宋" w:eastAsia="仿宋" w:cs="仿宋"/>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bCs/>
          <w:sz w:val="24"/>
        </w:rPr>
        <w:t>注：1、</w:t>
      </w:r>
      <w:r>
        <w:rPr>
          <w:rFonts w:hint="eastAsia" w:ascii="仿宋" w:hAnsi="仿宋" w:eastAsia="仿宋" w:cs="仿宋"/>
          <w:sz w:val="24"/>
        </w:rPr>
        <w:t>此表仅提供了表格形式，供应商应根据需要准备足够数量的表格来填写；</w:t>
      </w:r>
    </w:p>
    <w:p w14:paraId="3A9A7116">
      <w:pPr>
        <w:kinsoku/>
        <w:overflowPunct/>
        <w:topLinePunct w:val="0"/>
        <w:bidi w:val="0"/>
        <w:spacing w:line="520" w:lineRule="exact"/>
        <w:jc w:val="center"/>
        <w:outlineLvl w:val="1"/>
        <w:rPr>
          <w:rFonts w:ascii="仿宋" w:hAnsi="仿宋" w:eastAsia="仿宋" w:cs="宋体"/>
          <w:b/>
          <w:bCs/>
          <w:sz w:val="28"/>
          <w:szCs w:val="28"/>
        </w:rPr>
      </w:pPr>
      <w:r>
        <w:rPr>
          <w:rFonts w:hint="eastAsia" w:ascii="仿宋" w:hAnsi="仿宋" w:eastAsia="仿宋" w:cs="宋体"/>
          <w:b/>
          <w:bCs/>
          <w:sz w:val="28"/>
          <w:szCs w:val="28"/>
        </w:rPr>
        <w:t>10、商务响应表</w:t>
      </w:r>
    </w:p>
    <w:p w14:paraId="02BF09A6">
      <w:pPr>
        <w:pStyle w:val="35"/>
        <w:kinsoku/>
        <w:overflowPunct/>
        <w:topLinePunct w:val="0"/>
        <w:bidi w:val="0"/>
        <w:spacing w:line="520" w:lineRule="exact"/>
        <w:rPr>
          <w:rFonts w:ascii="仿宋" w:hAnsi="仿宋" w:eastAsia="仿宋"/>
          <w:color w:val="auto"/>
        </w:rPr>
      </w:pPr>
      <w:r>
        <w:rPr>
          <w:rFonts w:hint="eastAsia" w:ascii="仿宋" w:hAnsi="仿宋" w:eastAsia="仿宋"/>
          <w:color w:val="auto"/>
        </w:rPr>
        <w:t xml:space="preserve">供应商全称（加盖公章）： </w:t>
      </w:r>
    </w:p>
    <w:p w14:paraId="249AB5A9">
      <w:pPr>
        <w:kinsoku/>
        <w:overflowPunct/>
        <w:topLinePunct w:val="0"/>
        <w:bidi w:val="0"/>
        <w:spacing w:line="520" w:lineRule="exact"/>
        <w:jc w:val="left"/>
        <w:rPr>
          <w:rFonts w:hint="eastAsia" w:ascii="仿宋" w:hAnsi="仿宋" w:eastAsia="仿宋" w:cs="宋体"/>
          <w:sz w:val="24"/>
          <w:lang w:eastAsia="zh-CN"/>
        </w:rPr>
      </w:pPr>
      <w:r>
        <w:rPr>
          <w:rFonts w:hint="eastAsia" w:ascii="仿宋" w:hAnsi="仿宋" w:eastAsia="仿宋" w:cs="宋体"/>
          <w:sz w:val="24"/>
        </w:rPr>
        <w:t>项目名称：</w:t>
      </w:r>
      <w:r>
        <w:rPr>
          <w:rFonts w:hint="eastAsia" w:ascii="仿宋" w:hAnsi="仿宋" w:eastAsia="仿宋" w:cs="宋体"/>
          <w:sz w:val="24"/>
          <w:lang w:eastAsia="zh-CN"/>
        </w:rPr>
        <w:t>垃圾清运设施辅助管理服务项目</w:t>
      </w:r>
    </w:p>
    <w:p w14:paraId="0543F4D6">
      <w:pPr>
        <w:pStyle w:val="46"/>
        <w:kinsoku/>
        <w:overflowPunct/>
        <w:topLinePunct w:val="0"/>
        <w:bidi w:val="0"/>
        <w:spacing w:line="520" w:lineRule="exact"/>
        <w:rPr>
          <w:rFonts w:ascii="仿宋" w:hAnsi="仿宋" w:eastAsia="仿宋" w:cs="宋体"/>
          <w:kern w:val="0"/>
          <w:sz w:val="24"/>
        </w:rPr>
      </w:pPr>
    </w:p>
    <w:tbl>
      <w:tblPr>
        <w:tblStyle w:val="26"/>
        <w:tblW w:w="9005" w:type="dxa"/>
        <w:tblInd w:w="-3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81"/>
        <w:gridCol w:w="2177"/>
        <w:gridCol w:w="1905"/>
        <w:gridCol w:w="2042"/>
      </w:tblGrid>
      <w:tr w14:paraId="1F142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881" w:type="dxa"/>
            <w:tcBorders>
              <w:top w:val="single" w:color="auto" w:sz="4" w:space="0"/>
              <w:left w:val="single" w:color="auto" w:sz="4" w:space="0"/>
              <w:bottom w:val="single" w:color="auto" w:sz="4" w:space="0"/>
              <w:right w:val="single" w:color="auto" w:sz="4" w:space="0"/>
            </w:tcBorders>
            <w:vAlign w:val="center"/>
          </w:tcPr>
          <w:p w14:paraId="68C9979B">
            <w:pPr>
              <w:kinsoku/>
              <w:overflowPunct/>
              <w:topLinePunct w:val="0"/>
              <w:bidi w:val="0"/>
              <w:snapToGrid w:val="0"/>
              <w:spacing w:before="120" w:beforeLines="50" w:line="520" w:lineRule="exact"/>
              <w:jc w:val="center"/>
              <w:rPr>
                <w:rFonts w:ascii="仿宋" w:hAnsi="仿宋" w:eastAsia="仿宋" w:cs="仿宋"/>
                <w:sz w:val="24"/>
                <w:szCs w:val="20"/>
              </w:rPr>
            </w:pPr>
            <w:r>
              <w:rPr>
                <w:rFonts w:hint="eastAsia" w:ascii="仿宋" w:hAnsi="仿宋" w:eastAsia="仿宋" w:cs="仿宋"/>
                <w:sz w:val="24"/>
              </w:rPr>
              <w:t>项目</w:t>
            </w:r>
          </w:p>
        </w:tc>
        <w:tc>
          <w:tcPr>
            <w:tcW w:w="2177" w:type="dxa"/>
            <w:tcBorders>
              <w:top w:val="single" w:color="auto" w:sz="4" w:space="0"/>
              <w:left w:val="single" w:color="auto" w:sz="4" w:space="0"/>
              <w:bottom w:val="single" w:color="auto" w:sz="4" w:space="0"/>
              <w:right w:val="single" w:color="auto" w:sz="4" w:space="0"/>
            </w:tcBorders>
            <w:vAlign w:val="center"/>
          </w:tcPr>
          <w:p w14:paraId="172E1BC3">
            <w:pPr>
              <w:kinsoku/>
              <w:overflowPunct/>
              <w:topLinePunct w:val="0"/>
              <w:bidi w:val="0"/>
              <w:snapToGrid w:val="0"/>
              <w:spacing w:before="120" w:beforeLines="50" w:line="520" w:lineRule="exact"/>
              <w:jc w:val="center"/>
              <w:rPr>
                <w:rFonts w:ascii="仿宋" w:hAnsi="仿宋" w:eastAsia="仿宋" w:cs="仿宋"/>
                <w:sz w:val="24"/>
                <w:szCs w:val="20"/>
              </w:rPr>
            </w:pPr>
            <w:r>
              <w:rPr>
                <w:rFonts w:hint="eastAsia" w:ascii="仿宋" w:hAnsi="仿宋" w:eastAsia="仿宋" w:cs="仿宋"/>
                <w:sz w:val="24"/>
              </w:rPr>
              <w:t>招标文件要求</w:t>
            </w:r>
          </w:p>
        </w:tc>
        <w:tc>
          <w:tcPr>
            <w:tcW w:w="1905" w:type="dxa"/>
            <w:tcBorders>
              <w:top w:val="single" w:color="auto" w:sz="4" w:space="0"/>
              <w:left w:val="single" w:color="auto" w:sz="4" w:space="0"/>
              <w:bottom w:val="single" w:color="auto" w:sz="4" w:space="0"/>
              <w:right w:val="single" w:color="auto" w:sz="4" w:space="0"/>
            </w:tcBorders>
            <w:vAlign w:val="center"/>
          </w:tcPr>
          <w:p w14:paraId="6F5B991F">
            <w:pPr>
              <w:kinsoku/>
              <w:overflowPunct/>
              <w:topLinePunct w:val="0"/>
              <w:bidi w:val="0"/>
              <w:snapToGrid w:val="0"/>
              <w:spacing w:before="120" w:beforeLines="50" w:line="520" w:lineRule="exact"/>
              <w:jc w:val="center"/>
              <w:rPr>
                <w:rFonts w:ascii="仿宋" w:hAnsi="仿宋" w:eastAsia="仿宋" w:cs="仿宋"/>
                <w:sz w:val="24"/>
                <w:szCs w:val="20"/>
              </w:rPr>
            </w:pPr>
            <w:r>
              <w:rPr>
                <w:rFonts w:hint="eastAsia" w:ascii="仿宋" w:hAnsi="仿宋" w:eastAsia="仿宋" w:cs="仿宋"/>
                <w:sz w:val="24"/>
              </w:rPr>
              <w:t>是否响应</w:t>
            </w:r>
          </w:p>
        </w:tc>
        <w:tc>
          <w:tcPr>
            <w:tcW w:w="2042" w:type="dxa"/>
            <w:tcBorders>
              <w:top w:val="single" w:color="auto" w:sz="4" w:space="0"/>
              <w:left w:val="single" w:color="auto" w:sz="4" w:space="0"/>
              <w:bottom w:val="single" w:color="auto" w:sz="4" w:space="0"/>
              <w:right w:val="single" w:color="auto" w:sz="4" w:space="0"/>
            </w:tcBorders>
            <w:vAlign w:val="center"/>
          </w:tcPr>
          <w:p w14:paraId="12194861">
            <w:pPr>
              <w:kinsoku/>
              <w:overflowPunct/>
              <w:topLinePunct w:val="0"/>
              <w:bidi w:val="0"/>
              <w:snapToGrid w:val="0"/>
              <w:spacing w:before="120" w:beforeLines="50" w:line="520" w:lineRule="exact"/>
              <w:jc w:val="center"/>
              <w:rPr>
                <w:rFonts w:ascii="仿宋" w:hAnsi="仿宋" w:eastAsia="仿宋" w:cs="仿宋"/>
                <w:sz w:val="24"/>
                <w:szCs w:val="20"/>
              </w:rPr>
            </w:pPr>
            <w:r>
              <w:rPr>
                <w:rFonts w:hint="eastAsia" w:ascii="仿宋" w:hAnsi="仿宋" w:eastAsia="仿宋" w:cs="仿宋"/>
                <w:sz w:val="24"/>
              </w:rPr>
              <w:t>供应商的承诺或说明或优化方案</w:t>
            </w:r>
          </w:p>
        </w:tc>
      </w:tr>
      <w:tr w14:paraId="78587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881" w:type="dxa"/>
            <w:tcBorders>
              <w:top w:val="single" w:color="auto" w:sz="4" w:space="0"/>
              <w:left w:val="single" w:color="auto" w:sz="4" w:space="0"/>
              <w:bottom w:val="single" w:color="auto" w:sz="4" w:space="0"/>
              <w:right w:val="single" w:color="auto" w:sz="4" w:space="0"/>
            </w:tcBorders>
            <w:vAlign w:val="center"/>
          </w:tcPr>
          <w:p w14:paraId="39C4F38A">
            <w:pPr>
              <w:kinsoku/>
              <w:overflowPunct/>
              <w:topLinePunct w:val="0"/>
              <w:bidi w:val="0"/>
              <w:snapToGrid w:val="0"/>
              <w:spacing w:line="520" w:lineRule="exact"/>
              <w:jc w:val="center"/>
              <w:rPr>
                <w:rFonts w:ascii="仿宋" w:hAnsi="仿宋" w:eastAsia="仿宋" w:cs="仿宋"/>
                <w:sz w:val="24"/>
                <w:szCs w:val="20"/>
              </w:rPr>
            </w:pPr>
            <w:r>
              <w:rPr>
                <w:rFonts w:hint="eastAsia" w:ascii="仿宋" w:hAnsi="仿宋" w:eastAsia="仿宋" w:cs="仿宋"/>
                <w:sz w:val="24"/>
              </w:rPr>
              <w:t>服务期</w:t>
            </w:r>
          </w:p>
        </w:tc>
        <w:tc>
          <w:tcPr>
            <w:tcW w:w="2177" w:type="dxa"/>
            <w:tcBorders>
              <w:top w:val="single" w:color="auto" w:sz="4" w:space="0"/>
              <w:left w:val="single" w:color="auto" w:sz="4" w:space="0"/>
              <w:bottom w:val="single" w:color="auto" w:sz="4" w:space="0"/>
              <w:right w:val="single" w:color="auto" w:sz="4" w:space="0"/>
            </w:tcBorders>
            <w:vAlign w:val="center"/>
          </w:tcPr>
          <w:p w14:paraId="1F824FF1">
            <w:pPr>
              <w:kinsoku/>
              <w:overflowPunct/>
              <w:topLinePunct w:val="0"/>
              <w:bidi w:val="0"/>
              <w:snapToGrid w:val="0"/>
              <w:spacing w:line="520" w:lineRule="exact"/>
              <w:jc w:val="center"/>
              <w:rPr>
                <w:rFonts w:ascii="仿宋" w:hAnsi="仿宋" w:eastAsia="仿宋" w:cs="仿宋"/>
                <w:sz w:val="24"/>
              </w:rPr>
            </w:pPr>
          </w:p>
        </w:tc>
        <w:tc>
          <w:tcPr>
            <w:tcW w:w="1905" w:type="dxa"/>
            <w:tcBorders>
              <w:top w:val="single" w:color="auto" w:sz="4" w:space="0"/>
              <w:left w:val="single" w:color="auto" w:sz="4" w:space="0"/>
              <w:bottom w:val="single" w:color="auto" w:sz="4" w:space="0"/>
              <w:right w:val="single" w:color="auto" w:sz="4" w:space="0"/>
            </w:tcBorders>
            <w:vAlign w:val="center"/>
          </w:tcPr>
          <w:p w14:paraId="0AA7D9E3">
            <w:pPr>
              <w:kinsoku/>
              <w:overflowPunct/>
              <w:topLinePunct w:val="0"/>
              <w:bidi w:val="0"/>
              <w:snapToGrid w:val="0"/>
              <w:spacing w:before="120" w:beforeLines="50" w:line="520" w:lineRule="exact"/>
              <w:jc w:val="center"/>
              <w:rPr>
                <w:rFonts w:ascii="仿宋" w:hAnsi="仿宋" w:eastAsia="仿宋" w:cs="仿宋"/>
                <w:sz w:val="24"/>
                <w:szCs w:val="20"/>
              </w:rPr>
            </w:pPr>
          </w:p>
        </w:tc>
        <w:tc>
          <w:tcPr>
            <w:tcW w:w="2042" w:type="dxa"/>
            <w:tcBorders>
              <w:top w:val="single" w:color="auto" w:sz="4" w:space="0"/>
              <w:left w:val="single" w:color="auto" w:sz="4" w:space="0"/>
              <w:bottom w:val="single" w:color="auto" w:sz="4" w:space="0"/>
              <w:right w:val="single" w:color="auto" w:sz="4" w:space="0"/>
            </w:tcBorders>
            <w:vAlign w:val="center"/>
          </w:tcPr>
          <w:p w14:paraId="6A917E26">
            <w:pPr>
              <w:kinsoku/>
              <w:overflowPunct/>
              <w:topLinePunct w:val="0"/>
              <w:bidi w:val="0"/>
              <w:snapToGrid w:val="0"/>
              <w:spacing w:before="120" w:beforeLines="50" w:line="520" w:lineRule="exact"/>
              <w:jc w:val="center"/>
              <w:rPr>
                <w:rFonts w:ascii="仿宋" w:hAnsi="仿宋" w:eastAsia="仿宋" w:cs="仿宋"/>
                <w:sz w:val="24"/>
                <w:szCs w:val="20"/>
              </w:rPr>
            </w:pPr>
          </w:p>
        </w:tc>
      </w:tr>
      <w:tr w14:paraId="424E1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881" w:type="dxa"/>
            <w:tcBorders>
              <w:top w:val="single" w:color="auto" w:sz="4" w:space="0"/>
              <w:left w:val="single" w:color="auto" w:sz="4" w:space="0"/>
              <w:bottom w:val="single" w:color="auto" w:sz="4" w:space="0"/>
              <w:right w:val="single" w:color="auto" w:sz="4" w:space="0"/>
            </w:tcBorders>
            <w:vAlign w:val="center"/>
          </w:tcPr>
          <w:p w14:paraId="5AF88055">
            <w:pPr>
              <w:kinsoku/>
              <w:overflowPunct/>
              <w:topLinePunct w:val="0"/>
              <w:bidi w:val="0"/>
              <w:snapToGrid w:val="0"/>
              <w:spacing w:line="520" w:lineRule="exact"/>
              <w:jc w:val="center"/>
              <w:rPr>
                <w:rFonts w:ascii="仿宋" w:hAnsi="仿宋" w:eastAsia="仿宋" w:cs="仿宋"/>
                <w:sz w:val="24"/>
              </w:rPr>
            </w:pPr>
            <w:r>
              <w:rPr>
                <w:rFonts w:hint="eastAsia" w:ascii="仿宋" w:hAnsi="仿宋" w:eastAsia="仿宋" w:cs="仿宋"/>
                <w:sz w:val="24"/>
              </w:rPr>
              <w:t>付款方式</w:t>
            </w:r>
          </w:p>
        </w:tc>
        <w:tc>
          <w:tcPr>
            <w:tcW w:w="2177" w:type="dxa"/>
            <w:tcBorders>
              <w:top w:val="single" w:color="auto" w:sz="4" w:space="0"/>
              <w:left w:val="single" w:color="auto" w:sz="4" w:space="0"/>
              <w:bottom w:val="single" w:color="auto" w:sz="4" w:space="0"/>
              <w:right w:val="single" w:color="auto" w:sz="4" w:space="0"/>
            </w:tcBorders>
            <w:vAlign w:val="center"/>
          </w:tcPr>
          <w:p w14:paraId="149406D7">
            <w:pPr>
              <w:kinsoku/>
              <w:overflowPunct/>
              <w:topLinePunct w:val="0"/>
              <w:bidi w:val="0"/>
              <w:snapToGrid w:val="0"/>
              <w:spacing w:line="520" w:lineRule="exact"/>
              <w:jc w:val="center"/>
              <w:rPr>
                <w:rFonts w:ascii="仿宋" w:hAnsi="仿宋" w:eastAsia="仿宋" w:cs="仿宋"/>
                <w:sz w:val="24"/>
              </w:rPr>
            </w:pPr>
          </w:p>
        </w:tc>
        <w:tc>
          <w:tcPr>
            <w:tcW w:w="1905" w:type="dxa"/>
            <w:tcBorders>
              <w:top w:val="single" w:color="auto" w:sz="4" w:space="0"/>
              <w:left w:val="single" w:color="auto" w:sz="4" w:space="0"/>
              <w:bottom w:val="single" w:color="auto" w:sz="4" w:space="0"/>
              <w:right w:val="single" w:color="auto" w:sz="4" w:space="0"/>
            </w:tcBorders>
            <w:vAlign w:val="center"/>
          </w:tcPr>
          <w:p w14:paraId="3185B86B">
            <w:pPr>
              <w:kinsoku/>
              <w:overflowPunct/>
              <w:topLinePunct w:val="0"/>
              <w:bidi w:val="0"/>
              <w:snapToGrid w:val="0"/>
              <w:spacing w:before="120" w:beforeLines="50" w:line="520" w:lineRule="exact"/>
              <w:jc w:val="center"/>
              <w:rPr>
                <w:rFonts w:ascii="仿宋" w:hAnsi="仿宋" w:eastAsia="仿宋" w:cs="仿宋"/>
                <w:sz w:val="24"/>
                <w:szCs w:val="20"/>
              </w:rPr>
            </w:pPr>
          </w:p>
        </w:tc>
        <w:tc>
          <w:tcPr>
            <w:tcW w:w="2042" w:type="dxa"/>
            <w:tcBorders>
              <w:top w:val="single" w:color="auto" w:sz="4" w:space="0"/>
              <w:left w:val="single" w:color="auto" w:sz="4" w:space="0"/>
              <w:bottom w:val="single" w:color="auto" w:sz="4" w:space="0"/>
              <w:right w:val="single" w:color="auto" w:sz="4" w:space="0"/>
            </w:tcBorders>
            <w:vAlign w:val="center"/>
          </w:tcPr>
          <w:p w14:paraId="741AF5F8">
            <w:pPr>
              <w:kinsoku/>
              <w:overflowPunct/>
              <w:topLinePunct w:val="0"/>
              <w:bidi w:val="0"/>
              <w:snapToGrid w:val="0"/>
              <w:spacing w:before="120" w:beforeLines="50" w:line="520" w:lineRule="exact"/>
              <w:jc w:val="center"/>
              <w:rPr>
                <w:rFonts w:ascii="仿宋" w:hAnsi="仿宋" w:eastAsia="仿宋" w:cs="仿宋"/>
                <w:sz w:val="24"/>
                <w:szCs w:val="20"/>
              </w:rPr>
            </w:pPr>
          </w:p>
        </w:tc>
      </w:tr>
      <w:tr w14:paraId="35590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881" w:type="dxa"/>
            <w:tcBorders>
              <w:top w:val="single" w:color="auto" w:sz="4" w:space="0"/>
              <w:left w:val="single" w:color="auto" w:sz="4" w:space="0"/>
              <w:bottom w:val="single" w:color="auto" w:sz="4" w:space="0"/>
              <w:right w:val="single" w:color="auto" w:sz="4" w:space="0"/>
            </w:tcBorders>
            <w:vAlign w:val="center"/>
          </w:tcPr>
          <w:p w14:paraId="6DE1D96C">
            <w:pPr>
              <w:kinsoku/>
              <w:overflowPunct/>
              <w:topLinePunct w:val="0"/>
              <w:bidi w:val="0"/>
              <w:snapToGrid w:val="0"/>
              <w:spacing w:line="520" w:lineRule="exact"/>
              <w:jc w:val="center"/>
              <w:rPr>
                <w:rFonts w:ascii="仿宋" w:hAnsi="仿宋" w:eastAsia="仿宋" w:cs="仿宋"/>
                <w:sz w:val="24"/>
              </w:rPr>
            </w:pPr>
            <w:r>
              <w:rPr>
                <w:rFonts w:hint="eastAsia" w:ascii="仿宋" w:hAnsi="仿宋" w:eastAsia="仿宋" w:cs="仿宋"/>
                <w:sz w:val="24"/>
              </w:rPr>
              <w:t>其他要求</w:t>
            </w:r>
          </w:p>
        </w:tc>
        <w:tc>
          <w:tcPr>
            <w:tcW w:w="2177" w:type="dxa"/>
            <w:tcBorders>
              <w:top w:val="single" w:color="auto" w:sz="4" w:space="0"/>
              <w:left w:val="single" w:color="auto" w:sz="4" w:space="0"/>
              <w:bottom w:val="single" w:color="auto" w:sz="4" w:space="0"/>
              <w:right w:val="single" w:color="auto" w:sz="4" w:space="0"/>
            </w:tcBorders>
            <w:vAlign w:val="center"/>
          </w:tcPr>
          <w:p w14:paraId="4848C8DD">
            <w:pPr>
              <w:kinsoku/>
              <w:overflowPunct/>
              <w:topLinePunct w:val="0"/>
              <w:bidi w:val="0"/>
              <w:snapToGrid w:val="0"/>
              <w:spacing w:line="520" w:lineRule="exact"/>
              <w:jc w:val="center"/>
              <w:rPr>
                <w:rFonts w:ascii="仿宋" w:hAnsi="仿宋" w:eastAsia="仿宋" w:cs="仿宋"/>
                <w:sz w:val="24"/>
              </w:rPr>
            </w:pPr>
          </w:p>
        </w:tc>
        <w:tc>
          <w:tcPr>
            <w:tcW w:w="1905" w:type="dxa"/>
            <w:tcBorders>
              <w:top w:val="single" w:color="auto" w:sz="4" w:space="0"/>
              <w:left w:val="single" w:color="auto" w:sz="4" w:space="0"/>
              <w:bottom w:val="single" w:color="auto" w:sz="4" w:space="0"/>
              <w:right w:val="single" w:color="auto" w:sz="4" w:space="0"/>
            </w:tcBorders>
            <w:vAlign w:val="center"/>
          </w:tcPr>
          <w:p w14:paraId="601AEB46">
            <w:pPr>
              <w:kinsoku/>
              <w:overflowPunct/>
              <w:topLinePunct w:val="0"/>
              <w:bidi w:val="0"/>
              <w:snapToGrid w:val="0"/>
              <w:spacing w:before="120" w:beforeLines="50" w:line="520" w:lineRule="exact"/>
              <w:jc w:val="center"/>
              <w:rPr>
                <w:rFonts w:ascii="仿宋" w:hAnsi="仿宋" w:eastAsia="仿宋" w:cs="仿宋"/>
                <w:sz w:val="24"/>
                <w:szCs w:val="20"/>
              </w:rPr>
            </w:pPr>
          </w:p>
        </w:tc>
        <w:tc>
          <w:tcPr>
            <w:tcW w:w="2042" w:type="dxa"/>
            <w:tcBorders>
              <w:top w:val="single" w:color="auto" w:sz="4" w:space="0"/>
              <w:left w:val="single" w:color="auto" w:sz="4" w:space="0"/>
              <w:bottom w:val="single" w:color="auto" w:sz="4" w:space="0"/>
              <w:right w:val="single" w:color="auto" w:sz="4" w:space="0"/>
            </w:tcBorders>
            <w:vAlign w:val="center"/>
          </w:tcPr>
          <w:p w14:paraId="058EFC0F">
            <w:pPr>
              <w:kinsoku/>
              <w:overflowPunct/>
              <w:topLinePunct w:val="0"/>
              <w:bidi w:val="0"/>
              <w:snapToGrid w:val="0"/>
              <w:spacing w:before="120" w:beforeLines="50" w:line="520" w:lineRule="exact"/>
              <w:jc w:val="center"/>
              <w:rPr>
                <w:rFonts w:ascii="仿宋" w:hAnsi="仿宋" w:eastAsia="仿宋" w:cs="仿宋"/>
                <w:sz w:val="24"/>
                <w:szCs w:val="20"/>
              </w:rPr>
            </w:pPr>
          </w:p>
        </w:tc>
      </w:tr>
      <w:tr w14:paraId="479CB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2881" w:type="dxa"/>
            <w:tcBorders>
              <w:top w:val="single" w:color="auto" w:sz="4" w:space="0"/>
              <w:left w:val="single" w:color="auto" w:sz="4" w:space="0"/>
              <w:bottom w:val="single" w:color="auto" w:sz="4" w:space="0"/>
              <w:right w:val="single" w:color="auto" w:sz="4" w:space="0"/>
            </w:tcBorders>
            <w:vAlign w:val="center"/>
          </w:tcPr>
          <w:p w14:paraId="3BC0E429">
            <w:pPr>
              <w:kinsoku/>
              <w:overflowPunct/>
              <w:topLinePunct w:val="0"/>
              <w:bidi w:val="0"/>
              <w:snapToGrid w:val="0"/>
              <w:spacing w:line="520" w:lineRule="exact"/>
              <w:jc w:val="center"/>
              <w:rPr>
                <w:rFonts w:ascii="仿宋" w:hAnsi="仿宋" w:eastAsia="仿宋" w:cs="仿宋"/>
                <w:sz w:val="24"/>
              </w:rPr>
            </w:pPr>
            <w:r>
              <w:rPr>
                <w:rFonts w:hint="eastAsia" w:ascii="仿宋" w:hAnsi="仿宋" w:eastAsia="仿宋" w:cs="仿宋"/>
                <w:sz w:val="24"/>
              </w:rPr>
              <w:t>.....（自拟）</w:t>
            </w:r>
          </w:p>
        </w:tc>
        <w:tc>
          <w:tcPr>
            <w:tcW w:w="2177" w:type="dxa"/>
            <w:tcBorders>
              <w:top w:val="single" w:color="auto" w:sz="4" w:space="0"/>
              <w:left w:val="single" w:color="auto" w:sz="4" w:space="0"/>
              <w:bottom w:val="single" w:color="auto" w:sz="4" w:space="0"/>
              <w:right w:val="single" w:color="auto" w:sz="4" w:space="0"/>
            </w:tcBorders>
            <w:vAlign w:val="center"/>
          </w:tcPr>
          <w:p w14:paraId="273C4036">
            <w:pPr>
              <w:kinsoku/>
              <w:overflowPunct/>
              <w:topLinePunct w:val="0"/>
              <w:bidi w:val="0"/>
              <w:snapToGrid w:val="0"/>
              <w:spacing w:line="520" w:lineRule="exact"/>
              <w:jc w:val="center"/>
              <w:rPr>
                <w:rFonts w:ascii="仿宋" w:hAnsi="仿宋" w:eastAsia="仿宋" w:cs="仿宋"/>
                <w:sz w:val="24"/>
              </w:rPr>
            </w:pPr>
          </w:p>
        </w:tc>
        <w:tc>
          <w:tcPr>
            <w:tcW w:w="1905" w:type="dxa"/>
            <w:tcBorders>
              <w:top w:val="single" w:color="auto" w:sz="4" w:space="0"/>
              <w:left w:val="single" w:color="auto" w:sz="4" w:space="0"/>
              <w:bottom w:val="single" w:color="auto" w:sz="4" w:space="0"/>
              <w:right w:val="single" w:color="auto" w:sz="4" w:space="0"/>
            </w:tcBorders>
            <w:vAlign w:val="center"/>
          </w:tcPr>
          <w:p w14:paraId="35135A76">
            <w:pPr>
              <w:kinsoku/>
              <w:overflowPunct/>
              <w:topLinePunct w:val="0"/>
              <w:bidi w:val="0"/>
              <w:snapToGrid w:val="0"/>
              <w:spacing w:before="120" w:beforeLines="50" w:line="520" w:lineRule="exact"/>
              <w:jc w:val="center"/>
              <w:rPr>
                <w:rFonts w:ascii="仿宋" w:hAnsi="仿宋" w:eastAsia="仿宋" w:cs="仿宋"/>
                <w:sz w:val="24"/>
                <w:szCs w:val="20"/>
              </w:rPr>
            </w:pPr>
          </w:p>
        </w:tc>
        <w:tc>
          <w:tcPr>
            <w:tcW w:w="2042" w:type="dxa"/>
            <w:tcBorders>
              <w:top w:val="single" w:color="auto" w:sz="4" w:space="0"/>
              <w:left w:val="single" w:color="auto" w:sz="4" w:space="0"/>
              <w:bottom w:val="single" w:color="auto" w:sz="4" w:space="0"/>
              <w:right w:val="single" w:color="auto" w:sz="4" w:space="0"/>
            </w:tcBorders>
            <w:vAlign w:val="center"/>
          </w:tcPr>
          <w:p w14:paraId="2FCD041D">
            <w:pPr>
              <w:kinsoku/>
              <w:overflowPunct/>
              <w:topLinePunct w:val="0"/>
              <w:bidi w:val="0"/>
              <w:snapToGrid w:val="0"/>
              <w:spacing w:before="120" w:beforeLines="50" w:line="520" w:lineRule="exact"/>
              <w:jc w:val="center"/>
              <w:rPr>
                <w:rFonts w:ascii="仿宋" w:hAnsi="仿宋" w:eastAsia="仿宋" w:cs="仿宋"/>
                <w:sz w:val="24"/>
                <w:szCs w:val="20"/>
              </w:rPr>
            </w:pPr>
          </w:p>
        </w:tc>
      </w:tr>
    </w:tbl>
    <w:p w14:paraId="1FFE11CB">
      <w:pPr>
        <w:pStyle w:val="46"/>
        <w:kinsoku/>
        <w:overflowPunct/>
        <w:topLinePunct w:val="0"/>
        <w:bidi w:val="0"/>
        <w:spacing w:line="520" w:lineRule="exact"/>
        <w:rPr>
          <w:rFonts w:ascii="仿宋" w:hAnsi="仿宋" w:eastAsia="仿宋" w:cs="宋体"/>
          <w:kern w:val="0"/>
          <w:sz w:val="24"/>
        </w:rPr>
      </w:pPr>
    </w:p>
    <w:p w14:paraId="5D1FE263">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法定代表人或其授权代理人签名或盖章：</w:t>
      </w:r>
    </w:p>
    <w:p w14:paraId="422E057C">
      <w:pPr>
        <w:kinsoku/>
        <w:overflowPunct/>
        <w:topLinePunct w:val="0"/>
        <w:bidi w:val="0"/>
        <w:spacing w:line="520" w:lineRule="exact"/>
        <w:jc w:val="left"/>
        <w:outlineLvl w:val="9"/>
        <w:rPr>
          <w:rFonts w:hint="eastAsia" w:ascii="仿宋" w:hAnsi="仿宋" w:eastAsia="仿宋" w:cs="仿宋"/>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宋体"/>
          <w:kern w:val="0"/>
          <w:sz w:val="24"/>
        </w:rPr>
        <w:t>日期： 年 月 日</w:t>
      </w:r>
    </w:p>
    <w:p w14:paraId="643B15CD">
      <w:pPr>
        <w:kinsoku/>
        <w:overflowPunct/>
        <w:topLinePunct w:val="0"/>
        <w:bidi w:val="0"/>
        <w:spacing w:line="520" w:lineRule="exact"/>
        <w:jc w:val="center"/>
        <w:outlineLvl w:val="1"/>
        <w:rPr>
          <w:rFonts w:ascii="仿宋" w:hAnsi="仿宋" w:eastAsia="仿宋" w:cs="宋体"/>
          <w:b/>
          <w:bCs/>
          <w:sz w:val="28"/>
          <w:szCs w:val="28"/>
        </w:rPr>
      </w:pPr>
      <w:r>
        <w:rPr>
          <w:rFonts w:hint="eastAsia" w:ascii="仿宋" w:hAnsi="仿宋" w:eastAsia="仿宋" w:cs="宋体"/>
          <w:b/>
          <w:bCs/>
          <w:sz w:val="28"/>
          <w:szCs w:val="28"/>
        </w:rPr>
        <w:t>11、企业业绩</w:t>
      </w:r>
    </w:p>
    <w:p w14:paraId="2FA88F5F">
      <w:pPr>
        <w:kinsoku/>
        <w:overflowPunct/>
        <w:topLinePunct w:val="0"/>
        <w:bidi w:val="0"/>
        <w:spacing w:line="520" w:lineRule="exact"/>
        <w:rPr>
          <w:rFonts w:ascii="仿宋" w:hAnsi="仿宋" w:eastAsia="仿宋" w:cs="仿宋"/>
          <w:sz w:val="24"/>
          <w:u w:val="single"/>
        </w:rPr>
      </w:pPr>
      <w:r>
        <w:rPr>
          <w:rFonts w:hint="eastAsia" w:ascii="仿宋" w:hAnsi="仿宋" w:eastAsia="仿宋" w:cs="仿宋"/>
          <w:sz w:val="24"/>
        </w:rPr>
        <w:t>供应商全称（加盖公章）：</w:t>
      </w:r>
    </w:p>
    <w:p w14:paraId="343DCA25">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330"/>
        <w:gridCol w:w="1632"/>
        <w:gridCol w:w="1632"/>
        <w:gridCol w:w="2235"/>
        <w:gridCol w:w="1632"/>
      </w:tblGrid>
      <w:tr w14:paraId="4F5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29" w:type="dxa"/>
            <w:vAlign w:val="center"/>
          </w:tcPr>
          <w:p w14:paraId="33BCA5EC">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序号</w:t>
            </w:r>
          </w:p>
        </w:tc>
        <w:tc>
          <w:tcPr>
            <w:tcW w:w="1330" w:type="dxa"/>
            <w:vAlign w:val="center"/>
          </w:tcPr>
          <w:p w14:paraId="51A04210">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项目名称</w:t>
            </w:r>
          </w:p>
        </w:tc>
        <w:tc>
          <w:tcPr>
            <w:tcW w:w="1632" w:type="dxa"/>
            <w:vAlign w:val="center"/>
          </w:tcPr>
          <w:p w14:paraId="76B9E234">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使用方</w:t>
            </w:r>
          </w:p>
        </w:tc>
        <w:tc>
          <w:tcPr>
            <w:tcW w:w="1632" w:type="dxa"/>
            <w:vAlign w:val="center"/>
          </w:tcPr>
          <w:p w14:paraId="65B74C5F">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签订时间</w:t>
            </w:r>
          </w:p>
        </w:tc>
        <w:tc>
          <w:tcPr>
            <w:tcW w:w="2235" w:type="dxa"/>
            <w:vAlign w:val="center"/>
          </w:tcPr>
          <w:p w14:paraId="04B2CB97">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使用方联系人</w:t>
            </w:r>
          </w:p>
        </w:tc>
        <w:tc>
          <w:tcPr>
            <w:tcW w:w="1632" w:type="dxa"/>
            <w:vAlign w:val="center"/>
          </w:tcPr>
          <w:p w14:paraId="18D824ED">
            <w:pPr>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联系方式</w:t>
            </w:r>
          </w:p>
        </w:tc>
      </w:tr>
      <w:tr w14:paraId="2465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26F43449">
            <w:pPr>
              <w:kinsoku/>
              <w:overflowPunct/>
              <w:topLinePunct w:val="0"/>
              <w:bidi w:val="0"/>
              <w:spacing w:line="520" w:lineRule="exact"/>
              <w:jc w:val="center"/>
              <w:rPr>
                <w:rFonts w:ascii="仿宋" w:hAnsi="仿宋" w:eastAsia="仿宋" w:cs="仿宋"/>
                <w:bCs/>
                <w:sz w:val="24"/>
              </w:rPr>
            </w:pPr>
          </w:p>
        </w:tc>
        <w:tc>
          <w:tcPr>
            <w:tcW w:w="1330" w:type="dxa"/>
            <w:vAlign w:val="center"/>
          </w:tcPr>
          <w:p w14:paraId="0624A2BD">
            <w:pPr>
              <w:kinsoku/>
              <w:overflowPunct/>
              <w:topLinePunct w:val="0"/>
              <w:bidi w:val="0"/>
              <w:spacing w:line="520" w:lineRule="exact"/>
              <w:jc w:val="center"/>
              <w:rPr>
                <w:rFonts w:ascii="仿宋" w:hAnsi="仿宋" w:eastAsia="仿宋" w:cs="仿宋"/>
                <w:bCs/>
                <w:sz w:val="24"/>
              </w:rPr>
            </w:pPr>
          </w:p>
        </w:tc>
        <w:tc>
          <w:tcPr>
            <w:tcW w:w="1632" w:type="dxa"/>
            <w:vAlign w:val="center"/>
          </w:tcPr>
          <w:p w14:paraId="5BACAFCB">
            <w:pPr>
              <w:kinsoku/>
              <w:overflowPunct/>
              <w:topLinePunct w:val="0"/>
              <w:bidi w:val="0"/>
              <w:spacing w:line="520" w:lineRule="exact"/>
              <w:jc w:val="center"/>
              <w:rPr>
                <w:rFonts w:ascii="仿宋" w:hAnsi="仿宋" w:eastAsia="仿宋" w:cs="仿宋"/>
                <w:bCs/>
                <w:sz w:val="24"/>
              </w:rPr>
            </w:pPr>
          </w:p>
        </w:tc>
        <w:tc>
          <w:tcPr>
            <w:tcW w:w="1632" w:type="dxa"/>
            <w:vAlign w:val="center"/>
          </w:tcPr>
          <w:p w14:paraId="00044100">
            <w:pPr>
              <w:kinsoku/>
              <w:overflowPunct/>
              <w:topLinePunct w:val="0"/>
              <w:bidi w:val="0"/>
              <w:spacing w:line="520" w:lineRule="exact"/>
              <w:jc w:val="center"/>
              <w:rPr>
                <w:rFonts w:ascii="仿宋" w:hAnsi="仿宋" w:eastAsia="仿宋" w:cs="仿宋"/>
                <w:bCs/>
                <w:sz w:val="24"/>
              </w:rPr>
            </w:pPr>
          </w:p>
        </w:tc>
        <w:tc>
          <w:tcPr>
            <w:tcW w:w="2235" w:type="dxa"/>
            <w:vAlign w:val="center"/>
          </w:tcPr>
          <w:p w14:paraId="32ABF762">
            <w:pPr>
              <w:kinsoku/>
              <w:overflowPunct/>
              <w:topLinePunct w:val="0"/>
              <w:bidi w:val="0"/>
              <w:spacing w:line="520" w:lineRule="exact"/>
              <w:jc w:val="center"/>
              <w:rPr>
                <w:rFonts w:ascii="仿宋" w:hAnsi="仿宋" w:eastAsia="仿宋" w:cs="仿宋"/>
                <w:bCs/>
                <w:sz w:val="24"/>
              </w:rPr>
            </w:pPr>
          </w:p>
        </w:tc>
        <w:tc>
          <w:tcPr>
            <w:tcW w:w="1632" w:type="dxa"/>
            <w:vAlign w:val="center"/>
          </w:tcPr>
          <w:p w14:paraId="49B5B4A8">
            <w:pPr>
              <w:kinsoku/>
              <w:overflowPunct/>
              <w:topLinePunct w:val="0"/>
              <w:bidi w:val="0"/>
              <w:spacing w:line="520" w:lineRule="exact"/>
              <w:jc w:val="center"/>
              <w:rPr>
                <w:rFonts w:ascii="仿宋" w:hAnsi="仿宋" w:eastAsia="仿宋" w:cs="仿宋"/>
                <w:bCs/>
                <w:sz w:val="24"/>
              </w:rPr>
            </w:pPr>
          </w:p>
        </w:tc>
      </w:tr>
      <w:tr w14:paraId="76A0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0C037567">
            <w:pPr>
              <w:kinsoku/>
              <w:overflowPunct/>
              <w:topLinePunct w:val="0"/>
              <w:bidi w:val="0"/>
              <w:spacing w:line="520" w:lineRule="exact"/>
              <w:jc w:val="center"/>
              <w:rPr>
                <w:rFonts w:ascii="仿宋" w:hAnsi="仿宋" w:eastAsia="仿宋" w:cs="仿宋"/>
                <w:bCs/>
                <w:sz w:val="24"/>
              </w:rPr>
            </w:pPr>
          </w:p>
        </w:tc>
        <w:tc>
          <w:tcPr>
            <w:tcW w:w="1330" w:type="dxa"/>
            <w:vAlign w:val="center"/>
          </w:tcPr>
          <w:p w14:paraId="14036FBD">
            <w:pPr>
              <w:kinsoku/>
              <w:overflowPunct/>
              <w:topLinePunct w:val="0"/>
              <w:bidi w:val="0"/>
              <w:spacing w:line="520" w:lineRule="exact"/>
              <w:jc w:val="center"/>
              <w:rPr>
                <w:rFonts w:ascii="仿宋" w:hAnsi="仿宋" w:eastAsia="仿宋" w:cs="仿宋"/>
                <w:bCs/>
                <w:sz w:val="24"/>
              </w:rPr>
            </w:pPr>
          </w:p>
        </w:tc>
        <w:tc>
          <w:tcPr>
            <w:tcW w:w="1632" w:type="dxa"/>
            <w:vAlign w:val="center"/>
          </w:tcPr>
          <w:p w14:paraId="01EB8B60">
            <w:pPr>
              <w:kinsoku/>
              <w:overflowPunct/>
              <w:topLinePunct w:val="0"/>
              <w:bidi w:val="0"/>
              <w:spacing w:line="520" w:lineRule="exact"/>
              <w:jc w:val="center"/>
              <w:rPr>
                <w:rFonts w:ascii="仿宋" w:hAnsi="仿宋" w:eastAsia="仿宋" w:cs="仿宋"/>
                <w:bCs/>
                <w:sz w:val="24"/>
              </w:rPr>
            </w:pPr>
          </w:p>
        </w:tc>
        <w:tc>
          <w:tcPr>
            <w:tcW w:w="1632" w:type="dxa"/>
            <w:vAlign w:val="center"/>
          </w:tcPr>
          <w:p w14:paraId="66F1F24B">
            <w:pPr>
              <w:kinsoku/>
              <w:overflowPunct/>
              <w:topLinePunct w:val="0"/>
              <w:bidi w:val="0"/>
              <w:spacing w:line="520" w:lineRule="exact"/>
              <w:jc w:val="center"/>
              <w:rPr>
                <w:rFonts w:ascii="仿宋" w:hAnsi="仿宋" w:eastAsia="仿宋" w:cs="仿宋"/>
                <w:bCs/>
                <w:sz w:val="24"/>
              </w:rPr>
            </w:pPr>
          </w:p>
        </w:tc>
        <w:tc>
          <w:tcPr>
            <w:tcW w:w="2235" w:type="dxa"/>
            <w:vAlign w:val="center"/>
          </w:tcPr>
          <w:p w14:paraId="64E808B8">
            <w:pPr>
              <w:kinsoku/>
              <w:overflowPunct/>
              <w:topLinePunct w:val="0"/>
              <w:bidi w:val="0"/>
              <w:spacing w:line="520" w:lineRule="exact"/>
              <w:jc w:val="center"/>
              <w:rPr>
                <w:rFonts w:ascii="仿宋" w:hAnsi="仿宋" w:eastAsia="仿宋" w:cs="仿宋"/>
                <w:bCs/>
                <w:sz w:val="24"/>
              </w:rPr>
            </w:pPr>
          </w:p>
        </w:tc>
        <w:tc>
          <w:tcPr>
            <w:tcW w:w="1632" w:type="dxa"/>
            <w:vAlign w:val="center"/>
          </w:tcPr>
          <w:p w14:paraId="140C5A0D">
            <w:pPr>
              <w:kinsoku/>
              <w:overflowPunct/>
              <w:topLinePunct w:val="0"/>
              <w:bidi w:val="0"/>
              <w:spacing w:line="520" w:lineRule="exact"/>
              <w:jc w:val="center"/>
              <w:rPr>
                <w:rFonts w:ascii="仿宋" w:hAnsi="仿宋" w:eastAsia="仿宋" w:cs="仿宋"/>
                <w:bCs/>
                <w:sz w:val="24"/>
              </w:rPr>
            </w:pPr>
          </w:p>
        </w:tc>
      </w:tr>
      <w:tr w14:paraId="57F4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773A5B29">
            <w:pPr>
              <w:kinsoku/>
              <w:overflowPunct/>
              <w:topLinePunct w:val="0"/>
              <w:bidi w:val="0"/>
              <w:spacing w:line="520" w:lineRule="exact"/>
              <w:jc w:val="center"/>
              <w:rPr>
                <w:rFonts w:ascii="仿宋" w:hAnsi="仿宋" w:eastAsia="仿宋" w:cs="仿宋"/>
                <w:bCs/>
                <w:sz w:val="24"/>
              </w:rPr>
            </w:pPr>
          </w:p>
        </w:tc>
        <w:tc>
          <w:tcPr>
            <w:tcW w:w="1330" w:type="dxa"/>
            <w:vAlign w:val="center"/>
          </w:tcPr>
          <w:p w14:paraId="1F626018">
            <w:pPr>
              <w:kinsoku/>
              <w:overflowPunct/>
              <w:topLinePunct w:val="0"/>
              <w:bidi w:val="0"/>
              <w:spacing w:line="520" w:lineRule="exact"/>
              <w:jc w:val="center"/>
              <w:rPr>
                <w:rFonts w:ascii="仿宋" w:hAnsi="仿宋" w:eastAsia="仿宋" w:cs="仿宋"/>
                <w:bCs/>
                <w:sz w:val="24"/>
              </w:rPr>
            </w:pPr>
          </w:p>
        </w:tc>
        <w:tc>
          <w:tcPr>
            <w:tcW w:w="1632" w:type="dxa"/>
            <w:vAlign w:val="center"/>
          </w:tcPr>
          <w:p w14:paraId="2BC38402">
            <w:pPr>
              <w:kinsoku/>
              <w:overflowPunct/>
              <w:topLinePunct w:val="0"/>
              <w:bidi w:val="0"/>
              <w:spacing w:line="520" w:lineRule="exact"/>
              <w:jc w:val="center"/>
              <w:rPr>
                <w:rFonts w:ascii="仿宋" w:hAnsi="仿宋" w:eastAsia="仿宋" w:cs="仿宋"/>
                <w:bCs/>
                <w:sz w:val="24"/>
              </w:rPr>
            </w:pPr>
          </w:p>
        </w:tc>
        <w:tc>
          <w:tcPr>
            <w:tcW w:w="1632" w:type="dxa"/>
            <w:vAlign w:val="center"/>
          </w:tcPr>
          <w:p w14:paraId="0B15EC36">
            <w:pPr>
              <w:kinsoku/>
              <w:overflowPunct/>
              <w:topLinePunct w:val="0"/>
              <w:bidi w:val="0"/>
              <w:spacing w:line="520" w:lineRule="exact"/>
              <w:jc w:val="center"/>
              <w:rPr>
                <w:rFonts w:ascii="仿宋" w:hAnsi="仿宋" w:eastAsia="仿宋" w:cs="仿宋"/>
                <w:bCs/>
                <w:sz w:val="24"/>
              </w:rPr>
            </w:pPr>
          </w:p>
        </w:tc>
        <w:tc>
          <w:tcPr>
            <w:tcW w:w="2235" w:type="dxa"/>
            <w:vAlign w:val="center"/>
          </w:tcPr>
          <w:p w14:paraId="645F52CA">
            <w:pPr>
              <w:kinsoku/>
              <w:overflowPunct/>
              <w:topLinePunct w:val="0"/>
              <w:bidi w:val="0"/>
              <w:spacing w:line="520" w:lineRule="exact"/>
              <w:jc w:val="center"/>
              <w:rPr>
                <w:rFonts w:ascii="仿宋" w:hAnsi="仿宋" w:eastAsia="仿宋" w:cs="仿宋"/>
                <w:bCs/>
                <w:sz w:val="24"/>
              </w:rPr>
            </w:pPr>
          </w:p>
        </w:tc>
        <w:tc>
          <w:tcPr>
            <w:tcW w:w="1632" w:type="dxa"/>
            <w:vAlign w:val="center"/>
          </w:tcPr>
          <w:p w14:paraId="5D5F6171">
            <w:pPr>
              <w:kinsoku/>
              <w:overflowPunct/>
              <w:topLinePunct w:val="0"/>
              <w:bidi w:val="0"/>
              <w:spacing w:line="520" w:lineRule="exact"/>
              <w:jc w:val="center"/>
              <w:rPr>
                <w:rFonts w:ascii="仿宋" w:hAnsi="仿宋" w:eastAsia="仿宋" w:cs="仿宋"/>
                <w:bCs/>
                <w:sz w:val="24"/>
              </w:rPr>
            </w:pPr>
          </w:p>
        </w:tc>
      </w:tr>
      <w:tr w14:paraId="338B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496A08B6">
            <w:pPr>
              <w:kinsoku/>
              <w:overflowPunct/>
              <w:topLinePunct w:val="0"/>
              <w:bidi w:val="0"/>
              <w:spacing w:line="520" w:lineRule="exact"/>
              <w:jc w:val="center"/>
              <w:rPr>
                <w:rFonts w:ascii="仿宋" w:hAnsi="仿宋" w:eastAsia="仿宋" w:cs="仿宋"/>
                <w:bCs/>
                <w:sz w:val="24"/>
              </w:rPr>
            </w:pPr>
          </w:p>
        </w:tc>
        <w:tc>
          <w:tcPr>
            <w:tcW w:w="1330" w:type="dxa"/>
            <w:vAlign w:val="center"/>
          </w:tcPr>
          <w:p w14:paraId="1E0BCE67">
            <w:pPr>
              <w:kinsoku/>
              <w:overflowPunct/>
              <w:topLinePunct w:val="0"/>
              <w:bidi w:val="0"/>
              <w:spacing w:line="520" w:lineRule="exact"/>
              <w:jc w:val="center"/>
              <w:rPr>
                <w:rFonts w:ascii="仿宋" w:hAnsi="仿宋" w:eastAsia="仿宋" w:cs="仿宋"/>
                <w:bCs/>
                <w:sz w:val="24"/>
              </w:rPr>
            </w:pPr>
          </w:p>
        </w:tc>
        <w:tc>
          <w:tcPr>
            <w:tcW w:w="1632" w:type="dxa"/>
            <w:vAlign w:val="center"/>
          </w:tcPr>
          <w:p w14:paraId="1A14E0DC">
            <w:pPr>
              <w:kinsoku/>
              <w:overflowPunct/>
              <w:topLinePunct w:val="0"/>
              <w:bidi w:val="0"/>
              <w:spacing w:line="520" w:lineRule="exact"/>
              <w:jc w:val="center"/>
              <w:rPr>
                <w:rFonts w:ascii="仿宋" w:hAnsi="仿宋" w:eastAsia="仿宋" w:cs="仿宋"/>
                <w:bCs/>
                <w:sz w:val="24"/>
              </w:rPr>
            </w:pPr>
          </w:p>
        </w:tc>
        <w:tc>
          <w:tcPr>
            <w:tcW w:w="1632" w:type="dxa"/>
            <w:vAlign w:val="center"/>
          </w:tcPr>
          <w:p w14:paraId="380F6209">
            <w:pPr>
              <w:kinsoku/>
              <w:overflowPunct/>
              <w:topLinePunct w:val="0"/>
              <w:bidi w:val="0"/>
              <w:spacing w:line="520" w:lineRule="exact"/>
              <w:jc w:val="center"/>
              <w:rPr>
                <w:rFonts w:ascii="仿宋" w:hAnsi="仿宋" w:eastAsia="仿宋" w:cs="仿宋"/>
                <w:bCs/>
                <w:sz w:val="24"/>
              </w:rPr>
            </w:pPr>
          </w:p>
        </w:tc>
        <w:tc>
          <w:tcPr>
            <w:tcW w:w="2235" w:type="dxa"/>
            <w:vAlign w:val="center"/>
          </w:tcPr>
          <w:p w14:paraId="4C0A7DA7">
            <w:pPr>
              <w:kinsoku/>
              <w:overflowPunct/>
              <w:topLinePunct w:val="0"/>
              <w:bidi w:val="0"/>
              <w:spacing w:line="520" w:lineRule="exact"/>
              <w:jc w:val="center"/>
              <w:rPr>
                <w:rFonts w:ascii="仿宋" w:hAnsi="仿宋" w:eastAsia="仿宋" w:cs="仿宋"/>
                <w:bCs/>
                <w:sz w:val="24"/>
              </w:rPr>
            </w:pPr>
          </w:p>
        </w:tc>
        <w:tc>
          <w:tcPr>
            <w:tcW w:w="1632" w:type="dxa"/>
            <w:vAlign w:val="center"/>
          </w:tcPr>
          <w:p w14:paraId="3676805A">
            <w:pPr>
              <w:kinsoku/>
              <w:overflowPunct/>
              <w:topLinePunct w:val="0"/>
              <w:bidi w:val="0"/>
              <w:spacing w:line="520" w:lineRule="exact"/>
              <w:jc w:val="center"/>
              <w:rPr>
                <w:rFonts w:ascii="仿宋" w:hAnsi="仿宋" w:eastAsia="仿宋" w:cs="仿宋"/>
                <w:bCs/>
                <w:sz w:val="24"/>
              </w:rPr>
            </w:pPr>
          </w:p>
        </w:tc>
      </w:tr>
      <w:tr w14:paraId="29D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3C8B8A93">
            <w:pPr>
              <w:kinsoku/>
              <w:overflowPunct/>
              <w:topLinePunct w:val="0"/>
              <w:bidi w:val="0"/>
              <w:spacing w:line="520" w:lineRule="exact"/>
              <w:jc w:val="center"/>
              <w:rPr>
                <w:rFonts w:ascii="仿宋" w:hAnsi="仿宋" w:eastAsia="仿宋" w:cs="仿宋"/>
                <w:bCs/>
                <w:sz w:val="24"/>
              </w:rPr>
            </w:pPr>
          </w:p>
        </w:tc>
        <w:tc>
          <w:tcPr>
            <w:tcW w:w="1330" w:type="dxa"/>
            <w:vAlign w:val="center"/>
          </w:tcPr>
          <w:p w14:paraId="67618A1C">
            <w:pPr>
              <w:kinsoku/>
              <w:overflowPunct/>
              <w:topLinePunct w:val="0"/>
              <w:bidi w:val="0"/>
              <w:spacing w:line="520" w:lineRule="exact"/>
              <w:jc w:val="center"/>
              <w:rPr>
                <w:rFonts w:ascii="仿宋" w:hAnsi="仿宋" w:eastAsia="仿宋" w:cs="仿宋"/>
                <w:bCs/>
                <w:sz w:val="24"/>
              </w:rPr>
            </w:pPr>
          </w:p>
        </w:tc>
        <w:tc>
          <w:tcPr>
            <w:tcW w:w="1632" w:type="dxa"/>
            <w:vAlign w:val="center"/>
          </w:tcPr>
          <w:p w14:paraId="18F8130C">
            <w:pPr>
              <w:kinsoku/>
              <w:overflowPunct/>
              <w:topLinePunct w:val="0"/>
              <w:bidi w:val="0"/>
              <w:spacing w:line="520" w:lineRule="exact"/>
              <w:jc w:val="center"/>
              <w:rPr>
                <w:rFonts w:ascii="仿宋" w:hAnsi="仿宋" w:eastAsia="仿宋" w:cs="仿宋"/>
                <w:bCs/>
                <w:sz w:val="24"/>
              </w:rPr>
            </w:pPr>
          </w:p>
        </w:tc>
        <w:tc>
          <w:tcPr>
            <w:tcW w:w="1632" w:type="dxa"/>
            <w:vAlign w:val="center"/>
          </w:tcPr>
          <w:p w14:paraId="0CCB0640">
            <w:pPr>
              <w:kinsoku/>
              <w:overflowPunct/>
              <w:topLinePunct w:val="0"/>
              <w:bidi w:val="0"/>
              <w:spacing w:line="520" w:lineRule="exact"/>
              <w:jc w:val="center"/>
              <w:rPr>
                <w:rFonts w:ascii="仿宋" w:hAnsi="仿宋" w:eastAsia="仿宋" w:cs="仿宋"/>
                <w:bCs/>
                <w:sz w:val="24"/>
              </w:rPr>
            </w:pPr>
          </w:p>
        </w:tc>
        <w:tc>
          <w:tcPr>
            <w:tcW w:w="2235" w:type="dxa"/>
            <w:vAlign w:val="center"/>
          </w:tcPr>
          <w:p w14:paraId="4E0A99B1">
            <w:pPr>
              <w:kinsoku/>
              <w:overflowPunct/>
              <w:topLinePunct w:val="0"/>
              <w:bidi w:val="0"/>
              <w:spacing w:line="520" w:lineRule="exact"/>
              <w:jc w:val="center"/>
              <w:rPr>
                <w:rFonts w:ascii="仿宋" w:hAnsi="仿宋" w:eastAsia="仿宋" w:cs="仿宋"/>
                <w:bCs/>
                <w:sz w:val="24"/>
              </w:rPr>
            </w:pPr>
          </w:p>
        </w:tc>
        <w:tc>
          <w:tcPr>
            <w:tcW w:w="1632" w:type="dxa"/>
            <w:vAlign w:val="center"/>
          </w:tcPr>
          <w:p w14:paraId="0BCA8EF2">
            <w:pPr>
              <w:kinsoku/>
              <w:overflowPunct/>
              <w:topLinePunct w:val="0"/>
              <w:bidi w:val="0"/>
              <w:spacing w:line="520" w:lineRule="exact"/>
              <w:jc w:val="center"/>
              <w:rPr>
                <w:rFonts w:ascii="仿宋" w:hAnsi="仿宋" w:eastAsia="仿宋" w:cs="仿宋"/>
                <w:bCs/>
                <w:sz w:val="24"/>
              </w:rPr>
            </w:pPr>
          </w:p>
        </w:tc>
      </w:tr>
      <w:tr w14:paraId="0D82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16EF8470">
            <w:pPr>
              <w:kinsoku/>
              <w:overflowPunct/>
              <w:topLinePunct w:val="0"/>
              <w:bidi w:val="0"/>
              <w:spacing w:line="520" w:lineRule="exact"/>
              <w:jc w:val="center"/>
              <w:rPr>
                <w:rFonts w:ascii="仿宋" w:hAnsi="仿宋" w:eastAsia="仿宋" w:cs="仿宋"/>
                <w:bCs/>
                <w:sz w:val="24"/>
              </w:rPr>
            </w:pPr>
          </w:p>
        </w:tc>
        <w:tc>
          <w:tcPr>
            <w:tcW w:w="1330" w:type="dxa"/>
            <w:vAlign w:val="center"/>
          </w:tcPr>
          <w:p w14:paraId="024592E0">
            <w:pPr>
              <w:kinsoku/>
              <w:overflowPunct/>
              <w:topLinePunct w:val="0"/>
              <w:bidi w:val="0"/>
              <w:spacing w:line="520" w:lineRule="exact"/>
              <w:jc w:val="center"/>
              <w:rPr>
                <w:rFonts w:ascii="仿宋" w:hAnsi="仿宋" w:eastAsia="仿宋" w:cs="仿宋"/>
                <w:bCs/>
                <w:sz w:val="24"/>
              </w:rPr>
            </w:pPr>
          </w:p>
        </w:tc>
        <w:tc>
          <w:tcPr>
            <w:tcW w:w="1632" w:type="dxa"/>
            <w:vAlign w:val="center"/>
          </w:tcPr>
          <w:p w14:paraId="09A98883">
            <w:pPr>
              <w:kinsoku/>
              <w:overflowPunct/>
              <w:topLinePunct w:val="0"/>
              <w:bidi w:val="0"/>
              <w:spacing w:line="520" w:lineRule="exact"/>
              <w:jc w:val="center"/>
              <w:rPr>
                <w:rFonts w:ascii="仿宋" w:hAnsi="仿宋" w:eastAsia="仿宋" w:cs="仿宋"/>
                <w:bCs/>
                <w:sz w:val="24"/>
              </w:rPr>
            </w:pPr>
          </w:p>
        </w:tc>
        <w:tc>
          <w:tcPr>
            <w:tcW w:w="1632" w:type="dxa"/>
            <w:vAlign w:val="center"/>
          </w:tcPr>
          <w:p w14:paraId="49A07473">
            <w:pPr>
              <w:kinsoku/>
              <w:overflowPunct/>
              <w:topLinePunct w:val="0"/>
              <w:bidi w:val="0"/>
              <w:spacing w:line="520" w:lineRule="exact"/>
              <w:jc w:val="center"/>
              <w:rPr>
                <w:rFonts w:ascii="仿宋" w:hAnsi="仿宋" w:eastAsia="仿宋" w:cs="仿宋"/>
                <w:bCs/>
                <w:sz w:val="24"/>
              </w:rPr>
            </w:pPr>
          </w:p>
        </w:tc>
        <w:tc>
          <w:tcPr>
            <w:tcW w:w="2235" w:type="dxa"/>
            <w:vAlign w:val="center"/>
          </w:tcPr>
          <w:p w14:paraId="6D1A3B4E">
            <w:pPr>
              <w:kinsoku/>
              <w:overflowPunct/>
              <w:topLinePunct w:val="0"/>
              <w:bidi w:val="0"/>
              <w:spacing w:line="520" w:lineRule="exact"/>
              <w:jc w:val="center"/>
              <w:rPr>
                <w:rFonts w:ascii="仿宋" w:hAnsi="仿宋" w:eastAsia="仿宋" w:cs="仿宋"/>
                <w:bCs/>
                <w:sz w:val="24"/>
              </w:rPr>
            </w:pPr>
          </w:p>
        </w:tc>
        <w:tc>
          <w:tcPr>
            <w:tcW w:w="1632" w:type="dxa"/>
            <w:vAlign w:val="center"/>
          </w:tcPr>
          <w:p w14:paraId="15ADA920">
            <w:pPr>
              <w:kinsoku/>
              <w:overflowPunct/>
              <w:topLinePunct w:val="0"/>
              <w:bidi w:val="0"/>
              <w:spacing w:line="520" w:lineRule="exact"/>
              <w:jc w:val="center"/>
              <w:rPr>
                <w:rFonts w:ascii="仿宋" w:hAnsi="仿宋" w:eastAsia="仿宋" w:cs="仿宋"/>
                <w:bCs/>
                <w:sz w:val="24"/>
              </w:rPr>
            </w:pPr>
          </w:p>
        </w:tc>
      </w:tr>
      <w:tr w14:paraId="4E4C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358F4DB">
            <w:pPr>
              <w:kinsoku/>
              <w:overflowPunct/>
              <w:topLinePunct w:val="0"/>
              <w:bidi w:val="0"/>
              <w:spacing w:line="520" w:lineRule="exact"/>
              <w:jc w:val="center"/>
              <w:rPr>
                <w:rFonts w:ascii="仿宋" w:hAnsi="仿宋" w:eastAsia="仿宋" w:cs="仿宋"/>
                <w:bCs/>
                <w:sz w:val="24"/>
              </w:rPr>
            </w:pPr>
          </w:p>
        </w:tc>
        <w:tc>
          <w:tcPr>
            <w:tcW w:w="1330" w:type="dxa"/>
            <w:vAlign w:val="center"/>
          </w:tcPr>
          <w:p w14:paraId="7C66D141">
            <w:pPr>
              <w:kinsoku/>
              <w:overflowPunct/>
              <w:topLinePunct w:val="0"/>
              <w:bidi w:val="0"/>
              <w:spacing w:line="520" w:lineRule="exact"/>
              <w:jc w:val="center"/>
              <w:rPr>
                <w:rFonts w:ascii="仿宋" w:hAnsi="仿宋" w:eastAsia="仿宋" w:cs="仿宋"/>
                <w:bCs/>
                <w:sz w:val="24"/>
              </w:rPr>
            </w:pPr>
          </w:p>
        </w:tc>
        <w:tc>
          <w:tcPr>
            <w:tcW w:w="1632" w:type="dxa"/>
            <w:vAlign w:val="center"/>
          </w:tcPr>
          <w:p w14:paraId="20384FC0">
            <w:pPr>
              <w:kinsoku/>
              <w:overflowPunct/>
              <w:topLinePunct w:val="0"/>
              <w:bidi w:val="0"/>
              <w:spacing w:line="520" w:lineRule="exact"/>
              <w:jc w:val="center"/>
              <w:rPr>
                <w:rFonts w:ascii="仿宋" w:hAnsi="仿宋" w:eastAsia="仿宋" w:cs="仿宋"/>
                <w:bCs/>
                <w:sz w:val="24"/>
              </w:rPr>
            </w:pPr>
          </w:p>
        </w:tc>
        <w:tc>
          <w:tcPr>
            <w:tcW w:w="1632" w:type="dxa"/>
            <w:vAlign w:val="center"/>
          </w:tcPr>
          <w:p w14:paraId="6AFE5EAA">
            <w:pPr>
              <w:kinsoku/>
              <w:overflowPunct/>
              <w:topLinePunct w:val="0"/>
              <w:bidi w:val="0"/>
              <w:spacing w:line="520" w:lineRule="exact"/>
              <w:jc w:val="center"/>
              <w:rPr>
                <w:rFonts w:ascii="仿宋" w:hAnsi="仿宋" w:eastAsia="仿宋" w:cs="仿宋"/>
                <w:bCs/>
                <w:sz w:val="24"/>
              </w:rPr>
            </w:pPr>
          </w:p>
        </w:tc>
        <w:tc>
          <w:tcPr>
            <w:tcW w:w="2235" w:type="dxa"/>
            <w:vAlign w:val="center"/>
          </w:tcPr>
          <w:p w14:paraId="72CB7B77">
            <w:pPr>
              <w:kinsoku/>
              <w:overflowPunct/>
              <w:topLinePunct w:val="0"/>
              <w:bidi w:val="0"/>
              <w:spacing w:line="520" w:lineRule="exact"/>
              <w:jc w:val="center"/>
              <w:rPr>
                <w:rFonts w:ascii="仿宋" w:hAnsi="仿宋" w:eastAsia="仿宋" w:cs="仿宋"/>
                <w:bCs/>
                <w:sz w:val="24"/>
              </w:rPr>
            </w:pPr>
          </w:p>
        </w:tc>
        <w:tc>
          <w:tcPr>
            <w:tcW w:w="1632" w:type="dxa"/>
            <w:vAlign w:val="center"/>
          </w:tcPr>
          <w:p w14:paraId="64E4CDF0">
            <w:pPr>
              <w:kinsoku/>
              <w:overflowPunct/>
              <w:topLinePunct w:val="0"/>
              <w:bidi w:val="0"/>
              <w:spacing w:line="520" w:lineRule="exact"/>
              <w:jc w:val="center"/>
              <w:rPr>
                <w:rFonts w:ascii="仿宋" w:hAnsi="仿宋" w:eastAsia="仿宋" w:cs="仿宋"/>
                <w:bCs/>
                <w:sz w:val="24"/>
              </w:rPr>
            </w:pPr>
          </w:p>
        </w:tc>
      </w:tr>
      <w:tr w14:paraId="2D9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D271AAD">
            <w:pPr>
              <w:kinsoku/>
              <w:overflowPunct/>
              <w:topLinePunct w:val="0"/>
              <w:bidi w:val="0"/>
              <w:spacing w:line="520" w:lineRule="exact"/>
              <w:jc w:val="center"/>
              <w:rPr>
                <w:rFonts w:ascii="仿宋" w:hAnsi="仿宋" w:eastAsia="仿宋" w:cs="仿宋"/>
                <w:bCs/>
                <w:sz w:val="24"/>
              </w:rPr>
            </w:pPr>
          </w:p>
        </w:tc>
        <w:tc>
          <w:tcPr>
            <w:tcW w:w="1330" w:type="dxa"/>
            <w:vAlign w:val="center"/>
          </w:tcPr>
          <w:p w14:paraId="7EFBB9E3">
            <w:pPr>
              <w:kinsoku/>
              <w:overflowPunct/>
              <w:topLinePunct w:val="0"/>
              <w:bidi w:val="0"/>
              <w:spacing w:line="520" w:lineRule="exact"/>
              <w:jc w:val="center"/>
              <w:rPr>
                <w:rFonts w:ascii="仿宋" w:hAnsi="仿宋" w:eastAsia="仿宋" w:cs="仿宋"/>
                <w:bCs/>
                <w:sz w:val="24"/>
              </w:rPr>
            </w:pPr>
          </w:p>
        </w:tc>
        <w:tc>
          <w:tcPr>
            <w:tcW w:w="1632" w:type="dxa"/>
            <w:vAlign w:val="center"/>
          </w:tcPr>
          <w:p w14:paraId="7D13F42D">
            <w:pPr>
              <w:kinsoku/>
              <w:overflowPunct/>
              <w:topLinePunct w:val="0"/>
              <w:bidi w:val="0"/>
              <w:spacing w:line="520" w:lineRule="exact"/>
              <w:jc w:val="center"/>
              <w:rPr>
                <w:rFonts w:ascii="仿宋" w:hAnsi="仿宋" w:eastAsia="仿宋" w:cs="仿宋"/>
                <w:bCs/>
                <w:sz w:val="24"/>
              </w:rPr>
            </w:pPr>
          </w:p>
        </w:tc>
        <w:tc>
          <w:tcPr>
            <w:tcW w:w="1632" w:type="dxa"/>
            <w:vAlign w:val="center"/>
          </w:tcPr>
          <w:p w14:paraId="641B1008">
            <w:pPr>
              <w:kinsoku/>
              <w:overflowPunct/>
              <w:topLinePunct w:val="0"/>
              <w:bidi w:val="0"/>
              <w:spacing w:line="520" w:lineRule="exact"/>
              <w:jc w:val="center"/>
              <w:rPr>
                <w:rFonts w:ascii="仿宋" w:hAnsi="仿宋" w:eastAsia="仿宋" w:cs="仿宋"/>
                <w:bCs/>
                <w:sz w:val="24"/>
              </w:rPr>
            </w:pPr>
          </w:p>
        </w:tc>
        <w:tc>
          <w:tcPr>
            <w:tcW w:w="2235" w:type="dxa"/>
            <w:vAlign w:val="center"/>
          </w:tcPr>
          <w:p w14:paraId="471CB794">
            <w:pPr>
              <w:kinsoku/>
              <w:overflowPunct/>
              <w:topLinePunct w:val="0"/>
              <w:bidi w:val="0"/>
              <w:spacing w:line="520" w:lineRule="exact"/>
              <w:jc w:val="center"/>
              <w:rPr>
                <w:rFonts w:ascii="仿宋" w:hAnsi="仿宋" w:eastAsia="仿宋" w:cs="仿宋"/>
                <w:bCs/>
                <w:sz w:val="24"/>
              </w:rPr>
            </w:pPr>
          </w:p>
        </w:tc>
        <w:tc>
          <w:tcPr>
            <w:tcW w:w="1632" w:type="dxa"/>
            <w:vAlign w:val="center"/>
          </w:tcPr>
          <w:p w14:paraId="750E3288">
            <w:pPr>
              <w:kinsoku/>
              <w:overflowPunct/>
              <w:topLinePunct w:val="0"/>
              <w:bidi w:val="0"/>
              <w:spacing w:line="520" w:lineRule="exact"/>
              <w:jc w:val="center"/>
              <w:rPr>
                <w:rFonts w:ascii="仿宋" w:hAnsi="仿宋" w:eastAsia="仿宋" w:cs="仿宋"/>
                <w:bCs/>
                <w:sz w:val="24"/>
              </w:rPr>
            </w:pPr>
          </w:p>
        </w:tc>
      </w:tr>
    </w:tbl>
    <w:p w14:paraId="240D25E8">
      <w:pPr>
        <w:kinsoku/>
        <w:overflowPunct/>
        <w:topLinePunct w:val="0"/>
        <w:bidi w:val="0"/>
        <w:spacing w:line="520" w:lineRule="exact"/>
        <w:rPr>
          <w:rFonts w:ascii="仿宋" w:hAnsi="仿宋" w:eastAsia="仿宋" w:cs="仿宋"/>
          <w:sz w:val="24"/>
        </w:rPr>
      </w:pPr>
    </w:p>
    <w:p w14:paraId="45D27025">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法定代表人或其授权代理人签名或盖章：</w:t>
      </w:r>
    </w:p>
    <w:p w14:paraId="4598A597">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 xml:space="preserve"> 日期：     年  月  日</w:t>
      </w:r>
    </w:p>
    <w:p w14:paraId="219927C0">
      <w:pPr>
        <w:kinsoku/>
        <w:overflowPunct/>
        <w:topLinePunct w:val="0"/>
        <w:bidi w:val="0"/>
        <w:spacing w:line="520" w:lineRule="exact"/>
        <w:rPr>
          <w:rFonts w:ascii="仿宋" w:hAnsi="仿宋" w:eastAsia="仿宋" w:cs="仿宋"/>
          <w:sz w:val="24"/>
        </w:rPr>
      </w:pPr>
    </w:p>
    <w:p w14:paraId="7CA226BB">
      <w:pPr>
        <w:kinsoku/>
        <w:overflowPunct/>
        <w:topLinePunct w:val="0"/>
        <w:bidi w:val="0"/>
        <w:spacing w:line="520" w:lineRule="exact"/>
        <w:jc w:val="left"/>
        <w:outlineLvl w:val="9"/>
        <w:rPr>
          <w:rFonts w:hint="eastAsia" w:ascii="仿宋" w:hAnsi="仿宋" w:eastAsia="仿宋" w:cs="仿宋"/>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b/>
          <w:sz w:val="24"/>
        </w:rPr>
        <w:t>注：</w:t>
      </w:r>
      <w:r>
        <w:rPr>
          <w:rFonts w:hint="eastAsia" w:ascii="仿宋" w:hAnsi="仿宋" w:eastAsia="仿宋" w:cs="仿宋"/>
          <w:sz w:val="24"/>
        </w:rPr>
        <w:t>此表仅提供了表格形式，供应商应根据需要准备足够数量的表格来填写。</w:t>
      </w:r>
    </w:p>
    <w:p w14:paraId="0B09F724">
      <w:pPr>
        <w:kinsoku/>
        <w:overflowPunct/>
        <w:topLinePunct w:val="0"/>
        <w:bidi w:val="0"/>
        <w:spacing w:line="520" w:lineRule="exact"/>
        <w:jc w:val="center"/>
        <w:outlineLvl w:val="1"/>
        <w:rPr>
          <w:rFonts w:ascii="仿宋" w:hAnsi="仿宋" w:eastAsia="仿宋" w:cs="仿宋"/>
          <w:b/>
          <w:bCs/>
          <w:spacing w:val="24"/>
          <w:sz w:val="28"/>
          <w:szCs w:val="28"/>
        </w:rPr>
      </w:pPr>
      <w:r>
        <w:rPr>
          <w:rFonts w:hint="eastAsia" w:ascii="仿宋" w:hAnsi="仿宋" w:eastAsia="仿宋" w:cs="宋体"/>
          <w:b/>
          <w:bCs/>
          <w:sz w:val="28"/>
          <w:szCs w:val="28"/>
        </w:rPr>
        <w:t>1</w:t>
      </w:r>
      <w:r>
        <w:rPr>
          <w:rFonts w:hint="eastAsia" w:ascii="仿宋" w:hAnsi="仿宋" w:eastAsia="仿宋" w:cs="宋体"/>
          <w:b/>
          <w:bCs/>
          <w:sz w:val="28"/>
          <w:szCs w:val="28"/>
          <w:lang w:val="en-US" w:eastAsia="zh-CN"/>
        </w:rPr>
        <w:t>2</w:t>
      </w:r>
      <w:r>
        <w:rPr>
          <w:rFonts w:hint="eastAsia" w:ascii="仿宋" w:hAnsi="仿宋" w:eastAsia="仿宋" w:cs="宋体"/>
          <w:b/>
          <w:bCs/>
          <w:sz w:val="28"/>
          <w:szCs w:val="28"/>
        </w:rPr>
        <w:t>、</w:t>
      </w:r>
      <w:r>
        <w:rPr>
          <w:rFonts w:hint="eastAsia" w:ascii="仿宋" w:hAnsi="仿宋" w:eastAsia="仿宋" w:cs="仿宋"/>
          <w:b/>
          <w:bCs/>
          <w:spacing w:val="24"/>
          <w:sz w:val="28"/>
          <w:szCs w:val="28"/>
        </w:rPr>
        <w:t>企业认证</w:t>
      </w:r>
    </w:p>
    <w:p w14:paraId="267F7174">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p>
    <w:p w14:paraId="766E70E9">
      <w:pPr>
        <w:kinsoku/>
        <w:overflowPunct/>
        <w:topLinePunct w:val="0"/>
        <w:bidi w:val="0"/>
        <w:spacing w:line="520" w:lineRule="exact"/>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tbl>
      <w:tblPr>
        <w:tblStyle w:val="2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80"/>
        <w:gridCol w:w="1596"/>
        <w:gridCol w:w="1980"/>
        <w:gridCol w:w="2904"/>
      </w:tblGrid>
      <w:tr w14:paraId="1E82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67E0F740">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序号</w:t>
            </w:r>
          </w:p>
        </w:tc>
        <w:tc>
          <w:tcPr>
            <w:tcW w:w="1980" w:type="dxa"/>
            <w:noWrap/>
            <w:vAlign w:val="center"/>
          </w:tcPr>
          <w:p w14:paraId="3CC36D00">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证书名称</w:t>
            </w:r>
          </w:p>
        </w:tc>
        <w:tc>
          <w:tcPr>
            <w:tcW w:w="1596" w:type="dxa"/>
            <w:noWrap/>
            <w:vAlign w:val="center"/>
          </w:tcPr>
          <w:p w14:paraId="2E20817B">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颁发机构</w:t>
            </w:r>
          </w:p>
        </w:tc>
        <w:tc>
          <w:tcPr>
            <w:tcW w:w="1980" w:type="dxa"/>
            <w:noWrap/>
            <w:vAlign w:val="center"/>
          </w:tcPr>
          <w:p w14:paraId="61A0B3EB">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颁发时间</w:t>
            </w:r>
          </w:p>
        </w:tc>
        <w:tc>
          <w:tcPr>
            <w:tcW w:w="2904" w:type="dxa"/>
            <w:noWrap/>
            <w:vAlign w:val="center"/>
          </w:tcPr>
          <w:p w14:paraId="6D2832B3">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备注</w:t>
            </w:r>
          </w:p>
        </w:tc>
      </w:tr>
      <w:tr w14:paraId="119C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5026C64C">
            <w:pPr>
              <w:kinsoku/>
              <w:overflowPunct/>
              <w:topLinePunct w:val="0"/>
              <w:bidi w:val="0"/>
              <w:spacing w:line="520" w:lineRule="exact"/>
              <w:jc w:val="center"/>
              <w:rPr>
                <w:rFonts w:ascii="仿宋" w:hAnsi="仿宋" w:eastAsia="仿宋" w:cs="仿宋"/>
                <w:sz w:val="24"/>
              </w:rPr>
            </w:pPr>
          </w:p>
        </w:tc>
        <w:tc>
          <w:tcPr>
            <w:tcW w:w="1980" w:type="dxa"/>
            <w:noWrap/>
            <w:vAlign w:val="center"/>
          </w:tcPr>
          <w:p w14:paraId="54FD398C">
            <w:pPr>
              <w:kinsoku/>
              <w:overflowPunct/>
              <w:topLinePunct w:val="0"/>
              <w:bidi w:val="0"/>
              <w:spacing w:line="520" w:lineRule="exact"/>
              <w:jc w:val="center"/>
              <w:rPr>
                <w:rFonts w:ascii="仿宋" w:hAnsi="仿宋" w:eastAsia="仿宋" w:cs="仿宋"/>
                <w:sz w:val="24"/>
              </w:rPr>
            </w:pPr>
          </w:p>
        </w:tc>
        <w:tc>
          <w:tcPr>
            <w:tcW w:w="1596" w:type="dxa"/>
            <w:noWrap/>
            <w:vAlign w:val="center"/>
          </w:tcPr>
          <w:p w14:paraId="4ECB47AE">
            <w:pPr>
              <w:kinsoku/>
              <w:overflowPunct/>
              <w:topLinePunct w:val="0"/>
              <w:bidi w:val="0"/>
              <w:spacing w:line="520" w:lineRule="exact"/>
              <w:jc w:val="center"/>
              <w:rPr>
                <w:rFonts w:ascii="仿宋" w:hAnsi="仿宋" w:eastAsia="仿宋" w:cs="仿宋"/>
                <w:sz w:val="24"/>
              </w:rPr>
            </w:pPr>
          </w:p>
        </w:tc>
        <w:tc>
          <w:tcPr>
            <w:tcW w:w="1980" w:type="dxa"/>
            <w:noWrap/>
            <w:vAlign w:val="center"/>
          </w:tcPr>
          <w:p w14:paraId="49E0D60A">
            <w:pPr>
              <w:kinsoku/>
              <w:overflowPunct/>
              <w:topLinePunct w:val="0"/>
              <w:bidi w:val="0"/>
              <w:spacing w:line="520" w:lineRule="exact"/>
              <w:jc w:val="center"/>
              <w:rPr>
                <w:rFonts w:ascii="仿宋" w:hAnsi="仿宋" w:eastAsia="仿宋" w:cs="仿宋"/>
                <w:sz w:val="24"/>
              </w:rPr>
            </w:pPr>
          </w:p>
        </w:tc>
        <w:tc>
          <w:tcPr>
            <w:tcW w:w="2904" w:type="dxa"/>
            <w:noWrap/>
            <w:vAlign w:val="center"/>
          </w:tcPr>
          <w:p w14:paraId="69C07F1E">
            <w:pPr>
              <w:kinsoku/>
              <w:overflowPunct/>
              <w:topLinePunct w:val="0"/>
              <w:bidi w:val="0"/>
              <w:spacing w:line="520" w:lineRule="exact"/>
              <w:jc w:val="center"/>
              <w:rPr>
                <w:rFonts w:ascii="仿宋" w:hAnsi="仿宋" w:eastAsia="仿宋" w:cs="仿宋"/>
                <w:sz w:val="24"/>
              </w:rPr>
            </w:pPr>
          </w:p>
        </w:tc>
      </w:tr>
      <w:tr w14:paraId="0B87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411E88A5">
            <w:pPr>
              <w:kinsoku/>
              <w:overflowPunct/>
              <w:topLinePunct w:val="0"/>
              <w:bidi w:val="0"/>
              <w:spacing w:line="520" w:lineRule="exact"/>
              <w:jc w:val="center"/>
              <w:rPr>
                <w:rFonts w:ascii="仿宋" w:hAnsi="仿宋" w:eastAsia="仿宋" w:cs="仿宋"/>
                <w:sz w:val="24"/>
              </w:rPr>
            </w:pPr>
          </w:p>
        </w:tc>
        <w:tc>
          <w:tcPr>
            <w:tcW w:w="1980" w:type="dxa"/>
            <w:noWrap/>
            <w:vAlign w:val="center"/>
          </w:tcPr>
          <w:p w14:paraId="66A4F8A0">
            <w:pPr>
              <w:kinsoku/>
              <w:overflowPunct/>
              <w:topLinePunct w:val="0"/>
              <w:bidi w:val="0"/>
              <w:spacing w:line="520" w:lineRule="exact"/>
              <w:jc w:val="center"/>
              <w:rPr>
                <w:rFonts w:ascii="仿宋" w:hAnsi="仿宋" w:eastAsia="仿宋" w:cs="仿宋"/>
                <w:sz w:val="24"/>
              </w:rPr>
            </w:pPr>
          </w:p>
        </w:tc>
        <w:tc>
          <w:tcPr>
            <w:tcW w:w="1596" w:type="dxa"/>
            <w:noWrap/>
            <w:vAlign w:val="center"/>
          </w:tcPr>
          <w:p w14:paraId="23B33650">
            <w:pPr>
              <w:kinsoku/>
              <w:overflowPunct/>
              <w:topLinePunct w:val="0"/>
              <w:bidi w:val="0"/>
              <w:spacing w:line="520" w:lineRule="exact"/>
              <w:jc w:val="center"/>
              <w:rPr>
                <w:rFonts w:ascii="仿宋" w:hAnsi="仿宋" w:eastAsia="仿宋" w:cs="仿宋"/>
                <w:sz w:val="24"/>
              </w:rPr>
            </w:pPr>
          </w:p>
        </w:tc>
        <w:tc>
          <w:tcPr>
            <w:tcW w:w="1980" w:type="dxa"/>
            <w:noWrap/>
            <w:vAlign w:val="center"/>
          </w:tcPr>
          <w:p w14:paraId="0A56B784">
            <w:pPr>
              <w:kinsoku/>
              <w:overflowPunct/>
              <w:topLinePunct w:val="0"/>
              <w:bidi w:val="0"/>
              <w:spacing w:line="520" w:lineRule="exact"/>
              <w:jc w:val="center"/>
              <w:rPr>
                <w:rFonts w:ascii="仿宋" w:hAnsi="仿宋" w:eastAsia="仿宋" w:cs="仿宋"/>
                <w:sz w:val="24"/>
              </w:rPr>
            </w:pPr>
          </w:p>
        </w:tc>
        <w:tc>
          <w:tcPr>
            <w:tcW w:w="2904" w:type="dxa"/>
            <w:noWrap/>
            <w:vAlign w:val="center"/>
          </w:tcPr>
          <w:p w14:paraId="775C7FDB">
            <w:pPr>
              <w:kinsoku/>
              <w:overflowPunct/>
              <w:topLinePunct w:val="0"/>
              <w:bidi w:val="0"/>
              <w:spacing w:line="520" w:lineRule="exact"/>
              <w:jc w:val="center"/>
              <w:rPr>
                <w:rFonts w:ascii="仿宋" w:hAnsi="仿宋" w:eastAsia="仿宋" w:cs="仿宋"/>
                <w:sz w:val="24"/>
              </w:rPr>
            </w:pPr>
          </w:p>
        </w:tc>
      </w:tr>
      <w:tr w14:paraId="4830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758B2A6D">
            <w:pPr>
              <w:kinsoku/>
              <w:overflowPunct/>
              <w:topLinePunct w:val="0"/>
              <w:bidi w:val="0"/>
              <w:spacing w:line="520" w:lineRule="exact"/>
              <w:jc w:val="center"/>
              <w:rPr>
                <w:rFonts w:ascii="仿宋" w:hAnsi="仿宋" w:eastAsia="仿宋" w:cs="仿宋"/>
                <w:sz w:val="24"/>
              </w:rPr>
            </w:pPr>
          </w:p>
        </w:tc>
        <w:tc>
          <w:tcPr>
            <w:tcW w:w="1980" w:type="dxa"/>
            <w:noWrap/>
            <w:vAlign w:val="center"/>
          </w:tcPr>
          <w:p w14:paraId="3F71767F">
            <w:pPr>
              <w:kinsoku/>
              <w:overflowPunct/>
              <w:topLinePunct w:val="0"/>
              <w:bidi w:val="0"/>
              <w:spacing w:line="520" w:lineRule="exact"/>
              <w:jc w:val="center"/>
              <w:rPr>
                <w:rFonts w:ascii="仿宋" w:hAnsi="仿宋" w:eastAsia="仿宋" w:cs="仿宋"/>
                <w:sz w:val="24"/>
              </w:rPr>
            </w:pPr>
          </w:p>
        </w:tc>
        <w:tc>
          <w:tcPr>
            <w:tcW w:w="1596" w:type="dxa"/>
            <w:noWrap/>
            <w:vAlign w:val="center"/>
          </w:tcPr>
          <w:p w14:paraId="3FA9B7FF">
            <w:pPr>
              <w:kinsoku/>
              <w:overflowPunct/>
              <w:topLinePunct w:val="0"/>
              <w:bidi w:val="0"/>
              <w:spacing w:line="520" w:lineRule="exact"/>
              <w:jc w:val="center"/>
              <w:rPr>
                <w:rFonts w:ascii="仿宋" w:hAnsi="仿宋" w:eastAsia="仿宋" w:cs="仿宋"/>
                <w:sz w:val="24"/>
              </w:rPr>
            </w:pPr>
          </w:p>
        </w:tc>
        <w:tc>
          <w:tcPr>
            <w:tcW w:w="1980" w:type="dxa"/>
            <w:noWrap/>
            <w:vAlign w:val="center"/>
          </w:tcPr>
          <w:p w14:paraId="63B7E990">
            <w:pPr>
              <w:kinsoku/>
              <w:overflowPunct/>
              <w:topLinePunct w:val="0"/>
              <w:bidi w:val="0"/>
              <w:spacing w:line="520" w:lineRule="exact"/>
              <w:jc w:val="center"/>
              <w:rPr>
                <w:rFonts w:ascii="仿宋" w:hAnsi="仿宋" w:eastAsia="仿宋" w:cs="仿宋"/>
                <w:sz w:val="24"/>
              </w:rPr>
            </w:pPr>
          </w:p>
        </w:tc>
        <w:tc>
          <w:tcPr>
            <w:tcW w:w="2904" w:type="dxa"/>
            <w:noWrap/>
            <w:vAlign w:val="center"/>
          </w:tcPr>
          <w:p w14:paraId="4AC94781">
            <w:pPr>
              <w:kinsoku/>
              <w:overflowPunct/>
              <w:topLinePunct w:val="0"/>
              <w:bidi w:val="0"/>
              <w:spacing w:line="520" w:lineRule="exact"/>
              <w:jc w:val="center"/>
              <w:rPr>
                <w:rFonts w:ascii="仿宋" w:hAnsi="仿宋" w:eastAsia="仿宋" w:cs="仿宋"/>
                <w:sz w:val="24"/>
              </w:rPr>
            </w:pPr>
          </w:p>
        </w:tc>
      </w:tr>
      <w:tr w14:paraId="276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11BC150C">
            <w:pPr>
              <w:kinsoku/>
              <w:overflowPunct/>
              <w:topLinePunct w:val="0"/>
              <w:bidi w:val="0"/>
              <w:spacing w:line="520" w:lineRule="exact"/>
              <w:jc w:val="center"/>
              <w:rPr>
                <w:rFonts w:ascii="仿宋" w:hAnsi="仿宋" w:eastAsia="仿宋" w:cs="仿宋"/>
                <w:sz w:val="24"/>
              </w:rPr>
            </w:pPr>
          </w:p>
        </w:tc>
        <w:tc>
          <w:tcPr>
            <w:tcW w:w="1980" w:type="dxa"/>
            <w:noWrap/>
            <w:vAlign w:val="center"/>
          </w:tcPr>
          <w:p w14:paraId="34CF0FEA">
            <w:pPr>
              <w:kinsoku/>
              <w:overflowPunct/>
              <w:topLinePunct w:val="0"/>
              <w:bidi w:val="0"/>
              <w:spacing w:line="520" w:lineRule="exact"/>
              <w:jc w:val="center"/>
              <w:rPr>
                <w:rFonts w:ascii="仿宋" w:hAnsi="仿宋" w:eastAsia="仿宋" w:cs="仿宋"/>
                <w:sz w:val="24"/>
              </w:rPr>
            </w:pPr>
          </w:p>
        </w:tc>
        <w:tc>
          <w:tcPr>
            <w:tcW w:w="1596" w:type="dxa"/>
            <w:noWrap/>
            <w:vAlign w:val="center"/>
          </w:tcPr>
          <w:p w14:paraId="2D798ED2">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F369B96">
            <w:pPr>
              <w:kinsoku/>
              <w:overflowPunct/>
              <w:topLinePunct w:val="0"/>
              <w:bidi w:val="0"/>
              <w:spacing w:line="520" w:lineRule="exact"/>
              <w:jc w:val="center"/>
              <w:rPr>
                <w:rFonts w:ascii="仿宋" w:hAnsi="仿宋" w:eastAsia="仿宋" w:cs="仿宋"/>
                <w:sz w:val="24"/>
              </w:rPr>
            </w:pPr>
          </w:p>
        </w:tc>
        <w:tc>
          <w:tcPr>
            <w:tcW w:w="2904" w:type="dxa"/>
            <w:noWrap/>
            <w:vAlign w:val="center"/>
          </w:tcPr>
          <w:p w14:paraId="5AFBDD50">
            <w:pPr>
              <w:kinsoku/>
              <w:overflowPunct/>
              <w:topLinePunct w:val="0"/>
              <w:bidi w:val="0"/>
              <w:spacing w:line="520" w:lineRule="exact"/>
              <w:jc w:val="center"/>
              <w:rPr>
                <w:rFonts w:ascii="仿宋" w:hAnsi="仿宋" w:eastAsia="仿宋" w:cs="仿宋"/>
                <w:sz w:val="24"/>
              </w:rPr>
            </w:pPr>
          </w:p>
        </w:tc>
      </w:tr>
      <w:tr w14:paraId="32F6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6DCE2F3A">
            <w:pPr>
              <w:kinsoku/>
              <w:overflowPunct/>
              <w:topLinePunct w:val="0"/>
              <w:bidi w:val="0"/>
              <w:spacing w:line="520" w:lineRule="exact"/>
              <w:jc w:val="center"/>
              <w:rPr>
                <w:rFonts w:ascii="仿宋" w:hAnsi="仿宋" w:eastAsia="仿宋" w:cs="仿宋"/>
                <w:sz w:val="24"/>
              </w:rPr>
            </w:pPr>
          </w:p>
        </w:tc>
        <w:tc>
          <w:tcPr>
            <w:tcW w:w="1980" w:type="dxa"/>
            <w:noWrap/>
            <w:vAlign w:val="center"/>
          </w:tcPr>
          <w:p w14:paraId="6FA40234">
            <w:pPr>
              <w:kinsoku/>
              <w:overflowPunct/>
              <w:topLinePunct w:val="0"/>
              <w:bidi w:val="0"/>
              <w:spacing w:line="520" w:lineRule="exact"/>
              <w:jc w:val="center"/>
              <w:rPr>
                <w:rFonts w:ascii="仿宋" w:hAnsi="仿宋" w:eastAsia="仿宋" w:cs="仿宋"/>
                <w:sz w:val="24"/>
              </w:rPr>
            </w:pPr>
          </w:p>
        </w:tc>
        <w:tc>
          <w:tcPr>
            <w:tcW w:w="1596" w:type="dxa"/>
            <w:noWrap/>
            <w:vAlign w:val="center"/>
          </w:tcPr>
          <w:p w14:paraId="50DBC411">
            <w:pPr>
              <w:kinsoku/>
              <w:overflowPunct/>
              <w:topLinePunct w:val="0"/>
              <w:bidi w:val="0"/>
              <w:spacing w:line="520" w:lineRule="exact"/>
              <w:jc w:val="center"/>
              <w:rPr>
                <w:rFonts w:ascii="仿宋" w:hAnsi="仿宋" w:eastAsia="仿宋" w:cs="仿宋"/>
                <w:sz w:val="24"/>
              </w:rPr>
            </w:pPr>
          </w:p>
        </w:tc>
        <w:tc>
          <w:tcPr>
            <w:tcW w:w="1980" w:type="dxa"/>
            <w:noWrap/>
            <w:vAlign w:val="center"/>
          </w:tcPr>
          <w:p w14:paraId="445D62EE">
            <w:pPr>
              <w:kinsoku/>
              <w:overflowPunct/>
              <w:topLinePunct w:val="0"/>
              <w:bidi w:val="0"/>
              <w:spacing w:line="520" w:lineRule="exact"/>
              <w:jc w:val="center"/>
              <w:rPr>
                <w:rFonts w:ascii="仿宋" w:hAnsi="仿宋" w:eastAsia="仿宋" w:cs="仿宋"/>
                <w:sz w:val="24"/>
              </w:rPr>
            </w:pPr>
          </w:p>
        </w:tc>
        <w:tc>
          <w:tcPr>
            <w:tcW w:w="2904" w:type="dxa"/>
            <w:noWrap/>
            <w:vAlign w:val="center"/>
          </w:tcPr>
          <w:p w14:paraId="5938A69E">
            <w:pPr>
              <w:kinsoku/>
              <w:overflowPunct/>
              <w:topLinePunct w:val="0"/>
              <w:bidi w:val="0"/>
              <w:spacing w:line="520" w:lineRule="exact"/>
              <w:jc w:val="center"/>
              <w:rPr>
                <w:rFonts w:ascii="仿宋" w:hAnsi="仿宋" w:eastAsia="仿宋" w:cs="仿宋"/>
                <w:sz w:val="24"/>
              </w:rPr>
            </w:pPr>
          </w:p>
        </w:tc>
      </w:tr>
      <w:tr w14:paraId="281A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15F27B59">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A7709EB">
            <w:pPr>
              <w:kinsoku/>
              <w:overflowPunct/>
              <w:topLinePunct w:val="0"/>
              <w:bidi w:val="0"/>
              <w:spacing w:line="520" w:lineRule="exact"/>
              <w:jc w:val="center"/>
              <w:rPr>
                <w:rFonts w:ascii="仿宋" w:hAnsi="仿宋" w:eastAsia="仿宋" w:cs="仿宋"/>
                <w:sz w:val="24"/>
              </w:rPr>
            </w:pPr>
          </w:p>
        </w:tc>
        <w:tc>
          <w:tcPr>
            <w:tcW w:w="1596" w:type="dxa"/>
            <w:noWrap/>
            <w:vAlign w:val="center"/>
          </w:tcPr>
          <w:p w14:paraId="726A7342">
            <w:pPr>
              <w:kinsoku/>
              <w:overflowPunct/>
              <w:topLinePunct w:val="0"/>
              <w:bidi w:val="0"/>
              <w:spacing w:line="520" w:lineRule="exact"/>
              <w:jc w:val="center"/>
              <w:rPr>
                <w:rFonts w:ascii="仿宋" w:hAnsi="仿宋" w:eastAsia="仿宋" w:cs="仿宋"/>
                <w:sz w:val="24"/>
              </w:rPr>
            </w:pPr>
          </w:p>
        </w:tc>
        <w:tc>
          <w:tcPr>
            <w:tcW w:w="1980" w:type="dxa"/>
            <w:noWrap/>
            <w:vAlign w:val="center"/>
          </w:tcPr>
          <w:p w14:paraId="3FCC3415">
            <w:pPr>
              <w:kinsoku/>
              <w:overflowPunct/>
              <w:topLinePunct w:val="0"/>
              <w:bidi w:val="0"/>
              <w:spacing w:line="520" w:lineRule="exact"/>
              <w:jc w:val="center"/>
              <w:rPr>
                <w:rFonts w:ascii="仿宋" w:hAnsi="仿宋" w:eastAsia="仿宋" w:cs="仿宋"/>
                <w:sz w:val="24"/>
              </w:rPr>
            </w:pPr>
          </w:p>
        </w:tc>
        <w:tc>
          <w:tcPr>
            <w:tcW w:w="2904" w:type="dxa"/>
            <w:noWrap/>
            <w:vAlign w:val="center"/>
          </w:tcPr>
          <w:p w14:paraId="621C012B">
            <w:pPr>
              <w:kinsoku/>
              <w:overflowPunct/>
              <w:topLinePunct w:val="0"/>
              <w:bidi w:val="0"/>
              <w:spacing w:line="520" w:lineRule="exact"/>
              <w:jc w:val="center"/>
              <w:rPr>
                <w:rFonts w:ascii="仿宋" w:hAnsi="仿宋" w:eastAsia="仿宋" w:cs="仿宋"/>
                <w:sz w:val="24"/>
              </w:rPr>
            </w:pPr>
          </w:p>
        </w:tc>
      </w:tr>
      <w:tr w14:paraId="44B9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587F9E76">
            <w:pPr>
              <w:kinsoku/>
              <w:overflowPunct/>
              <w:topLinePunct w:val="0"/>
              <w:bidi w:val="0"/>
              <w:spacing w:line="520" w:lineRule="exact"/>
              <w:jc w:val="center"/>
              <w:rPr>
                <w:rFonts w:ascii="仿宋" w:hAnsi="仿宋" w:eastAsia="仿宋" w:cs="仿宋"/>
                <w:sz w:val="24"/>
              </w:rPr>
            </w:pPr>
          </w:p>
        </w:tc>
        <w:tc>
          <w:tcPr>
            <w:tcW w:w="1980" w:type="dxa"/>
            <w:noWrap/>
            <w:vAlign w:val="center"/>
          </w:tcPr>
          <w:p w14:paraId="355B3481">
            <w:pPr>
              <w:kinsoku/>
              <w:overflowPunct/>
              <w:topLinePunct w:val="0"/>
              <w:bidi w:val="0"/>
              <w:spacing w:line="520" w:lineRule="exact"/>
              <w:jc w:val="center"/>
              <w:rPr>
                <w:rFonts w:ascii="仿宋" w:hAnsi="仿宋" w:eastAsia="仿宋" w:cs="仿宋"/>
                <w:sz w:val="24"/>
              </w:rPr>
            </w:pPr>
          </w:p>
        </w:tc>
        <w:tc>
          <w:tcPr>
            <w:tcW w:w="1596" w:type="dxa"/>
            <w:noWrap/>
            <w:vAlign w:val="center"/>
          </w:tcPr>
          <w:p w14:paraId="3BC3E6D6">
            <w:pPr>
              <w:kinsoku/>
              <w:overflowPunct/>
              <w:topLinePunct w:val="0"/>
              <w:bidi w:val="0"/>
              <w:spacing w:line="520" w:lineRule="exact"/>
              <w:jc w:val="center"/>
              <w:rPr>
                <w:rFonts w:ascii="仿宋" w:hAnsi="仿宋" w:eastAsia="仿宋" w:cs="仿宋"/>
                <w:sz w:val="24"/>
              </w:rPr>
            </w:pPr>
          </w:p>
        </w:tc>
        <w:tc>
          <w:tcPr>
            <w:tcW w:w="1980" w:type="dxa"/>
            <w:noWrap/>
            <w:vAlign w:val="center"/>
          </w:tcPr>
          <w:p w14:paraId="14534000">
            <w:pPr>
              <w:kinsoku/>
              <w:overflowPunct/>
              <w:topLinePunct w:val="0"/>
              <w:bidi w:val="0"/>
              <w:spacing w:line="520" w:lineRule="exact"/>
              <w:jc w:val="center"/>
              <w:rPr>
                <w:rFonts w:ascii="仿宋" w:hAnsi="仿宋" w:eastAsia="仿宋" w:cs="仿宋"/>
                <w:sz w:val="24"/>
              </w:rPr>
            </w:pPr>
          </w:p>
        </w:tc>
        <w:tc>
          <w:tcPr>
            <w:tcW w:w="2904" w:type="dxa"/>
            <w:noWrap/>
            <w:vAlign w:val="center"/>
          </w:tcPr>
          <w:p w14:paraId="7634FFB5">
            <w:pPr>
              <w:kinsoku/>
              <w:overflowPunct/>
              <w:topLinePunct w:val="0"/>
              <w:bidi w:val="0"/>
              <w:spacing w:line="520" w:lineRule="exact"/>
              <w:jc w:val="center"/>
              <w:rPr>
                <w:rFonts w:ascii="仿宋" w:hAnsi="仿宋" w:eastAsia="仿宋" w:cs="仿宋"/>
                <w:sz w:val="24"/>
              </w:rPr>
            </w:pPr>
          </w:p>
        </w:tc>
      </w:tr>
      <w:tr w14:paraId="251E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50529231">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3B137A2">
            <w:pPr>
              <w:kinsoku/>
              <w:overflowPunct/>
              <w:topLinePunct w:val="0"/>
              <w:bidi w:val="0"/>
              <w:spacing w:line="520" w:lineRule="exact"/>
              <w:jc w:val="center"/>
              <w:rPr>
                <w:rFonts w:ascii="仿宋" w:hAnsi="仿宋" w:eastAsia="仿宋" w:cs="仿宋"/>
                <w:sz w:val="24"/>
              </w:rPr>
            </w:pPr>
          </w:p>
        </w:tc>
        <w:tc>
          <w:tcPr>
            <w:tcW w:w="1596" w:type="dxa"/>
            <w:noWrap/>
            <w:vAlign w:val="center"/>
          </w:tcPr>
          <w:p w14:paraId="27C7819D">
            <w:pPr>
              <w:kinsoku/>
              <w:overflowPunct/>
              <w:topLinePunct w:val="0"/>
              <w:bidi w:val="0"/>
              <w:spacing w:line="520" w:lineRule="exact"/>
              <w:jc w:val="center"/>
              <w:rPr>
                <w:rFonts w:ascii="仿宋" w:hAnsi="仿宋" w:eastAsia="仿宋" w:cs="仿宋"/>
                <w:sz w:val="24"/>
              </w:rPr>
            </w:pPr>
          </w:p>
        </w:tc>
        <w:tc>
          <w:tcPr>
            <w:tcW w:w="1980" w:type="dxa"/>
            <w:noWrap/>
            <w:vAlign w:val="center"/>
          </w:tcPr>
          <w:p w14:paraId="1E6B74B4">
            <w:pPr>
              <w:kinsoku/>
              <w:overflowPunct/>
              <w:topLinePunct w:val="0"/>
              <w:bidi w:val="0"/>
              <w:spacing w:line="520" w:lineRule="exact"/>
              <w:jc w:val="center"/>
              <w:rPr>
                <w:rFonts w:ascii="仿宋" w:hAnsi="仿宋" w:eastAsia="仿宋" w:cs="仿宋"/>
                <w:sz w:val="24"/>
              </w:rPr>
            </w:pPr>
          </w:p>
        </w:tc>
        <w:tc>
          <w:tcPr>
            <w:tcW w:w="2904" w:type="dxa"/>
            <w:noWrap/>
            <w:vAlign w:val="center"/>
          </w:tcPr>
          <w:p w14:paraId="527B7F53">
            <w:pPr>
              <w:kinsoku/>
              <w:overflowPunct/>
              <w:topLinePunct w:val="0"/>
              <w:bidi w:val="0"/>
              <w:spacing w:line="520" w:lineRule="exact"/>
              <w:jc w:val="center"/>
              <w:rPr>
                <w:rFonts w:ascii="仿宋" w:hAnsi="仿宋" w:eastAsia="仿宋" w:cs="仿宋"/>
                <w:sz w:val="24"/>
              </w:rPr>
            </w:pPr>
          </w:p>
        </w:tc>
      </w:tr>
      <w:tr w14:paraId="093C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7AF0D40E">
            <w:pPr>
              <w:kinsoku/>
              <w:overflowPunct/>
              <w:topLinePunct w:val="0"/>
              <w:bidi w:val="0"/>
              <w:spacing w:line="520" w:lineRule="exact"/>
              <w:jc w:val="center"/>
              <w:rPr>
                <w:rFonts w:ascii="仿宋" w:hAnsi="仿宋" w:eastAsia="仿宋" w:cs="仿宋"/>
                <w:sz w:val="24"/>
              </w:rPr>
            </w:pPr>
          </w:p>
        </w:tc>
        <w:tc>
          <w:tcPr>
            <w:tcW w:w="1980" w:type="dxa"/>
            <w:noWrap/>
            <w:vAlign w:val="center"/>
          </w:tcPr>
          <w:p w14:paraId="043128D8">
            <w:pPr>
              <w:kinsoku/>
              <w:overflowPunct/>
              <w:topLinePunct w:val="0"/>
              <w:bidi w:val="0"/>
              <w:spacing w:line="520" w:lineRule="exact"/>
              <w:jc w:val="center"/>
              <w:rPr>
                <w:rFonts w:ascii="仿宋" w:hAnsi="仿宋" w:eastAsia="仿宋" w:cs="仿宋"/>
                <w:sz w:val="24"/>
              </w:rPr>
            </w:pPr>
          </w:p>
        </w:tc>
        <w:tc>
          <w:tcPr>
            <w:tcW w:w="1596" w:type="dxa"/>
            <w:noWrap/>
            <w:vAlign w:val="center"/>
          </w:tcPr>
          <w:p w14:paraId="2ED0057F">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1AFBE6B">
            <w:pPr>
              <w:kinsoku/>
              <w:overflowPunct/>
              <w:topLinePunct w:val="0"/>
              <w:bidi w:val="0"/>
              <w:spacing w:line="520" w:lineRule="exact"/>
              <w:jc w:val="center"/>
              <w:rPr>
                <w:rFonts w:ascii="仿宋" w:hAnsi="仿宋" w:eastAsia="仿宋" w:cs="仿宋"/>
                <w:sz w:val="24"/>
              </w:rPr>
            </w:pPr>
          </w:p>
        </w:tc>
        <w:tc>
          <w:tcPr>
            <w:tcW w:w="2904" w:type="dxa"/>
            <w:noWrap/>
            <w:vAlign w:val="center"/>
          </w:tcPr>
          <w:p w14:paraId="522D236C">
            <w:pPr>
              <w:kinsoku/>
              <w:overflowPunct/>
              <w:topLinePunct w:val="0"/>
              <w:bidi w:val="0"/>
              <w:spacing w:line="520" w:lineRule="exact"/>
              <w:jc w:val="center"/>
              <w:rPr>
                <w:rFonts w:ascii="仿宋" w:hAnsi="仿宋" w:eastAsia="仿宋" w:cs="仿宋"/>
                <w:sz w:val="24"/>
              </w:rPr>
            </w:pPr>
          </w:p>
        </w:tc>
      </w:tr>
      <w:tr w14:paraId="57B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36A28C02">
            <w:pPr>
              <w:kinsoku/>
              <w:overflowPunct/>
              <w:topLinePunct w:val="0"/>
              <w:bidi w:val="0"/>
              <w:spacing w:line="520" w:lineRule="exact"/>
              <w:jc w:val="center"/>
              <w:rPr>
                <w:rFonts w:ascii="仿宋" w:hAnsi="仿宋" w:eastAsia="仿宋" w:cs="仿宋"/>
                <w:sz w:val="24"/>
              </w:rPr>
            </w:pPr>
          </w:p>
        </w:tc>
        <w:tc>
          <w:tcPr>
            <w:tcW w:w="1980" w:type="dxa"/>
            <w:noWrap/>
            <w:vAlign w:val="center"/>
          </w:tcPr>
          <w:p w14:paraId="12B1C121">
            <w:pPr>
              <w:kinsoku/>
              <w:overflowPunct/>
              <w:topLinePunct w:val="0"/>
              <w:bidi w:val="0"/>
              <w:spacing w:line="520" w:lineRule="exact"/>
              <w:jc w:val="center"/>
              <w:rPr>
                <w:rFonts w:ascii="仿宋" w:hAnsi="仿宋" w:eastAsia="仿宋" w:cs="仿宋"/>
                <w:sz w:val="24"/>
              </w:rPr>
            </w:pPr>
          </w:p>
        </w:tc>
        <w:tc>
          <w:tcPr>
            <w:tcW w:w="1596" w:type="dxa"/>
            <w:noWrap/>
            <w:vAlign w:val="center"/>
          </w:tcPr>
          <w:p w14:paraId="64525665">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EEE68E7">
            <w:pPr>
              <w:kinsoku/>
              <w:overflowPunct/>
              <w:topLinePunct w:val="0"/>
              <w:bidi w:val="0"/>
              <w:spacing w:line="520" w:lineRule="exact"/>
              <w:jc w:val="center"/>
              <w:rPr>
                <w:rFonts w:ascii="仿宋" w:hAnsi="仿宋" w:eastAsia="仿宋" w:cs="仿宋"/>
                <w:sz w:val="24"/>
              </w:rPr>
            </w:pPr>
          </w:p>
        </w:tc>
        <w:tc>
          <w:tcPr>
            <w:tcW w:w="2904" w:type="dxa"/>
            <w:noWrap/>
            <w:vAlign w:val="center"/>
          </w:tcPr>
          <w:p w14:paraId="1D42794F">
            <w:pPr>
              <w:kinsoku/>
              <w:overflowPunct/>
              <w:topLinePunct w:val="0"/>
              <w:bidi w:val="0"/>
              <w:spacing w:line="520" w:lineRule="exact"/>
              <w:jc w:val="center"/>
              <w:rPr>
                <w:rFonts w:ascii="仿宋" w:hAnsi="仿宋" w:eastAsia="仿宋" w:cs="仿宋"/>
                <w:sz w:val="24"/>
              </w:rPr>
            </w:pPr>
          </w:p>
        </w:tc>
      </w:tr>
      <w:tr w14:paraId="069E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noWrap/>
            <w:vAlign w:val="center"/>
          </w:tcPr>
          <w:p w14:paraId="170C3562">
            <w:pPr>
              <w:kinsoku/>
              <w:overflowPunct/>
              <w:topLinePunct w:val="0"/>
              <w:bidi w:val="0"/>
              <w:spacing w:line="520" w:lineRule="exact"/>
              <w:jc w:val="center"/>
              <w:rPr>
                <w:rFonts w:ascii="仿宋" w:hAnsi="仿宋" w:eastAsia="仿宋" w:cs="仿宋"/>
                <w:sz w:val="24"/>
              </w:rPr>
            </w:pPr>
          </w:p>
        </w:tc>
        <w:tc>
          <w:tcPr>
            <w:tcW w:w="1980" w:type="dxa"/>
            <w:noWrap/>
            <w:vAlign w:val="center"/>
          </w:tcPr>
          <w:p w14:paraId="70C6D3D6">
            <w:pPr>
              <w:kinsoku/>
              <w:overflowPunct/>
              <w:topLinePunct w:val="0"/>
              <w:bidi w:val="0"/>
              <w:spacing w:line="520" w:lineRule="exact"/>
              <w:jc w:val="center"/>
              <w:rPr>
                <w:rFonts w:ascii="仿宋" w:hAnsi="仿宋" w:eastAsia="仿宋" w:cs="仿宋"/>
                <w:sz w:val="24"/>
              </w:rPr>
            </w:pPr>
          </w:p>
        </w:tc>
        <w:tc>
          <w:tcPr>
            <w:tcW w:w="1596" w:type="dxa"/>
            <w:noWrap/>
            <w:vAlign w:val="center"/>
          </w:tcPr>
          <w:p w14:paraId="08096E9B">
            <w:pPr>
              <w:kinsoku/>
              <w:overflowPunct/>
              <w:topLinePunct w:val="0"/>
              <w:bidi w:val="0"/>
              <w:spacing w:line="520" w:lineRule="exact"/>
              <w:jc w:val="center"/>
              <w:rPr>
                <w:rFonts w:ascii="仿宋" w:hAnsi="仿宋" w:eastAsia="仿宋" w:cs="仿宋"/>
                <w:sz w:val="24"/>
              </w:rPr>
            </w:pPr>
          </w:p>
        </w:tc>
        <w:tc>
          <w:tcPr>
            <w:tcW w:w="1980" w:type="dxa"/>
            <w:noWrap/>
            <w:vAlign w:val="center"/>
          </w:tcPr>
          <w:p w14:paraId="3F63B8AA">
            <w:pPr>
              <w:kinsoku/>
              <w:overflowPunct/>
              <w:topLinePunct w:val="0"/>
              <w:bidi w:val="0"/>
              <w:spacing w:line="520" w:lineRule="exact"/>
              <w:jc w:val="center"/>
              <w:rPr>
                <w:rFonts w:ascii="仿宋" w:hAnsi="仿宋" w:eastAsia="仿宋" w:cs="仿宋"/>
                <w:sz w:val="24"/>
              </w:rPr>
            </w:pPr>
          </w:p>
        </w:tc>
        <w:tc>
          <w:tcPr>
            <w:tcW w:w="2904" w:type="dxa"/>
            <w:noWrap/>
            <w:vAlign w:val="center"/>
          </w:tcPr>
          <w:p w14:paraId="02E3C6C4">
            <w:pPr>
              <w:kinsoku/>
              <w:overflowPunct/>
              <w:topLinePunct w:val="0"/>
              <w:bidi w:val="0"/>
              <w:spacing w:line="520" w:lineRule="exact"/>
              <w:jc w:val="center"/>
              <w:rPr>
                <w:rFonts w:ascii="仿宋" w:hAnsi="仿宋" w:eastAsia="仿宋" w:cs="仿宋"/>
                <w:sz w:val="24"/>
              </w:rPr>
            </w:pPr>
          </w:p>
        </w:tc>
      </w:tr>
    </w:tbl>
    <w:p w14:paraId="5C188FBE">
      <w:pPr>
        <w:kinsoku/>
        <w:overflowPunct/>
        <w:topLinePunct w:val="0"/>
        <w:bidi w:val="0"/>
        <w:spacing w:line="520" w:lineRule="exact"/>
        <w:rPr>
          <w:rFonts w:ascii="仿宋" w:hAnsi="仿宋" w:eastAsia="仿宋" w:cs="仿宋"/>
          <w:sz w:val="24"/>
        </w:rPr>
      </w:pPr>
    </w:p>
    <w:p w14:paraId="4EC03FF3">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法定代表人或其授权代理人签名或盖章：</w:t>
      </w:r>
    </w:p>
    <w:p w14:paraId="3862AFB4">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日期：     年   月   日</w:t>
      </w:r>
    </w:p>
    <w:p w14:paraId="294B153C">
      <w:pPr>
        <w:kinsoku/>
        <w:overflowPunct/>
        <w:topLinePunct w:val="0"/>
        <w:bidi w:val="0"/>
        <w:spacing w:line="520" w:lineRule="exact"/>
        <w:ind w:left="843" w:hanging="843" w:hangingChars="350"/>
        <w:rPr>
          <w:rFonts w:ascii="仿宋" w:hAnsi="仿宋" w:eastAsia="仿宋" w:cs="仿宋"/>
          <w:b/>
          <w:sz w:val="24"/>
        </w:rPr>
      </w:pPr>
    </w:p>
    <w:p w14:paraId="04EE0310">
      <w:pPr>
        <w:kinsoku/>
        <w:overflowPunct/>
        <w:topLinePunct w:val="0"/>
        <w:bidi w:val="0"/>
        <w:spacing w:line="520" w:lineRule="exact"/>
        <w:ind w:left="843" w:hanging="843" w:hangingChars="350"/>
        <w:rPr>
          <w:rFonts w:ascii="仿宋" w:hAnsi="仿宋" w:eastAsia="仿宋" w:cs="仿宋"/>
          <w:b/>
          <w:sz w:val="24"/>
        </w:rPr>
      </w:pPr>
      <w:r>
        <w:rPr>
          <w:rFonts w:hint="eastAsia" w:ascii="仿宋" w:hAnsi="仿宋" w:eastAsia="仿宋" w:cs="仿宋"/>
          <w:b/>
          <w:sz w:val="24"/>
        </w:rPr>
        <w:t>注：</w:t>
      </w:r>
    </w:p>
    <w:p w14:paraId="2D37FB77">
      <w:pPr>
        <w:kinsoku/>
        <w:overflowPunct/>
        <w:topLinePunct w:val="0"/>
        <w:bidi w:val="0"/>
        <w:spacing w:line="52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Cs/>
          <w:sz w:val="24"/>
        </w:rPr>
        <w:t>获得的证书(附证书复印件并加盖公章)；</w:t>
      </w:r>
    </w:p>
    <w:p w14:paraId="247A6083">
      <w:pPr>
        <w:kinsoku/>
        <w:overflowPunct/>
        <w:topLinePunct w:val="0"/>
        <w:bidi w:val="0"/>
        <w:spacing w:line="520" w:lineRule="exact"/>
        <w:ind w:firstLine="480" w:firstLineChars="200"/>
        <w:jc w:val="left"/>
        <w:outlineLvl w:val="9"/>
        <w:rPr>
          <w:rFonts w:hint="eastAsia" w:ascii="仿宋" w:hAnsi="仿宋" w:eastAsia="仿宋" w:cs="仿宋"/>
          <w:sz w:val="24"/>
        </w:rPr>
        <w:sectPr>
          <w:pgSz w:w="11906" w:h="16838"/>
          <w:pgMar w:top="1134" w:right="1247" w:bottom="1032" w:left="1247" w:header="851" w:footer="850" w:gutter="0"/>
          <w:pgNumType w:fmt="decimal"/>
          <w:cols w:space="720" w:num="1"/>
          <w:docGrid w:type="lines" w:linePitch="312" w:charSpace="0"/>
        </w:sectPr>
      </w:pPr>
      <w:r>
        <w:rPr>
          <w:rFonts w:hint="eastAsia" w:ascii="仿宋" w:hAnsi="仿宋" w:eastAsia="仿宋" w:cs="仿宋"/>
          <w:sz w:val="24"/>
        </w:rPr>
        <w:t>2.此表仅提供了表格形式，供应商应根据需要准备足够数量的表格来填写。</w:t>
      </w:r>
    </w:p>
    <w:p w14:paraId="0F30C6BD">
      <w:pPr>
        <w:kinsoku/>
        <w:overflowPunct/>
        <w:topLinePunct w:val="0"/>
        <w:bidi w:val="0"/>
        <w:snapToGrid w:val="0"/>
        <w:spacing w:before="156" w:beforeLines="50" w:after="50" w:line="520" w:lineRule="exact"/>
        <w:jc w:val="center"/>
        <w:outlineLvl w:val="1"/>
        <w:rPr>
          <w:rFonts w:hint="eastAsia" w:ascii="仿宋" w:hAnsi="仿宋" w:eastAsia="仿宋" w:cs="仿宋"/>
          <w:b/>
          <w:color w:val="auto"/>
          <w:sz w:val="28"/>
          <w:szCs w:val="28"/>
          <w:highlight w:val="none"/>
        </w:rPr>
      </w:pPr>
      <w:r>
        <w:rPr>
          <w:rFonts w:hint="eastAsia" w:ascii="仿宋" w:hAnsi="仿宋" w:eastAsia="仿宋" w:cs="宋体"/>
          <w:b/>
          <w:bCs/>
          <w:sz w:val="28"/>
          <w:szCs w:val="28"/>
        </w:rPr>
        <w:t>1</w:t>
      </w:r>
      <w:r>
        <w:rPr>
          <w:rFonts w:hint="eastAsia" w:ascii="仿宋" w:hAnsi="仿宋" w:eastAsia="仿宋" w:cs="宋体"/>
          <w:b/>
          <w:bCs/>
          <w:sz w:val="28"/>
          <w:szCs w:val="28"/>
          <w:lang w:val="en-US" w:eastAsia="zh-CN"/>
        </w:rPr>
        <w:t>3</w:t>
      </w:r>
      <w:r>
        <w:rPr>
          <w:rFonts w:hint="eastAsia" w:ascii="仿宋" w:hAnsi="仿宋" w:eastAsia="仿宋" w:cs="宋体"/>
          <w:b/>
          <w:bCs/>
          <w:sz w:val="28"/>
          <w:szCs w:val="28"/>
        </w:rPr>
        <w:t>、</w:t>
      </w:r>
      <w:r>
        <w:rPr>
          <w:rFonts w:hint="eastAsia" w:ascii="仿宋" w:hAnsi="仿宋" w:eastAsia="仿宋" w:cs="仿宋"/>
          <w:b/>
          <w:color w:val="auto"/>
          <w:sz w:val="28"/>
          <w:szCs w:val="28"/>
          <w:highlight w:val="none"/>
        </w:rPr>
        <w:t>响 应 函</w:t>
      </w:r>
    </w:p>
    <w:p w14:paraId="4A3F0BB4">
      <w:pPr>
        <w:kinsoku/>
        <w:overflowPunct/>
        <w:topLinePunct w:val="0"/>
        <w:bidi w:val="0"/>
        <w:snapToGrid w:val="0"/>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36578FBF">
      <w:pPr>
        <w:kinsoku/>
        <w:overflowPunct/>
        <w:topLinePunct w:val="0"/>
        <w:bidi w:val="0"/>
        <w:snapToGrid w:val="0"/>
        <w:spacing w:line="520" w:lineRule="exact"/>
        <w:ind w:firstLine="600" w:firstLineChars="25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项目的磋商公告</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（全名）</w:t>
      </w:r>
      <w:r>
        <w:rPr>
          <w:rFonts w:hint="eastAsia" w:ascii="仿宋" w:hAnsi="仿宋" w:eastAsia="仿宋" w:cs="仿宋"/>
          <w:color w:val="auto"/>
          <w:sz w:val="24"/>
          <w:highlight w:val="none"/>
        </w:rPr>
        <w:t>经正式授权并代表供应商</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提交《技术、商务、资信及其他文件》和《首次报价文件》。</w:t>
      </w:r>
    </w:p>
    <w:p w14:paraId="4B242149">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据此函，签字代表宣布同意如下：</w:t>
      </w:r>
    </w:p>
    <w:p w14:paraId="27FA3DFB">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1.供应商已详细审查全部“磋商文件”，包括修改文件（如有的话）以及全部参考资料和有关附件，已经了解我方对于磋商文件、采购过程、采购结果有依法进行询问、质疑、投诉的权利及相关渠道和要求。</w:t>
      </w:r>
    </w:p>
    <w:p w14:paraId="30666AA3">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2.供应商在磋商之前已经与贵方进行了充分的沟通，完全理解并接受磋商文件的各项规定和要求，对磋商文件的合理性、合法性不再有异议。</w:t>
      </w:r>
    </w:p>
    <w:p w14:paraId="2B60AB49">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3.本磋商有效期自开标日起</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w:t>
      </w:r>
    </w:p>
    <w:p w14:paraId="188B2408">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4.如</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，本响应文件至本项目合同履行完毕止均保持有效，本供应商将按“磋商文件”及政府采购法律、法规的规定履行合同责任和义务。</w:t>
      </w:r>
    </w:p>
    <w:p w14:paraId="50CE78D3">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5.供应商同意按照贵方要求提供与磋商有关的一切数据或资料。</w:t>
      </w:r>
    </w:p>
    <w:p w14:paraId="5FB879B9">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6.与本磋商有关的一切正式往来信函请寄：</w:t>
      </w:r>
    </w:p>
    <w:p w14:paraId="5C540C73">
      <w:pPr>
        <w:kinsoku/>
        <w:overflowPunct/>
        <w:topLinePunct w:val="0"/>
        <w:bidi w:val="0"/>
        <w:snapToGrid w:val="0"/>
        <w:spacing w:line="520" w:lineRule="exact"/>
        <w:ind w:firstLine="480" w:firstLineChars="200"/>
        <w:rPr>
          <w:rFonts w:hint="eastAsia" w:ascii="仿宋" w:hAnsi="仿宋" w:eastAsia="仿宋" w:cs="仿宋"/>
          <w:color w:val="auto"/>
          <w:sz w:val="24"/>
          <w:szCs w:val="20"/>
          <w:highlight w:val="none"/>
        </w:rPr>
      </w:pPr>
    </w:p>
    <w:p w14:paraId="6B7B93EF">
      <w:pPr>
        <w:kinsoku/>
        <w:overflowPunct/>
        <w:topLinePunct w:val="0"/>
        <w:bidi w:val="0"/>
        <w:snapToGrid w:val="0"/>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电话：</w:t>
      </w:r>
    </w:p>
    <w:p w14:paraId="5672EB85">
      <w:pPr>
        <w:kinsoku/>
        <w:overflowPunct/>
        <w:topLinePunct w:val="0"/>
        <w:bidi w:val="0"/>
        <w:snapToGrid w:val="0"/>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供应商代表姓名：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职务：</w:t>
      </w:r>
    </w:p>
    <w:p w14:paraId="4077EC20">
      <w:pPr>
        <w:kinsoku/>
        <w:overflowPunct/>
        <w:topLinePunct w:val="0"/>
        <w:bidi w:val="0"/>
        <w:snapToGrid w:val="0"/>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p>
    <w:p w14:paraId="7A81F5EB">
      <w:pPr>
        <w:kinsoku/>
        <w:overflowPunct/>
        <w:topLinePunct w:val="0"/>
        <w:bidi w:val="0"/>
        <w:snapToGrid w:val="0"/>
        <w:spacing w:line="52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开户银行：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银行</w:t>
      </w: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p>
    <w:p w14:paraId="1B8731E6">
      <w:pPr>
        <w:kinsoku/>
        <w:overflowPunct/>
        <w:topLinePunct w:val="0"/>
        <w:bidi w:val="0"/>
        <w:snapToGrid w:val="0"/>
        <w:spacing w:line="520" w:lineRule="exact"/>
        <w:rPr>
          <w:rFonts w:hint="eastAsia" w:ascii="仿宋" w:hAnsi="仿宋" w:eastAsia="仿宋" w:cs="仿宋"/>
          <w:color w:val="auto"/>
          <w:sz w:val="30"/>
          <w:szCs w:val="20"/>
          <w:highlight w:val="none"/>
        </w:rPr>
      </w:pPr>
      <w:r>
        <w:rPr>
          <w:rFonts w:hint="eastAsia" w:ascii="仿宋" w:hAnsi="仿宋" w:eastAsia="仿宋" w:cs="仿宋"/>
          <w:color w:val="auto"/>
          <w:sz w:val="24"/>
          <w:highlight w:val="none"/>
          <w:lang w:eastAsia="zh-CN"/>
        </w:rPr>
        <w:t>授权代理人</w:t>
      </w:r>
      <w:r>
        <w:rPr>
          <w:rFonts w:hint="eastAsia" w:ascii="仿宋" w:hAnsi="仿宋" w:eastAsia="仿宋" w:cs="仿宋"/>
          <w:color w:val="auto"/>
          <w:sz w:val="24"/>
          <w:highlight w:val="none"/>
        </w:rPr>
        <w:t xml:space="preserve">签字: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日期:年月日</w:t>
      </w:r>
    </w:p>
    <w:p w14:paraId="661A2FF1">
      <w:pPr>
        <w:kinsoku/>
        <w:overflowPunct/>
        <w:topLinePunct w:val="0"/>
        <w:bidi w:val="0"/>
        <w:spacing w:line="52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br w:type="page"/>
      </w:r>
    </w:p>
    <w:p w14:paraId="13A93FF6">
      <w:pPr>
        <w:kinsoku/>
        <w:overflowPunct/>
        <w:topLinePunct w:val="0"/>
        <w:bidi w:val="0"/>
        <w:snapToGrid w:val="0"/>
        <w:spacing w:before="156" w:beforeLines="50" w:after="50" w:line="520" w:lineRule="exact"/>
        <w:jc w:val="center"/>
        <w:outlineLvl w:val="1"/>
        <w:rPr>
          <w:rFonts w:hint="eastAsia" w:ascii="仿宋" w:hAnsi="仿宋" w:eastAsia="仿宋" w:cs="仿宋"/>
          <w:b/>
          <w:color w:val="auto"/>
          <w:sz w:val="28"/>
          <w:szCs w:val="28"/>
          <w:highlight w:val="none"/>
          <w:lang w:val="zh-CN"/>
        </w:rPr>
      </w:pPr>
      <w:r>
        <w:rPr>
          <w:rFonts w:hint="eastAsia" w:ascii="仿宋" w:hAnsi="仿宋" w:eastAsia="仿宋" w:cs="宋体"/>
          <w:b/>
          <w:bCs/>
          <w:sz w:val="28"/>
          <w:szCs w:val="28"/>
        </w:rPr>
        <w:t>1</w:t>
      </w:r>
      <w:r>
        <w:rPr>
          <w:rFonts w:hint="eastAsia" w:ascii="仿宋" w:hAnsi="仿宋" w:eastAsia="仿宋" w:cs="宋体"/>
          <w:b/>
          <w:bCs/>
          <w:sz w:val="28"/>
          <w:szCs w:val="28"/>
          <w:lang w:val="en-US" w:eastAsia="zh-CN"/>
        </w:rPr>
        <w:t>4</w:t>
      </w:r>
      <w:r>
        <w:rPr>
          <w:rFonts w:hint="eastAsia" w:ascii="仿宋" w:hAnsi="仿宋" w:eastAsia="仿宋" w:cs="宋体"/>
          <w:b/>
          <w:bCs/>
          <w:sz w:val="28"/>
          <w:szCs w:val="28"/>
        </w:rPr>
        <w:t>、</w:t>
      </w:r>
      <w:r>
        <w:rPr>
          <w:rFonts w:hint="eastAsia" w:ascii="仿宋" w:hAnsi="仿宋" w:eastAsia="仿宋" w:cs="仿宋"/>
          <w:b/>
          <w:color w:val="auto"/>
          <w:sz w:val="28"/>
          <w:szCs w:val="28"/>
          <w:highlight w:val="none"/>
          <w:lang w:val="zh-CN"/>
        </w:rPr>
        <w:t>磋商报价明细表</w:t>
      </w:r>
    </w:p>
    <w:p w14:paraId="5C1126DE">
      <w:pPr>
        <w:kinsoku/>
        <w:overflowPunct/>
        <w:topLinePunct w:val="0"/>
        <w:bidi w:val="0"/>
        <w:spacing w:line="520" w:lineRule="exact"/>
        <w:jc w:val="center"/>
        <w:rPr>
          <w:rFonts w:hint="eastAsia" w:ascii="宋体" w:hAnsi="宋体" w:cs="宋体"/>
        </w:rPr>
      </w:pPr>
    </w:p>
    <w:p w14:paraId="04C27418">
      <w:pPr>
        <w:kinsoku/>
        <w:overflowPunct/>
        <w:topLinePunct w:val="0"/>
        <w:autoSpaceDE w:val="0"/>
        <w:autoSpaceDN w:val="0"/>
        <w:bidi w:val="0"/>
        <w:adjustRightInd w:val="0"/>
        <w:spacing w:line="520" w:lineRule="exact"/>
        <w:rPr>
          <w:rFonts w:hint="eastAsia" w:ascii="仿宋" w:hAnsi="仿宋" w:eastAsia="仿宋" w:cs="仿宋"/>
          <w:sz w:val="24"/>
          <w:szCs w:val="24"/>
          <w:lang w:val="zh-CN"/>
        </w:rPr>
      </w:pPr>
      <w:r>
        <w:rPr>
          <w:rFonts w:hint="eastAsia" w:ascii="仿宋" w:hAnsi="仿宋" w:eastAsia="仿宋" w:cs="仿宋"/>
          <w:sz w:val="24"/>
          <w:szCs w:val="24"/>
          <w:lang w:val="zh-CN"/>
        </w:rPr>
        <w:t>供应商</w:t>
      </w:r>
      <w:r>
        <w:rPr>
          <w:rFonts w:hint="eastAsia" w:ascii="仿宋" w:hAnsi="仿宋" w:eastAsia="仿宋" w:cs="仿宋"/>
          <w:sz w:val="24"/>
          <w:szCs w:val="24"/>
          <w:lang w:val="en-US" w:eastAsia="zh-CN"/>
        </w:rPr>
        <w:t>名称</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p>
    <w:p w14:paraId="0243A4F7">
      <w:pPr>
        <w:kinsoku/>
        <w:overflowPunct/>
        <w:topLinePunct w:val="0"/>
        <w:autoSpaceDE w:val="0"/>
        <w:autoSpaceDN w:val="0"/>
        <w:bidi w:val="0"/>
        <w:adjustRightInd w:val="0"/>
        <w:spacing w:line="520" w:lineRule="exact"/>
        <w:rPr>
          <w:rFonts w:hint="eastAsia" w:ascii="仿宋" w:hAnsi="仿宋" w:eastAsia="仿宋" w:cs="仿宋"/>
          <w:sz w:val="24"/>
          <w:szCs w:val="24"/>
          <w:lang w:val="zh-CN"/>
        </w:rPr>
      </w:pPr>
      <w:r>
        <w:rPr>
          <w:rFonts w:hint="eastAsia" w:ascii="仿宋" w:hAnsi="仿宋" w:eastAsia="仿宋" w:cs="仿宋"/>
          <w:sz w:val="24"/>
          <w:szCs w:val="24"/>
          <w:lang w:val="zh-CN"/>
        </w:rPr>
        <w:t>项目编号：</w:t>
      </w:r>
      <w:r>
        <w:rPr>
          <w:rFonts w:hint="eastAsia" w:ascii="仿宋" w:hAnsi="仿宋" w:eastAsia="仿宋" w:cs="仿宋"/>
          <w:sz w:val="24"/>
          <w:szCs w:val="24"/>
          <w:u w:val="single"/>
          <w:lang w:val="zh-CN" w:eastAsia="zh-CN"/>
        </w:rPr>
        <w:t>仁皇招字2025249号</w:t>
      </w:r>
      <w:r>
        <w:rPr>
          <w:rFonts w:hint="eastAsia" w:ascii="仿宋" w:hAnsi="仿宋" w:eastAsia="仿宋" w:cs="仿宋"/>
          <w:sz w:val="24"/>
          <w:szCs w:val="24"/>
          <w:u w:val="single"/>
          <w:lang w:val="zh-CN"/>
        </w:rPr>
        <w:t xml:space="preserve"> </w:t>
      </w:r>
      <w:r>
        <w:rPr>
          <w:rFonts w:hint="eastAsia" w:ascii="仿宋" w:hAnsi="仿宋" w:eastAsia="仿宋" w:cs="仿宋"/>
          <w:bCs/>
          <w:snapToGrid w:val="0"/>
          <w:sz w:val="24"/>
          <w:szCs w:val="24"/>
          <w:u w:val="single"/>
        </w:rPr>
        <w:t xml:space="preserve">  </w:t>
      </w:r>
      <w:r>
        <w:rPr>
          <w:rFonts w:hint="eastAsia" w:ascii="仿宋" w:hAnsi="仿宋" w:eastAsia="仿宋" w:cs="仿宋"/>
          <w:sz w:val="24"/>
          <w:szCs w:val="24"/>
          <w:lang w:val="zh-CN"/>
        </w:rPr>
        <w:t xml:space="preserve">    </w:t>
      </w:r>
    </w:p>
    <w:p w14:paraId="5D486E91">
      <w:pPr>
        <w:kinsoku/>
        <w:overflowPunct/>
        <w:topLinePunct w:val="0"/>
        <w:autoSpaceDE w:val="0"/>
        <w:autoSpaceDN w:val="0"/>
        <w:bidi w:val="0"/>
        <w:adjustRightInd w:val="0"/>
        <w:spacing w:line="520" w:lineRule="exact"/>
        <w:rPr>
          <w:rFonts w:hint="eastAsia" w:ascii="仿宋" w:hAnsi="仿宋" w:eastAsia="仿宋" w:cs="仿宋"/>
          <w:sz w:val="24"/>
          <w:szCs w:val="24"/>
        </w:rPr>
      </w:pPr>
      <w:r>
        <w:rPr>
          <w:rFonts w:hint="eastAsia" w:ascii="仿宋" w:hAnsi="仿宋" w:eastAsia="仿宋" w:cs="仿宋"/>
          <w:sz w:val="24"/>
          <w:szCs w:val="24"/>
          <w:lang w:val="zh-CN"/>
        </w:rPr>
        <w:t>报价单位：</w:t>
      </w:r>
      <w:r>
        <w:rPr>
          <w:rFonts w:hint="eastAsia" w:ascii="仿宋" w:hAnsi="仿宋" w:eastAsia="仿宋" w:cs="仿宋"/>
          <w:sz w:val="24"/>
          <w:szCs w:val="24"/>
          <w:u w:val="single"/>
          <w:lang w:val="zh-CN"/>
        </w:rPr>
        <w:t>人民币（元）</w:t>
      </w:r>
      <w:r>
        <w:rPr>
          <w:rFonts w:hint="eastAsia" w:ascii="仿宋" w:hAnsi="仿宋" w:eastAsia="仿宋" w:cs="仿宋"/>
          <w:sz w:val="24"/>
          <w:szCs w:val="24"/>
        </w:rPr>
        <w:t xml:space="preserve">              </w:t>
      </w:r>
    </w:p>
    <w:tbl>
      <w:tblPr>
        <w:tblStyle w:val="2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51"/>
        <w:gridCol w:w="995"/>
        <w:gridCol w:w="1655"/>
        <w:gridCol w:w="1493"/>
        <w:gridCol w:w="1160"/>
        <w:gridCol w:w="1502"/>
      </w:tblGrid>
      <w:tr w14:paraId="3B39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86" w:type="dxa"/>
            <w:noWrap w:val="0"/>
            <w:vAlign w:val="center"/>
          </w:tcPr>
          <w:p w14:paraId="52F416C0">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651" w:type="dxa"/>
            <w:noWrap w:val="0"/>
            <w:vAlign w:val="center"/>
          </w:tcPr>
          <w:p w14:paraId="6B892474">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费用名称</w:t>
            </w:r>
          </w:p>
        </w:tc>
        <w:tc>
          <w:tcPr>
            <w:tcW w:w="995" w:type="dxa"/>
            <w:noWrap w:val="0"/>
            <w:vAlign w:val="center"/>
          </w:tcPr>
          <w:p w14:paraId="51B0519E">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1655" w:type="dxa"/>
            <w:noWrap w:val="0"/>
            <w:vAlign w:val="center"/>
          </w:tcPr>
          <w:p w14:paraId="525FE13A">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计算基数</w:t>
            </w:r>
          </w:p>
        </w:tc>
        <w:tc>
          <w:tcPr>
            <w:tcW w:w="1493" w:type="dxa"/>
            <w:noWrap w:val="0"/>
            <w:vAlign w:val="center"/>
          </w:tcPr>
          <w:p w14:paraId="1E330AEF">
            <w:pPr>
              <w:kinsoku/>
              <w:overflowPunct/>
              <w:topLinePunct w:val="0"/>
              <w:bidi w:val="0"/>
              <w:spacing w:line="520" w:lineRule="exact"/>
              <w:ind w:firstLine="120" w:firstLineChars="50"/>
              <w:jc w:val="center"/>
              <w:rPr>
                <w:rFonts w:hint="eastAsia" w:ascii="仿宋" w:hAnsi="仿宋" w:eastAsia="仿宋" w:cs="仿宋"/>
                <w:bCs/>
                <w:sz w:val="24"/>
                <w:szCs w:val="24"/>
              </w:rPr>
            </w:pPr>
            <w:r>
              <w:rPr>
                <w:rFonts w:hint="eastAsia" w:ascii="仿宋" w:hAnsi="仿宋" w:eastAsia="仿宋" w:cs="仿宋"/>
                <w:bCs/>
                <w:sz w:val="24"/>
                <w:szCs w:val="24"/>
              </w:rPr>
              <w:t>单 价（元）</w:t>
            </w:r>
          </w:p>
        </w:tc>
        <w:tc>
          <w:tcPr>
            <w:tcW w:w="1160" w:type="dxa"/>
            <w:noWrap w:val="0"/>
            <w:vAlign w:val="center"/>
          </w:tcPr>
          <w:p w14:paraId="4F0D8D38">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rPr>
              <w:t>数 量</w:t>
            </w:r>
          </w:p>
        </w:tc>
        <w:tc>
          <w:tcPr>
            <w:tcW w:w="1502" w:type="dxa"/>
            <w:noWrap w:val="0"/>
            <w:vAlign w:val="center"/>
          </w:tcPr>
          <w:p w14:paraId="1FCB68AC">
            <w:pPr>
              <w:kinsoku/>
              <w:overflowPunct/>
              <w:topLinePunct w:val="0"/>
              <w:bidi w:val="0"/>
              <w:spacing w:line="520" w:lineRule="exact"/>
              <w:ind w:firstLine="120" w:firstLineChars="50"/>
              <w:jc w:val="center"/>
              <w:rPr>
                <w:rFonts w:hint="eastAsia" w:ascii="仿宋" w:hAnsi="仿宋" w:eastAsia="仿宋" w:cs="仿宋"/>
                <w:bCs/>
                <w:sz w:val="24"/>
                <w:szCs w:val="24"/>
              </w:rPr>
            </w:pPr>
            <w:r>
              <w:rPr>
                <w:rFonts w:hint="eastAsia" w:ascii="仿宋" w:hAnsi="仿宋" w:eastAsia="仿宋" w:cs="仿宋"/>
                <w:bCs/>
                <w:sz w:val="24"/>
                <w:szCs w:val="24"/>
              </w:rPr>
              <w:t>合 价</w:t>
            </w:r>
          </w:p>
          <w:p w14:paraId="3B7A4104">
            <w:pPr>
              <w:kinsoku/>
              <w:overflowPunct/>
              <w:topLinePunct w:val="0"/>
              <w:bidi w:val="0"/>
              <w:spacing w:line="520" w:lineRule="exact"/>
              <w:ind w:firstLine="120" w:firstLineChars="50"/>
              <w:jc w:val="center"/>
              <w:rPr>
                <w:rFonts w:hint="eastAsia" w:ascii="仿宋" w:hAnsi="仿宋" w:eastAsia="仿宋" w:cs="仿宋"/>
                <w:bCs/>
                <w:sz w:val="24"/>
                <w:szCs w:val="24"/>
              </w:rPr>
            </w:pPr>
            <w:r>
              <w:rPr>
                <w:rFonts w:hint="eastAsia" w:ascii="仿宋" w:hAnsi="仿宋" w:eastAsia="仿宋" w:cs="仿宋"/>
                <w:bCs/>
                <w:sz w:val="24"/>
                <w:szCs w:val="24"/>
              </w:rPr>
              <w:t>（元）</w:t>
            </w:r>
          </w:p>
        </w:tc>
      </w:tr>
      <w:tr w14:paraId="700C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6DE49B08">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651" w:type="dxa"/>
            <w:noWrap w:val="0"/>
            <w:vAlign w:val="center"/>
          </w:tcPr>
          <w:p w14:paraId="11117503">
            <w:pPr>
              <w:widowControl/>
              <w:kinsoku/>
              <w:overflowPunct/>
              <w:topLinePunct w:val="0"/>
              <w:bidi w:val="0"/>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项目经理</w:t>
            </w:r>
          </w:p>
        </w:tc>
        <w:tc>
          <w:tcPr>
            <w:tcW w:w="995" w:type="dxa"/>
            <w:noWrap w:val="0"/>
            <w:vAlign w:val="top"/>
          </w:tcPr>
          <w:p w14:paraId="116292AB">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人</w:t>
            </w:r>
          </w:p>
        </w:tc>
        <w:tc>
          <w:tcPr>
            <w:tcW w:w="1655" w:type="dxa"/>
            <w:noWrap w:val="0"/>
            <w:vAlign w:val="top"/>
          </w:tcPr>
          <w:p w14:paraId="7869E6D6">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63CEB9B0">
            <w:pPr>
              <w:kinsoku/>
              <w:overflowPunct/>
              <w:topLinePunct w:val="0"/>
              <w:bidi w:val="0"/>
              <w:spacing w:line="520" w:lineRule="exact"/>
              <w:rPr>
                <w:rFonts w:hint="eastAsia" w:ascii="仿宋" w:hAnsi="仿宋" w:eastAsia="仿宋" w:cs="仿宋"/>
                <w:bCs/>
                <w:color w:val="0000FF"/>
                <w:sz w:val="24"/>
                <w:szCs w:val="24"/>
              </w:rPr>
            </w:pPr>
          </w:p>
        </w:tc>
        <w:tc>
          <w:tcPr>
            <w:tcW w:w="1160" w:type="dxa"/>
            <w:noWrap w:val="0"/>
            <w:vAlign w:val="top"/>
          </w:tcPr>
          <w:p w14:paraId="5EA20563">
            <w:pPr>
              <w:kinsoku/>
              <w:overflowPunct/>
              <w:topLinePunct w:val="0"/>
              <w:bidi w:val="0"/>
              <w:spacing w:line="52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w:t>
            </w:r>
          </w:p>
        </w:tc>
        <w:tc>
          <w:tcPr>
            <w:tcW w:w="1502" w:type="dxa"/>
            <w:noWrap w:val="0"/>
            <w:vAlign w:val="top"/>
          </w:tcPr>
          <w:p w14:paraId="0A332B81">
            <w:pPr>
              <w:kinsoku/>
              <w:overflowPunct/>
              <w:topLinePunct w:val="0"/>
              <w:bidi w:val="0"/>
              <w:spacing w:line="520" w:lineRule="exact"/>
              <w:rPr>
                <w:rFonts w:hint="eastAsia" w:ascii="仿宋" w:hAnsi="仿宋" w:eastAsia="仿宋" w:cs="仿宋"/>
                <w:bCs/>
                <w:sz w:val="24"/>
                <w:szCs w:val="24"/>
              </w:rPr>
            </w:pPr>
          </w:p>
        </w:tc>
      </w:tr>
      <w:tr w14:paraId="1F57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297A513C">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1651" w:type="dxa"/>
            <w:noWrap w:val="0"/>
            <w:vAlign w:val="center"/>
          </w:tcPr>
          <w:p w14:paraId="50ED7939">
            <w:pPr>
              <w:widowControl/>
              <w:kinsoku/>
              <w:overflowPunct/>
              <w:topLinePunct w:val="0"/>
              <w:bidi w:val="0"/>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工作人员</w:t>
            </w:r>
          </w:p>
        </w:tc>
        <w:tc>
          <w:tcPr>
            <w:tcW w:w="995" w:type="dxa"/>
            <w:noWrap w:val="0"/>
            <w:vAlign w:val="top"/>
          </w:tcPr>
          <w:p w14:paraId="02ED8CC7">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人</w:t>
            </w:r>
          </w:p>
        </w:tc>
        <w:tc>
          <w:tcPr>
            <w:tcW w:w="1655" w:type="dxa"/>
            <w:noWrap w:val="0"/>
            <w:vAlign w:val="top"/>
          </w:tcPr>
          <w:p w14:paraId="3BDA20FC">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342FC82F">
            <w:pPr>
              <w:kinsoku/>
              <w:overflowPunct/>
              <w:topLinePunct w:val="0"/>
              <w:bidi w:val="0"/>
              <w:spacing w:line="520" w:lineRule="exact"/>
              <w:rPr>
                <w:rFonts w:hint="eastAsia" w:ascii="仿宋" w:hAnsi="仿宋" w:eastAsia="仿宋" w:cs="仿宋"/>
                <w:bCs/>
                <w:color w:val="0000FF"/>
                <w:sz w:val="24"/>
                <w:szCs w:val="24"/>
              </w:rPr>
            </w:pPr>
          </w:p>
        </w:tc>
        <w:tc>
          <w:tcPr>
            <w:tcW w:w="1160" w:type="dxa"/>
            <w:noWrap w:val="0"/>
            <w:vAlign w:val="top"/>
          </w:tcPr>
          <w:p w14:paraId="451E84DD">
            <w:pPr>
              <w:kinsoku/>
              <w:overflowPunct/>
              <w:topLinePunct w:val="0"/>
              <w:bidi w:val="0"/>
              <w:spacing w:line="52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8</w:t>
            </w:r>
          </w:p>
        </w:tc>
        <w:tc>
          <w:tcPr>
            <w:tcW w:w="1502" w:type="dxa"/>
            <w:noWrap w:val="0"/>
            <w:vAlign w:val="top"/>
          </w:tcPr>
          <w:p w14:paraId="0514CEC3">
            <w:pPr>
              <w:kinsoku/>
              <w:overflowPunct/>
              <w:topLinePunct w:val="0"/>
              <w:bidi w:val="0"/>
              <w:spacing w:line="520" w:lineRule="exact"/>
              <w:rPr>
                <w:rFonts w:hint="eastAsia" w:ascii="仿宋" w:hAnsi="仿宋" w:eastAsia="仿宋" w:cs="仿宋"/>
                <w:bCs/>
                <w:sz w:val="24"/>
                <w:szCs w:val="24"/>
              </w:rPr>
            </w:pPr>
          </w:p>
        </w:tc>
      </w:tr>
      <w:tr w14:paraId="12ED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7A680615">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1651" w:type="dxa"/>
            <w:noWrap w:val="0"/>
            <w:vAlign w:val="center"/>
          </w:tcPr>
          <w:p w14:paraId="4223F751">
            <w:pPr>
              <w:widowControl/>
              <w:kinsoku/>
              <w:overflowPunct/>
              <w:topLinePunct w:val="0"/>
              <w:bidi w:val="0"/>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val="en-US" w:eastAsia="zh-CN"/>
              </w:rPr>
              <w:t>紧凑型多功能清洁车</w:t>
            </w:r>
          </w:p>
        </w:tc>
        <w:tc>
          <w:tcPr>
            <w:tcW w:w="995" w:type="dxa"/>
            <w:noWrap w:val="0"/>
            <w:vAlign w:val="top"/>
          </w:tcPr>
          <w:p w14:paraId="4813BA7A">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辆</w:t>
            </w:r>
          </w:p>
        </w:tc>
        <w:tc>
          <w:tcPr>
            <w:tcW w:w="1655" w:type="dxa"/>
            <w:noWrap w:val="0"/>
            <w:vAlign w:val="top"/>
          </w:tcPr>
          <w:p w14:paraId="137CBECE">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312DBE67">
            <w:pPr>
              <w:kinsoku/>
              <w:overflowPunct/>
              <w:topLinePunct w:val="0"/>
              <w:bidi w:val="0"/>
              <w:spacing w:line="520" w:lineRule="exact"/>
              <w:rPr>
                <w:rFonts w:hint="eastAsia" w:ascii="仿宋" w:hAnsi="仿宋" w:eastAsia="仿宋" w:cs="仿宋"/>
                <w:bCs/>
                <w:color w:val="auto"/>
                <w:sz w:val="24"/>
                <w:szCs w:val="24"/>
              </w:rPr>
            </w:pPr>
          </w:p>
        </w:tc>
        <w:tc>
          <w:tcPr>
            <w:tcW w:w="1160" w:type="dxa"/>
            <w:noWrap w:val="0"/>
            <w:vAlign w:val="center"/>
          </w:tcPr>
          <w:p w14:paraId="1F5B5E78">
            <w:pPr>
              <w:kinsoku/>
              <w:overflowPunct/>
              <w:topLinePunct w:val="0"/>
              <w:bidi w:val="0"/>
              <w:spacing w:line="52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p>
        </w:tc>
        <w:tc>
          <w:tcPr>
            <w:tcW w:w="1502" w:type="dxa"/>
            <w:noWrap w:val="0"/>
            <w:vAlign w:val="top"/>
          </w:tcPr>
          <w:p w14:paraId="24F1181D">
            <w:pPr>
              <w:kinsoku/>
              <w:overflowPunct/>
              <w:topLinePunct w:val="0"/>
              <w:bidi w:val="0"/>
              <w:spacing w:line="520" w:lineRule="exact"/>
              <w:rPr>
                <w:rFonts w:hint="eastAsia" w:ascii="仿宋" w:hAnsi="仿宋" w:eastAsia="仿宋" w:cs="仿宋"/>
                <w:bCs/>
                <w:sz w:val="24"/>
                <w:szCs w:val="24"/>
              </w:rPr>
            </w:pPr>
          </w:p>
        </w:tc>
      </w:tr>
      <w:tr w14:paraId="0E6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224AEF83">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1651" w:type="dxa"/>
            <w:noWrap w:val="0"/>
            <w:vAlign w:val="center"/>
          </w:tcPr>
          <w:p w14:paraId="179F3B3D">
            <w:pPr>
              <w:widowControl/>
              <w:kinsoku/>
              <w:overflowPunct/>
              <w:topLinePunct w:val="0"/>
              <w:bidi w:val="0"/>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val="en-US" w:eastAsia="zh-CN"/>
              </w:rPr>
              <w:t>驾驶式电动洗地吸干机</w:t>
            </w:r>
          </w:p>
        </w:tc>
        <w:tc>
          <w:tcPr>
            <w:tcW w:w="995" w:type="dxa"/>
            <w:noWrap w:val="0"/>
            <w:vAlign w:val="top"/>
          </w:tcPr>
          <w:p w14:paraId="5F0DAFE6">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辆</w:t>
            </w:r>
          </w:p>
        </w:tc>
        <w:tc>
          <w:tcPr>
            <w:tcW w:w="1655" w:type="dxa"/>
            <w:noWrap w:val="0"/>
            <w:vAlign w:val="top"/>
          </w:tcPr>
          <w:p w14:paraId="708BD1C0">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198ECB49">
            <w:pPr>
              <w:kinsoku/>
              <w:overflowPunct/>
              <w:topLinePunct w:val="0"/>
              <w:bidi w:val="0"/>
              <w:spacing w:line="520" w:lineRule="exact"/>
              <w:rPr>
                <w:rFonts w:hint="eastAsia" w:ascii="仿宋" w:hAnsi="仿宋" w:eastAsia="仿宋" w:cs="仿宋"/>
                <w:bCs/>
                <w:color w:val="auto"/>
                <w:sz w:val="24"/>
                <w:szCs w:val="24"/>
              </w:rPr>
            </w:pPr>
          </w:p>
        </w:tc>
        <w:tc>
          <w:tcPr>
            <w:tcW w:w="1160" w:type="dxa"/>
            <w:noWrap w:val="0"/>
            <w:vAlign w:val="center"/>
          </w:tcPr>
          <w:p w14:paraId="7CC4BD93">
            <w:pPr>
              <w:kinsoku/>
              <w:overflowPunct/>
              <w:topLinePunct w:val="0"/>
              <w:bidi w:val="0"/>
              <w:spacing w:line="52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p>
        </w:tc>
        <w:tc>
          <w:tcPr>
            <w:tcW w:w="1502" w:type="dxa"/>
            <w:noWrap w:val="0"/>
            <w:vAlign w:val="top"/>
          </w:tcPr>
          <w:p w14:paraId="091DB277">
            <w:pPr>
              <w:kinsoku/>
              <w:overflowPunct/>
              <w:topLinePunct w:val="0"/>
              <w:bidi w:val="0"/>
              <w:spacing w:line="520" w:lineRule="exact"/>
              <w:rPr>
                <w:rFonts w:hint="eastAsia" w:ascii="仿宋" w:hAnsi="仿宋" w:eastAsia="仿宋" w:cs="仿宋"/>
                <w:bCs/>
                <w:sz w:val="24"/>
                <w:szCs w:val="24"/>
              </w:rPr>
            </w:pPr>
          </w:p>
        </w:tc>
      </w:tr>
      <w:tr w14:paraId="49B3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4296875B">
            <w:pPr>
              <w:kinsoku/>
              <w:overflowPunct/>
              <w:topLinePunct w:val="0"/>
              <w:bidi w:val="0"/>
              <w:spacing w:line="52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1651" w:type="dxa"/>
            <w:noWrap w:val="0"/>
            <w:vAlign w:val="center"/>
          </w:tcPr>
          <w:p w14:paraId="48C0D031">
            <w:pPr>
              <w:widowControl/>
              <w:kinsoku/>
              <w:overflowPunct/>
              <w:topLinePunct w:val="0"/>
              <w:bidi w:val="0"/>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lang w:val="en-US" w:eastAsia="zh-CN"/>
              </w:rPr>
              <w:t>小型汽车</w:t>
            </w:r>
          </w:p>
        </w:tc>
        <w:tc>
          <w:tcPr>
            <w:tcW w:w="995" w:type="dxa"/>
            <w:noWrap w:val="0"/>
            <w:vAlign w:val="top"/>
          </w:tcPr>
          <w:p w14:paraId="5D35EAEB">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辆</w:t>
            </w:r>
          </w:p>
        </w:tc>
        <w:tc>
          <w:tcPr>
            <w:tcW w:w="1655" w:type="dxa"/>
            <w:noWrap w:val="0"/>
            <w:vAlign w:val="top"/>
          </w:tcPr>
          <w:p w14:paraId="19E4517C">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23F6C7EC">
            <w:pPr>
              <w:kinsoku/>
              <w:overflowPunct/>
              <w:topLinePunct w:val="0"/>
              <w:bidi w:val="0"/>
              <w:spacing w:line="520" w:lineRule="exact"/>
              <w:rPr>
                <w:rFonts w:hint="eastAsia" w:ascii="仿宋" w:hAnsi="仿宋" w:eastAsia="仿宋" w:cs="仿宋"/>
                <w:bCs/>
                <w:color w:val="auto"/>
                <w:sz w:val="24"/>
                <w:szCs w:val="24"/>
              </w:rPr>
            </w:pPr>
          </w:p>
        </w:tc>
        <w:tc>
          <w:tcPr>
            <w:tcW w:w="1160" w:type="dxa"/>
            <w:noWrap w:val="0"/>
            <w:vAlign w:val="top"/>
          </w:tcPr>
          <w:p w14:paraId="5A53CD73">
            <w:pPr>
              <w:kinsoku/>
              <w:overflowPunct/>
              <w:topLinePunct w:val="0"/>
              <w:bidi w:val="0"/>
              <w:spacing w:line="52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w:t>
            </w:r>
          </w:p>
        </w:tc>
        <w:tc>
          <w:tcPr>
            <w:tcW w:w="1502" w:type="dxa"/>
            <w:noWrap w:val="0"/>
            <w:vAlign w:val="top"/>
          </w:tcPr>
          <w:p w14:paraId="5E60ACE0">
            <w:pPr>
              <w:kinsoku/>
              <w:overflowPunct/>
              <w:topLinePunct w:val="0"/>
              <w:bidi w:val="0"/>
              <w:spacing w:line="520" w:lineRule="exact"/>
              <w:rPr>
                <w:rFonts w:hint="eastAsia" w:ascii="仿宋" w:hAnsi="仿宋" w:eastAsia="仿宋" w:cs="仿宋"/>
                <w:bCs/>
                <w:sz w:val="24"/>
                <w:szCs w:val="24"/>
              </w:rPr>
            </w:pPr>
          </w:p>
        </w:tc>
      </w:tr>
      <w:tr w14:paraId="69C6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4E2F8A3A">
            <w:pPr>
              <w:kinsoku/>
              <w:overflowPunct/>
              <w:topLinePunct w:val="0"/>
              <w:bidi w:val="0"/>
              <w:spacing w:line="52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eastAsia="zh-CN"/>
              </w:rPr>
              <w:t>……</w:t>
            </w:r>
          </w:p>
        </w:tc>
        <w:tc>
          <w:tcPr>
            <w:tcW w:w="1651" w:type="dxa"/>
            <w:noWrap w:val="0"/>
            <w:vAlign w:val="top"/>
          </w:tcPr>
          <w:p w14:paraId="1638C5CA">
            <w:pPr>
              <w:kinsoku/>
              <w:overflowPunct/>
              <w:topLinePunct w:val="0"/>
              <w:bidi w:val="0"/>
              <w:spacing w:line="520" w:lineRule="exact"/>
              <w:rPr>
                <w:rFonts w:hint="eastAsia" w:ascii="仿宋" w:hAnsi="仿宋" w:eastAsia="仿宋" w:cs="仿宋"/>
                <w:bCs/>
                <w:sz w:val="24"/>
                <w:szCs w:val="24"/>
              </w:rPr>
            </w:pPr>
          </w:p>
        </w:tc>
        <w:tc>
          <w:tcPr>
            <w:tcW w:w="995" w:type="dxa"/>
            <w:noWrap w:val="0"/>
            <w:vAlign w:val="top"/>
          </w:tcPr>
          <w:p w14:paraId="005C6513">
            <w:pPr>
              <w:kinsoku/>
              <w:overflowPunct/>
              <w:topLinePunct w:val="0"/>
              <w:bidi w:val="0"/>
              <w:spacing w:line="520" w:lineRule="exact"/>
              <w:rPr>
                <w:rFonts w:hint="eastAsia" w:ascii="仿宋" w:hAnsi="仿宋" w:eastAsia="仿宋" w:cs="仿宋"/>
                <w:bCs/>
                <w:sz w:val="24"/>
                <w:szCs w:val="24"/>
              </w:rPr>
            </w:pPr>
          </w:p>
        </w:tc>
        <w:tc>
          <w:tcPr>
            <w:tcW w:w="1655" w:type="dxa"/>
            <w:noWrap w:val="0"/>
            <w:vAlign w:val="top"/>
          </w:tcPr>
          <w:p w14:paraId="734EA374">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0BE24E8C">
            <w:pPr>
              <w:kinsoku/>
              <w:overflowPunct/>
              <w:topLinePunct w:val="0"/>
              <w:bidi w:val="0"/>
              <w:spacing w:line="520" w:lineRule="exact"/>
              <w:rPr>
                <w:rFonts w:hint="eastAsia" w:ascii="仿宋" w:hAnsi="仿宋" w:eastAsia="仿宋" w:cs="仿宋"/>
                <w:bCs/>
                <w:color w:val="0000FF"/>
                <w:sz w:val="24"/>
                <w:szCs w:val="24"/>
              </w:rPr>
            </w:pPr>
          </w:p>
        </w:tc>
        <w:tc>
          <w:tcPr>
            <w:tcW w:w="1160" w:type="dxa"/>
            <w:noWrap w:val="0"/>
            <w:vAlign w:val="top"/>
          </w:tcPr>
          <w:p w14:paraId="4FF5A031">
            <w:pPr>
              <w:kinsoku/>
              <w:overflowPunct/>
              <w:topLinePunct w:val="0"/>
              <w:bidi w:val="0"/>
              <w:spacing w:line="520" w:lineRule="exact"/>
              <w:rPr>
                <w:rFonts w:hint="eastAsia" w:ascii="仿宋" w:hAnsi="仿宋" w:eastAsia="仿宋" w:cs="仿宋"/>
                <w:bCs/>
                <w:color w:val="0000FF"/>
                <w:sz w:val="24"/>
                <w:szCs w:val="24"/>
              </w:rPr>
            </w:pPr>
          </w:p>
        </w:tc>
        <w:tc>
          <w:tcPr>
            <w:tcW w:w="1502" w:type="dxa"/>
            <w:noWrap w:val="0"/>
            <w:vAlign w:val="top"/>
          </w:tcPr>
          <w:p w14:paraId="0F15EB63">
            <w:pPr>
              <w:kinsoku/>
              <w:overflowPunct/>
              <w:topLinePunct w:val="0"/>
              <w:bidi w:val="0"/>
              <w:spacing w:line="520" w:lineRule="exact"/>
              <w:rPr>
                <w:rFonts w:hint="eastAsia" w:ascii="仿宋" w:hAnsi="仿宋" w:eastAsia="仿宋" w:cs="仿宋"/>
                <w:bCs/>
                <w:sz w:val="24"/>
                <w:szCs w:val="24"/>
              </w:rPr>
            </w:pPr>
          </w:p>
        </w:tc>
      </w:tr>
      <w:tr w14:paraId="4F86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6" w:type="dxa"/>
            <w:noWrap w:val="0"/>
            <w:vAlign w:val="top"/>
          </w:tcPr>
          <w:p w14:paraId="15A9D77D">
            <w:pPr>
              <w:kinsoku/>
              <w:overflowPunct/>
              <w:topLinePunct w:val="0"/>
              <w:bidi w:val="0"/>
              <w:spacing w:line="520" w:lineRule="exact"/>
              <w:jc w:val="center"/>
              <w:rPr>
                <w:rFonts w:hint="eastAsia" w:ascii="仿宋" w:hAnsi="仿宋" w:eastAsia="仿宋" w:cs="仿宋"/>
                <w:bCs/>
                <w:sz w:val="24"/>
                <w:szCs w:val="24"/>
                <w:lang w:eastAsia="zh-CN"/>
              </w:rPr>
            </w:pPr>
          </w:p>
        </w:tc>
        <w:tc>
          <w:tcPr>
            <w:tcW w:w="1651" w:type="dxa"/>
            <w:noWrap w:val="0"/>
            <w:vAlign w:val="top"/>
          </w:tcPr>
          <w:p w14:paraId="75216019">
            <w:pPr>
              <w:kinsoku/>
              <w:overflowPunct/>
              <w:topLinePunct w:val="0"/>
              <w:bidi w:val="0"/>
              <w:spacing w:line="520" w:lineRule="exact"/>
              <w:rPr>
                <w:rFonts w:hint="eastAsia" w:ascii="仿宋" w:hAnsi="仿宋" w:eastAsia="仿宋" w:cs="仿宋"/>
                <w:bCs/>
                <w:sz w:val="24"/>
                <w:szCs w:val="24"/>
              </w:rPr>
            </w:pPr>
          </w:p>
        </w:tc>
        <w:tc>
          <w:tcPr>
            <w:tcW w:w="995" w:type="dxa"/>
            <w:noWrap w:val="0"/>
            <w:vAlign w:val="top"/>
          </w:tcPr>
          <w:p w14:paraId="064E36EC">
            <w:pPr>
              <w:kinsoku/>
              <w:overflowPunct/>
              <w:topLinePunct w:val="0"/>
              <w:bidi w:val="0"/>
              <w:spacing w:line="520" w:lineRule="exact"/>
              <w:rPr>
                <w:rFonts w:hint="eastAsia" w:ascii="仿宋" w:hAnsi="仿宋" w:eastAsia="仿宋" w:cs="仿宋"/>
                <w:bCs/>
                <w:sz w:val="24"/>
                <w:szCs w:val="24"/>
              </w:rPr>
            </w:pPr>
          </w:p>
        </w:tc>
        <w:tc>
          <w:tcPr>
            <w:tcW w:w="1655" w:type="dxa"/>
            <w:noWrap w:val="0"/>
            <w:vAlign w:val="top"/>
          </w:tcPr>
          <w:p w14:paraId="03E64B43">
            <w:pPr>
              <w:kinsoku/>
              <w:overflowPunct/>
              <w:topLinePunct w:val="0"/>
              <w:bidi w:val="0"/>
              <w:spacing w:line="520" w:lineRule="exact"/>
              <w:rPr>
                <w:rFonts w:hint="eastAsia" w:ascii="仿宋" w:hAnsi="仿宋" w:eastAsia="仿宋" w:cs="仿宋"/>
                <w:bCs/>
                <w:sz w:val="24"/>
                <w:szCs w:val="24"/>
              </w:rPr>
            </w:pPr>
          </w:p>
        </w:tc>
        <w:tc>
          <w:tcPr>
            <w:tcW w:w="1493" w:type="dxa"/>
            <w:noWrap w:val="0"/>
            <w:vAlign w:val="top"/>
          </w:tcPr>
          <w:p w14:paraId="5CE1DCC8">
            <w:pPr>
              <w:kinsoku/>
              <w:overflowPunct/>
              <w:topLinePunct w:val="0"/>
              <w:bidi w:val="0"/>
              <w:spacing w:line="520" w:lineRule="exact"/>
              <w:rPr>
                <w:rFonts w:hint="eastAsia" w:ascii="仿宋" w:hAnsi="仿宋" w:eastAsia="仿宋" w:cs="仿宋"/>
                <w:bCs/>
                <w:color w:val="0000FF"/>
                <w:sz w:val="24"/>
                <w:szCs w:val="24"/>
              </w:rPr>
            </w:pPr>
          </w:p>
        </w:tc>
        <w:tc>
          <w:tcPr>
            <w:tcW w:w="1160" w:type="dxa"/>
            <w:noWrap w:val="0"/>
            <w:vAlign w:val="top"/>
          </w:tcPr>
          <w:p w14:paraId="7D481343">
            <w:pPr>
              <w:kinsoku/>
              <w:overflowPunct/>
              <w:topLinePunct w:val="0"/>
              <w:bidi w:val="0"/>
              <w:spacing w:line="520" w:lineRule="exact"/>
              <w:rPr>
                <w:rFonts w:hint="eastAsia" w:ascii="仿宋" w:hAnsi="仿宋" w:eastAsia="仿宋" w:cs="仿宋"/>
                <w:bCs/>
                <w:color w:val="0000FF"/>
                <w:sz w:val="24"/>
                <w:szCs w:val="24"/>
              </w:rPr>
            </w:pPr>
          </w:p>
        </w:tc>
        <w:tc>
          <w:tcPr>
            <w:tcW w:w="1502" w:type="dxa"/>
            <w:noWrap w:val="0"/>
            <w:vAlign w:val="top"/>
          </w:tcPr>
          <w:p w14:paraId="2AC366B8">
            <w:pPr>
              <w:kinsoku/>
              <w:overflowPunct/>
              <w:topLinePunct w:val="0"/>
              <w:bidi w:val="0"/>
              <w:spacing w:line="520" w:lineRule="exact"/>
              <w:rPr>
                <w:rFonts w:hint="eastAsia" w:ascii="仿宋" w:hAnsi="仿宋" w:eastAsia="仿宋" w:cs="仿宋"/>
                <w:bCs/>
                <w:sz w:val="24"/>
                <w:szCs w:val="24"/>
              </w:rPr>
            </w:pPr>
          </w:p>
        </w:tc>
      </w:tr>
      <w:tr w14:paraId="5E97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32" w:type="dxa"/>
            <w:gridSpan w:val="3"/>
            <w:noWrap w:val="0"/>
            <w:vAlign w:val="center"/>
          </w:tcPr>
          <w:p w14:paraId="0E9D59C1">
            <w:pPr>
              <w:kinsoku/>
              <w:overflowPunct/>
              <w:topLinePunct w:val="0"/>
              <w:bidi w:val="0"/>
              <w:spacing w:line="520" w:lineRule="exact"/>
              <w:jc w:val="center"/>
              <w:rPr>
                <w:rFonts w:hint="eastAsia" w:ascii="仿宋" w:hAnsi="仿宋" w:eastAsia="仿宋" w:cs="仿宋"/>
                <w:bCs/>
                <w:sz w:val="24"/>
                <w:szCs w:val="24"/>
              </w:rPr>
            </w:pPr>
            <w:r>
              <w:rPr>
                <w:rFonts w:hint="eastAsia" w:ascii="仿宋" w:hAnsi="仿宋" w:eastAsia="仿宋" w:cs="仿宋"/>
                <w:b/>
                <w:sz w:val="24"/>
                <w:szCs w:val="24"/>
              </w:rPr>
              <w:t>磋商总价</w:t>
            </w:r>
          </w:p>
        </w:tc>
        <w:tc>
          <w:tcPr>
            <w:tcW w:w="5810" w:type="dxa"/>
            <w:gridSpan w:val="4"/>
            <w:noWrap w:val="0"/>
            <w:vAlign w:val="top"/>
          </w:tcPr>
          <w:p w14:paraId="2362B8D2">
            <w:pPr>
              <w:kinsoku/>
              <w:overflowPunct/>
              <w:topLinePunct w:val="0"/>
              <w:bidi w:val="0"/>
              <w:spacing w:line="520" w:lineRule="exact"/>
              <w:rPr>
                <w:rFonts w:hint="eastAsia" w:ascii="仿宋" w:hAnsi="仿宋" w:eastAsia="仿宋" w:cs="仿宋"/>
                <w:bCs/>
                <w:sz w:val="24"/>
                <w:szCs w:val="24"/>
              </w:rPr>
            </w:pPr>
            <w:r>
              <w:rPr>
                <w:rFonts w:hint="eastAsia" w:ascii="仿宋" w:hAnsi="仿宋" w:eastAsia="仿宋" w:cs="仿宋"/>
                <w:bCs/>
                <w:sz w:val="24"/>
                <w:szCs w:val="24"/>
              </w:rPr>
              <w:t xml:space="preserve">大写：  </w:t>
            </w:r>
          </w:p>
          <w:p w14:paraId="376CA32C">
            <w:pPr>
              <w:kinsoku/>
              <w:overflowPunct/>
              <w:topLinePunct w:val="0"/>
              <w:bidi w:val="0"/>
              <w:spacing w:line="520" w:lineRule="exact"/>
              <w:rPr>
                <w:rFonts w:hint="eastAsia" w:ascii="仿宋" w:hAnsi="仿宋" w:eastAsia="仿宋" w:cs="仿宋"/>
                <w:bCs/>
                <w:sz w:val="24"/>
                <w:szCs w:val="24"/>
              </w:rPr>
            </w:pPr>
            <w:r>
              <w:rPr>
                <w:rFonts w:hint="eastAsia" w:ascii="仿宋" w:hAnsi="仿宋" w:eastAsia="仿宋" w:cs="仿宋"/>
                <w:sz w:val="24"/>
                <w:szCs w:val="24"/>
              </w:rPr>
              <w:t>小写：</w:t>
            </w:r>
            <w:r>
              <w:rPr>
                <w:rFonts w:hint="eastAsia" w:ascii="仿宋" w:hAnsi="仿宋" w:eastAsia="仿宋" w:cs="仿宋"/>
                <w:bCs/>
                <w:sz w:val="24"/>
                <w:szCs w:val="24"/>
              </w:rPr>
              <w:t xml:space="preserve">                                 </w:t>
            </w:r>
          </w:p>
        </w:tc>
      </w:tr>
    </w:tbl>
    <w:p w14:paraId="2FEFE56E">
      <w:pPr>
        <w:kinsoku/>
        <w:overflowPunct/>
        <w:topLinePunct w:val="0"/>
        <w:bidi w:val="0"/>
        <w:snapToGrid w:val="0"/>
        <w:spacing w:line="520" w:lineRule="exact"/>
        <w:rPr>
          <w:rFonts w:hint="eastAsia" w:ascii="仿宋" w:hAnsi="仿宋" w:eastAsia="仿宋" w:cs="仿宋"/>
          <w:sz w:val="24"/>
          <w:szCs w:val="24"/>
        </w:rPr>
      </w:pPr>
    </w:p>
    <w:p w14:paraId="295712AA">
      <w:pPr>
        <w:kinsoku/>
        <w:overflowPunct/>
        <w:topLinePunct w:val="0"/>
        <w:bidi w:val="0"/>
        <w:snapToGrid w:val="0"/>
        <w:spacing w:line="520" w:lineRule="exact"/>
        <w:rPr>
          <w:rFonts w:hint="eastAsia" w:ascii="仿宋" w:hAnsi="仿宋" w:eastAsia="仿宋" w:cs="仿宋"/>
          <w:sz w:val="24"/>
          <w:szCs w:val="24"/>
        </w:rPr>
      </w:pPr>
      <w:r>
        <w:rPr>
          <w:rFonts w:hint="eastAsia" w:ascii="仿宋" w:hAnsi="仿宋" w:eastAsia="仿宋" w:cs="仿宋"/>
          <w:sz w:val="24"/>
          <w:szCs w:val="24"/>
        </w:rPr>
        <w:t>法定代表人或其授权代表（签名或盖章）：</w:t>
      </w:r>
    </w:p>
    <w:p w14:paraId="480BE157">
      <w:pPr>
        <w:kinsoku/>
        <w:overflowPunct/>
        <w:topLinePunct w:val="0"/>
        <w:bidi w:val="0"/>
        <w:snapToGrid w:val="0"/>
        <w:spacing w:line="520" w:lineRule="exact"/>
        <w:rPr>
          <w:rFonts w:hint="eastAsia" w:ascii="仿宋" w:hAnsi="仿宋" w:eastAsia="仿宋" w:cs="仿宋"/>
          <w:sz w:val="24"/>
          <w:szCs w:val="24"/>
        </w:rPr>
      </w:pPr>
      <w:r>
        <w:rPr>
          <w:rFonts w:hint="eastAsia" w:ascii="仿宋" w:hAnsi="仿宋" w:eastAsia="仿宋" w:cs="仿宋"/>
          <w:sz w:val="24"/>
          <w:szCs w:val="24"/>
        </w:rPr>
        <w:t>日期：    年  月   日</w:t>
      </w:r>
    </w:p>
    <w:p w14:paraId="5EE261BD">
      <w:pPr>
        <w:kinsoku/>
        <w:overflowPunct/>
        <w:topLinePunct w:val="0"/>
        <w:bidi w:val="0"/>
        <w:spacing w:line="520" w:lineRule="exact"/>
        <w:jc w:val="center"/>
        <w:rPr>
          <w:rFonts w:hint="eastAsia" w:ascii="宋体" w:hAnsi="宋体" w:cs="宋体"/>
          <w:b/>
          <w:sz w:val="24"/>
        </w:rPr>
      </w:pPr>
    </w:p>
    <w:p w14:paraId="3CC321ED">
      <w:pPr>
        <w:kinsoku/>
        <w:overflowPunct/>
        <w:topLinePunct w:val="0"/>
        <w:bidi w:val="0"/>
        <w:spacing w:line="520" w:lineRule="exact"/>
        <w:rPr>
          <w:rFonts w:hint="eastAsia" w:ascii="宋体" w:hAnsi="宋体" w:cs="宋体"/>
          <w:sz w:val="24"/>
        </w:rPr>
      </w:pPr>
    </w:p>
    <w:p w14:paraId="4D65B813">
      <w:pPr>
        <w:kinsoku/>
        <w:overflowPunct/>
        <w:topLinePunct w:val="0"/>
        <w:bidi w:val="0"/>
        <w:spacing w:line="520" w:lineRule="exac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147D3772">
      <w:pPr>
        <w:pStyle w:val="5"/>
        <w:kinsoku/>
        <w:overflowPunct/>
        <w:topLinePunct w:val="0"/>
        <w:bidi w:val="0"/>
        <w:spacing w:line="520" w:lineRule="exact"/>
        <w:jc w:val="center"/>
        <w:outlineLvl w:val="1"/>
        <w:rPr>
          <w:rFonts w:hint="eastAsia" w:ascii="仿宋" w:hAnsi="仿宋" w:eastAsia="仿宋" w:cs="仿宋"/>
          <w:b/>
          <w:bCs/>
          <w:color w:val="auto"/>
          <w:sz w:val="28"/>
          <w:szCs w:val="28"/>
          <w:highlight w:val="none"/>
        </w:rPr>
      </w:pPr>
      <w:r>
        <w:rPr>
          <w:rFonts w:hint="eastAsia" w:ascii="仿宋" w:hAnsi="仿宋" w:eastAsia="仿宋" w:cs="宋体"/>
          <w:b/>
          <w:bCs/>
          <w:sz w:val="28"/>
          <w:szCs w:val="28"/>
        </w:rPr>
        <w:t>1</w:t>
      </w:r>
      <w:r>
        <w:rPr>
          <w:rFonts w:hint="eastAsia" w:ascii="仿宋" w:hAnsi="仿宋" w:eastAsia="仿宋" w:cs="宋体"/>
          <w:b/>
          <w:bCs/>
          <w:sz w:val="28"/>
          <w:szCs w:val="28"/>
          <w:lang w:val="en-US" w:eastAsia="zh-CN"/>
        </w:rPr>
        <w:t>5</w:t>
      </w:r>
      <w:r>
        <w:rPr>
          <w:rFonts w:hint="eastAsia" w:ascii="仿宋" w:hAnsi="仿宋" w:eastAsia="仿宋" w:cs="宋体"/>
          <w:b/>
          <w:bCs/>
          <w:sz w:val="28"/>
          <w:szCs w:val="28"/>
        </w:rPr>
        <w:t>、</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rPr>
        <w:t>代理服务费承诺函</w:t>
      </w:r>
    </w:p>
    <w:p w14:paraId="60A887F7">
      <w:pPr>
        <w:pStyle w:val="5"/>
        <w:kinsoku/>
        <w:overflowPunct/>
        <w:topLinePunct w:val="0"/>
        <w:bidi w:val="0"/>
        <w:spacing w:line="520" w:lineRule="exact"/>
        <w:jc w:val="center"/>
        <w:rPr>
          <w:rFonts w:hint="eastAsia" w:ascii="仿宋" w:hAnsi="仿宋" w:eastAsia="仿宋" w:cs="仿宋"/>
          <w:b/>
          <w:color w:val="auto"/>
          <w:sz w:val="28"/>
          <w:szCs w:val="28"/>
          <w:highlight w:val="none"/>
        </w:rPr>
      </w:pPr>
    </w:p>
    <w:p w14:paraId="03B08964">
      <w:pPr>
        <w:pStyle w:val="5"/>
        <w:kinsoku/>
        <w:overflowPunct/>
        <w:topLinePunct w:val="0"/>
        <w:bidi w:val="0"/>
        <w:spacing w:line="5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湖州市仁皇工程咨询有限公司　：</w:t>
      </w:r>
    </w:p>
    <w:p w14:paraId="6F6C2450">
      <w:pPr>
        <w:pStyle w:val="5"/>
        <w:kinsoku/>
        <w:overflowPunct/>
        <w:topLinePunct w:val="0"/>
        <w:bidi w:val="0"/>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根据磋商文件的规定，一旦我公司成交，我公司同意按磋商文件要求向贵公司交纳成交项目的</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代理服务费，在收到成交通知书后的当天一次性结清。</w:t>
      </w:r>
    </w:p>
    <w:p w14:paraId="685DD931">
      <w:pPr>
        <w:pStyle w:val="5"/>
        <w:kinsoku/>
        <w:overflowPunct/>
        <w:topLinePunct w:val="0"/>
        <w:bidi w:val="0"/>
        <w:spacing w:line="5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本承诺函自开标之日起至本次采购期满有效。</w:t>
      </w:r>
    </w:p>
    <w:p w14:paraId="02130120">
      <w:pPr>
        <w:pStyle w:val="5"/>
        <w:kinsoku/>
        <w:overflowPunct/>
        <w:topLinePunct w:val="0"/>
        <w:bidi w:val="0"/>
        <w:spacing w:line="520" w:lineRule="exact"/>
        <w:jc w:val="left"/>
        <w:rPr>
          <w:rFonts w:hint="eastAsia" w:ascii="仿宋" w:hAnsi="仿宋" w:eastAsia="仿宋" w:cs="仿宋"/>
          <w:color w:val="auto"/>
          <w:sz w:val="24"/>
          <w:highlight w:val="none"/>
        </w:rPr>
      </w:pPr>
    </w:p>
    <w:p w14:paraId="47238D53">
      <w:pPr>
        <w:pStyle w:val="5"/>
        <w:kinsoku/>
        <w:overflowPunct/>
        <w:topLinePunct w:val="0"/>
        <w:bidi w:val="0"/>
        <w:spacing w:line="520" w:lineRule="exact"/>
        <w:jc w:val="left"/>
        <w:rPr>
          <w:rFonts w:hint="eastAsia" w:ascii="仿宋" w:hAnsi="仿宋" w:eastAsia="仿宋" w:cs="仿宋"/>
          <w:color w:val="auto"/>
          <w:sz w:val="24"/>
          <w:highlight w:val="none"/>
        </w:rPr>
      </w:pPr>
    </w:p>
    <w:p w14:paraId="6A7FCF34">
      <w:pPr>
        <w:pStyle w:val="5"/>
        <w:kinsoku/>
        <w:overflowPunct/>
        <w:topLinePunct w:val="0"/>
        <w:bidi w:val="0"/>
        <w:spacing w:line="5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授权代理人</w:t>
      </w:r>
      <w:r>
        <w:rPr>
          <w:rFonts w:hint="eastAsia" w:ascii="仿宋" w:hAnsi="仿宋" w:eastAsia="仿宋" w:cs="仿宋"/>
          <w:color w:val="auto"/>
          <w:sz w:val="24"/>
          <w:highlight w:val="none"/>
        </w:rPr>
        <w:t>签字：</w:t>
      </w:r>
    </w:p>
    <w:p w14:paraId="6C5F6A4E">
      <w:pPr>
        <w:pStyle w:val="5"/>
        <w:kinsoku/>
        <w:overflowPunct/>
        <w:topLinePunct w:val="0"/>
        <w:bidi w:val="0"/>
        <w:spacing w:line="5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6BA8675D">
      <w:pPr>
        <w:pStyle w:val="5"/>
        <w:kinsoku/>
        <w:overflowPunct/>
        <w:topLinePunct w:val="0"/>
        <w:bidi w:val="0"/>
        <w:spacing w:line="5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  月  日</w:t>
      </w:r>
    </w:p>
    <w:p w14:paraId="167BE75D">
      <w:pPr>
        <w:pBdr>
          <w:bottom w:val="single" w:color="auto" w:sz="6" w:space="1"/>
        </w:pBdr>
        <w:kinsoku/>
        <w:overflowPunct/>
        <w:topLinePunct w:val="0"/>
        <w:bidi w:val="0"/>
        <w:spacing w:line="520" w:lineRule="exact"/>
        <w:rPr>
          <w:rFonts w:hint="eastAsia" w:ascii="仿宋" w:hAnsi="仿宋" w:eastAsia="仿宋" w:cs="仿宋"/>
          <w:color w:val="auto"/>
          <w:sz w:val="24"/>
          <w:highlight w:val="none"/>
        </w:rPr>
      </w:pPr>
    </w:p>
    <w:p w14:paraId="42374D32">
      <w:pPr>
        <w:kinsoku/>
        <w:overflowPunct/>
        <w:topLinePunct w:val="0"/>
        <w:bidi w:val="0"/>
        <w:spacing w:line="520" w:lineRule="exact"/>
        <w:rPr>
          <w:rFonts w:hint="eastAsia" w:ascii="仿宋" w:hAnsi="仿宋" w:eastAsia="仿宋" w:cs="仿宋"/>
          <w:color w:val="auto"/>
          <w:sz w:val="24"/>
          <w:highlight w:val="none"/>
        </w:rPr>
      </w:pPr>
    </w:p>
    <w:p w14:paraId="1F9017A6">
      <w:pPr>
        <w:kinsoku/>
        <w:overflowPunct/>
        <w:topLinePunct w:val="0"/>
        <w:autoSpaceDE w:val="0"/>
        <w:autoSpaceDN w:val="0"/>
        <w:bidi w:val="0"/>
        <w:adjustRightInd w:val="0"/>
        <w:spacing w:line="520" w:lineRule="exact"/>
        <w:ind w:firstLine="360"/>
        <w:jc w:val="left"/>
        <w:rPr>
          <w:rFonts w:hint="eastAsia" w:ascii="仿宋" w:hAnsi="仿宋" w:eastAsia="仿宋" w:cs="仿宋"/>
          <w:b/>
          <w:bCs/>
          <w:color w:val="auto"/>
          <w:kern w:val="0"/>
          <w:sz w:val="24"/>
          <w:highlight w:val="none"/>
          <w:u w:val="single"/>
        </w:rPr>
      </w:pPr>
      <w:r>
        <w:rPr>
          <w:rFonts w:hint="eastAsia" w:ascii="仿宋" w:hAnsi="仿宋" w:eastAsia="仿宋" w:cs="仿宋"/>
          <w:b/>
          <w:bCs/>
          <w:color w:val="auto"/>
          <w:kern w:val="0"/>
          <w:sz w:val="24"/>
          <w:highlight w:val="none"/>
          <w:u w:val="single"/>
          <w:lang w:val="zh-CN"/>
        </w:rPr>
        <w:t>代理费汇款账号：</w:t>
      </w:r>
    </w:p>
    <w:p w14:paraId="3327B795">
      <w:pPr>
        <w:kinsoku/>
        <w:overflowPunct/>
        <w:topLinePunct w:val="0"/>
        <w:autoSpaceDE w:val="0"/>
        <w:autoSpaceDN w:val="0"/>
        <w:bidi w:val="0"/>
        <w:adjustRightInd w:val="0"/>
        <w:spacing w:line="520" w:lineRule="exact"/>
        <w:ind w:firstLine="360"/>
        <w:jc w:val="left"/>
        <w:rPr>
          <w:rFonts w:hint="eastAsia" w:ascii="仿宋" w:hAnsi="仿宋" w:eastAsia="仿宋" w:cs="仿宋"/>
          <w:b/>
          <w:bCs/>
          <w:color w:val="auto"/>
          <w:kern w:val="0"/>
          <w:sz w:val="24"/>
          <w:highlight w:val="none"/>
          <w:u w:val="single"/>
        </w:rPr>
      </w:pPr>
    </w:p>
    <w:p w14:paraId="05B712C1">
      <w:pPr>
        <w:pStyle w:val="5"/>
        <w:kinsoku/>
        <w:overflowPunct/>
        <w:topLinePunct w:val="0"/>
        <w:bidi w:val="0"/>
        <w:spacing w:line="520" w:lineRule="exact"/>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账户名称：湖州市仁皇工程咨询有限公司</w:t>
      </w:r>
    </w:p>
    <w:p w14:paraId="31D13B0F">
      <w:pPr>
        <w:pStyle w:val="5"/>
        <w:kinsoku/>
        <w:overflowPunct/>
        <w:topLinePunct w:val="0"/>
        <w:bidi w:val="0"/>
        <w:spacing w:line="520" w:lineRule="exact"/>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开户银行：湖州吴兴农村商业银行股份有限公司爱山支行</w:t>
      </w:r>
    </w:p>
    <w:p w14:paraId="15484EE6">
      <w:pPr>
        <w:pStyle w:val="5"/>
        <w:kinsoku/>
        <w:overflowPunct/>
        <w:topLinePunct w:val="0"/>
        <w:bidi w:val="0"/>
        <w:spacing w:line="520" w:lineRule="exact"/>
        <w:ind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银行账号：201000224835118</w:t>
      </w:r>
    </w:p>
    <w:p w14:paraId="288CC4A5">
      <w:pPr>
        <w:kinsoku/>
        <w:overflowPunct/>
        <w:topLinePunct w:val="0"/>
        <w:bidi w:val="0"/>
        <w:snapToGrid w:val="0"/>
        <w:spacing w:before="156" w:beforeLines="50" w:after="50" w:line="520" w:lineRule="exact"/>
        <w:jc w:val="center"/>
        <w:rPr>
          <w:rFonts w:hint="eastAsia" w:ascii="仿宋" w:hAnsi="仿宋" w:eastAsia="仿宋" w:cs="仿宋"/>
          <w:b/>
          <w:color w:val="auto"/>
          <w:sz w:val="28"/>
          <w:szCs w:val="28"/>
          <w:highlight w:val="none"/>
          <w:lang w:val="zh-CN"/>
        </w:rPr>
      </w:pPr>
    </w:p>
    <w:p w14:paraId="117B171B">
      <w:pPr>
        <w:kinsoku/>
        <w:overflowPunct/>
        <w:topLinePunct w:val="0"/>
        <w:bidi w:val="0"/>
        <w:spacing w:line="520" w:lineRule="exact"/>
        <w:rPr>
          <w:rFonts w:hint="eastAsia" w:ascii="仿宋" w:hAnsi="仿宋" w:eastAsia="仿宋" w:cs="仿宋"/>
          <w:color w:val="auto"/>
          <w:kern w:val="2"/>
          <w:sz w:val="36"/>
          <w:szCs w:val="36"/>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4403725</wp:posOffset>
                </wp:positionH>
                <wp:positionV relativeFrom="paragraph">
                  <wp:posOffset>180975</wp:posOffset>
                </wp:positionV>
                <wp:extent cx="90805" cy="898525"/>
                <wp:effectExtent l="0" t="0" r="4445" b="15875"/>
                <wp:wrapNone/>
                <wp:docPr id="1" name="矩形 1"/>
                <wp:cNvGraphicFramePr/>
                <a:graphic xmlns:a="http://schemas.openxmlformats.org/drawingml/2006/main">
                  <a:graphicData uri="http://schemas.microsoft.com/office/word/2010/wordprocessingShape">
                    <wps:wsp>
                      <wps:cNvSpPr/>
                      <wps:spPr>
                        <a:xfrm>
                          <a:off x="0" y="0"/>
                          <a:ext cx="90805" cy="898525"/>
                        </a:xfrm>
                        <a:prstGeom prst="rect">
                          <a:avLst/>
                        </a:prstGeom>
                        <a:solidFill>
                          <a:srgbClr val="FFFFFF"/>
                        </a:solidFill>
                        <a:ln>
                          <a:noFill/>
                        </a:ln>
                        <a:effectLst/>
                      </wps:spPr>
                      <wps:txbx>
                        <w:txbxContent>
                          <w:p w14:paraId="74F367B2">
                            <w:pPr>
                              <w:jc w:val="center"/>
                            </w:pPr>
                          </w:p>
                        </w:txbxContent>
                      </wps:txbx>
                      <wps:bodyPr upright="1"/>
                    </wps:wsp>
                  </a:graphicData>
                </a:graphic>
              </wp:anchor>
            </w:drawing>
          </mc:Choice>
          <mc:Fallback>
            <w:pict>
              <v:rect id="_x0000_s1026" o:spid="_x0000_s1026" o:spt="1" style="position:absolute;left:0pt;margin-left:346.75pt;margin-top:14.25pt;height:70.75pt;width:7.15pt;z-index:251660288;mso-width-relative:page;mso-height-relative:page;" fillcolor="#FFFFFF" filled="t" stroked="f" coordsize="21600,21600" o:gfxdata="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nc72AAAAAoBAAAPAAAAAAAAAAEAIAAAACIAAABkcnMvZG93bnJldi54bWxQSwECFAAU&#10;AAAACACHTuJA423ULbgBAAB2AwAADgAAAAAAAAABACAAAAAnAQAAZHJzL2Uyb0RvYy54bWxQSwUG&#10;AAAAAAYABgBZAQAAUQUAAAAA&#10;">
                <v:fill on="t" focussize="0,0"/>
                <v:stroke on="f"/>
                <v:imagedata o:title=""/>
                <o:lock v:ext="edit" aspectratio="f"/>
                <v:textbox>
                  <w:txbxContent>
                    <w:p w14:paraId="74F367B2">
                      <w:pPr>
                        <w:jc w:val="center"/>
                      </w:pPr>
                    </w:p>
                  </w:txbxContent>
                </v:textbox>
              </v:rect>
            </w:pict>
          </mc:Fallback>
        </mc:AlternateContent>
      </w:r>
      <w:r>
        <w:rPr>
          <w:rFonts w:hint="eastAsia" w:ascii="仿宋" w:hAnsi="仿宋" w:eastAsia="仿宋" w:cs="仿宋"/>
          <w:color w:val="auto"/>
          <w:kern w:val="2"/>
          <w:sz w:val="36"/>
          <w:szCs w:val="36"/>
          <w:highlight w:val="none"/>
        </w:rPr>
        <w:br w:type="page"/>
      </w:r>
    </w:p>
    <w:p w14:paraId="4BC5A38B">
      <w:pPr>
        <w:kinsoku/>
        <w:overflowPunct/>
        <w:topLinePunct w:val="0"/>
        <w:bidi w:val="0"/>
        <w:snapToGrid w:val="0"/>
        <w:spacing w:before="156" w:beforeLines="50" w:after="50" w:line="520" w:lineRule="exact"/>
        <w:jc w:val="center"/>
        <w:outlineLvl w:val="1"/>
        <w:rPr>
          <w:rFonts w:hint="eastAsia" w:ascii="仿宋" w:hAnsi="仿宋" w:eastAsia="仿宋" w:cs="仿宋"/>
          <w:b/>
          <w:color w:val="auto"/>
          <w:sz w:val="28"/>
          <w:szCs w:val="28"/>
          <w:highlight w:val="yellow"/>
          <w:lang w:val="zh-CN"/>
        </w:rPr>
      </w:pPr>
      <w:r>
        <w:rPr>
          <w:rFonts w:hint="eastAsia" w:ascii="仿宋" w:hAnsi="仿宋" w:eastAsia="仿宋" w:cs="宋体"/>
          <w:b/>
          <w:bCs/>
          <w:sz w:val="28"/>
          <w:szCs w:val="28"/>
        </w:rPr>
        <w:t>1</w:t>
      </w:r>
      <w:r>
        <w:rPr>
          <w:rFonts w:hint="eastAsia" w:ascii="仿宋" w:hAnsi="仿宋" w:eastAsia="仿宋" w:cs="宋体"/>
          <w:b/>
          <w:bCs/>
          <w:sz w:val="28"/>
          <w:szCs w:val="28"/>
          <w:lang w:val="en-US" w:eastAsia="zh-CN"/>
        </w:rPr>
        <w:t>6</w:t>
      </w:r>
      <w:r>
        <w:rPr>
          <w:rFonts w:hint="eastAsia" w:ascii="仿宋" w:hAnsi="仿宋" w:eastAsia="仿宋" w:cs="宋体"/>
          <w:b/>
          <w:bCs/>
          <w:sz w:val="28"/>
          <w:szCs w:val="28"/>
        </w:rPr>
        <w:t>、</w:t>
      </w:r>
      <w:r>
        <w:rPr>
          <w:rFonts w:hint="eastAsia" w:ascii="仿宋" w:hAnsi="仿宋" w:eastAsia="仿宋" w:cs="仿宋"/>
          <w:b/>
          <w:color w:val="auto"/>
          <w:sz w:val="28"/>
          <w:szCs w:val="28"/>
          <w:highlight w:val="none"/>
          <w:lang w:val="zh-CN"/>
        </w:rPr>
        <w:t>磋商报价表（首次报价）</w:t>
      </w:r>
    </w:p>
    <w:p w14:paraId="6F53B68D">
      <w:pPr>
        <w:kinsoku/>
        <w:overflowPunct/>
        <w:topLinePunct w:val="0"/>
        <w:autoSpaceDE w:val="0"/>
        <w:autoSpaceDN w:val="0"/>
        <w:bidi w:val="0"/>
        <w:adjustRightInd w:val="0"/>
        <w:spacing w:line="520" w:lineRule="exact"/>
        <w:rPr>
          <w:rFonts w:hint="eastAsia" w:ascii="仿宋" w:hAnsi="仿宋" w:eastAsia="仿宋" w:cs="仿宋"/>
          <w:sz w:val="24"/>
          <w:szCs w:val="24"/>
          <w:lang w:val="zh-CN"/>
        </w:rPr>
      </w:pPr>
      <w:r>
        <w:rPr>
          <w:rFonts w:hint="eastAsia" w:ascii="仿宋" w:hAnsi="仿宋" w:eastAsia="仿宋" w:cs="仿宋"/>
          <w:sz w:val="24"/>
          <w:szCs w:val="24"/>
          <w:lang w:val="zh-CN"/>
        </w:rPr>
        <w:t>供应商</w:t>
      </w:r>
      <w:r>
        <w:rPr>
          <w:rFonts w:hint="eastAsia" w:ascii="仿宋" w:hAnsi="仿宋" w:eastAsia="仿宋" w:cs="仿宋"/>
          <w:sz w:val="24"/>
          <w:szCs w:val="24"/>
          <w:lang w:val="en-US" w:eastAsia="zh-CN"/>
        </w:rPr>
        <w:t>名称</w:t>
      </w:r>
      <w:r>
        <w:rPr>
          <w:rFonts w:hint="eastAsia" w:ascii="仿宋" w:hAnsi="仿宋" w:eastAsia="仿宋" w:cs="仿宋"/>
          <w:sz w:val="24"/>
          <w:szCs w:val="24"/>
          <w:lang w:val="zh-CN"/>
        </w:rPr>
        <w:t>：</w:t>
      </w:r>
      <w:r>
        <w:rPr>
          <w:rFonts w:hint="eastAsia" w:ascii="仿宋" w:hAnsi="仿宋" w:eastAsia="仿宋" w:cs="仿宋"/>
          <w:sz w:val="24"/>
          <w:szCs w:val="24"/>
          <w:u w:val="single"/>
          <w:lang w:val="zh-CN"/>
        </w:rPr>
        <w:t xml:space="preserve">                   </w:t>
      </w:r>
    </w:p>
    <w:p w14:paraId="4A1F7528">
      <w:pPr>
        <w:kinsoku/>
        <w:overflowPunct/>
        <w:topLinePunct w:val="0"/>
        <w:autoSpaceDE w:val="0"/>
        <w:autoSpaceDN w:val="0"/>
        <w:bidi w:val="0"/>
        <w:adjustRightInd w:val="0"/>
        <w:spacing w:line="520" w:lineRule="exact"/>
        <w:rPr>
          <w:rFonts w:hint="eastAsia" w:ascii="仿宋" w:hAnsi="仿宋" w:eastAsia="仿宋" w:cs="仿宋"/>
          <w:sz w:val="24"/>
          <w:szCs w:val="24"/>
        </w:rPr>
      </w:pPr>
      <w:r>
        <w:rPr>
          <w:rFonts w:hint="eastAsia" w:ascii="仿宋" w:hAnsi="仿宋" w:eastAsia="仿宋" w:cs="仿宋"/>
          <w:sz w:val="24"/>
          <w:szCs w:val="24"/>
          <w:lang w:val="zh-CN"/>
        </w:rPr>
        <w:t>项目编号：</w:t>
      </w:r>
      <w:r>
        <w:rPr>
          <w:rFonts w:hint="eastAsia" w:ascii="仿宋" w:hAnsi="仿宋" w:eastAsia="仿宋" w:cs="仿宋"/>
          <w:sz w:val="24"/>
          <w:szCs w:val="24"/>
          <w:u w:val="single"/>
          <w:lang w:val="zh-CN" w:eastAsia="zh-CN"/>
        </w:rPr>
        <w:t>仁皇招字2025249号</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报价单位：</w:t>
      </w:r>
      <w:r>
        <w:rPr>
          <w:rFonts w:hint="eastAsia" w:ascii="仿宋" w:hAnsi="仿宋" w:eastAsia="仿宋" w:cs="仿宋"/>
          <w:sz w:val="24"/>
          <w:szCs w:val="24"/>
          <w:u w:val="single"/>
          <w:lang w:val="zh-CN"/>
        </w:rPr>
        <w:t>人民币（元）</w:t>
      </w:r>
      <w:r>
        <w:rPr>
          <w:rFonts w:hint="eastAsia" w:ascii="仿宋" w:hAnsi="仿宋" w:eastAsia="仿宋" w:cs="仿宋"/>
          <w:sz w:val="24"/>
          <w:szCs w:val="24"/>
        </w:rPr>
        <w:t xml:space="preserve">      </w:t>
      </w:r>
    </w:p>
    <w:p w14:paraId="2AE36E4C">
      <w:pPr>
        <w:kinsoku/>
        <w:overflowPunct/>
        <w:topLinePunct w:val="0"/>
        <w:autoSpaceDE w:val="0"/>
        <w:autoSpaceDN w:val="0"/>
        <w:bidi w:val="0"/>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104"/>
      </w:tblGrid>
      <w:tr w14:paraId="06C9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3" w:type="pct"/>
            <w:tcBorders>
              <w:top w:val="single" w:color="auto" w:sz="4" w:space="0"/>
            </w:tcBorders>
            <w:noWrap/>
            <w:vAlign w:val="center"/>
          </w:tcPr>
          <w:p w14:paraId="42198A81">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项目名称</w:t>
            </w:r>
          </w:p>
        </w:tc>
        <w:tc>
          <w:tcPr>
            <w:tcW w:w="4176" w:type="pct"/>
            <w:tcBorders>
              <w:top w:val="single" w:color="auto" w:sz="4" w:space="0"/>
              <w:bottom w:val="single" w:color="auto" w:sz="4" w:space="0"/>
            </w:tcBorders>
            <w:noWrap/>
            <w:vAlign w:val="center"/>
          </w:tcPr>
          <w:p w14:paraId="14B55EE6">
            <w:pPr>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宋体"/>
                <w:bCs/>
                <w:sz w:val="24"/>
                <w:lang w:eastAsia="zh-CN"/>
              </w:rPr>
              <w:t>垃圾清运设施辅助管理服务项目</w:t>
            </w:r>
          </w:p>
        </w:tc>
      </w:tr>
      <w:tr w14:paraId="5886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23" w:type="pct"/>
            <w:tcBorders>
              <w:top w:val="single" w:color="auto" w:sz="4" w:space="0"/>
            </w:tcBorders>
            <w:noWrap/>
            <w:vAlign w:val="center"/>
          </w:tcPr>
          <w:p w14:paraId="2E93814B">
            <w:pPr>
              <w:kinsoku/>
              <w:overflowPunct/>
              <w:topLinePunct w:val="0"/>
              <w:autoSpaceDE w:val="0"/>
              <w:autoSpaceDN w:val="0"/>
              <w:bidi w:val="0"/>
              <w:adjustRightInd w:val="0"/>
              <w:spacing w:line="520" w:lineRule="exact"/>
              <w:jc w:val="center"/>
              <w:rPr>
                <w:rFonts w:ascii="仿宋" w:hAnsi="仿宋" w:eastAsia="仿宋" w:cs="仿宋"/>
                <w:sz w:val="24"/>
              </w:rPr>
            </w:pPr>
            <w:r>
              <w:rPr>
                <w:rFonts w:hint="eastAsia" w:ascii="仿宋" w:hAnsi="仿宋" w:eastAsia="仿宋" w:cs="仿宋"/>
                <w:sz w:val="24"/>
                <w:lang w:val="zh-CN"/>
              </w:rPr>
              <w:t>项目编号</w:t>
            </w:r>
          </w:p>
        </w:tc>
        <w:tc>
          <w:tcPr>
            <w:tcW w:w="4176" w:type="pct"/>
            <w:tcBorders>
              <w:top w:val="single" w:color="auto" w:sz="4" w:space="0"/>
              <w:bottom w:val="single" w:color="auto" w:sz="4" w:space="0"/>
            </w:tcBorders>
            <w:noWrap/>
            <w:vAlign w:val="center"/>
          </w:tcPr>
          <w:p w14:paraId="13C14EB1">
            <w:pPr>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宋体"/>
                <w:bCs/>
                <w:sz w:val="24"/>
                <w:lang w:eastAsia="zh-CN"/>
              </w:rPr>
              <w:t>仁皇招字2025249号</w:t>
            </w:r>
          </w:p>
        </w:tc>
      </w:tr>
      <w:tr w14:paraId="3A23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823" w:type="pct"/>
            <w:noWrap/>
            <w:vAlign w:val="center"/>
          </w:tcPr>
          <w:p w14:paraId="2E3514C1">
            <w:pPr>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磋商总报价</w:t>
            </w:r>
          </w:p>
        </w:tc>
        <w:tc>
          <w:tcPr>
            <w:tcW w:w="4176" w:type="pct"/>
            <w:tcBorders>
              <w:top w:val="single" w:color="auto" w:sz="4" w:space="0"/>
              <w:bottom w:val="single" w:color="auto" w:sz="4" w:space="0"/>
            </w:tcBorders>
            <w:noWrap/>
            <w:vAlign w:val="center"/>
          </w:tcPr>
          <w:p w14:paraId="4DE2BE77">
            <w:pPr>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D86ED38">
            <w:pPr>
              <w:kinsoku/>
              <w:overflowPunct/>
              <w:topLinePunct w:val="0"/>
              <w:bidi w:val="0"/>
              <w:spacing w:line="520" w:lineRule="exact"/>
              <w:jc w:val="left"/>
              <w:rPr>
                <w:rFonts w:eastAsia="仿宋"/>
              </w:rPr>
            </w:pPr>
            <w:r>
              <w:rPr>
                <w:rFonts w:hint="eastAsia" w:ascii="仿宋" w:hAnsi="仿宋" w:eastAsia="仿宋" w:cs="仿宋"/>
                <w:sz w:val="24"/>
              </w:rPr>
              <w:t>大写：</w:t>
            </w:r>
            <w:r>
              <w:rPr>
                <w:rFonts w:hint="eastAsia" w:ascii="仿宋" w:hAnsi="仿宋" w:eastAsia="仿宋" w:cs="仿宋"/>
                <w:sz w:val="24"/>
                <w:u w:val="single"/>
              </w:rPr>
              <w:t xml:space="preserve">                              </w:t>
            </w:r>
          </w:p>
        </w:tc>
      </w:tr>
    </w:tbl>
    <w:p w14:paraId="3CCE7099">
      <w:pPr>
        <w:pStyle w:val="15"/>
        <w:kinsoku/>
        <w:overflowPunct/>
        <w:topLinePunct w:val="0"/>
        <w:bidi w:val="0"/>
        <w:spacing w:before="156" w:after="156" w:line="520" w:lineRule="exact"/>
        <w:ind w:firstLine="480" w:firstLineChars="200"/>
        <w:rPr>
          <w:rFonts w:ascii="仿宋" w:hAnsi="仿宋" w:eastAsia="仿宋" w:cs="仿宋"/>
          <w:bCs/>
        </w:rPr>
      </w:pPr>
      <w:r>
        <w:rPr>
          <w:rFonts w:hint="eastAsia" w:ascii="仿宋" w:hAnsi="仿宋" w:eastAsia="仿宋" w:cs="仿宋"/>
          <w:bCs/>
        </w:rPr>
        <w:t>注：1、报价一经涂改，应在涂改处加盖单位公章或者由法定代表人或授权委托人签字或盖章，否则其磋商作无效标处理。</w:t>
      </w:r>
    </w:p>
    <w:p w14:paraId="3224D7D5">
      <w:pPr>
        <w:pStyle w:val="15"/>
        <w:kinsoku/>
        <w:overflowPunct/>
        <w:topLinePunct w:val="0"/>
        <w:bidi w:val="0"/>
        <w:spacing w:before="156" w:after="156" w:line="520" w:lineRule="exact"/>
        <w:ind w:firstLine="480" w:firstLineChars="200"/>
        <w:rPr>
          <w:rFonts w:ascii="仿宋" w:hAnsi="仿宋" w:eastAsia="仿宋" w:cs="仿宋"/>
          <w:bCs/>
        </w:rPr>
      </w:pPr>
      <w:r>
        <w:rPr>
          <w:rFonts w:hint="eastAsia" w:ascii="仿宋" w:hAnsi="仿宋" w:eastAsia="仿宋" w:cs="仿宋"/>
          <w:bCs/>
        </w:rPr>
        <w:t>2、应包含服务所发生的费用及供应商认为完成本磋商文件规定内容所需发生的其它费用。只允许有一个报价，任何有选择的或有条件的报价将不予接受，凡未列入的，将被视为均已包含在磋商总报价中。</w:t>
      </w:r>
    </w:p>
    <w:p w14:paraId="737CEFDF">
      <w:pPr>
        <w:pStyle w:val="15"/>
        <w:kinsoku/>
        <w:overflowPunct/>
        <w:topLinePunct w:val="0"/>
        <w:bidi w:val="0"/>
        <w:spacing w:before="156" w:after="156" w:line="520" w:lineRule="exact"/>
        <w:ind w:firstLine="480" w:firstLineChars="200"/>
        <w:rPr>
          <w:rFonts w:ascii="仿宋" w:hAnsi="仿宋" w:eastAsia="仿宋" w:cs="仿宋"/>
          <w:bCs/>
        </w:rPr>
      </w:pPr>
      <w:r>
        <w:rPr>
          <w:rFonts w:hint="eastAsia" w:ascii="仿宋" w:hAnsi="仿宋" w:eastAsia="仿宋" w:cs="仿宋"/>
          <w:bCs/>
        </w:rPr>
        <w:t>3、不提供此表格的将视为没有实质性响应磋商文件。</w:t>
      </w:r>
    </w:p>
    <w:p w14:paraId="4C29C8B8">
      <w:pPr>
        <w:kinsoku/>
        <w:overflowPunct/>
        <w:topLinePunct w:val="0"/>
        <w:autoSpaceDE w:val="0"/>
        <w:autoSpaceDN w:val="0"/>
        <w:bidi w:val="0"/>
        <w:adjustRightInd w:val="0"/>
        <w:spacing w:line="520" w:lineRule="exact"/>
        <w:rPr>
          <w:lang w:val="zh-CN"/>
        </w:rPr>
      </w:pPr>
      <w:r>
        <w:rPr>
          <w:rFonts w:hint="eastAsia" w:ascii="仿宋" w:hAnsi="仿宋" w:eastAsia="仿宋" w:cs="仿宋"/>
          <w:sz w:val="24"/>
        </w:rPr>
        <w:t>供应商名称（公章）：</w:t>
      </w:r>
    </w:p>
    <w:p w14:paraId="61998340">
      <w:pPr>
        <w:kinsoku/>
        <w:overflowPunct/>
        <w:topLinePunct w:val="0"/>
        <w:bidi w:val="0"/>
        <w:spacing w:line="520" w:lineRule="exact"/>
        <w:rPr>
          <w:rFonts w:ascii="仿宋" w:hAnsi="仿宋" w:eastAsia="仿宋" w:cs="仿宋"/>
          <w:sz w:val="24"/>
        </w:rPr>
      </w:pPr>
      <w:r>
        <w:rPr>
          <w:rFonts w:hint="eastAsia" w:ascii="仿宋" w:hAnsi="仿宋" w:eastAsia="仿宋" w:cs="仿宋"/>
          <w:sz w:val="24"/>
        </w:rPr>
        <w:t>法定代表人或其授权代理人签字或盖章：</w:t>
      </w:r>
    </w:p>
    <w:p w14:paraId="00718AEA">
      <w:pPr>
        <w:kinsoku/>
        <w:overflowPunct/>
        <w:topLinePunct w:val="0"/>
        <w:bidi w:val="0"/>
        <w:spacing w:line="520" w:lineRule="exact"/>
        <w:rPr>
          <w:rFonts w:ascii="仿宋" w:hAnsi="仿宋" w:eastAsia="仿宋" w:cs="仿宋"/>
          <w:b/>
          <w:szCs w:val="28"/>
        </w:rPr>
      </w:pPr>
      <w:r>
        <w:rPr>
          <w:rFonts w:hint="eastAsia" w:ascii="仿宋" w:hAnsi="仿宋" w:eastAsia="仿宋" w:cs="仿宋"/>
          <w:sz w:val="24"/>
        </w:rPr>
        <w:t>日期：  年   月  日</w:t>
      </w:r>
    </w:p>
    <w:p w14:paraId="603BF1B0">
      <w:pPr>
        <w:kinsoku/>
        <w:overflowPunct/>
        <w:topLinePunct w:val="0"/>
        <w:bidi w:val="0"/>
        <w:spacing w:line="52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br w:type="page"/>
      </w:r>
    </w:p>
    <w:p w14:paraId="7DAFA9BE">
      <w:pPr>
        <w:pStyle w:val="2"/>
        <w:kinsoku/>
        <w:overflowPunct/>
        <w:topLinePunct w:val="0"/>
        <w:bidi w:val="0"/>
        <w:spacing w:line="52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kern w:val="2"/>
          <w:sz w:val="36"/>
          <w:szCs w:val="36"/>
          <w:highlight w:val="none"/>
        </w:rPr>
        <w:t>第六章 磋商办法及评分标准</w:t>
      </w:r>
    </w:p>
    <w:p w14:paraId="6A09C313">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为公正、公平、科学地选择成交供应商，根据《中华人民共和国政府采购法》、《政府采购竞争性磋商采购方式暂行办法》等有关法律法规的规定，并结合本项目的实际，制定本办法。</w:t>
      </w:r>
    </w:p>
    <w:p w14:paraId="45A56406">
      <w:pPr>
        <w:kinsoku/>
        <w:overflowPunct/>
        <w:topLinePunct w:val="0"/>
        <w:bidi w:val="0"/>
        <w:spacing w:line="520" w:lineRule="exact"/>
        <w:ind w:firstLine="472" w:firstLineChars="196"/>
        <w:rPr>
          <w:rFonts w:hint="eastAsia" w:ascii="仿宋" w:hAnsi="仿宋" w:eastAsia="仿宋" w:cs="仿宋"/>
          <w:b/>
          <w:bCs/>
          <w:sz w:val="24"/>
        </w:rPr>
      </w:pPr>
      <w:r>
        <w:rPr>
          <w:rFonts w:hint="eastAsia" w:ascii="仿宋" w:hAnsi="仿宋" w:eastAsia="仿宋" w:cs="仿宋"/>
          <w:b/>
          <w:bCs/>
          <w:sz w:val="24"/>
        </w:rPr>
        <w:t>一、总则：</w:t>
      </w:r>
    </w:p>
    <w:p w14:paraId="687A9EF2">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1、磋商小组遵循公开、公平、公正、科学合理、竞争择优的原则；</w:t>
      </w:r>
    </w:p>
    <w:p w14:paraId="36549E5F">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由磋商小组负责，磋商小组由采购人1名，以及有关技术、经济等方面的专家2人，共3人组成。磋商小组由磋商采购人依据有关规定组建，其中技术、经济专家于磋商前在监管人员的监督下从专家库中随机抽取。有关人员对磋商小组成员名单必须严格保密，与磋商有利害关系的人员不得参加磋商会；</w:t>
      </w:r>
    </w:p>
    <w:p w14:paraId="29A7BC42">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3、磋商小组成员及参加磋商的其他相关人员应严格遵守国家有关保密的法律、法规和规定，并接受有关部门的监督；</w:t>
      </w:r>
    </w:p>
    <w:p w14:paraId="3B12F032">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4、磋商小组应按磋商文件规定的程序进行磋商；</w:t>
      </w:r>
    </w:p>
    <w:p w14:paraId="4FB78C17">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5、通讯工具管理：在磋商期间，磋商小组每个成员的手机都必须关机；</w:t>
      </w:r>
    </w:p>
    <w:p w14:paraId="3D1BBB77">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6、在磋商期间，磋商小组各成员不得随意离开规定的磋商地点，所有资料由采购代理机构工作人员专门保管和发放。磋商小组成员完成评标时应如数、及时归还，任何与本项目有关的资料不得带离磋商现场；</w:t>
      </w:r>
    </w:p>
    <w:p w14:paraId="0FBD1290">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7、本次磋商采用综合评分法，总分为100分，其中价格分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分、技术、商务、资信及其他</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分。合格供应商的评标得分为各项目汇总得分，成交候选资格按评标得分由高到低顺序排列，得分相同的，按磋商报价由低到高顺序排列；得分且磋商报价相同的，按技术得分由高到低顺序排列。排名第一的供应商为成交候选人。评分过程中采用四舍五入法，并保留小数2位。</w:t>
      </w:r>
    </w:p>
    <w:p w14:paraId="1019ACA4">
      <w:pPr>
        <w:kinsoku/>
        <w:overflowPunct/>
        <w:topLinePunct w:val="0"/>
        <w:bidi w:val="0"/>
        <w:spacing w:line="520" w:lineRule="exact"/>
        <w:ind w:firstLine="472" w:firstLineChars="196"/>
        <w:rPr>
          <w:rFonts w:hint="eastAsia" w:ascii="仿宋" w:hAnsi="仿宋" w:eastAsia="仿宋" w:cs="仿宋"/>
          <w:b/>
          <w:bCs/>
          <w:sz w:val="24"/>
        </w:rPr>
      </w:pPr>
      <w:r>
        <w:rPr>
          <w:rFonts w:hint="eastAsia" w:ascii="仿宋" w:hAnsi="仿宋" w:eastAsia="仿宋" w:cs="仿宋"/>
          <w:b/>
          <w:bCs/>
          <w:sz w:val="24"/>
        </w:rPr>
        <w:t>二、计算方法：</w:t>
      </w:r>
    </w:p>
    <w:p w14:paraId="7F933B06">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（一）报价部分：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0分</w:t>
      </w:r>
    </w:p>
    <w:p w14:paraId="2B59D67B">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1、价格分采用低价优先法计算，即满足磋商文件要求且最后报价最低的供应商的价格为磋商基准价，其价格分为满分。其他供应商的价格分统一按照下列公式计算：</w:t>
      </w:r>
    </w:p>
    <w:p w14:paraId="5C5F1B32">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磋商报价得分=（基准价/磋商报价）×100×</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0%</w:t>
      </w:r>
    </w:p>
    <w:p w14:paraId="224ED9D0">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（二）技术分、商务分、资信及其他部分： </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0 分 </w:t>
      </w:r>
    </w:p>
    <w:p w14:paraId="20CF22E5">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技术、商务、资信及其他分按照磋商小组成员的独立评分结果汇总数的算术平均分计算，计算公式为： </w:t>
      </w:r>
    </w:p>
    <w:p w14:paraId="2A883466">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技术分、商务分、资信及其他分=（磋商小组所有成员评分合计数）/（磋商小组人员数） </w:t>
      </w:r>
    </w:p>
    <w:p w14:paraId="6218C2B2">
      <w:pPr>
        <w:kinsoku/>
        <w:overflowPunct/>
        <w:topLinePunct w:val="0"/>
        <w:bidi w:val="0"/>
        <w:snapToGrid w:val="0"/>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在评审时发现供应商得报价明显高于其市场报价或低于成本价的，应当要求供应商书面说明并提供相关证明材料。供应商不能当场合理说明原因并提供证明材料的，磋商小组应将该供应商的磋商文件作无效处理，并在评审报告中说明。此项由磋商小组集体核实后统一打分。</w:t>
      </w:r>
    </w:p>
    <w:p w14:paraId="66FAD0FE">
      <w:pPr>
        <w:kinsoku/>
        <w:overflowPunct/>
        <w:topLinePunct w:val="0"/>
        <w:bidi w:val="0"/>
        <w:spacing w:line="520" w:lineRule="exact"/>
        <w:outlineLvl w:val="1"/>
        <w:rPr>
          <w:rFonts w:ascii="仿宋" w:hAnsi="仿宋" w:eastAsia="仿宋"/>
          <w:b/>
          <w:kern w:val="0"/>
          <w:sz w:val="24"/>
        </w:rPr>
      </w:pPr>
      <w:r>
        <w:rPr>
          <w:rFonts w:hint="eastAsia" w:ascii="仿宋" w:hAnsi="仿宋" w:eastAsia="仿宋"/>
          <w:b/>
          <w:kern w:val="0"/>
          <w:sz w:val="24"/>
        </w:rPr>
        <w:t>附件：评分表格式</w:t>
      </w:r>
    </w:p>
    <w:tbl>
      <w:tblPr>
        <w:tblStyle w:val="26"/>
        <w:tblW w:w="538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2"/>
        <w:gridCol w:w="1587"/>
        <w:gridCol w:w="6134"/>
        <w:gridCol w:w="737"/>
      </w:tblGrid>
      <w:tr w14:paraId="510CB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BC26F60">
            <w:pPr>
              <w:widowControl/>
              <w:kinsoku/>
              <w:overflowPunct/>
              <w:topLinePunct w:val="0"/>
              <w:bidi w:val="0"/>
              <w:spacing w:line="520" w:lineRule="exact"/>
              <w:jc w:val="center"/>
              <w:rPr>
                <w:rFonts w:ascii="仿宋" w:hAnsi="仿宋" w:eastAsia="仿宋" w:cs="仿宋"/>
                <w:b/>
                <w:bCs/>
                <w:sz w:val="24"/>
              </w:rPr>
            </w:pPr>
            <w:r>
              <w:rPr>
                <w:rFonts w:hint="eastAsia" w:ascii="仿宋" w:hAnsi="仿宋" w:eastAsia="仿宋" w:cs="仿宋"/>
                <w:b/>
                <w:sz w:val="24"/>
              </w:rPr>
              <w:t>序号</w:t>
            </w:r>
          </w:p>
        </w:tc>
        <w:tc>
          <w:tcPr>
            <w:tcW w:w="865" w:type="pct"/>
            <w:tcBorders>
              <w:top w:val="single" w:color="auto" w:sz="4" w:space="0"/>
              <w:left w:val="single" w:color="auto" w:sz="4" w:space="0"/>
              <w:bottom w:val="single" w:color="auto" w:sz="4" w:space="0"/>
              <w:right w:val="single" w:color="auto" w:sz="4" w:space="0"/>
            </w:tcBorders>
            <w:vAlign w:val="center"/>
          </w:tcPr>
          <w:p w14:paraId="3156B9B4">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评审内容</w:t>
            </w:r>
          </w:p>
        </w:tc>
        <w:tc>
          <w:tcPr>
            <w:tcW w:w="3344" w:type="pct"/>
            <w:tcBorders>
              <w:top w:val="single" w:color="auto" w:sz="4" w:space="0"/>
              <w:left w:val="single" w:color="auto" w:sz="4" w:space="0"/>
              <w:bottom w:val="single" w:color="auto" w:sz="4" w:space="0"/>
              <w:right w:val="single" w:color="auto" w:sz="4" w:space="0"/>
            </w:tcBorders>
            <w:vAlign w:val="center"/>
          </w:tcPr>
          <w:p w14:paraId="65AA57CF">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评分标准</w:t>
            </w:r>
          </w:p>
        </w:tc>
        <w:tc>
          <w:tcPr>
            <w:tcW w:w="402" w:type="pct"/>
            <w:tcBorders>
              <w:top w:val="single" w:color="auto" w:sz="4" w:space="0"/>
              <w:left w:val="single" w:color="auto" w:sz="4" w:space="0"/>
              <w:bottom w:val="single" w:color="auto" w:sz="4" w:space="0"/>
              <w:right w:val="single" w:color="auto" w:sz="4" w:space="0"/>
            </w:tcBorders>
            <w:vAlign w:val="center"/>
          </w:tcPr>
          <w:p w14:paraId="544DC152">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分值</w:t>
            </w:r>
          </w:p>
        </w:tc>
      </w:tr>
      <w:tr w14:paraId="4C213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A386A9B">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一</w:t>
            </w:r>
          </w:p>
        </w:tc>
        <w:tc>
          <w:tcPr>
            <w:tcW w:w="865" w:type="pct"/>
            <w:tcBorders>
              <w:top w:val="single" w:color="auto" w:sz="4" w:space="0"/>
              <w:left w:val="single" w:color="auto" w:sz="4" w:space="0"/>
              <w:bottom w:val="single" w:color="auto" w:sz="4" w:space="0"/>
              <w:right w:val="single" w:color="auto" w:sz="4" w:space="0"/>
            </w:tcBorders>
            <w:vAlign w:val="center"/>
          </w:tcPr>
          <w:p w14:paraId="237D147B">
            <w:pPr>
              <w:widowControl/>
              <w:kinsoku/>
              <w:overflowPunct/>
              <w:topLinePunct w:val="0"/>
              <w:bidi w:val="0"/>
              <w:spacing w:line="520" w:lineRule="exact"/>
              <w:jc w:val="center"/>
              <w:rPr>
                <w:rFonts w:ascii="仿宋" w:hAnsi="仿宋" w:eastAsia="仿宋" w:cs="仿宋"/>
                <w:b/>
                <w:sz w:val="24"/>
              </w:rPr>
            </w:pPr>
          </w:p>
        </w:tc>
        <w:tc>
          <w:tcPr>
            <w:tcW w:w="3344" w:type="pct"/>
            <w:tcBorders>
              <w:top w:val="single" w:color="auto" w:sz="4" w:space="0"/>
              <w:left w:val="single" w:color="auto" w:sz="4" w:space="0"/>
              <w:bottom w:val="single" w:color="auto" w:sz="4" w:space="0"/>
              <w:right w:val="single" w:color="auto" w:sz="4" w:space="0"/>
            </w:tcBorders>
            <w:vAlign w:val="center"/>
          </w:tcPr>
          <w:p w14:paraId="212971A3">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技术分</w:t>
            </w:r>
          </w:p>
        </w:tc>
        <w:tc>
          <w:tcPr>
            <w:tcW w:w="402" w:type="pct"/>
            <w:tcBorders>
              <w:top w:val="single" w:color="auto" w:sz="4" w:space="0"/>
              <w:left w:val="single" w:color="auto" w:sz="4" w:space="0"/>
              <w:bottom w:val="single" w:color="auto" w:sz="4" w:space="0"/>
              <w:right w:val="single" w:color="auto" w:sz="4" w:space="0"/>
            </w:tcBorders>
            <w:vAlign w:val="center"/>
          </w:tcPr>
          <w:p w14:paraId="19D5C89E">
            <w:pPr>
              <w:widowControl/>
              <w:kinsoku/>
              <w:overflowPunct/>
              <w:topLinePunct w:val="0"/>
              <w:bidi w:val="0"/>
              <w:spacing w:line="520" w:lineRule="exact"/>
              <w:jc w:val="center"/>
              <w:rPr>
                <w:rFonts w:ascii="仿宋" w:hAnsi="仿宋" w:eastAsia="仿宋" w:cs="仿宋"/>
                <w:b/>
                <w:sz w:val="24"/>
                <w:highlight w:val="none"/>
              </w:rPr>
            </w:pPr>
            <w:r>
              <w:rPr>
                <w:rFonts w:hint="eastAsia" w:ascii="仿宋" w:hAnsi="仿宋" w:eastAsia="仿宋" w:cs="仿宋"/>
                <w:b/>
                <w:sz w:val="24"/>
                <w:highlight w:val="none"/>
                <w:lang w:val="en-US" w:eastAsia="zh-CN"/>
              </w:rPr>
              <w:t>74</w:t>
            </w:r>
            <w:r>
              <w:rPr>
                <w:rFonts w:hint="eastAsia" w:ascii="仿宋" w:hAnsi="仿宋" w:eastAsia="仿宋" w:cs="仿宋"/>
                <w:b/>
                <w:sz w:val="24"/>
                <w:highlight w:val="none"/>
              </w:rPr>
              <w:t>分</w:t>
            </w:r>
          </w:p>
        </w:tc>
      </w:tr>
      <w:tr w14:paraId="35578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799772BB">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1</w:t>
            </w:r>
          </w:p>
        </w:tc>
        <w:tc>
          <w:tcPr>
            <w:tcW w:w="865" w:type="pct"/>
            <w:tcBorders>
              <w:top w:val="single" w:color="auto" w:sz="4" w:space="0"/>
              <w:left w:val="single" w:color="auto" w:sz="4" w:space="0"/>
              <w:bottom w:val="single" w:color="auto" w:sz="4" w:space="0"/>
              <w:right w:val="single" w:color="auto" w:sz="4" w:space="0"/>
            </w:tcBorders>
            <w:vAlign w:val="center"/>
          </w:tcPr>
          <w:p w14:paraId="6DBC0128">
            <w:pPr>
              <w:widowControl/>
              <w:kinsoku/>
              <w:overflowPunct/>
              <w:topLinePunct w:val="0"/>
              <w:bidi w:val="0"/>
              <w:spacing w:line="520" w:lineRule="exact"/>
              <w:jc w:val="center"/>
              <w:rPr>
                <w:rFonts w:ascii="仿宋" w:hAnsi="仿宋" w:eastAsia="仿宋" w:cs="仿宋"/>
                <w:sz w:val="24"/>
                <w:highlight w:val="yellow"/>
              </w:rPr>
            </w:pPr>
            <w:r>
              <w:rPr>
                <w:rFonts w:hint="eastAsia" w:ascii="仿宋" w:hAnsi="仿宋" w:eastAsia="仿宋" w:cs="仿宋"/>
                <w:sz w:val="24"/>
                <w:highlight w:val="none"/>
                <w:lang w:val="en-US" w:eastAsia="zh-CN"/>
              </w:rPr>
              <w:t>项目</w:t>
            </w:r>
            <w:r>
              <w:rPr>
                <w:rFonts w:hint="eastAsia" w:ascii="仿宋" w:hAnsi="仿宋" w:eastAsia="仿宋" w:cs="仿宋"/>
                <w:sz w:val="24"/>
                <w:highlight w:val="none"/>
              </w:rPr>
              <w:t>实施方案</w:t>
            </w:r>
          </w:p>
        </w:tc>
        <w:tc>
          <w:tcPr>
            <w:tcW w:w="3344" w:type="pct"/>
            <w:tcBorders>
              <w:top w:val="single" w:color="auto" w:sz="4" w:space="0"/>
              <w:left w:val="single" w:color="auto" w:sz="4" w:space="0"/>
              <w:bottom w:val="single" w:color="auto" w:sz="4" w:space="0"/>
              <w:right w:val="single" w:color="auto" w:sz="4" w:space="0"/>
            </w:tcBorders>
            <w:vAlign w:val="center"/>
          </w:tcPr>
          <w:p w14:paraId="604DC936">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设施运行维护、日常巡查、</w:t>
            </w:r>
            <w:r>
              <w:rPr>
                <w:rFonts w:hint="eastAsia" w:ascii="仿宋" w:hAnsi="仿宋" w:eastAsia="仿宋" w:cs="仿宋"/>
                <w:sz w:val="24"/>
                <w:lang w:val="en-US" w:eastAsia="zh-CN"/>
              </w:rPr>
              <w:t>报修</w:t>
            </w:r>
            <w:r>
              <w:rPr>
                <w:rFonts w:hint="eastAsia" w:ascii="仿宋" w:hAnsi="仿宋" w:eastAsia="仿宋" w:cs="仿宋"/>
                <w:sz w:val="24"/>
              </w:rPr>
              <w:t>等能保证项目实施质量，具有针对性、操作性强，计划安排科学合理的得</w:t>
            </w:r>
            <w:r>
              <w:rPr>
                <w:rFonts w:hint="eastAsia" w:ascii="仿宋" w:hAnsi="仿宋" w:eastAsia="仿宋" w:cs="仿宋"/>
                <w:sz w:val="24"/>
                <w:lang w:val="en-US" w:eastAsia="zh-CN"/>
              </w:rPr>
              <w:t>16</w:t>
            </w:r>
            <w:r>
              <w:rPr>
                <w:rFonts w:hint="eastAsia" w:ascii="仿宋" w:hAnsi="仿宋" w:eastAsia="仿宋" w:cs="仿宋"/>
                <w:sz w:val="24"/>
              </w:rPr>
              <w:t>分；实施方案、执行保障、监督管理制度等方面有欠缺的每项扣1分，扣完为止。</w:t>
            </w:r>
          </w:p>
          <w:p w14:paraId="7232C495">
            <w:pPr>
              <w:widowControl/>
              <w:kinsoku/>
              <w:overflowPunct/>
              <w:topLinePunct w:val="0"/>
              <w:bidi w:val="0"/>
              <w:spacing w:line="520" w:lineRule="exact"/>
              <w:jc w:val="left"/>
              <w:rPr>
                <w:rFonts w:ascii="仿宋" w:hAnsi="仿宋" w:eastAsia="仿宋" w:cs="仿宋"/>
                <w:b/>
                <w:bCs/>
                <w:sz w:val="24"/>
              </w:rPr>
            </w:pPr>
            <w:r>
              <w:rPr>
                <w:rFonts w:hint="eastAsia" w:ascii="仿宋" w:hAnsi="仿宋" w:eastAsia="仿宋" w:cs="仿宋"/>
                <w:b/>
                <w:bCs/>
                <w:sz w:val="24"/>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6A3E7351">
            <w:pPr>
              <w:widowControl/>
              <w:kinsoku/>
              <w:overflowPunct/>
              <w:topLinePunct w:val="0"/>
              <w:bidi w:val="0"/>
              <w:spacing w:line="52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16</w:t>
            </w:r>
            <w:r>
              <w:rPr>
                <w:rFonts w:hint="eastAsia" w:ascii="仿宋" w:hAnsi="仿宋" w:eastAsia="仿宋" w:cs="仿宋"/>
                <w:sz w:val="24"/>
                <w:highlight w:val="none"/>
              </w:rPr>
              <w:t>分</w:t>
            </w:r>
          </w:p>
        </w:tc>
      </w:tr>
      <w:tr w14:paraId="0C3E7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6"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002F1EB6">
            <w:pPr>
              <w:widowControl/>
              <w:kinsoku/>
              <w:overflowPunct/>
              <w:topLinePunct w:val="0"/>
              <w:bidi w:val="0"/>
              <w:spacing w:line="520" w:lineRule="exact"/>
              <w:jc w:val="center"/>
              <w:rPr>
                <w:rFonts w:hint="eastAsia" w:ascii="仿宋" w:hAnsi="仿宋" w:eastAsia="仿宋" w:cs="仿宋"/>
                <w:b/>
                <w:sz w:val="24"/>
                <w:lang w:eastAsia="zh-CN"/>
              </w:rPr>
            </w:pPr>
            <w:r>
              <w:rPr>
                <w:rFonts w:hint="eastAsia" w:ascii="仿宋" w:hAnsi="仿宋" w:eastAsia="仿宋" w:cs="仿宋"/>
                <w:sz w:val="24"/>
                <w:lang w:val="en-US" w:eastAsia="zh-CN"/>
              </w:rPr>
              <w:t>2</w:t>
            </w:r>
          </w:p>
        </w:tc>
        <w:tc>
          <w:tcPr>
            <w:tcW w:w="865" w:type="pct"/>
            <w:tcBorders>
              <w:top w:val="single" w:color="auto" w:sz="4" w:space="0"/>
              <w:left w:val="single" w:color="auto" w:sz="4" w:space="0"/>
              <w:bottom w:val="single" w:color="auto" w:sz="4" w:space="0"/>
              <w:right w:val="single" w:color="auto" w:sz="4" w:space="0"/>
            </w:tcBorders>
            <w:vAlign w:val="center"/>
          </w:tcPr>
          <w:p w14:paraId="211B590E">
            <w:pPr>
              <w:widowControl/>
              <w:kinsoku/>
              <w:overflowPunct/>
              <w:topLinePunct w:val="0"/>
              <w:bidi w:val="0"/>
              <w:spacing w:line="520" w:lineRule="exact"/>
              <w:jc w:val="center"/>
              <w:rPr>
                <w:rFonts w:ascii="仿宋" w:hAnsi="仿宋" w:eastAsia="仿宋" w:cs="仿宋"/>
                <w:b/>
                <w:sz w:val="24"/>
                <w:highlight w:val="yellow"/>
              </w:rPr>
            </w:pPr>
            <w:r>
              <w:rPr>
                <w:rFonts w:hint="eastAsia" w:ascii="仿宋" w:hAnsi="仿宋" w:eastAsia="仿宋" w:cs="仿宋"/>
                <w:sz w:val="24"/>
                <w:highlight w:val="none"/>
              </w:rPr>
              <w:t>应急工作的实施方案</w:t>
            </w:r>
          </w:p>
        </w:tc>
        <w:tc>
          <w:tcPr>
            <w:tcW w:w="3344" w:type="pct"/>
            <w:tcBorders>
              <w:top w:val="single" w:color="auto" w:sz="4" w:space="0"/>
              <w:left w:val="single" w:color="auto" w:sz="4" w:space="0"/>
              <w:bottom w:val="single" w:color="auto" w:sz="4" w:space="0"/>
              <w:right w:val="single" w:color="auto" w:sz="4" w:space="0"/>
            </w:tcBorders>
            <w:vAlign w:val="center"/>
          </w:tcPr>
          <w:p w14:paraId="6C962912">
            <w:pPr>
              <w:widowControl/>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sz w:val="24"/>
                <w:highlight w:val="none"/>
              </w:rPr>
              <w:t>对于应急服务项目等有科学、合理、完善的实施方案的得</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分；</w:t>
            </w:r>
            <w:r>
              <w:rPr>
                <w:rFonts w:ascii="仿宋" w:hAnsi="仿宋" w:eastAsia="仿宋" w:cs="仿宋"/>
                <w:sz w:val="24"/>
                <w:highlight w:val="none"/>
              </w:rPr>
              <w:t>方案欠缺或不完善的，每项扣1分</w:t>
            </w:r>
            <w:r>
              <w:rPr>
                <w:rFonts w:hint="eastAsia" w:ascii="仿宋" w:hAnsi="仿宋" w:eastAsia="仿宋" w:cs="仿宋"/>
                <w:sz w:val="24"/>
                <w:highlight w:val="none"/>
              </w:rPr>
              <w:t>，扣完为止。</w:t>
            </w:r>
          </w:p>
          <w:p w14:paraId="0AFE731F">
            <w:pPr>
              <w:widowControl/>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b/>
                <w:bCs/>
                <w:sz w:val="24"/>
                <w:highlight w:val="none"/>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14FB3A6A">
            <w:pPr>
              <w:widowControl/>
              <w:kinsoku/>
              <w:overflowPunct/>
              <w:topLinePunct w:val="0"/>
              <w:bidi w:val="0"/>
              <w:spacing w:line="52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分</w:t>
            </w:r>
          </w:p>
        </w:tc>
      </w:tr>
      <w:tr w14:paraId="2C4DA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76F810AE">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865" w:type="pct"/>
            <w:tcBorders>
              <w:top w:val="single" w:color="auto" w:sz="4" w:space="0"/>
              <w:left w:val="single" w:color="auto" w:sz="4" w:space="0"/>
              <w:bottom w:val="single" w:color="auto" w:sz="4" w:space="0"/>
              <w:right w:val="single" w:color="auto" w:sz="4" w:space="0"/>
            </w:tcBorders>
            <w:vAlign w:val="center"/>
          </w:tcPr>
          <w:p w14:paraId="1C98D026">
            <w:pPr>
              <w:widowControl/>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内部管理</w:t>
            </w:r>
          </w:p>
          <w:p w14:paraId="0B0B82B6">
            <w:pPr>
              <w:pStyle w:val="10"/>
              <w:kinsoku/>
              <w:overflowPunct/>
              <w:topLinePunct w:val="0"/>
              <w:bidi w:val="0"/>
              <w:spacing w:line="520" w:lineRule="exact"/>
              <w:jc w:val="center"/>
              <w:rPr>
                <w:rFonts w:ascii="仿宋" w:hAnsi="仿宋" w:eastAsia="仿宋" w:cs="仿宋"/>
                <w:b/>
                <w:sz w:val="24"/>
              </w:rPr>
            </w:pPr>
            <w:r>
              <w:rPr>
                <w:rFonts w:hint="eastAsia" w:ascii="仿宋" w:hAnsi="仿宋" w:eastAsia="仿宋" w:cs="仿宋"/>
                <w:sz w:val="24"/>
              </w:rPr>
              <w:t>方案</w:t>
            </w:r>
          </w:p>
        </w:tc>
        <w:tc>
          <w:tcPr>
            <w:tcW w:w="3344" w:type="pct"/>
            <w:tcBorders>
              <w:top w:val="single" w:color="auto" w:sz="4" w:space="0"/>
              <w:left w:val="single" w:color="auto" w:sz="4" w:space="0"/>
              <w:bottom w:val="single" w:color="auto" w:sz="4" w:space="0"/>
              <w:right w:val="single" w:color="auto" w:sz="4" w:space="0"/>
            </w:tcBorders>
            <w:vAlign w:val="center"/>
          </w:tcPr>
          <w:p w14:paraId="02B06E72">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方案完善，执行有力，能快速发现不足并加以弥补，有能力保证项目顺利实施的得</w:t>
            </w:r>
            <w:r>
              <w:rPr>
                <w:rFonts w:hint="eastAsia" w:ascii="仿宋" w:hAnsi="仿宋" w:eastAsia="仿宋" w:cs="仿宋"/>
                <w:sz w:val="24"/>
                <w:lang w:val="en-US" w:eastAsia="zh-CN"/>
              </w:rPr>
              <w:t>8</w:t>
            </w:r>
            <w:r>
              <w:rPr>
                <w:rFonts w:hint="eastAsia" w:ascii="仿宋" w:hAnsi="仿宋" w:eastAsia="仿宋" w:cs="仿宋"/>
                <w:sz w:val="24"/>
              </w:rPr>
              <w:t>分；</w:t>
            </w:r>
            <w:r>
              <w:rPr>
                <w:rFonts w:ascii="仿宋" w:hAnsi="仿宋" w:eastAsia="仿宋" w:cs="仿宋"/>
                <w:sz w:val="24"/>
              </w:rPr>
              <w:t>方案欠缺或不完善的，每项扣1分</w:t>
            </w:r>
            <w:r>
              <w:rPr>
                <w:rFonts w:hint="eastAsia" w:ascii="仿宋" w:hAnsi="仿宋" w:eastAsia="仿宋" w:cs="仿宋"/>
                <w:sz w:val="24"/>
              </w:rPr>
              <w:t>，扣完为止</w:t>
            </w:r>
            <w:r>
              <w:rPr>
                <w:rFonts w:ascii="仿宋" w:hAnsi="仿宋" w:eastAsia="仿宋" w:cs="仿宋"/>
                <w:sz w:val="24"/>
              </w:rPr>
              <w:t>。</w:t>
            </w:r>
          </w:p>
          <w:p w14:paraId="4BC4CF63">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b/>
                <w:bCs/>
                <w:sz w:val="24"/>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32AABC36">
            <w:pPr>
              <w:widowControl/>
              <w:kinsoku/>
              <w:overflowPunct/>
              <w:topLinePunct w:val="0"/>
              <w:bidi w:val="0"/>
              <w:spacing w:line="520" w:lineRule="exact"/>
              <w:jc w:val="center"/>
              <w:rPr>
                <w:rFonts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r>
      <w:tr w14:paraId="32F88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DB4DDA8">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865" w:type="pct"/>
            <w:tcBorders>
              <w:top w:val="single" w:color="auto" w:sz="4" w:space="0"/>
              <w:left w:val="single" w:color="auto" w:sz="4" w:space="0"/>
              <w:bottom w:val="single" w:color="auto" w:sz="4" w:space="0"/>
              <w:right w:val="single" w:color="auto" w:sz="4" w:space="0"/>
            </w:tcBorders>
            <w:vAlign w:val="center"/>
          </w:tcPr>
          <w:p w14:paraId="41079A5B">
            <w:pPr>
              <w:pStyle w:val="10"/>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建设性意见建议及应对措施方案</w:t>
            </w:r>
          </w:p>
        </w:tc>
        <w:tc>
          <w:tcPr>
            <w:tcW w:w="3344" w:type="pct"/>
            <w:tcBorders>
              <w:top w:val="single" w:color="auto" w:sz="4" w:space="0"/>
              <w:left w:val="single" w:color="auto" w:sz="4" w:space="0"/>
              <w:bottom w:val="single" w:color="auto" w:sz="4" w:space="0"/>
              <w:right w:val="single" w:color="auto" w:sz="4" w:space="0"/>
            </w:tcBorders>
            <w:vAlign w:val="center"/>
          </w:tcPr>
          <w:p w14:paraId="1E8FF505">
            <w:pPr>
              <w:kinsoku/>
              <w:overflowPunct/>
              <w:topLinePunct w:val="0"/>
              <w:bidi w:val="0"/>
              <w:spacing w:line="520" w:lineRule="exact"/>
              <w:jc w:val="left"/>
              <w:rPr>
                <w:rFonts w:hint="eastAsia" w:ascii="仿宋" w:hAnsi="仿宋" w:eastAsia="仿宋" w:cs="仿宋"/>
                <w:sz w:val="24"/>
                <w:highlight w:val="none"/>
              </w:rPr>
            </w:pPr>
            <w:r>
              <w:rPr>
                <w:rFonts w:hint="eastAsia" w:ascii="仿宋" w:hAnsi="仿宋" w:eastAsia="仿宋" w:cs="仿宋"/>
                <w:sz w:val="24"/>
                <w:highlight w:val="none"/>
              </w:rPr>
              <w:t>供应商针对本采购项目的合理化建议，每项得2分，最高得6分，</w:t>
            </w:r>
            <w:r>
              <w:rPr>
                <w:rFonts w:ascii="仿宋" w:hAnsi="仿宋" w:eastAsia="仿宋" w:cs="仿宋"/>
                <w:sz w:val="24"/>
                <w:highlight w:val="none"/>
              </w:rPr>
              <w:t>方案欠缺或不完善的，每项扣1分</w:t>
            </w:r>
            <w:r>
              <w:rPr>
                <w:rFonts w:hint="eastAsia" w:ascii="仿宋" w:hAnsi="仿宋" w:eastAsia="仿宋" w:cs="仿宋"/>
                <w:sz w:val="24"/>
                <w:highlight w:val="none"/>
              </w:rPr>
              <w:t>，扣完为止。</w:t>
            </w:r>
          </w:p>
          <w:p w14:paraId="58F551BC">
            <w:pPr>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b/>
                <w:bCs/>
                <w:sz w:val="24"/>
                <w:highlight w:val="none"/>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13C124A1">
            <w:pPr>
              <w:widowControl/>
              <w:kinsoku/>
              <w:overflowPunct/>
              <w:topLinePunct w:val="0"/>
              <w:bidi w:val="0"/>
              <w:spacing w:line="520" w:lineRule="exact"/>
              <w:jc w:val="center"/>
              <w:rPr>
                <w:rFonts w:ascii="仿宋" w:hAnsi="仿宋" w:eastAsia="仿宋" w:cs="仿宋"/>
                <w:color w:val="000000"/>
                <w:sz w:val="24"/>
              </w:rPr>
            </w:pPr>
            <w:r>
              <w:rPr>
                <w:rFonts w:hint="eastAsia" w:ascii="仿宋" w:hAnsi="仿宋" w:eastAsia="仿宋" w:cs="仿宋"/>
                <w:color w:val="000000"/>
                <w:sz w:val="24"/>
              </w:rPr>
              <w:t>6分</w:t>
            </w:r>
          </w:p>
        </w:tc>
      </w:tr>
      <w:tr w14:paraId="71058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16A5E5F5">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865" w:type="pct"/>
            <w:tcBorders>
              <w:top w:val="single" w:color="auto" w:sz="4" w:space="0"/>
              <w:left w:val="single" w:color="auto" w:sz="4" w:space="0"/>
              <w:bottom w:val="single" w:color="auto" w:sz="4" w:space="0"/>
              <w:right w:val="single" w:color="auto" w:sz="4" w:space="0"/>
            </w:tcBorders>
            <w:vAlign w:val="center"/>
          </w:tcPr>
          <w:p w14:paraId="098255CB">
            <w:pPr>
              <w:pStyle w:val="10"/>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项目重点、难点的分析和解决方案</w:t>
            </w:r>
          </w:p>
        </w:tc>
        <w:tc>
          <w:tcPr>
            <w:tcW w:w="3344" w:type="pct"/>
            <w:tcBorders>
              <w:top w:val="single" w:color="auto" w:sz="4" w:space="0"/>
              <w:left w:val="single" w:color="auto" w:sz="4" w:space="0"/>
              <w:bottom w:val="single" w:color="auto" w:sz="4" w:space="0"/>
              <w:right w:val="single" w:color="auto" w:sz="4" w:space="0"/>
            </w:tcBorders>
            <w:vAlign w:val="center"/>
          </w:tcPr>
          <w:p w14:paraId="79B015FD">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分析精确、全面，解决方案具有针对性和可操作性强的得</w:t>
            </w:r>
            <w:r>
              <w:rPr>
                <w:rFonts w:hint="eastAsia" w:ascii="仿宋" w:hAnsi="仿宋" w:eastAsia="仿宋" w:cs="仿宋"/>
                <w:sz w:val="24"/>
                <w:lang w:val="en-US" w:eastAsia="zh-CN"/>
              </w:rPr>
              <w:t>8</w:t>
            </w:r>
            <w:r>
              <w:rPr>
                <w:rFonts w:hint="eastAsia" w:ascii="仿宋" w:hAnsi="仿宋" w:eastAsia="仿宋" w:cs="仿宋"/>
                <w:sz w:val="24"/>
              </w:rPr>
              <w:t>分</w:t>
            </w:r>
            <w:r>
              <w:rPr>
                <w:rFonts w:hint="eastAsia" w:ascii="仿宋" w:hAnsi="仿宋" w:eastAsia="仿宋" w:cs="仿宋"/>
                <w:sz w:val="24"/>
                <w:lang w:eastAsia="zh-CN"/>
              </w:rPr>
              <w:t>，</w:t>
            </w:r>
            <w:r>
              <w:rPr>
                <w:rFonts w:ascii="仿宋" w:hAnsi="仿宋" w:eastAsia="仿宋" w:cs="仿宋"/>
                <w:sz w:val="24"/>
              </w:rPr>
              <w:t>方案欠缺或不完善的，每项扣1分</w:t>
            </w:r>
            <w:r>
              <w:rPr>
                <w:rFonts w:hint="eastAsia" w:ascii="仿宋" w:hAnsi="仿宋" w:eastAsia="仿宋" w:cs="仿宋"/>
                <w:sz w:val="24"/>
              </w:rPr>
              <w:t>，扣完为止。</w:t>
            </w:r>
          </w:p>
          <w:p w14:paraId="24A7FC19">
            <w:pPr>
              <w:kinsoku/>
              <w:overflowPunct/>
              <w:topLinePunct w:val="0"/>
              <w:bidi w:val="0"/>
              <w:spacing w:line="520" w:lineRule="exact"/>
              <w:jc w:val="left"/>
              <w:rPr>
                <w:rFonts w:ascii="仿宋" w:hAnsi="仿宋" w:eastAsia="仿宋" w:cs="仿宋"/>
                <w:sz w:val="24"/>
              </w:rPr>
            </w:pPr>
            <w:r>
              <w:rPr>
                <w:rFonts w:hint="eastAsia" w:ascii="仿宋" w:hAnsi="仿宋" w:eastAsia="仿宋" w:cs="仿宋"/>
                <w:b/>
                <w:bCs/>
                <w:sz w:val="24"/>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42FFCA67">
            <w:pPr>
              <w:widowControl/>
              <w:kinsoku/>
              <w:overflowPunct/>
              <w:topLinePunct w:val="0"/>
              <w:bidi w:val="0"/>
              <w:spacing w:line="520" w:lineRule="exact"/>
              <w:jc w:val="center"/>
              <w:rPr>
                <w:rFonts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r>
      <w:tr w14:paraId="4D578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65450917">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865" w:type="pct"/>
            <w:tcBorders>
              <w:top w:val="single" w:color="auto" w:sz="4" w:space="0"/>
              <w:left w:val="single" w:color="auto" w:sz="4" w:space="0"/>
              <w:bottom w:val="single" w:color="auto" w:sz="4" w:space="0"/>
              <w:right w:val="single" w:color="auto" w:sz="4" w:space="0"/>
            </w:tcBorders>
            <w:vAlign w:val="center"/>
          </w:tcPr>
          <w:p w14:paraId="56103229">
            <w:pPr>
              <w:pStyle w:val="10"/>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保证项目进度和完成的方案及措施</w:t>
            </w:r>
          </w:p>
        </w:tc>
        <w:tc>
          <w:tcPr>
            <w:tcW w:w="3344" w:type="pct"/>
            <w:tcBorders>
              <w:top w:val="single" w:color="auto" w:sz="4" w:space="0"/>
              <w:left w:val="single" w:color="auto" w:sz="4" w:space="0"/>
              <w:bottom w:val="single" w:color="auto" w:sz="4" w:space="0"/>
              <w:right w:val="single" w:color="auto" w:sz="4" w:space="0"/>
            </w:tcBorders>
            <w:vAlign w:val="center"/>
          </w:tcPr>
          <w:p w14:paraId="5CDF24AF">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有明确的项目进度安排，时间节点明确，任务分解清晰具体，保障措施有效的得6分</w:t>
            </w:r>
            <w:r>
              <w:rPr>
                <w:rFonts w:hint="eastAsia" w:ascii="仿宋" w:hAnsi="仿宋" w:eastAsia="仿宋" w:cs="仿宋"/>
                <w:sz w:val="24"/>
                <w:lang w:eastAsia="zh-CN"/>
              </w:rPr>
              <w:t>，</w:t>
            </w:r>
            <w:r>
              <w:rPr>
                <w:rFonts w:ascii="仿宋" w:hAnsi="仿宋" w:eastAsia="仿宋" w:cs="仿宋"/>
                <w:sz w:val="24"/>
              </w:rPr>
              <w:t>方案欠缺或不完善的，每项扣1分</w:t>
            </w:r>
            <w:r>
              <w:rPr>
                <w:rFonts w:hint="eastAsia" w:ascii="仿宋" w:hAnsi="仿宋" w:eastAsia="仿宋" w:cs="仿宋"/>
                <w:sz w:val="24"/>
              </w:rPr>
              <w:t>，扣完为止。</w:t>
            </w:r>
          </w:p>
          <w:p w14:paraId="40CA8330">
            <w:pPr>
              <w:kinsoku/>
              <w:overflowPunct/>
              <w:topLinePunct w:val="0"/>
              <w:bidi w:val="0"/>
              <w:spacing w:line="520" w:lineRule="exact"/>
              <w:jc w:val="left"/>
              <w:rPr>
                <w:rFonts w:ascii="仿宋" w:hAnsi="仿宋" w:eastAsia="仿宋" w:cs="仿宋"/>
                <w:sz w:val="24"/>
              </w:rPr>
            </w:pPr>
            <w:r>
              <w:rPr>
                <w:rFonts w:hint="eastAsia" w:ascii="仿宋" w:hAnsi="仿宋" w:eastAsia="仿宋" w:cs="仿宋"/>
                <w:b/>
                <w:bCs/>
                <w:sz w:val="24"/>
              </w:rPr>
              <w:t>以上方案未提供不得分。</w:t>
            </w:r>
          </w:p>
        </w:tc>
        <w:tc>
          <w:tcPr>
            <w:tcW w:w="402" w:type="pct"/>
            <w:tcBorders>
              <w:top w:val="single" w:color="auto" w:sz="4" w:space="0"/>
              <w:left w:val="single" w:color="auto" w:sz="4" w:space="0"/>
              <w:bottom w:val="single" w:color="auto" w:sz="4" w:space="0"/>
              <w:right w:val="single" w:color="auto" w:sz="4" w:space="0"/>
            </w:tcBorders>
            <w:vAlign w:val="center"/>
          </w:tcPr>
          <w:p w14:paraId="3D18CE68">
            <w:pPr>
              <w:widowControl/>
              <w:kinsoku/>
              <w:overflowPunct/>
              <w:topLinePunct w:val="0"/>
              <w:bidi w:val="0"/>
              <w:spacing w:line="520" w:lineRule="exact"/>
              <w:jc w:val="center"/>
              <w:rPr>
                <w:rFonts w:ascii="仿宋" w:hAnsi="仿宋" w:eastAsia="仿宋" w:cs="仿宋"/>
                <w:color w:val="000000"/>
                <w:sz w:val="24"/>
              </w:rPr>
            </w:pPr>
            <w:r>
              <w:rPr>
                <w:rFonts w:hint="eastAsia" w:ascii="仿宋" w:hAnsi="仿宋" w:eastAsia="仿宋" w:cs="仿宋"/>
                <w:color w:val="000000"/>
                <w:sz w:val="24"/>
              </w:rPr>
              <w:t>6分</w:t>
            </w:r>
          </w:p>
        </w:tc>
      </w:tr>
      <w:tr w14:paraId="3CFFE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88" w:type="pct"/>
            <w:tcBorders>
              <w:left w:val="single" w:color="auto" w:sz="4" w:space="0"/>
              <w:bottom w:val="single" w:color="auto" w:sz="4" w:space="0"/>
              <w:right w:val="single" w:color="auto" w:sz="4" w:space="0"/>
            </w:tcBorders>
            <w:vAlign w:val="center"/>
          </w:tcPr>
          <w:p w14:paraId="1954617C">
            <w:pPr>
              <w:widowControl/>
              <w:kinsoku/>
              <w:overflowPunct/>
              <w:topLinePunct w:val="0"/>
              <w:bidi w:val="0"/>
              <w:spacing w:line="5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865" w:type="pct"/>
            <w:tcBorders>
              <w:left w:val="single" w:color="auto" w:sz="4" w:space="0"/>
              <w:bottom w:val="single" w:color="auto" w:sz="4" w:space="0"/>
              <w:right w:val="single" w:color="auto" w:sz="4" w:space="0"/>
            </w:tcBorders>
            <w:vAlign w:val="center"/>
          </w:tcPr>
          <w:p w14:paraId="29F2141E">
            <w:pPr>
              <w:pStyle w:val="10"/>
              <w:kinsoku/>
              <w:overflowPunct/>
              <w:topLinePunct w:val="0"/>
              <w:bidi w:val="0"/>
              <w:spacing w:line="5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人员配备</w:t>
            </w:r>
          </w:p>
        </w:tc>
        <w:tc>
          <w:tcPr>
            <w:tcW w:w="3344" w:type="pct"/>
            <w:tcBorders>
              <w:top w:val="single" w:color="auto" w:sz="4" w:space="0"/>
              <w:left w:val="single" w:color="auto" w:sz="4" w:space="0"/>
              <w:bottom w:val="single" w:color="auto" w:sz="4" w:space="0"/>
              <w:right w:val="single" w:color="auto" w:sz="4" w:space="0"/>
            </w:tcBorders>
            <w:vAlign w:val="center"/>
          </w:tcPr>
          <w:p w14:paraId="51D1FC3F">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.项目人员满足招标要求的</w:t>
            </w:r>
            <w:r>
              <w:rPr>
                <w:rFonts w:hint="eastAsia" w:ascii="仿宋" w:hAnsi="仿宋" w:eastAsia="仿宋" w:cs="仿宋"/>
                <w:sz w:val="24"/>
                <w:lang w:val="en-US" w:eastAsia="zh-CN"/>
              </w:rPr>
              <w:t>前提下</w:t>
            </w:r>
            <w:r>
              <w:rPr>
                <w:rFonts w:hint="eastAsia" w:ascii="仿宋" w:hAnsi="仿宋" w:eastAsia="仿宋" w:cs="仿宋"/>
                <w:sz w:val="24"/>
              </w:rPr>
              <w:t>，每增加1人加1分，最多得5分。</w:t>
            </w:r>
          </w:p>
          <w:p w14:paraId="1FBB5846">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.所配备人员中有全日制大学本科及以上学历达到</w:t>
            </w:r>
            <w:r>
              <w:rPr>
                <w:rFonts w:hint="eastAsia" w:ascii="仿宋" w:hAnsi="仿宋" w:eastAsia="仿宋" w:cs="仿宋"/>
                <w:sz w:val="24"/>
                <w:lang w:val="en-US" w:eastAsia="zh-CN"/>
              </w:rPr>
              <w:t>3</w:t>
            </w:r>
            <w:r>
              <w:rPr>
                <w:rFonts w:hint="eastAsia" w:ascii="仿宋" w:hAnsi="仿宋" w:eastAsia="仿宋" w:cs="仿宋"/>
                <w:sz w:val="24"/>
              </w:rPr>
              <w:t>人的</w:t>
            </w:r>
            <w:r>
              <w:rPr>
                <w:rFonts w:hint="eastAsia" w:ascii="仿宋" w:hAnsi="仿宋" w:eastAsia="仿宋" w:cs="仿宋"/>
                <w:sz w:val="24"/>
                <w:lang w:val="en-US" w:eastAsia="zh-CN"/>
              </w:rPr>
              <w:t>前提下</w:t>
            </w:r>
            <w:r>
              <w:rPr>
                <w:rFonts w:hint="eastAsia" w:ascii="仿宋" w:hAnsi="仿宋" w:eastAsia="仿宋" w:cs="仿宋"/>
                <w:sz w:val="24"/>
              </w:rPr>
              <w:t>，每增加1人加1分，最多得5分。</w:t>
            </w:r>
          </w:p>
          <w:p w14:paraId="6598C1EC">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.所配备人员中驾驶员（拥有B照及以上）</w:t>
            </w:r>
            <w:r>
              <w:rPr>
                <w:rFonts w:hint="eastAsia" w:ascii="仿宋" w:hAnsi="仿宋" w:eastAsia="仿宋" w:cs="仿宋"/>
                <w:sz w:val="24"/>
                <w:lang w:val="en-US" w:eastAsia="zh-CN"/>
              </w:rPr>
              <w:t>满足1</w:t>
            </w:r>
            <w:r>
              <w:rPr>
                <w:rFonts w:hint="eastAsia" w:ascii="仿宋" w:hAnsi="仿宋" w:eastAsia="仿宋" w:cs="仿宋"/>
                <w:sz w:val="24"/>
              </w:rPr>
              <w:t>人</w:t>
            </w:r>
            <w:r>
              <w:rPr>
                <w:rFonts w:hint="eastAsia" w:ascii="仿宋" w:hAnsi="仿宋" w:eastAsia="仿宋" w:cs="仿宋"/>
                <w:sz w:val="24"/>
                <w:lang w:val="en-US" w:eastAsia="zh-CN"/>
              </w:rPr>
              <w:t>的前提下</w:t>
            </w:r>
            <w:r>
              <w:rPr>
                <w:rFonts w:hint="eastAsia" w:ascii="仿宋" w:hAnsi="仿宋" w:eastAsia="仿宋" w:cs="仿宋"/>
                <w:sz w:val="24"/>
              </w:rPr>
              <w:t>，每增加1人加1分，最多得5分。</w:t>
            </w:r>
          </w:p>
          <w:p w14:paraId="656365F4">
            <w:pPr>
              <w:widowControl/>
              <w:kinsoku/>
              <w:overflowPunct/>
              <w:topLinePunct w:val="0"/>
              <w:bidi w:val="0"/>
              <w:spacing w:line="520" w:lineRule="exact"/>
              <w:jc w:val="left"/>
              <w:rPr>
                <w:rFonts w:ascii="仿宋" w:hAnsi="仿宋" w:eastAsia="仿宋" w:cs="仿宋"/>
                <w:sz w:val="24"/>
              </w:rPr>
            </w:pPr>
            <w:r>
              <w:rPr>
                <w:rFonts w:hint="eastAsia" w:ascii="仿宋" w:hAnsi="仿宋" w:eastAsia="仿宋" w:cs="仿宋"/>
                <w:b/>
                <w:bCs/>
                <w:sz w:val="24"/>
              </w:rPr>
              <w:t>注：①大学及以上学历人员须提供证书复印件（扫描件）②驾驶员须提供驾驶证复印件（扫描件）③以上所有人员须提供加盖投标人公章的劳务合同复印件（扫描件）及截止开标之日前三个月中任1个月的社保证明。</w:t>
            </w:r>
          </w:p>
        </w:tc>
        <w:tc>
          <w:tcPr>
            <w:tcW w:w="402" w:type="pct"/>
            <w:tcBorders>
              <w:top w:val="single" w:color="auto" w:sz="4" w:space="0"/>
              <w:left w:val="single" w:color="auto" w:sz="4" w:space="0"/>
              <w:bottom w:val="single" w:color="auto" w:sz="4" w:space="0"/>
              <w:right w:val="single" w:color="auto" w:sz="4" w:space="0"/>
            </w:tcBorders>
            <w:vAlign w:val="center"/>
          </w:tcPr>
          <w:p w14:paraId="02E4D9CC">
            <w:pPr>
              <w:widowControl/>
              <w:kinsoku/>
              <w:overflowPunct/>
              <w:topLinePunct w:val="0"/>
              <w:bidi w:val="0"/>
              <w:spacing w:line="520" w:lineRule="exact"/>
              <w:jc w:val="center"/>
              <w:rPr>
                <w:rFonts w:ascii="仿宋" w:hAnsi="仿宋" w:eastAsia="仿宋" w:cs="仿宋"/>
                <w:color w:val="000000"/>
                <w:sz w:val="24"/>
              </w:rPr>
            </w:pPr>
            <w:r>
              <w:rPr>
                <w:rFonts w:hint="eastAsia" w:ascii="仿宋" w:hAnsi="仿宋" w:eastAsia="仿宋"/>
                <w:sz w:val="24"/>
              </w:rPr>
              <w:t>15分</w:t>
            </w:r>
          </w:p>
        </w:tc>
      </w:tr>
      <w:tr w14:paraId="10A07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388" w:type="pct"/>
            <w:tcBorders>
              <w:left w:val="single" w:color="auto" w:sz="4" w:space="0"/>
              <w:bottom w:val="single" w:color="auto" w:sz="4" w:space="0"/>
              <w:right w:val="single" w:color="auto" w:sz="4" w:space="0"/>
            </w:tcBorders>
            <w:vAlign w:val="center"/>
          </w:tcPr>
          <w:p w14:paraId="3D9EC3F7">
            <w:pPr>
              <w:widowControl/>
              <w:kinsoku/>
              <w:overflowPunct/>
              <w:topLinePunct w:val="0"/>
              <w:bidi w:val="0"/>
              <w:spacing w:line="52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865" w:type="pct"/>
            <w:tcBorders>
              <w:left w:val="single" w:color="auto" w:sz="4" w:space="0"/>
              <w:bottom w:val="single" w:color="auto" w:sz="4" w:space="0"/>
              <w:right w:val="single" w:color="auto" w:sz="4" w:space="0"/>
            </w:tcBorders>
            <w:vAlign w:val="center"/>
          </w:tcPr>
          <w:p w14:paraId="135B906C">
            <w:pPr>
              <w:pStyle w:val="10"/>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设备配置</w:t>
            </w:r>
          </w:p>
        </w:tc>
        <w:tc>
          <w:tcPr>
            <w:tcW w:w="3344" w:type="pct"/>
            <w:tcBorders>
              <w:top w:val="single" w:color="auto" w:sz="4" w:space="0"/>
              <w:left w:val="single" w:color="auto" w:sz="4" w:space="0"/>
              <w:bottom w:val="single" w:color="auto" w:sz="4" w:space="0"/>
              <w:right w:val="single" w:color="auto" w:sz="4" w:space="0"/>
            </w:tcBorders>
            <w:vAlign w:val="center"/>
          </w:tcPr>
          <w:p w14:paraId="188E60F8">
            <w:pPr>
              <w:widowControl/>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在满足招标文件配置要求的前提下，</w:t>
            </w:r>
            <w:r>
              <w:rPr>
                <w:rFonts w:hint="eastAsia" w:ascii="仿宋" w:hAnsi="仿宋" w:eastAsia="仿宋" w:cs="仿宋"/>
                <w:sz w:val="24"/>
                <w:highlight w:val="none"/>
              </w:rPr>
              <w:t>所配置设备中有</w:t>
            </w:r>
            <w:r>
              <w:rPr>
                <w:rFonts w:hint="eastAsia" w:ascii="仿宋" w:hAnsi="仿宋" w:eastAsia="仿宋" w:cs="仿宋"/>
                <w:sz w:val="24"/>
                <w:highlight w:val="none"/>
                <w:lang w:val="en-US" w:eastAsia="zh-CN"/>
              </w:rPr>
              <w:t>额外增加的</w:t>
            </w:r>
            <w:r>
              <w:rPr>
                <w:rFonts w:hint="eastAsia" w:ascii="仿宋" w:hAnsi="仿宋" w:eastAsia="仿宋" w:cs="仿宋"/>
                <w:color w:val="000000"/>
                <w:kern w:val="0"/>
                <w:sz w:val="24"/>
                <w:szCs w:val="24"/>
                <w:highlight w:val="none"/>
                <w:lang w:val="en-US" w:eastAsia="zh-CN"/>
              </w:rPr>
              <w:t>紧凑型多功能清洁车</w:t>
            </w:r>
            <w:r>
              <w:rPr>
                <w:rFonts w:hint="eastAsia" w:ascii="仿宋" w:hAnsi="仿宋" w:eastAsia="仿宋" w:cs="仿宋"/>
                <w:sz w:val="24"/>
                <w:highlight w:val="none"/>
              </w:rPr>
              <w:t>的得2分，最多</w:t>
            </w:r>
            <w:r>
              <w:rPr>
                <w:rFonts w:hint="eastAsia" w:ascii="仿宋" w:hAnsi="仿宋" w:eastAsia="仿宋" w:cs="仿宋"/>
                <w:sz w:val="24"/>
                <w:highlight w:val="none"/>
                <w:lang w:val="en-US" w:eastAsia="zh-CN"/>
              </w:rPr>
              <w:t>得2</w:t>
            </w:r>
            <w:r>
              <w:rPr>
                <w:rFonts w:hint="eastAsia" w:ascii="仿宋" w:hAnsi="仿宋" w:eastAsia="仿宋" w:cs="仿宋"/>
                <w:sz w:val="24"/>
                <w:highlight w:val="none"/>
              </w:rPr>
              <w:t>分，不提供不得分；</w:t>
            </w:r>
          </w:p>
          <w:p w14:paraId="06B2CB43">
            <w:pPr>
              <w:widowControl/>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sz w:val="24"/>
                <w:highlight w:val="none"/>
              </w:rPr>
              <w:t xml:space="preserve">2. </w:t>
            </w:r>
            <w:r>
              <w:rPr>
                <w:rFonts w:hint="eastAsia" w:ascii="仿宋" w:hAnsi="仿宋" w:eastAsia="仿宋" w:cs="仿宋"/>
                <w:sz w:val="24"/>
                <w:highlight w:val="none"/>
                <w:lang w:val="en-US" w:eastAsia="zh-CN"/>
              </w:rPr>
              <w:t>在满足招标文件配置要求的前提下，</w:t>
            </w:r>
            <w:r>
              <w:rPr>
                <w:rFonts w:hint="eastAsia" w:ascii="仿宋" w:hAnsi="仿宋" w:eastAsia="仿宋" w:cs="仿宋"/>
                <w:sz w:val="24"/>
                <w:highlight w:val="none"/>
              </w:rPr>
              <w:t>所配置设备中有</w:t>
            </w:r>
            <w:r>
              <w:rPr>
                <w:rFonts w:hint="eastAsia" w:ascii="仿宋" w:hAnsi="仿宋" w:eastAsia="仿宋" w:cs="仿宋"/>
                <w:sz w:val="24"/>
                <w:highlight w:val="none"/>
                <w:lang w:val="en-US" w:eastAsia="zh-CN"/>
              </w:rPr>
              <w:t>额外增加的</w:t>
            </w:r>
            <w:r>
              <w:rPr>
                <w:rFonts w:hint="eastAsia" w:ascii="仿宋" w:hAnsi="仿宋" w:eastAsia="仿宋" w:cs="仿宋"/>
                <w:color w:val="000000"/>
                <w:kern w:val="0"/>
                <w:sz w:val="24"/>
                <w:szCs w:val="24"/>
                <w:highlight w:val="none"/>
                <w:lang w:val="en-US" w:eastAsia="zh-CN"/>
              </w:rPr>
              <w:t>驾驶式电动洗地吸干机</w:t>
            </w:r>
            <w:r>
              <w:rPr>
                <w:rFonts w:hint="eastAsia" w:ascii="仿宋" w:hAnsi="仿宋" w:eastAsia="仿宋" w:cs="仿宋"/>
                <w:sz w:val="24"/>
                <w:highlight w:val="none"/>
              </w:rPr>
              <w:t>的得2分</w:t>
            </w:r>
            <w:r>
              <w:rPr>
                <w:rFonts w:hint="eastAsia" w:ascii="仿宋" w:hAnsi="仿宋" w:eastAsia="仿宋" w:cs="仿宋"/>
                <w:sz w:val="24"/>
                <w:highlight w:val="none"/>
                <w:lang w:eastAsia="zh-CN"/>
              </w:rPr>
              <w:t>，</w:t>
            </w:r>
            <w:r>
              <w:rPr>
                <w:rFonts w:hint="eastAsia" w:ascii="仿宋" w:hAnsi="仿宋" w:eastAsia="仿宋" w:cs="仿宋"/>
                <w:sz w:val="24"/>
                <w:highlight w:val="none"/>
              </w:rPr>
              <w:t>最多</w:t>
            </w:r>
            <w:r>
              <w:rPr>
                <w:rFonts w:hint="eastAsia" w:ascii="仿宋" w:hAnsi="仿宋" w:eastAsia="仿宋" w:cs="仿宋"/>
                <w:sz w:val="24"/>
                <w:highlight w:val="none"/>
                <w:lang w:val="en-US" w:eastAsia="zh-CN"/>
              </w:rPr>
              <w:t>得2</w:t>
            </w:r>
            <w:r>
              <w:rPr>
                <w:rFonts w:hint="eastAsia" w:ascii="仿宋" w:hAnsi="仿宋" w:eastAsia="仿宋" w:cs="仿宋"/>
                <w:sz w:val="24"/>
                <w:highlight w:val="none"/>
              </w:rPr>
              <w:t>分，不提供不得分；</w:t>
            </w:r>
          </w:p>
          <w:p w14:paraId="5BF660B6">
            <w:pPr>
              <w:widowControl/>
              <w:kinsoku/>
              <w:overflowPunct/>
              <w:topLinePunct w:val="0"/>
              <w:bidi w:val="0"/>
              <w:spacing w:line="52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在满足招标文件配置要求的前提下，</w:t>
            </w:r>
            <w:r>
              <w:rPr>
                <w:rFonts w:hint="eastAsia" w:ascii="仿宋" w:hAnsi="仿宋" w:eastAsia="仿宋" w:cs="仿宋"/>
                <w:sz w:val="24"/>
                <w:highlight w:val="none"/>
              </w:rPr>
              <w:t>所配置设备中有</w:t>
            </w:r>
            <w:r>
              <w:rPr>
                <w:rFonts w:hint="eastAsia" w:ascii="仿宋" w:hAnsi="仿宋" w:eastAsia="仿宋" w:cs="仿宋"/>
                <w:sz w:val="24"/>
                <w:highlight w:val="none"/>
                <w:lang w:val="en-US" w:eastAsia="zh-CN"/>
              </w:rPr>
              <w:t>额外增加的</w:t>
            </w:r>
            <w:r>
              <w:rPr>
                <w:rFonts w:hint="eastAsia" w:ascii="仿宋" w:hAnsi="仿宋" w:eastAsia="仿宋" w:cs="仿宋"/>
                <w:color w:val="000000"/>
                <w:kern w:val="0"/>
                <w:sz w:val="24"/>
                <w:szCs w:val="24"/>
                <w:highlight w:val="none"/>
                <w:lang w:val="en-US" w:eastAsia="zh-CN"/>
              </w:rPr>
              <w:t>小型汽车的</w:t>
            </w:r>
            <w:r>
              <w:rPr>
                <w:rFonts w:hint="eastAsia" w:ascii="仿宋" w:hAnsi="仿宋" w:eastAsia="仿宋" w:cs="仿宋"/>
                <w:sz w:val="24"/>
                <w:highlight w:val="none"/>
              </w:rPr>
              <w:t>得</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分，最多</w:t>
            </w:r>
            <w:r>
              <w:rPr>
                <w:rFonts w:hint="eastAsia" w:ascii="仿宋" w:hAnsi="仿宋" w:eastAsia="仿宋" w:cs="仿宋"/>
                <w:sz w:val="24"/>
                <w:highlight w:val="none"/>
                <w:lang w:val="en-US" w:eastAsia="zh-CN"/>
              </w:rPr>
              <w:t>得1</w:t>
            </w:r>
            <w:r>
              <w:rPr>
                <w:rFonts w:hint="eastAsia" w:ascii="仿宋" w:hAnsi="仿宋" w:eastAsia="仿宋" w:cs="仿宋"/>
                <w:sz w:val="24"/>
                <w:highlight w:val="none"/>
              </w:rPr>
              <w:t>分，不提供不得分</w:t>
            </w:r>
            <w:r>
              <w:rPr>
                <w:rFonts w:hint="eastAsia" w:ascii="仿宋" w:hAnsi="仿宋" w:eastAsia="仿宋" w:cs="仿宋"/>
                <w:sz w:val="24"/>
                <w:highlight w:val="none"/>
                <w:lang w:eastAsia="zh-CN"/>
              </w:rPr>
              <w:t>。</w:t>
            </w:r>
          </w:p>
          <w:p w14:paraId="2607AD2D">
            <w:pPr>
              <w:widowControl/>
              <w:kinsoku/>
              <w:overflowPunct/>
              <w:topLinePunct w:val="0"/>
              <w:bidi w:val="0"/>
              <w:spacing w:line="520" w:lineRule="exact"/>
              <w:jc w:val="left"/>
              <w:rPr>
                <w:rFonts w:ascii="仿宋" w:hAnsi="仿宋" w:eastAsia="仿宋"/>
                <w:b/>
                <w:bCs/>
                <w:sz w:val="24"/>
              </w:rPr>
            </w:pPr>
            <w:r>
              <w:rPr>
                <w:rFonts w:hint="eastAsia" w:ascii="仿宋" w:hAnsi="仿宋" w:eastAsia="仿宋" w:cs="仿宋"/>
                <w:b/>
                <w:bCs/>
                <w:sz w:val="24"/>
                <w:highlight w:val="none"/>
                <w:lang w:val="zh-CN"/>
              </w:rPr>
              <w:t>注：</w:t>
            </w:r>
            <w:r>
              <w:rPr>
                <w:rFonts w:hint="eastAsia" w:ascii="仿宋" w:hAnsi="仿宋" w:eastAsia="仿宋" w:cs="仿宋"/>
                <w:b/>
                <w:bCs/>
                <w:sz w:val="24"/>
                <w:highlight w:val="none"/>
              </w:rPr>
              <w:t>①多功能设备仅能得分1次，不重复得分②</w:t>
            </w:r>
            <w:r>
              <w:rPr>
                <w:rFonts w:hint="eastAsia" w:ascii="仿宋" w:hAnsi="仿宋" w:eastAsia="仿宋" w:cs="仿宋"/>
                <w:b/>
                <w:bCs/>
                <w:sz w:val="24"/>
                <w:highlight w:val="none"/>
                <w:lang w:val="zh-CN"/>
              </w:rPr>
              <w:t>供应商自有车辆设备须提供车辆照片、购车发票及车辆行驶证清晰扫描件或复印件（招标公告发布之后新购置的车辆可只提供车辆照片、购车发票及有效的交强险保单，按法律规定不需要办理车辆行驶证的车辆或设备可只提供购车（设备）发票复印件和车辆（设备）照片）；租赁车辆设备的须提供租赁协议、车辆行驶证、首期租金发票及购车发票清晰扫描件或复印件，其中租赁协议期限应该满足本项目服务期限，出租方与所有权方应一致。</w:t>
            </w:r>
          </w:p>
        </w:tc>
        <w:tc>
          <w:tcPr>
            <w:tcW w:w="402" w:type="pct"/>
            <w:tcBorders>
              <w:top w:val="single" w:color="auto" w:sz="4" w:space="0"/>
              <w:left w:val="single" w:color="auto" w:sz="4" w:space="0"/>
              <w:bottom w:val="single" w:color="auto" w:sz="4" w:space="0"/>
              <w:right w:val="single" w:color="auto" w:sz="4" w:space="0"/>
            </w:tcBorders>
            <w:vAlign w:val="center"/>
          </w:tcPr>
          <w:p w14:paraId="522DB993">
            <w:pPr>
              <w:widowControl/>
              <w:kinsoku/>
              <w:overflowPunct/>
              <w:topLinePunct w:val="0"/>
              <w:bidi w:val="0"/>
              <w:spacing w:line="520" w:lineRule="exact"/>
              <w:jc w:val="center"/>
              <w:rPr>
                <w:rFonts w:ascii="仿宋" w:hAnsi="仿宋" w:eastAsia="仿宋"/>
                <w:sz w:val="24"/>
              </w:rPr>
            </w:pPr>
            <w:r>
              <w:rPr>
                <w:rFonts w:hint="eastAsia" w:ascii="仿宋" w:hAnsi="仿宋" w:eastAsia="仿宋"/>
                <w:sz w:val="24"/>
                <w:highlight w:val="none"/>
                <w:lang w:val="en-US" w:eastAsia="zh-CN"/>
              </w:rPr>
              <w:t>5</w:t>
            </w:r>
            <w:r>
              <w:rPr>
                <w:rFonts w:hint="eastAsia" w:ascii="仿宋" w:hAnsi="仿宋" w:eastAsia="仿宋"/>
                <w:sz w:val="24"/>
                <w:highlight w:val="none"/>
              </w:rPr>
              <w:t>分</w:t>
            </w:r>
          </w:p>
        </w:tc>
      </w:tr>
      <w:tr w14:paraId="62554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61B112C">
            <w:pPr>
              <w:widowControl/>
              <w:kinsoku/>
              <w:overflowPunct/>
              <w:topLinePunct w:val="0"/>
              <w:bidi w:val="0"/>
              <w:spacing w:line="520" w:lineRule="exact"/>
              <w:jc w:val="center"/>
              <w:rPr>
                <w:rFonts w:ascii="仿宋" w:hAnsi="仿宋" w:eastAsia="仿宋" w:cs="仿宋"/>
                <w:b/>
                <w:sz w:val="24"/>
              </w:rPr>
            </w:pPr>
            <w:r>
              <w:rPr>
                <w:rFonts w:hint="eastAsia" w:ascii="仿宋" w:hAnsi="仿宋" w:eastAsia="仿宋" w:cs="仿宋"/>
                <w:b/>
                <w:sz w:val="24"/>
              </w:rPr>
              <w:t>二</w:t>
            </w:r>
          </w:p>
        </w:tc>
        <w:tc>
          <w:tcPr>
            <w:tcW w:w="865" w:type="pct"/>
            <w:tcBorders>
              <w:top w:val="single" w:color="auto" w:sz="4" w:space="0"/>
              <w:left w:val="single" w:color="auto" w:sz="4" w:space="0"/>
              <w:bottom w:val="single" w:color="auto" w:sz="4" w:space="0"/>
              <w:right w:val="single" w:color="auto" w:sz="4" w:space="0"/>
            </w:tcBorders>
            <w:vAlign w:val="center"/>
          </w:tcPr>
          <w:p w14:paraId="6CDBFE9F">
            <w:pPr>
              <w:widowControl/>
              <w:kinsoku/>
              <w:overflowPunct/>
              <w:topLinePunct w:val="0"/>
              <w:bidi w:val="0"/>
              <w:spacing w:line="520" w:lineRule="exact"/>
              <w:jc w:val="center"/>
              <w:rPr>
                <w:rFonts w:ascii="仿宋" w:hAnsi="仿宋" w:eastAsia="仿宋" w:cs="仿宋"/>
                <w:b/>
                <w:sz w:val="24"/>
              </w:rPr>
            </w:pPr>
          </w:p>
        </w:tc>
        <w:tc>
          <w:tcPr>
            <w:tcW w:w="3344" w:type="pct"/>
            <w:tcBorders>
              <w:top w:val="single" w:color="auto" w:sz="4" w:space="0"/>
              <w:left w:val="single" w:color="auto" w:sz="4" w:space="0"/>
              <w:bottom w:val="single" w:color="auto" w:sz="4" w:space="0"/>
              <w:right w:val="single" w:color="auto" w:sz="4" w:space="0"/>
            </w:tcBorders>
            <w:vAlign w:val="center"/>
          </w:tcPr>
          <w:p w14:paraId="4E9158E0">
            <w:pPr>
              <w:widowControl/>
              <w:kinsoku/>
              <w:overflowPunct/>
              <w:topLinePunct w:val="0"/>
              <w:bidi w:val="0"/>
              <w:spacing w:line="520" w:lineRule="exact"/>
              <w:jc w:val="left"/>
              <w:rPr>
                <w:rFonts w:ascii="仿宋" w:hAnsi="仿宋" w:eastAsia="仿宋" w:cs="仿宋"/>
                <w:b/>
                <w:sz w:val="24"/>
              </w:rPr>
            </w:pPr>
            <w:r>
              <w:rPr>
                <w:rFonts w:hint="eastAsia" w:ascii="仿宋" w:hAnsi="仿宋" w:eastAsia="仿宋" w:cs="仿宋"/>
                <w:b/>
                <w:sz w:val="24"/>
              </w:rPr>
              <w:t>商务分资信及其他分</w:t>
            </w:r>
          </w:p>
        </w:tc>
        <w:tc>
          <w:tcPr>
            <w:tcW w:w="402" w:type="pct"/>
            <w:tcBorders>
              <w:top w:val="single" w:color="auto" w:sz="4" w:space="0"/>
              <w:left w:val="single" w:color="auto" w:sz="4" w:space="0"/>
              <w:bottom w:val="single" w:color="auto" w:sz="4" w:space="0"/>
              <w:right w:val="single" w:color="auto" w:sz="4" w:space="0"/>
            </w:tcBorders>
            <w:vAlign w:val="center"/>
          </w:tcPr>
          <w:p w14:paraId="3AC371E4">
            <w:pPr>
              <w:widowControl/>
              <w:kinsoku/>
              <w:overflowPunct/>
              <w:topLinePunct w:val="0"/>
              <w:bidi w:val="0"/>
              <w:spacing w:line="520" w:lineRule="exact"/>
              <w:jc w:val="center"/>
              <w:rPr>
                <w:rFonts w:ascii="仿宋" w:hAnsi="仿宋" w:eastAsia="仿宋" w:cs="仿宋"/>
                <w:b/>
                <w:sz w:val="24"/>
                <w:highlight w:val="none"/>
              </w:rPr>
            </w:pPr>
            <w:r>
              <w:rPr>
                <w:rFonts w:hint="eastAsia" w:ascii="仿宋" w:hAnsi="仿宋" w:eastAsia="仿宋" w:cs="仿宋"/>
                <w:b/>
                <w:sz w:val="24"/>
                <w:highlight w:val="none"/>
                <w:lang w:val="en-US" w:eastAsia="zh-CN"/>
              </w:rPr>
              <w:t>16</w:t>
            </w:r>
            <w:r>
              <w:rPr>
                <w:rFonts w:hint="eastAsia" w:ascii="仿宋" w:hAnsi="仿宋" w:eastAsia="仿宋" w:cs="仿宋"/>
                <w:b/>
                <w:sz w:val="24"/>
                <w:highlight w:val="none"/>
              </w:rPr>
              <w:t>分</w:t>
            </w:r>
          </w:p>
        </w:tc>
      </w:tr>
      <w:tr w14:paraId="6F72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3FA210F">
            <w:pPr>
              <w:widowControl/>
              <w:kinsoku/>
              <w:overflowPunct/>
              <w:topLinePunct w:val="0"/>
              <w:bidi w:val="0"/>
              <w:spacing w:line="520" w:lineRule="exact"/>
              <w:jc w:val="center"/>
              <w:rPr>
                <w:rFonts w:hint="eastAsia" w:ascii="仿宋" w:hAnsi="仿宋" w:eastAsia="仿宋" w:cs="仿宋"/>
                <w:bCs/>
                <w:sz w:val="24"/>
                <w:lang w:eastAsia="zh-CN"/>
              </w:rPr>
            </w:pPr>
            <w:r>
              <w:rPr>
                <w:rFonts w:hint="eastAsia" w:ascii="仿宋" w:hAnsi="仿宋" w:eastAsia="仿宋" w:cs="仿宋"/>
                <w:bCs/>
                <w:sz w:val="24"/>
                <w:lang w:val="en-US" w:eastAsia="zh-CN"/>
              </w:rPr>
              <w:t>9</w:t>
            </w:r>
          </w:p>
        </w:tc>
        <w:tc>
          <w:tcPr>
            <w:tcW w:w="865" w:type="pct"/>
            <w:tcBorders>
              <w:top w:val="single" w:color="auto" w:sz="4" w:space="0"/>
              <w:left w:val="single" w:color="auto" w:sz="4" w:space="0"/>
              <w:bottom w:val="single" w:color="auto" w:sz="4" w:space="0"/>
              <w:right w:val="single" w:color="auto" w:sz="4" w:space="0"/>
            </w:tcBorders>
            <w:vAlign w:val="center"/>
          </w:tcPr>
          <w:p w14:paraId="58172E12">
            <w:pPr>
              <w:tabs>
                <w:tab w:val="left" w:pos="1080"/>
              </w:tabs>
              <w:kinsoku/>
              <w:overflowPunct/>
              <w:topLinePunct w:val="0"/>
              <w:bidi w:val="0"/>
              <w:spacing w:line="520" w:lineRule="exact"/>
              <w:jc w:val="center"/>
              <w:rPr>
                <w:rFonts w:ascii="仿宋" w:hAnsi="仿宋" w:eastAsia="仿宋" w:cs="仿宋"/>
                <w:bCs/>
                <w:sz w:val="24"/>
              </w:rPr>
            </w:pPr>
            <w:r>
              <w:rPr>
                <w:rFonts w:hint="eastAsia" w:ascii="仿宋" w:hAnsi="仿宋" w:eastAsia="仿宋" w:cs="仿宋"/>
                <w:bCs/>
                <w:sz w:val="24"/>
              </w:rPr>
              <w:t>售后服务承诺</w:t>
            </w:r>
          </w:p>
        </w:tc>
        <w:tc>
          <w:tcPr>
            <w:tcW w:w="3344" w:type="pct"/>
            <w:tcBorders>
              <w:top w:val="single" w:color="auto" w:sz="4" w:space="0"/>
              <w:left w:val="single" w:color="auto" w:sz="4" w:space="0"/>
              <w:bottom w:val="single" w:color="auto" w:sz="4" w:space="0"/>
              <w:right w:val="single" w:color="auto" w:sz="4" w:space="0"/>
            </w:tcBorders>
            <w:vAlign w:val="center"/>
          </w:tcPr>
          <w:p w14:paraId="2A574475">
            <w:pPr>
              <w:pStyle w:val="10"/>
              <w:numPr>
                <w:ilvl w:val="0"/>
                <w:numId w:val="3"/>
              </w:numPr>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售后服务优惠承诺。</w:t>
            </w:r>
          </w:p>
          <w:p w14:paraId="0737BF75">
            <w:pPr>
              <w:pStyle w:val="10"/>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售后服务方案全面周到且优惠幅度大的得</w:t>
            </w:r>
            <w:r>
              <w:rPr>
                <w:rFonts w:hint="eastAsia" w:ascii="仿宋" w:hAnsi="仿宋" w:eastAsia="仿宋" w:cs="仿宋"/>
                <w:sz w:val="24"/>
                <w:lang w:val="en-US" w:eastAsia="zh-CN"/>
              </w:rPr>
              <w:t>6</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售后服务不全面或优惠不明显的每项扣1分。</w:t>
            </w:r>
          </w:p>
          <w:p w14:paraId="036821AA">
            <w:pPr>
              <w:pStyle w:val="10"/>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2、响应时间：接到采购人通知（电话、电传等）后2小时到现场响应得1分；承诺1小时现场响应得2分；承诺0.5小时现场响应得3分；无承诺不得分。最高得3分。</w:t>
            </w:r>
          </w:p>
          <w:p w14:paraId="352831B5">
            <w:pPr>
              <w:pStyle w:val="10"/>
              <w:kinsoku/>
              <w:overflowPunct/>
              <w:topLinePunct w:val="0"/>
              <w:bidi w:val="0"/>
              <w:spacing w:line="520" w:lineRule="exact"/>
              <w:jc w:val="left"/>
              <w:rPr>
                <w:rFonts w:ascii="仿宋" w:hAnsi="仿宋" w:eastAsia="仿宋" w:cs="仿宋"/>
                <w:sz w:val="24"/>
              </w:rPr>
            </w:pPr>
            <w:r>
              <w:rPr>
                <w:rFonts w:hint="eastAsia" w:ascii="仿宋" w:hAnsi="仿宋" w:eastAsia="仿宋" w:cs="仿宋"/>
                <w:b/>
                <w:bCs/>
                <w:sz w:val="24"/>
              </w:rPr>
              <w:t>以上售后服务承诺未提供的不得分。</w:t>
            </w:r>
          </w:p>
        </w:tc>
        <w:tc>
          <w:tcPr>
            <w:tcW w:w="402" w:type="pct"/>
            <w:tcBorders>
              <w:top w:val="single" w:color="auto" w:sz="4" w:space="0"/>
              <w:left w:val="single" w:color="auto" w:sz="4" w:space="0"/>
              <w:bottom w:val="single" w:color="auto" w:sz="4" w:space="0"/>
              <w:right w:val="single" w:color="auto" w:sz="4" w:space="0"/>
            </w:tcBorders>
            <w:vAlign w:val="center"/>
          </w:tcPr>
          <w:p w14:paraId="2C5FC28B">
            <w:pPr>
              <w:widowControl/>
              <w:kinsoku/>
              <w:overflowPunct/>
              <w:topLinePunct w:val="0"/>
              <w:bidi w:val="0"/>
              <w:spacing w:line="520" w:lineRule="exact"/>
              <w:jc w:val="center"/>
              <w:rPr>
                <w:rFonts w:ascii="仿宋" w:hAnsi="仿宋" w:eastAsia="仿宋" w:cs="仿宋"/>
                <w:bCs/>
                <w:sz w:val="24"/>
                <w:highlight w:val="none"/>
              </w:rPr>
            </w:pPr>
            <w:r>
              <w:rPr>
                <w:rFonts w:hint="eastAsia" w:ascii="仿宋" w:hAnsi="仿宋" w:eastAsia="仿宋" w:cs="仿宋"/>
                <w:bCs/>
                <w:sz w:val="24"/>
                <w:highlight w:val="none"/>
                <w:lang w:val="en-US" w:eastAsia="zh-CN"/>
              </w:rPr>
              <w:t>9</w:t>
            </w:r>
            <w:r>
              <w:rPr>
                <w:rFonts w:hint="eastAsia" w:ascii="仿宋" w:hAnsi="仿宋" w:eastAsia="仿宋" w:cs="仿宋"/>
                <w:bCs/>
                <w:sz w:val="24"/>
                <w:highlight w:val="none"/>
              </w:rPr>
              <w:t>分</w:t>
            </w:r>
          </w:p>
        </w:tc>
      </w:tr>
      <w:tr w14:paraId="43C9B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88" w:type="pct"/>
            <w:tcBorders>
              <w:top w:val="single" w:color="auto" w:sz="4" w:space="0"/>
              <w:left w:val="single" w:color="auto" w:sz="4" w:space="0"/>
              <w:right w:val="single" w:color="auto" w:sz="4" w:space="0"/>
            </w:tcBorders>
            <w:vAlign w:val="center"/>
          </w:tcPr>
          <w:p w14:paraId="006B491D">
            <w:pPr>
              <w:pStyle w:val="10"/>
              <w:kinsoku/>
              <w:overflowPunct/>
              <w:topLinePunct w:val="0"/>
              <w:bidi w:val="0"/>
              <w:spacing w:line="5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65" w:type="pct"/>
            <w:tcBorders>
              <w:top w:val="single" w:color="auto" w:sz="4" w:space="0"/>
              <w:left w:val="single" w:color="auto" w:sz="4" w:space="0"/>
              <w:right w:val="single" w:color="auto" w:sz="4" w:space="0"/>
            </w:tcBorders>
            <w:vAlign w:val="center"/>
          </w:tcPr>
          <w:p w14:paraId="44DFB9BA">
            <w:pPr>
              <w:pStyle w:val="10"/>
              <w:kinsoku/>
              <w:overflowPunct/>
              <w:topLinePunct w:val="0"/>
              <w:bidi w:val="0"/>
              <w:spacing w:line="520" w:lineRule="exact"/>
              <w:jc w:val="center"/>
              <w:rPr>
                <w:rFonts w:ascii="仿宋" w:hAnsi="仿宋" w:eastAsia="仿宋" w:cs="仿宋"/>
                <w:sz w:val="24"/>
              </w:rPr>
            </w:pPr>
            <w:r>
              <w:rPr>
                <w:rFonts w:hint="eastAsia" w:ascii="仿宋" w:hAnsi="仿宋" w:eastAsia="仿宋" w:cs="仿宋"/>
                <w:sz w:val="24"/>
              </w:rPr>
              <w:t>企业业绩</w:t>
            </w:r>
          </w:p>
        </w:tc>
        <w:tc>
          <w:tcPr>
            <w:tcW w:w="3344" w:type="pct"/>
            <w:tcBorders>
              <w:top w:val="single" w:color="auto" w:sz="4" w:space="0"/>
              <w:left w:val="single" w:color="auto" w:sz="4" w:space="0"/>
              <w:right w:val="single" w:color="auto" w:sz="4" w:space="0"/>
            </w:tcBorders>
            <w:vAlign w:val="center"/>
          </w:tcPr>
          <w:p w14:paraId="58417443">
            <w:pPr>
              <w:kinsoku/>
              <w:overflowPunct/>
              <w:topLinePunct w:val="0"/>
              <w:bidi w:val="0"/>
              <w:spacing w:line="520" w:lineRule="exact"/>
              <w:jc w:val="left"/>
              <w:rPr>
                <w:rFonts w:ascii="仿宋" w:hAnsi="仿宋" w:eastAsia="仿宋" w:cs="仿宋"/>
                <w:sz w:val="24"/>
                <w:highlight w:val="none"/>
              </w:rPr>
            </w:pPr>
            <w:r>
              <w:rPr>
                <w:rFonts w:hint="eastAsia" w:ascii="仿宋" w:hAnsi="仿宋" w:eastAsia="仿宋" w:cs="仿宋"/>
                <w:sz w:val="24"/>
                <w:highlight w:val="none"/>
              </w:rPr>
              <w:t>供应商自2021年1月1日起至今（以合同签订时间为准）提供同类项目的成功案例，每提供一份得</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分，最高得</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w:t>
            </w:r>
          </w:p>
          <w:p w14:paraId="5C8085BB">
            <w:pPr>
              <w:kinsoku/>
              <w:overflowPunct/>
              <w:topLinePunct w:val="0"/>
              <w:bidi w:val="0"/>
              <w:spacing w:line="520" w:lineRule="exact"/>
              <w:jc w:val="left"/>
              <w:rPr>
                <w:rFonts w:ascii="仿宋" w:hAnsi="仿宋" w:eastAsia="仿宋" w:cs="仿宋"/>
                <w:bCs/>
                <w:sz w:val="24"/>
                <w:highlight w:val="none"/>
              </w:rPr>
            </w:pPr>
            <w:r>
              <w:rPr>
                <w:rFonts w:hint="eastAsia" w:ascii="仿宋" w:hAnsi="仿宋" w:eastAsia="仿宋" w:cs="仿宋"/>
                <w:b/>
                <w:bCs/>
                <w:sz w:val="24"/>
                <w:highlight w:val="none"/>
              </w:rPr>
              <w:t>注：需提供合同复印件（含首页、签字盖章页）</w:t>
            </w:r>
            <w:r>
              <w:rPr>
                <w:rFonts w:hint="eastAsia" w:ascii="仿宋" w:hAnsi="仿宋" w:eastAsia="仿宋" w:cs="仿宋"/>
                <w:b/>
                <w:bCs/>
                <w:sz w:val="24"/>
                <w:highlight w:val="none"/>
                <w:lang w:val="en-US" w:eastAsia="zh-CN"/>
              </w:rPr>
              <w:t>或</w:t>
            </w:r>
            <w:r>
              <w:rPr>
                <w:rFonts w:hint="eastAsia" w:ascii="仿宋" w:hAnsi="仿宋" w:eastAsia="仿宋" w:cs="仿宋"/>
                <w:b/>
                <w:bCs/>
                <w:sz w:val="24"/>
                <w:highlight w:val="none"/>
              </w:rPr>
              <w:t>中标（成交）通知书复印件并加盖供应商公章，否则不得分。</w:t>
            </w:r>
          </w:p>
        </w:tc>
        <w:tc>
          <w:tcPr>
            <w:tcW w:w="402" w:type="pct"/>
            <w:tcBorders>
              <w:top w:val="single" w:color="auto" w:sz="4" w:space="0"/>
              <w:left w:val="single" w:color="auto" w:sz="4" w:space="0"/>
              <w:right w:val="single" w:color="auto" w:sz="4" w:space="0"/>
            </w:tcBorders>
            <w:vAlign w:val="center"/>
          </w:tcPr>
          <w:p w14:paraId="697EF167">
            <w:pPr>
              <w:pStyle w:val="10"/>
              <w:kinsoku/>
              <w:overflowPunct/>
              <w:topLinePunct w:val="0"/>
              <w:bidi w:val="0"/>
              <w:spacing w:line="52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w:t>
            </w:r>
          </w:p>
        </w:tc>
      </w:tr>
      <w:tr w14:paraId="1E01E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63A4C62B">
            <w:pPr>
              <w:pStyle w:val="10"/>
              <w:kinsoku/>
              <w:overflowPunct/>
              <w:topLinePunct w:val="0"/>
              <w:bidi w:val="0"/>
              <w:spacing w:line="5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11</w:t>
            </w:r>
          </w:p>
        </w:tc>
        <w:tc>
          <w:tcPr>
            <w:tcW w:w="865" w:type="pct"/>
            <w:tcBorders>
              <w:top w:val="single" w:color="auto" w:sz="4" w:space="0"/>
              <w:left w:val="single" w:color="auto" w:sz="4" w:space="0"/>
              <w:bottom w:val="single" w:color="auto" w:sz="4" w:space="0"/>
              <w:right w:val="single" w:color="auto" w:sz="4" w:space="0"/>
            </w:tcBorders>
            <w:vAlign w:val="center"/>
          </w:tcPr>
          <w:p w14:paraId="6DCA012E">
            <w:pPr>
              <w:widowControl/>
              <w:kinsoku/>
              <w:overflowPunct/>
              <w:topLinePunct w:val="0"/>
              <w:bidi w:val="0"/>
              <w:spacing w:line="520" w:lineRule="exact"/>
              <w:jc w:val="center"/>
              <w:rPr>
                <w:rFonts w:ascii="仿宋" w:hAnsi="仿宋" w:eastAsia="仿宋" w:cs="仿宋"/>
                <w:b/>
                <w:bCs/>
                <w:sz w:val="24"/>
                <w:highlight w:val="none"/>
              </w:rPr>
            </w:pPr>
            <w:r>
              <w:rPr>
                <w:rFonts w:hint="eastAsia" w:ascii="仿宋" w:hAnsi="仿宋" w:eastAsia="仿宋" w:cs="仿宋"/>
                <w:bCs/>
                <w:sz w:val="24"/>
                <w:highlight w:val="none"/>
              </w:rPr>
              <w:t>企业认证</w:t>
            </w:r>
          </w:p>
        </w:tc>
        <w:tc>
          <w:tcPr>
            <w:tcW w:w="3344" w:type="pct"/>
            <w:tcBorders>
              <w:top w:val="single" w:color="auto" w:sz="4" w:space="0"/>
              <w:left w:val="single" w:color="auto" w:sz="4" w:space="0"/>
              <w:bottom w:val="single" w:color="auto" w:sz="4" w:space="0"/>
              <w:right w:val="single" w:color="auto" w:sz="4" w:space="0"/>
            </w:tcBorders>
            <w:vAlign w:val="center"/>
          </w:tcPr>
          <w:p w14:paraId="61ABA183">
            <w:pPr>
              <w:pStyle w:val="10"/>
              <w:kinsoku/>
              <w:overflowPunct/>
              <w:topLinePunct w:val="0"/>
              <w:bidi w:val="0"/>
              <w:spacing w:line="520" w:lineRule="exact"/>
              <w:jc w:val="left"/>
              <w:rPr>
                <w:rFonts w:ascii="仿宋" w:hAnsi="仿宋" w:eastAsia="仿宋" w:cs="仿宋"/>
                <w:sz w:val="24"/>
              </w:rPr>
            </w:pPr>
            <w:r>
              <w:rPr>
                <w:rFonts w:hint="eastAsia" w:ascii="仿宋" w:hAnsi="仿宋" w:eastAsia="仿宋" w:cs="仿宋"/>
                <w:sz w:val="24"/>
              </w:rPr>
              <w:t>供应商提供在有效期内的：质量管理体系认证证书、环境管理体系认证证书、职业健康安全管理体系认证证书，进行评审，每提供一个证书得2分，最多得6分。</w:t>
            </w:r>
          </w:p>
          <w:p w14:paraId="1C0F2B89">
            <w:pPr>
              <w:pStyle w:val="10"/>
              <w:kinsoku/>
              <w:overflowPunct/>
              <w:topLinePunct w:val="0"/>
              <w:bidi w:val="0"/>
              <w:spacing w:line="520" w:lineRule="exact"/>
              <w:jc w:val="left"/>
              <w:rPr>
                <w:rFonts w:ascii="仿宋" w:hAnsi="仿宋" w:eastAsia="仿宋" w:cs="仿宋"/>
                <w:sz w:val="24"/>
                <w:highlight w:val="yellow"/>
              </w:rPr>
            </w:pPr>
            <w:r>
              <w:rPr>
                <w:rFonts w:hint="eastAsia" w:ascii="仿宋" w:hAnsi="仿宋" w:eastAsia="仿宋" w:cs="仿宋"/>
                <w:b/>
                <w:bCs/>
                <w:sz w:val="24"/>
              </w:rPr>
              <w:t>注：须提供加盖供应商公章的证书复印件（扫描件）及全国认证认可信息公共服务平台证书有效性的网页截图。</w:t>
            </w:r>
          </w:p>
        </w:tc>
        <w:tc>
          <w:tcPr>
            <w:tcW w:w="402" w:type="pct"/>
            <w:tcBorders>
              <w:top w:val="single" w:color="auto" w:sz="4" w:space="0"/>
              <w:left w:val="single" w:color="auto" w:sz="4" w:space="0"/>
              <w:bottom w:val="single" w:color="auto" w:sz="4" w:space="0"/>
              <w:right w:val="single" w:color="auto" w:sz="4" w:space="0"/>
            </w:tcBorders>
            <w:vAlign w:val="center"/>
          </w:tcPr>
          <w:p w14:paraId="1DEF0E83">
            <w:pPr>
              <w:pStyle w:val="10"/>
              <w:kinsoku/>
              <w:overflowPunct/>
              <w:topLinePunct w:val="0"/>
              <w:bidi w:val="0"/>
              <w:spacing w:line="520" w:lineRule="exact"/>
              <w:ind w:firstLine="120" w:firstLineChars="50"/>
              <w:jc w:val="center"/>
              <w:rPr>
                <w:rFonts w:ascii="仿宋" w:hAnsi="仿宋" w:eastAsia="仿宋" w:cs="仿宋"/>
                <w:sz w:val="24"/>
                <w:highlight w:val="none"/>
              </w:rPr>
            </w:pPr>
            <w:r>
              <w:rPr>
                <w:rFonts w:hint="eastAsia" w:ascii="仿宋" w:hAnsi="仿宋" w:eastAsia="仿宋" w:cs="仿宋"/>
                <w:sz w:val="24"/>
                <w:highlight w:val="none"/>
              </w:rPr>
              <w:t>6分</w:t>
            </w:r>
          </w:p>
        </w:tc>
      </w:tr>
    </w:tbl>
    <w:p w14:paraId="3F25FC83">
      <w:pPr>
        <w:jc w:val="both"/>
        <w:rPr>
          <w:rFonts w:hint="eastAsia" w:ascii="方正小标宋简体" w:hAnsi="方正小标宋简体" w:eastAsia="方正小标宋简体" w:cs="方正小标宋简体"/>
          <w:bCs/>
          <w:kern w:val="44"/>
          <w:sz w:val="32"/>
          <w:szCs w:val="32"/>
          <w:lang w:val="en-US" w:eastAsia="zh-CN"/>
        </w:rPr>
      </w:pPr>
    </w:p>
    <w:p w14:paraId="375E12CE">
      <w:pPr>
        <w:jc w:val="both"/>
        <w:rPr>
          <w:rFonts w:hint="eastAsia" w:ascii="方正小标宋简体" w:hAnsi="方正小标宋简体" w:eastAsia="方正小标宋简体" w:cs="方正小标宋简体"/>
          <w:bCs/>
          <w:kern w:val="44"/>
          <w:sz w:val="32"/>
          <w:szCs w:val="32"/>
          <w:lang w:val="en-US" w:eastAsia="zh-CN"/>
        </w:rPr>
      </w:pPr>
    </w:p>
    <w:p w14:paraId="21DFCE9D">
      <w:pPr>
        <w:jc w:val="both"/>
        <w:rPr>
          <w:rFonts w:hint="eastAsia" w:ascii="方正小标宋简体" w:hAnsi="方正小标宋简体" w:eastAsia="方正小标宋简体" w:cs="方正小标宋简体"/>
          <w:bCs/>
          <w:kern w:val="44"/>
          <w:sz w:val="32"/>
          <w:szCs w:val="32"/>
          <w:lang w:val="en-US" w:eastAsia="zh-CN"/>
        </w:rPr>
      </w:pPr>
    </w:p>
    <w:p w14:paraId="1A2E8DB0">
      <w:pPr>
        <w:jc w:val="both"/>
        <w:rPr>
          <w:rFonts w:hint="eastAsia" w:ascii="方正小标宋简体" w:hAnsi="方正小标宋简体" w:eastAsia="方正小标宋简体" w:cs="方正小标宋简体"/>
          <w:bCs/>
          <w:kern w:val="44"/>
          <w:sz w:val="32"/>
          <w:szCs w:val="32"/>
          <w:lang w:val="en-US" w:eastAsia="zh-CN"/>
        </w:rPr>
      </w:pPr>
    </w:p>
    <w:p w14:paraId="3EC79FF2">
      <w:pPr>
        <w:jc w:val="both"/>
        <w:rPr>
          <w:rFonts w:hint="eastAsia" w:ascii="方正小标宋简体" w:hAnsi="方正小标宋简体" w:eastAsia="方正小标宋简体" w:cs="方正小标宋简体"/>
          <w:bCs/>
          <w:kern w:val="44"/>
          <w:sz w:val="32"/>
          <w:szCs w:val="32"/>
          <w:lang w:val="en-US" w:eastAsia="zh-CN"/>
        </w:rPr>
      </w:pPr>
    </w:p>
    <w:p w14:paraId="5A1DA189">
      <w:pPr>
        <w:jc w:val="both"/>
        <w:rPr>
          <w:rFonts w:hint="eastAsia" w:ascii="方正小标宋简体" w:hAnsi="方正小标宋简体" w:eastAsia="方正小标宋简体" w:cs="方正小标宋简体"/>
          <w:bCs/>
          <w:kern w:val="44"/>
          <w:sz w:val="32"/>
          <w:szCs w:val="32"/>
          <w:lang w:val="en-US" w:eastAsia="zh-CN"/>
        </w:rPr>
      </w:pPr>
    </w:p>
    <w:p w14:paraId="549F2E66">
      <w:pPr>
        <w:jc w:val="both"/>
        <w:rPr>
          <w:rFonts w:hint="eastAsia" w:ascii="方正小标宋简体" w:hAnsi="方正小标宋简体" w:eastAsia="方正小标宋简体" w:cs="方正小标宋简体"/>
          <w:bCs/>
          <w:kern w:val="44"/>
          <w:sz w:val="32"/>
          <w:szCs w:val="32"/>
          <w:lang w:val="en-US" w:eastAsia="zh-CN"/>
        </w:rPr>
      </w:pPr>
    </w:p>
    <w:p w14:paraId="52C890DD">
      <w:pPr>
        <w:jc w:val="both"/>
        <w:rPr>
          <w:rFonts w:hint="eastAsia" w:ascii="方正小标宋简体" w:hAnsi="方正小标宋简体" w:eastAsia="方正小标宋简体" w:cs="方正小标宋简体"/>
          <w:bCs/>
          <w:kern w:val="44"/>
          <w:sz w:val="32"/>
          <w:szCs w:val="32"/>
          <w:lang w:val="en-US" w:eastAsia="zh-CN"/>
        </w:rPr>
      </w:pPr>
    </w:p>
    <w:p w14:paraId="1F3B7A02">
      <w:pPr>
        <w:jc w:val="both"/>
        <w:rPr>
          <w:rFonts w:hint="eastAsia" w:ascii="方正小标宋简体" w:hAnsi="方正小标宋简体" w:eastAsia="方正小标宋简体" w:cs="方正小标宋简体"/>
          <w:bCs/>
          <w:kern w:val="44"/>
          <w:sz w:val="32"/>
          <w:szCs w:val="32"/>
          <w:lang w:val="en-US" w:eastAsia="zh-CN"/>
        </w:rPr>
      </w:pPr>
    </w:p>
    <w:p w14:paraId="0A81EBDF">
      <w:pPr>
        <w:jc w:val="both"/>
        <w:rPr>
          <w:rFonts w:hint="eastAsia" w:ascii="方正小标宋简体" w:hAnsi="方正小标宋简体" w:eastAsia="方正小标宋简体" w:cs="方正小标宋简体"/>
          <w:bCs/>
          <w:kern w:val="44"/>
          <w:sz w:val="32"/>
          <w:szCs w:val="32"/>
          <w:lang w:val="en-US" w:eastAsia="zh-CN"/>
        </w:rPr>
      </w:pPr>
    </w:p>
    <w:p w14:paraId="376D9EA2">
      <w:pPr>
        <w:jc w:val="both"/>
        <w:rPr>
          <w:rFonts w:hint="eastAsia" w:ascii="方正小标宋简体" w:hAnsi="方正小标宋简体" w:eastAsia="方正小标宋简体" w:cs="方正小标宋简体"/>
          <w:bCs/>
          <w:kern w:val="44"/>
          <w:sz w:val="32"/>
          <w:szCs w:val="32"/>
          <w:lang w:val="en-US" w:eastAsia="zh-CN"/>
        </w:rPr>
      </w:pPr>
    </w:p>
    <w:p w14:paraId="1A659CC3">
      <w:pPr>
        <w:jc w:val="both"/>
        <w:rPr>
          <w:rFonts w:hint="eastAsia" w:ascii="方正小标宋简体" w:hAnsi="方正小标宋简体" w:eastAsia="方正小标宋简体" w:cs="方正小标宋简体"/>
          <w:bCs/>
          <w:kern w:val="44"/>
          <w:sz w:val="32"/>
          <w:szCs w:val="32"/>
          <w:lang w:val="en-US" w:eastAsia="zh-CN"/>
        </w:rPr>
      </w:pPr>
    </w:p>
    <w:p w14:paraId="1E00168C">
      <w:pPr>
        <w:jc w:val="both"/>
        <w:rPr>
          <w:rFonts w:hint="eastAsia" w:ascii="方正小标宋简体" w:hAnsi="方正小标宋简体" w:eastAsia="方正小标宋简体" w:cs="方正小标宋简体"/>
          <w:bCs/>
          <w:kern w:val="44"/>
          <w:sz w:val="32"/>
          <w:szCs w:val="32"/>
          <w:lang w:val="en-US" w:eastAsia="zh-CN"/>
        </w:rPr>
      </w:pPr>
    </w:p>
    <w:p w14:paraId="20E7D3FB">
      <w:pPr>
        <w:jc w:val="both"/>
        <w:rPr>
          <w:rFonts w:hint="eastAsia" w:ascii="方正小标宋简体" w:hAnsi="方正小标宋简体" w:eastAsia="方正小标宋简体" w:cs="方正小标宋简体"/>
          <w:bCs/>
          <w:kern w:val="44"/>
          <w:sz w:val="32"/>
          <w:szCs w:val="32"/>
          <w:lang w:val="en-US" w:eastAsia="zh-CN"/>
        </w:rPr>
      </w:pPr>
    </w:p>
    <w:p w14:paraId="3F33652E">
      <w:pPr>
        <w:jc w:val="both"/>
        <w:rPr>
          <w:rFonts w:hint="eastAsia" w:ascii="方正小标宋简体" w:hAnsi="方正小标宋简体" w:eastAsia="方正小标宋简体" w:cs="方正小标宋简体"/>
          <w:bCs/>
          <w:kern w:val="44"/>
          <w:sz w:val="32"/>
          <w:szCs w:val="32"/>
          <w:lang w:val="en-US" w:eastAsia="zh-CN"/>
        </w:rPr>
      </w:pPr>
    </w:p>
    <w:p w14:paraId="07155F2B">
      <w:pPr>
        <w:jc w:val="both"/>
        <w:rPr>
          <w:rFonts w:hint="eastAsia" w:ascii="方正小标宋简体" w:hAnsi="方正小标宋简体" w:eastAsia="方正小标宋简体" w:cs="方正小标宋简体"/>
          <w:bCs/>
          <w:kern w:val="44"/>
          <w:sz w:val="32"/>
          <w:szCs w:val="32"/>
          <w:lang w:val="en-US" w:eastAsia="zh-CN"/>
        </w:rPr>
      </w:pPr>
    </w:p>
    <w:p w14:paraId="50EEF113">
      <w:pPr>
        <w:jc w:val="both"/>
        <w:rPr>
          <w:rFonts w:hint="eastAsia" w:ascii="仿宋" w:hAnsi="仿宋" w:eastAsia="仿宋" w:cs="仿宋"/>
          <w:b/>
          <w:bCs w:val="0"/>
          <w:kern w:val="44"/>
          <w:sz w:val="32"/>
          <w:szCs w:val="32"/>
          <w:lang w:val="en-US" w:eastAsia="zh-CN"/>
        </w:rPr>
      </w:pPr>
    </w:p>
    <w:p w14:paraId="3A310C49">
      <w:pPr>
        <w:jc w:val="both"/>
        <w:rPr>
          <w:rFonts w:hint="eastAsia" w:ascii="仿宋" w:hAnsi="仿宋" w:eastAsia="仿宋" w:cs="仿宋"/>
          <w:b/>
          <w:bCs w:val="0"/>
          <w:kern w:val="44"/>
          <w:sz w:val="32"/>
          <w:szCs w:val="32"/>
          <w:lang w:val="en-US" w:eastAsia="zh-CN"/>
        </w:rPr>
      </w:pPr>
    </w:p>
    <w:p w14:paraId="5BE593E4">
      <w:pPr>
        <w:jc w:val="both"/>
        <w:rPr>
          <w:rFonts w:hint="eastAsia" w:ascii="仿宋" w:hAnsi="仿宋" w:eastAsia="仿宋" w:cs="仿宋"/>
          <w:b/>
          <w:bCs w:val="0"/>
          <w:kern w:val="44"/>
          <w:sz w:val="32"/>
          <w:szCs w:val="32"/>
          <w:lang w:val="en-US" w:eastAsia="zh-CN"/>
        </w:rPr>
      </w:pPr>
    </w:p>
    <w:p w14:paraId="14B3F774">
      <w:pPr>
        <w:jc w:val="both"/>
        <w:rPr>
          <w:rFonts w:hint="eastAsia" w:ascii="仿宋" w:hAnsi="仿宋" w:eastAsia="仿宋" w:cs="仿宋"/>
          <w:b/>
          <w:bCs w:val="0"/>
          <w:kern w:val="44"/>
          <w:sz w:val="32"/>
          <w:szCs w:val="32"/>
          <w:lang w:val="en-US" w:eastAsia="zh-CN"/>
        </w:rPr>
      </w:pPr>
    </w:p>
    <w:p w14:paraId="230B5C9C">
      <w:pPr>
        <w:jc w:val="both"/>
        <w:rPr>
          <w:rFonts w:hint="eastAsia" w:ascii="仿宋" w:hAnsi="仿宋" w:eastAsia="仿宋" w:cs="仿宋"/>
          <w:b/>
          <w:bCs w:val="0"/>
          <w:kern w:val="44"/>
          <w:sz w:val="32"/>
          <w:szCs w:val="32"/>
          <w:lang w:val="en-US" w:eastAsia="zh-CN"/>
        </w:rPr>
      </w:pPr>
      <w:r>
        <w:rPr>
          <w:rFonts w:hint="eastAsia" w:ascii="仿宋" w:hAnsi="仿宋" w:eastAsia="仿宋" w:cs="仿宋"/>
          <w:b/>
          <w:bCs w:val="0"/>
          <w:kern w:val="44"/>
          <w:sz w:val="32"/>
          <w:szCs w:val="32"/>
          <w:lang w:val="en-US" w:eastAsia="zh-CN"/>
        </w:rPr>
        <w:t>附件：</w:t>
      </w:r>
    </w:p>
    <w:p w14:paraId="78C5A765">
      <w:pPr>
        <w:jc w:val="both"/>
        <w:rPr>
          <w:rFonts w:hint="eastAsia" w:ascii="仿宋" w:hAnsi="仿宋" w:eastAsia="仿宋" w:cs="仿宋"/>
          <w:b/>
          <w:bCs w:val="0"/>
          <w:kern w:val="44"/>
          <w:sz w:val="40"/>
          <w:szCs w:val="40"/>
          <w:lang w:val="en-US" w:eastAsia="zh-CN"/>
        </w:rPr>
      </w:pPr>
      <w:r>
        <w:rPr>
          <w:rFonts w:hint="eastAsia" w:ascii="仿宋" w:hAnsi="仿宋" w:eastAsia="仿宋" w:cs="仿宋"/>
          <w:b/>
          <w:bCs w:val="0"/>
          <w:kern w:val="44"/>
          <w:sz w:val="40"/>
          <w:szCs w:val="40"/>
          <w:lang w:eastAsia="zh-CN"/>
        </w:rPr>
        <w:t>《</w:t>
      </w:r>
      <w:r>
        <w:rPr>
          <w:rFonts w:hint="eastAsia" w:ascii="仿宋" w:hAnsi="仿宋" w:eastAsia="仿宋" w:cs="仿宋"/>
          <w:b/>
          <w:bCs w:val="0"/>
          <w:kern w:val="44"/>
          <w:sz w:val="40"/>
          <w:szCs w:val="40"/>
        </w:rPr>
        <w:t>湖州市</w:t>
      </w:r>
      <w:r>
        <w:rPr>
          <w:rFonts w:hint="eastAsia" w:ascii="仿宋" w:hAnsi="仿宋" w:eastAsia="仿宋" w:cs="仿宋"/>
          <w:b/>
          <w:bCs w:val="0"/>
          <w:kern w:val="44"/>
          <w:sz w:val="40"/>
          <w:szCs w:val="40"/>
          <w:highlight w:val="none"/>
        </w:rPr>
        <w:t>市容环境卫生管理中心</w:t>
      </w:r>
      <w:r>
        <w:rPr>
          <w:rFonts w:hint="eastAsia" w:ascii="仿宋" w:hAnsi="仿宋" w:eastAsia="仿宋" w:cs="仿宋"/>
          <w:b/>
          <w:bCs w:val="0"/>
          <w:kern w:val="44"/>
          <w:sz w:val="40"/>
          <w:szCs w:val="40"/>
          <w:highlight w:val="none"/>
          <w:lang w:val="en-US" w:eastAsia="zh-CN"/>
        </w:rPr>
        <w:t>市场化</w:t>
      </w:r>
      <w:r>
        <w:rPr>
          <w:rFonts w:hint="eastAsia" w:ascii="仿宋" w:hAnsi="仿宋" w:eastAsia="仿宋" w:cs="仿宋"/>
          <w:b/>
          <w:bCs w:val="0"/>
          <w:kern w:val="44"/>
          <w:sz w:val="40"/>
          <w:szCs w:val="40"/>
          <w:highlight w:val="none"/>
        </w:rPr>
        <w:t>环卫作业</w:t>
      </w:r>
      <w:r>
        <w:rPr>
          <w:rFonts w:hint="eastAsia" w:ascii="仿宋" w:hAnsi="仿宋" w:eastAsia="仿宋" w:cs="仿宋"/>
          <w:b/>
          <w:bCs w:val="0"/>
          <w:kern w:val="44"/>
          <w:sz w:val="40"/>
          <w:szCs w:val="40"/>
          <w:highlight w:val="none"/>
          <w:lang w:val="en-US" w:eastAsia="zh-CN"/>
        </w:rPr>
        <w:t>项目</w:t>
      </w:r>
      <w:r>
        <w:rPr>
          <w:rFonts w:hint="eastAsia" w:ascii="仿宋" w:hAnsi="仿宋" w:eastAsia="仿宋" w:cs="仿宋"/>
          <w:b/>
          <w:bCs w:val="0"/>
          <w:kern w:val="44"/>
          <w:sz w:val="40"/>
          <w:szCs w:val="40"/>
          <w:highlight w:val="none"/>
        </w:rPr>
        <w:t>管理与质</w:t>
      </w:r>
      <w:r>
        <w:rPr>
          <w:rFonts w:hint="eastAsia" w:ascii="仿宋" w:hAnsi="仿宋" w:eastAsia="仿宋" w:cs="仿宋"/>
          <w:b/>
          <w:bCs w:val="0"/>
          <w:kern w:val="44"/>
          <w:sz w:val="40"/>
          <w:szCs w:val="40"/>
        </w:rPr>
        <w:t>量考核办法</w:t>
      </w:r>
      <w:r>
        <w:rPr>
          <w:rFonts w:hint="eastAsia" w:ascii="仿宋" w:hAnsi="仿宋" w:eastAsia="仿宋" w:cs="仿宋"/>
          <w:b/>
          <w:bCs w:val="0"/>
          <w:kern w:val="44"/>
          <w:sz w:val="40"/>
          <w:szCs w:val="40"/>
          <w:lang w:eastAsia="zh-CN"/>
        </w:rPr>
        <w:t>（</w:t>
      </w:r>
      <w:r>
        <w:rPr>
          <w:rFonts w:hint="eastAsia" w:ascii="仿宋" w:hAnsi="仿宋" w:eastAsia="仿宋" w:cs="仿宋"/>
          <w:b/>
          <w:bCs w:val="0"/>
          <w:kern w:val="44"/>
          <w:sz w:val="40"/>
          <w:szCs w:val="40"/>
          <w:lang w:val="en-US" w:eastAsia="zh-CN"/>
        </w:rPr>
        <w:t>试行</w:t>
      </w:r>
      <w:r>
        <w:rPr>
          <w:rFonts w:hint="eastAsia" w:ascii="仿宋" w:hAnsi="仿宋" w:eastAsia="仿宋" w:cs="仿宋"/>
          <w:b/>
          <w:bCs w:val="0"/>
          <w:kern w:val="44"/>
          <w:sz w:val="40"/>
          <w:szCs w:val="40"/>
          <w:lang w:eastAsia="zh-CN"/>
        </w:rPr>
        <w:t>）》</w:t>
      </w:r>
      <w:r>
        <w:rPr>
          <w:rFonts w:hint="eastAsia" w:ascii="仿宋" w:hAnsi="仿宋" w:eastAsia="仿宋" w:cs="仿宋"/>
          <w:b/>
          <w:bCs w:val="0"/>
          <w:kern w:val="44"/>
          <w:sz w:val="40"/>
          <w:szCs w:val="40"/>
          <w:lang w:val="en-US" w:eastAsia="zh-CN"/>
        </w:rPr>
        <w:t>相关考核内容</w:t>
      </w:r>
    </w:p>
    <w:p w14:paraId="02DC5164">
      <w:pPr>
        <w:jc w:val="center"/>
        <w:rPr>
          <w:rFonts w:hint="eastAsia" w:ascii="仿宋" w:hAnsi="仿宋" w:eastAsia="仿宋" w:cs="仿宋"/>
          <w:b/>
          <w:bCs w:val="0"/>
          <w:kern w:val="44"/>
          <w:sz w:val="36"/>
          <w:szCs w:val="36"/>
          <w:lang w:val="en-US" w:eastAsia="zh-CN"/>
        </w:rPr>
      </w:pPr>
      <w:bookmarkStart w:id="25" w:name="_Toc14986"/>
    </w:p>
    <w:p w14:paraId="184B05E8">
      <w:pPr>
        <w:widowControl/>
        <w:spacing w:line="580" w:lineRule="exact"/>
        <w:jc w:val="center"/>
        <w:outlineLvl w:val="0"/>
        <w:rPr>
          <w:rFonts w:hint="eastAsia" w:ascii="方正小标宋简体" w:hAnsi="方正小标宋简体" w:eastAsia="方正小标宋简体" w:cs="方正小标宋简体"/>
          <w:bCs/>
          <w:kern w:val="44"/>
          <w:sz w:val="44"/>
          <w:szCs w:val="44"/>
          <w:highlight w:val="none"/>
          <w:lang w:eastAsia="zh-CN"/>
        </w:rPr>
      </w:pPr>
      <w:bookmarkStart w:id="26" w:name="_Toc800"/>
      <w:r>
        <w:rPr>
          <w:rFonts w:hint="eastAsia" w:ascii="仿宋" w:hAnsi="仿宋" w:eastAsia="仿宋" w:cs="仿宋"/>
          <w:b/>
          <w:bCs w:val="0"/>
          <w:kern w:val="44"/>
          <w:sz w:val="40"/>
          <w:szCs w:val="40"/>
          <w:highlight w:val="none"/>
          <w:lang w:val="en-US" w:eastAsia="zh-CN"/>
        </w:rPr>
        <w:t>第一部分 市场化</w:t>
      </w:r>
      <w:r>
        <w:rPr>
          <w:rFonts w:hint="eastAsia" w:ascii="仿宋" w:hAnsi="仿宋" w:eastAsia="仿宋" w:cs="仿宋"/>
          <w:b/>
          <w:bCs w:val="0"/>
          <w:kern w:val="44"/>
          <w:sz w:val="40"/>
          <w:szCs w:val="40"/>
          <w:highlight w:val="none"/>
        </w:rPr>
        <w:t>环卫作业</w:t>
      </w:r>
      <w:r>
        <w:rPr>
          <w:rFonts w:hint="eastAsia" w:ascii="仿宋" w:hAnsi="仿宋" w:eastAsia="仿宋" w:cs="仿宋"/>
          <w:b/>
          <w:bCs w:val="0"/>
          <w:kern w:val="44"/>
          <w:sz w:val="40"/>
          <w:szCs w:val="40"/>
          <w:highlight w:val="none"/>
          <w:lang w:val="en-US" w:eastAsia="zh-CN"/>
        </w:rPr>
        <w:t>项目</w:t>
      </w:r>
      <w:r>
        <w:rPr>
          <w:rFonts w:hint="eastAsia" w:ascii="仿宋" w:hAnsi="仿宋" w:eastAsia="仿宋" w:cs="仿宋"/>
          <w:b/>
          <w:bCs w:val="0"/>
          <w:kern w:val="44"/>
          <w:sz w:val="40"/>
          <w:szCs w:val="40"/>
          <w:highlight w:val="none"/>
        </w:rPr>
        <w:t>管理与质量考核办法</w:t>
      </w:r>
      <w:r>
        <w:rPr>
          <w:rFonts w:hint="eastAsia" w:ascii="仿宋" w:hAnsi="仿宋" w:eastAsia="仿宋" w:cs="仿宋"/>
          <w:b/>
          <w:bCs w:val="0"/>
          <w:kern w:val="44"/>
          <w:sz w:val="40"/>
          <w:szCs w:val="40"/>
          <w:highlight w:val="none"/>
          <w:lang w:val="en-US" w:eastAsia="zh-CN"/>
        </w:rPr>
        <w:t>总纲</w:t>
      </w:r>
      <w:bookmarkEnd w:id="25"/>
      <w:bookmarkEnd w:id="26"/>
    </w:p>
    <w:p w14:paraId="0C9A13EC">
      <w:pPr>
        <w:spacing w:line="580" w:lineRule="exact"/>
        <w:jc w:val="center"/>
        <w:rPr>
          <w:rFonts w:ascii="黑体" w:hAnsi="黑体" w:eastAsia="黑体" w:cs="黑体"/>
          <w:bCs/>
          <w:szCs w:val="32"/>
          <w:highlight w:val="none"/>
        </w:rPr>
      </w:pPr>
    </w:p>
    <w:p w14:paraId="6C02424A">
      <w:pPr>
        <w:spacing w:line="580" w:lineRule="exact"/>
        <w:jc w:val="center"/>
        <w:rPr>
          <w:rFonts w:hint="eastAsia" w:ascii="仿宋" w:hAnsi="仿宋" w:eastAsia="仿宋" w:cs="仿宋"/>
          <w:bCs/>
          <w:sz w:val="24"/>
          <w:szCs w:val="24"/>
          <w:highlight w:val="none"/>
        </w:rPr>
      </w:pPr>
      <w:r>
        <w:rPr>
          <w:rFonts w:hint="eastAsia" w:ascii="仿宋" w:hAnsi="仿宋" w:eastAsia="仿宋" w:cs="仿宋"/>
          <w:b/>
          <w:bCs w:val="0"/>
          <w:sz w:val="28"/>
          <w:szCs w:val="28"/>
          <w:highlight w:val="none"/>
        </w:rPr>
        <w:t>第一章 总则</w:t>
      </w:r>
    </w:p>
    <w:p w14:paraId="26709644">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第一条</w:t>
      </w:r>
      <w:r>
        <w:rPr>
          <w:rFonts w:hint="eastAsia" w:ascii="仿宋" w:hAnsi="仿宋" w:eastAsia="仿宋" w:cs="仿宋"/>
          <w:bCs/>
          <w:sz w:val="24"/>
          <w:szCs w:val="24"/>
          <w:highlight w:val="none"/>
        </w:rPr>
        <w:t xml:space="preserve"> 为进一步加强市容环境卫生作业管理，充分发挥督查考核的正向引导作用，全面提升环卫作业质量及精细化管理水平，根据《城市市容和环境卫生管理条例》《城市环境卫生质量标准》《浙江省生活垃圾管理条例》《湖州市市容和环境卫生管理条例》及相关行业规范等规定，结合湖州市市容环境卫生管理中心（以下简称“中心”）工作实际，制定本办法。</w:t>
      </w:r>
    </w:p>
    <w:p w14:paraId="1E8CB6CA">
      <w:pPr>
        <w:spacing w:line="580" w:lineRule="exact"/>
        <w:ind w:firstLine="482" w:firstLineChars="200"/>
        <w:rPr>
          <w:rFonts w:hint="eastAsia" w:ascii="仿宋" w:hAnsi="仿宋" w:eastAsia="仿宋" w:cs="仿宋"/>
          <w:bCs/>
          <w:strike w:val="0"/>
          <w:dstrike w:val="0"/>
          <w:sz w:val="24"/>
          <w:szCs w:val="24"/>
          <w:highlight w:val="none"/>
        </w:rPr>
      </w:pPr>
      <w:r>
        <w:rPr>
          <w:rFonts w:hint="eastAsia" w:ascii="仿宋" w:hAnsi="仿宋" w:eastAsia="仿宋" w:cs="仿宋"/>
          <w:b/>
          <w:sz w:val="24"/>
          <w:szCs w:val="24"/>
          <w:highlight w:val="none"/>
        </w:rPr>
        <w:t>第二条</w:t>
      </w:r>
      <w:r>
        <w:rPr>
          <w:rFonts w:hint="eastAsia" w:ascii="仿宋" w:hAnsi="仿宋" w:eastAsia="仿宋" w:cs="仿宋"/>
          <w:bCs/>
          <w:sz w:val="24"/>
          <w:szCs w:val="24"/>
          <w:highlight w:val="none"/>
        </w:rPr>
        <w:t xml:space="preserve"> 本办法主要适用于中心</w:t>
      </w:r>
      <w:r>
        <w:rPr>
          <w:rFonts w:hint="eastAsia" w:ascii="仿宋" w:hAnsi="仿宋" w:eastAsia="仿宋" w:cs="仿宋"/>
          <w:bCs/>
          <w:sz w:val="24"/>
          <w:szCs w:val="24"/>
          <w:highlight w:val="none"/>
          <w:lang w:eastAsia="zh-CN"/>
        </w:rPr>
        <w:t>通过政府购买服务方式，委托社会企业（以下简称“作业单位”）承担</w:t>
      </w:r>
      <w:r>
        <w:rPr>
          <w:rFonts w:hint="eastAsia" w:ascii="仿宋" w:hAnsi="仿宋" w:eastAsia="仿宋" w:cs="仿宋"/>
          <w:bCs/>
          <w:sz w:val="24"/>
          <w:szCs w:val="24"/>
          <w:highlight w:val="none"/>
        </w:rPr>
        <w:t>所有市场化环卫作业项目，包括</w:t>
      </w:r>
      <w:r>
        <w:rPr>
          <w:rFonts w:hint="eastAsia" w:ascii="仿宋" w:hAnsi="仿宋" w:eastAsia="仿宋" w:cs="仿宋"/>
          <w:bCs/>
          <w:strike w:val="0"/>
          <w:dstrike w:val="0"/>
          <w:sz w:val="24"/>
          <w:szCs w:val="24"/>
          <w:highlight w:val="none"/>
          <w:lang w:val="en-US" w:eastAsia="zh-CN"/>
        </w:rPr>
        <w:t>道路保洁、垃圾清运、公厕管理、道路隔离栏保洁</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有害垃圾</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装修垃圾、大件垃圾清运、暂存及委托处置</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环卫</w:t>
      </w:r>
      <w:r>
        <w:rPr>
          <w:rFonts w:hint="eastAsia" w:ascii="仿宋" w:hAnsi="仿宋" w:eastAsia="仿宋" w:cs="仿宋"/>
          <w:bCs/>
          <w:strike w:val="0"/>
          <w:dstrike w:val="0"/>
          <w:sz w:val="24"/>
          <w:szCs w:val="24"/>
          <w:highlight w:val="none"/>
          <w:lang w:val="en-US" w:eastAsia="zh-CN"/>
        </w:rPr>
        <w:t>作业</w:t>
      </w:r>
      <w:r>
        <w:rPr>
          <w:rFonts w:hint="eastAsia" w:ascii="仿宋" w:hAnsi="仿宋" w:eastAsia="仿宋" w:cs="仿宋"/>
          <w:bCs/>
          <w:strike w:val="0"/>
          <w:dstrike w:val="0"/>
          <w:sz w:val="24"/>
          <w:szCs w:val="24"/>
          <w:highlight w:val="none"/>
        </w:rPr>
        <w:t>配套业务</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建筑渣土</w:t>
      </w:r>
      <w:r>
        <w:rPr>
          <w:rFonts w:hint="eastAsia" w:ascii="仿宋" w:hAnsi="仿宋" w:eastAsia="仿宋" w:cs="仿宋"/>
          <w:bCs/>
          <w:strike w:val="0"/>
          <w:dstrike w:val="0"/>
          <w:sz w:val="24"/>
          <w:szCs w:val="24"/>
          <w:highlight w:val="none"/>
          <w:lang w:val="en-US" w:eastAsia="zh-CN"/>
        </w:rPr>
        <w:t>运维，</w:t>
      </w:r>
      <w:r>
        <w:rPr>
          <w:rFonts w:hint="eastAsia" w:ascii="仿宋" w:hAnsi="仿宋" w:eastAsia="仿宋" w:cs="仿宋"/>
          <w:bCs/>
          <w:strike w:val="0"/>
          <w:dstrike w:val="0"/>
          <w:sz w:val="24"/>
          <w:szCs w:val="24"/>
          <w:highlight w:val="none"/>
        </w:rPr>
        <w:t>渗滤液处理运维、绿水运维</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dstrike w:val="0"/>
          <w:sz w:val="24"/>
          <w:szCs w:val="24"/>
          <w:highlight w:val="none"/>
        </w:rPr>
        <w:t>信息化服务等</w:t>
      </w:r>
      <w:r>
        <w:rPr>
          <w:rFonts w:hint="eastAsia" w:ascii="仿宋" w:hAnsi="仿宋" w:eastAsia="仿宋" w:cs="仿宋"/>
          <w:bCs/>
          <w:strike w:val="0"/>
          <w:dstrike w:val="0"/>
          <w:sz w:val="24"/>
          <w:szCs w:val="24"/>
          <w:highlight w:val="none"/>
          <w:lang w:val="en-US" w:eastAsia="zh-CN"/>
        </w:rPr>
        <w:t>作业</w:t>
      </w:r>
      <w:r>
        <w:rPr>
          <w:rFonts w:hint="eastAsia" w:ascii="仿宋" w:hAnsi="仿宋" w:eastAsia="仿宋" w:cs="仿宋"/>
          <w:bCs/>
          <w:strike w:val="0"/>
          <w:dstrike w:val="0"/>
          <w:sz w:val="24"/>
          <w:szCs w:val="24"/>
          <w:highlight w:val="none"/>
        </w:rPr>
        <w:t>项目</w:t>
      </w:r>
      <w:r>
        <w:rPr>
          <w:rFonts w:hint="eastAsia" w:ascii="仿宋" w:hAnsi="仿宋" w:eastAsia="仿宋" w:cs="仿宋"/>
          <w:bCs/>
          <w:sz w:val="24"/>
          <w:szCs w:val="24"/>
          <w:highlight w:val="none"/>
        </w:rPr>
        <w:t>的管理与质量考核</w:t>
      </w:r>
      <w:r>
        <w:rPr>
          <w:rFonts w:hint="eastAsia" w:ascii="仿宋" w:hAnsi="仿宋" w:eastAsia="仿宋" w:cs="仿宋"/>
          <w:bCs/>
          <w:strike w:val="0"/>
          <w:dstrike w:val="0"/>
          <w:sz w:val="24"/>
          <w:szCs w:val="24"/>
          <w:highlight w:val="none"/>
        </w:rPr>
        <w:t>。</w:t>
      </w:r>
    </w:p>
    <w:p w14:paraId="1C620BF5">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第三条</w:t>
      </w:r>
      <w:r>
        <w:rPr>
          <w:rFonts w:hint="eastAsia" w:ascii="仿宋" w:hAnsi="仿宋" w:eastAsia="仿宋" w:cs="仿宋"/>
          <w:bCs/>
          <w:sz w:val="24"/>
          <w:szCs w:val="24"/>
          <w:highlight w:val="none"/>
        </w:rPr>
        <w:t xml:space="preserve"> 本办法考核主体为中心及各相关部门，被考核对象主要为向中心提供环卫作业服务的单位（以下简称“作业单位”）。</w:t>
      </w:r>
    </w:p>
    <w:p w14:paraId="675AE6D5">
      <w:pPr>
        <w:spacing w:before="156" w:beforeLines="50" w:after="156" w:afterLines="50" w:line="580" w:lineRule="exact"/>
        <w:jc w:val="center"/>
        <w:rPr>
          <w:rFonts w:hint="eastAsia" w:ascii="仿宋" w:hAnsi="仿宋" w:eastAsia="仿宋" w:cs="仿宋"/>
          <w:b/>
          <w:sz w:val="24"/>
          <w:szCs w:val="24"/>
          <w:highlight w:val="none"/>
        </w:rPr>
      </w:pPr>
      <w:r>
        <w:rPr>
          <w:rFonts w:hint="eastAsia" w:ascii="仿宋" w:hAnsi="仿宋" w:eastAsia="仿宋" w:cs="仿宋"/>
          <w:b/>
          <w:bCs w:val="0"/>
          <w:sz w:val="28"/>
          <w:szCs w:val="28"/>
          <w:highlight w:val="none"/>
        </w:rPr>
        <w:t>第二章 考核内容</w:t>
      </w:r>
    </w:p>
    <w:p w14:paraId="2C3EE4EC">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环卫作业考核主要包括以下内容</w:t>
      </w:r>
      <w:r>
        <w:rPr>
          <w:rFonts w:hint="eastAsia" w:ascii="仿宋" w:hAnsi="仿宋" w:eastAsia="仿宋" w:cs="仿宋"/>
          <w:bCs/>
          <w:color w:val="0000FF"/>
          <w:sz w:val="24"/>
          <w:szCs w:val="24"/>
          <w:highlight w:val="none"/>
        </w:rPr>
        <w:t>：</w:t>
      </w:r>
    </w:p>
    <w:p w14:paraId="32D03FFD">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（一）日常环卫作业质量</w:t>
      </w:r>
      <w:r>
        <w:rPr>
          <w:rFonts w:hint="eastAsia" w:ascii="仿宋" w:hAnsi="仿宋" w:eastAsia="仿宋" w:cs="仿宋"/>
          <w:bCs/>
          <w:sz w:val="24"/>
          <w:szCs w:val="24"/>
          <w:highlight w:val="none"/>
          <w:lang w:val="en-US" w:eastAsia="zh-CN"/>
        </w:rPr>
        <w:t>及</w:t>
      </w:r>
      <w:r>
        <w:rPr>
          <w:rFonts w:hint="eastAsia" w:ascii="仿宋" w:hAnsi="仿宋" w:eastAsia="仿宋" w:cs="仿宋"/>
          <w:sz w:val="24"/>
          <w:szCs w:val="24"/>
          <w:highlight w:val="none"/>
        </w:rPr>
        <w:t>有关活动</w:t>
      </w:r>
      <w:r>
        <w:rPr>
          <w:rFonts w:hint="eastAsia" w:ascii="仿宋" w:hAnsi="仿宋" w:eastAsia="仿宋" w:cs="仿宋"/>
          <w:sz w:val="24"/>
          <w:szCs w:val="24"/>
          <w:highlight w:val="none"/>
          <w:lang w:val="en-US" w:eastAsia="zh-CN"/>
        </w:rPr>
        <w:t>落实</w:t>
      </w:r>
      <w:r>
        <w:rPr>
          <w:rFonts w:hint="eastAsia" w:ascii="仿宋" w:hAnsi="仿宋" w:eastAsia="仿宋" w:cs="仿宋"/>
          <w:sz w:val="24"/>
          <w:szCs w:val="24"/>
          <w:highlight w:val="none"/>
        </w:rPr>
        <w:t>的</w:t>
      </w:r>
      <w:r>
        <w:rPr>
          <w:rFonts w:hint="eastAsia" w:ascii="仿宋" w:hAnsi="仿宋" w:eastAsia="仿宋" w:cs="仿宋"/>
          <w:bCs/>
          <w:sz w:val="24"/>
          <w:szCs w:val="24"/>
          <w:highlight w:val="none"/>
        </w:rPr>
        <w:t>情况；</w:t>
      </w:r>
    </w:p>
    <w:p w14:paraId="0496876A">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（二）各项规章制度、应急预案、作业流程等制度建设及执行的情况；</w:t>
      </w:r>
    </w:p>
    <w:p w14:paraId="43A8782A">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（三）人员配置、教育培训、薪资发放、保险体检、安全防护等环卫人员保障的情况；</w:t>
      </w:r>
    </w:p>
    <w:p w14:paraId="2B68D1F2">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（四）作业车辆、作业工具及计重定位设备等环卫作业设施的配置、运行及维护的情况；</w:t>
      </w:r>
    </w:p>
    <w:p w14:paraId="2AA8D394">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（五）安全生产、文明创建、宣传宣贯、信访投诉处理、信息化运维等情况；</w:t>
      </w:r>
    </w:p>
    <w:p w14:paraId="4F68F2BA">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（六）考核结果执行及运用的情况；</w:t>
      </w:r>
    </w:p>
    <w:p w14:paraId="19EBB19F">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（七）其他涉及环卫作业的情况。</w:t>
      </w:r>
    </w:p>
    <w:p w14:paraId="1C464D73">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为发挥社会监督作用，将公众举报、新闻媒体曝光、突发事件的应急处置，以及中心交办事项的落实情况等均纳入考核内容。</w:t>
      </w:r>
    </w:p>
    <w:p w14:paraId="13319C66">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在重大节日、文明城市建设、重大活动、疫情防控、检查评比、季节转换、灾害天气等特殊情况下，作业单位按照《湖州市市容环境卫生管理中心应急预案管理办法（试行）》应急响应的落实情况均纳入考核内容。</w:t>
      </w:r>
    </w:p>
    <w:p w14:paraId="6B96B7A8">
      <w:pPr>
        <w:spacing w:before="156" w:beforeLines="50" w:after="156" w:afterLines="50" w:line="580" w:lineRule="exact"/>
        <w:jc w:val="center"/>
        <w:rPr>
          <w:rFonts w:hint="eastAsia" w:ascii="仿宋" w:hAnsi="仿宋" w:eastAsia="仿宋" w:cs="仿宋"/>
          <w:b/>
          <w:sz w:val="24"/>
          <w:szCs w:val="24"/>
          <w:highlight w:val="none"/>
        </w:rPr>
      </w:pPr>
      <w:r>
        <w:rPr>
          <w:rFonts w:hint="eastAsia" w:ascii="仿宋" w:hAnsi="仿宋" w:eastAsia="仿宋" w:cs="仿宋"/>
          <w:b/>
          <w:bCs w:val="0"/>
          <w:sz w:val="28"/>
          <w:szCs w:val="28"/>
          <w:highlight w:val="none"/>
        </w:rPr>
        <w:t>第三章 考核</w:t>
      </w:r>
      <w:r>
        <w:rPr>
          <w:rFonts w:hint="eastAsia" w:ascii="仿宋" w:hAnsi="仿宋" w:eastAsia="仿宋" w:cs="仿宋"/>
          <w:b/>
          <w:bCs w:val="0"/>
          <w:sz w:val="28"/>
          <w:szCs w:val="28"/>
          <w:highlight w:val="none"/>
          <w:lang w:val="en-US" w:eastAsia="zh-CN"/>
        </w:rPr>
        <w:t>机制及</w:t>
      </w:r>
      <w:r>
        <w:rPr>
          <w:rFonts w:hint="eastAsia" w:ascii="仿宋" w:hAnsi="仿宋" w:eastAsia="仿宋" w:cs="仿宋"/>
          <w:b/>
          <w:bCs w:val="0"/>
          <w:sz w:val="28"/>
          <w:szCs w:val="28"/>
          <w:highlight w:val="none"/>
        </w:rPr>
        <w:t>方式</w:t>
      </w:r>
    </w:p>
    <w:p w14:paraId="2837EA15">
      <w:pPr>
        <w:spacing w:line="5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 xml:space="preserve">条 </w:t>
      </w:r>
      <w:r>
        <w:rPr>
          <w:rFonts w:hint="eastAsia" w:ascii="仿宋" w:hAnsi="仿宋" w:eastAsia="仿宋" w:cs="仿宋"/>
          <w:bCs/>
          <w:sz w:val="24"/>
          <w:szCs w:val="24"/>
          <w:highlight w:val="none"/>
        </w:rPr>
        <w:t>中心统筹制定《湖州市市容环境卫生管理中心</w:t>
      </w:r>
      <w:r>
        <w:rPr>
          <w:rFonts w:hint="eastAsia" w:ascii="仿宋" w:hAnsi="仿宋" w:eastAsia="仿宋" w:cs="仿宋"/>
          <w:bCs/>
          <w:sz w:val="24"/>
          <w:szCs w:val="24"/>
          <w:highlight w:val="none"/>
          <w:lang w:val="en-US" w:eastAsia="zh-CN"/>
        </w:rPr>
        <w:t>市场化</w:t>
      </w:r>
      <w:r>
        <w:rPr>
          <w:rFonts w:hint="eastAsia" w:ascii="仿宋" w:hAnsi="仿宋" w:eastAsia="仿宋" w:cs="仿宋"/>
          <w:bCs/>
          <w:sz w:val="24"/>
          <w:szCs w:val="24"/>
          <w:highlight w:val="none"/>
        </w:rPr>
        <w:t>环卫作业管理与质量标准与考核评价细则》（以下简称“《细则》”）</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各相关</w:t>
      </w:r>
      <w:r>
        <w:rPr>
          <w:rFonts w:hint="eastAsia" w:ascii="仿宋" w:hAnsi="仿宋" w:eastAsia="仿宋" w:cs="仿宋"/>
          <w:sz w:val="24"/>
          <w:szCs w:val="24"/>
          <w:highlight w:val="none"/>
        </w:rPr>
        <w:t>部门按照职责</w:t>
      </w:r>
      <w:r>
        <w:rPr>
          <w:rFonts w:hint="eastAsia" w:ascii="仿宋" w:hAnsi="仿宋" w:eastAsia="仿宋" w:cs="仿宋"/>
          <w:sz w:val="24"/>
          <w:szCs w:val="24"/>
          <w:highlight w:val="none"/>
          <w:lang w:val="en-US" w:eastAsia="zh-CN"/>
        </w:rPr>
        <w:t>分工落实要求，</w:t>
      </w:r>
      <w:r>
        <w:rPr>
          <w:rFonts w:hint="eastAsia" w:ascii="仿宋" w:hAnsi="仿宋" w:eastAsia="仿宋" w:cs="仿宋"/>
          <w:sz w:val="24"/>
          <w:szCs w:val="24"/>
          <w:highlight w:val="none"/>
        </w:rPr>
        <w:t>承担具体</w:t>
      </w:r>
      <w:r>
        <w:rPr>
          <w:rFonts w:hint="eastAsia" w:ascii="仿宋" w:hAnsi="仿宋" w:eastAsia="仿宋" w:cs="仿宋"/>
          <w:sz w:val="24"/>
          <w:szCs w:val="24"/>
          <w:highlight w:val="none"/>
          <w:lang w:val="en-US" w:eastAsia="zh-CN"/>
        </w:rPr>
        <w:t>的</w:t>
      </w:r>
      <w:r>
        <w:rPr>
          <w:rFonts w:hint="eastAsia" w:ascii="仿宋" w:hAnsi="仿宋" w:eastAsia="仿宋" w:cs="仿宋"/>
          <w:bCs/>
          <w:sz w:val="24"/>
          <w:szCs w:val="24"/>
          <w:highlight w:val="none"/>
        </w:rPr>
        <w:t>考核</w:t>
      </w:r>
      <w:r>
        <w:rPr>
          <w:rFonts w:hint="eastAsia" w:ascii="仿宋" w:hAnsi="仿宋" w:eastAsia="仿宋" w:cs="仿宋"/>
          <w:bCs/>
          <w:sz w:val="24"/>
          <w:szCs w:val="24"/>
          <w:highlight w:val="none"/>
          <w:lang w:val="en-US" w:eastAsia="zh-CN"/>
        </w:rPr>
        <w:t>及</w:t>
      </w:r>
      <w:r>
        <w:rPr>
          <w:rFonts w:hint="eastAsia" w:ascii="仿宋" w:hAnsi="仿宋" w:eastAsia="仿宋" w:cs="仿宋"/>
          <w:bCs/>
          <w:sz w:val="24"/>
          <w:szCs w:val="24"/>
          <w:highlight w:val="none"/>
        </w:rPr>
        <w:t>监督工作，由各</w:t>
      </w:r>
      <w:r>
        <w:rPr>
          <w:rFonts w:hint="eastAsia" w:ascii="仿宋" w:hAnsi="仿宋" w:eastAsia="仿宋" w:cs="仿宋"/>
          <w:bCs/>
          <w:sz w:val="24"/>
          <w:szCs w:val="24"/>
          <w:highlight w:val="none"/>
          <w:lang w:val="en-US" w:eastAsia="zh-CN"/>
        </w:rPr>
        <w:t>作业</w:t>
      </w:r>
      <w:r>
        <w:rPr>
          <w:rFonts w:hint="eastAsia" w:ascii="仿宋" w:hAnsi="仿宋" w:eastAsia="仿宋" w:cs="仿宋"/>
          <w:bCs/>
          <w:sz w:val="24"/>
          <w:szCs w:val="24"/>
          <w:highlight w:val="none"/>
        </w:rPr>
        <w:t>项目</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管理部门统筹</w:t>
      </w:r>
      <w:r>
        <w:rPr>
          <w:rFonts w:hint="eastAsia" w:ascii="仿宋" w:hAnsi="仿宋" w:eastAsia="仿宋" w:cs="仿宋"/>
          <w:bCs/>
          <w:sz w:val="24"/>
          <w:szCs w:val="24"/>
          <w:highlight w:val="none"/>
          <w:lang w:val="en-US" w:eastAsia="zh-CN"/>
        </w:rPr>
        <w:t>实施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作业单位作为被考核方，须严格执行考核标准并落实整改。</w:t>
      </w:r>
      <w:r>
        <w:rPr>
          <w:rFonts w:hint="eastAsia" w:ascii="仿宋" w:hAnsi="仿宋" w:eastAsia="仿宋" w:cs="仿宋"/>
          <w:bCs/>
          <w:sz w:val="24"/>
          <w:szCs w:val="24"/>
          <w:highlight w:val="none"/>
        </w:rPr>
        <w:t>考核</w:t>
      </w:r>
      <w:r>
        <w:rPr>
          <w:rFonts w:hint="eastAsia" w:ascii="仿宋" w:hAnsi="仿宋" w:eastAsia="仿宋" w:cs="仿宋"/>
          <w:bCs/>
          <w:sz w:val="24"/>
          <w:szCs w:val="24"/>
          <w:highlight w:val="none"/>
          <w:lang w:val="en-US" w:eastAsia="zh-CN"/>
        </w:rPr>
        <w:t>双方</w:t>
      </w:r>
      <w:r>
        <w:rPr>
          <w:rFonts w:hint="eastAsia" w:ascii="仿宋" w:hAnsi="仿宋" w:eastAsia="仿宋" w:cs="仿宋"/>
          <w:bCs/>
          <w:sz w:val="24"/>
          <w:szCs w:val="24"/>
          <w:highlight w:val="none"/>
        </w:rPr>
        <w:t>均应依规履行相应职责。</w:t>
      </w:r>
    </w:p>
    <w:p w14:paraId="7BB8FD30">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考核分为月度考核、季度考核、年度考核三种方式，月度考核从合同履行之日起按月计算;季度考核从合同履行之月起，每3个月计为1个季度;年度考核从合同履行之月起，每12个月计为1个年度。</w:t>
      </w:r>
    </w:p>
    <w:p w14:paraId="4C74D8B6">
      <w:pPr>
        <w:keepNext w:val="0"/>
        <w:keepLines w:val="0"/>
        <w:pageBreakBefore w:val="0"/>
        <w:numPr>
          <w:ilvl w:val="0"/>
          <w:numId w:val="0"/>
        </w:numPr>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sz w:val="24"/>
          <w:szCs w:val="24"/>
          <w:highlight w:val="none"/>
          <w:lang w:val="en-US" w:eastAsia="zh-CN"/>
        </w:rPr>
        <w:t>第九条</w:t>
      </w:r>
      <w:r>
        <w:rPr>
          <w:rFonts w:hint="eastAsia" w:ascii="仿宋" w:hAnsi="仿宋" w:eastAsia="仿宋" w:cs="仿宋"/>
          <w:bCs/>
          <w:color w:val="auto"/>
          <w:spacing w:val="-4"/>
          <w:kern w:val="2"/>
          <w:sz w:val="24"/>
          <w:szCs w:val="24"/>
          <w:highlight w:val="none"/>
          <w:lang w:val="en-US" w:eastAsia="zh-CN" w:bidi="ar-SA"/>
        </w:rPr>
        <w:t xml:space="preserve"> </w:t>
      </w:r>
      <w:r>
        <w:rPr>
          <w:rFonts w:hint="eastAsia" w:ascii="仿宋" w:hAnsi="仿宋" w:eastAsia="仿宋" w:cs="仿宋"/>
          <w:bCs/>
          <w:color w:val="auto"/>
          <w:sz w:val="24"/>
          <w:szCs w:val="24"/>
          <w:highlight w:val="none"/>
          <w:lang w:eastAsia="zh-CN"/>
        </w:rPr>
        <w:t>考核均</w:t>
      </w:r>
      <w:r>
        <w:rPr>
          <w:rFonts w:hint="eastAsia" w:ascii="仿宋" w:hAnsi="仿宋" w:eastAsia="仿宋" w:cs="仿宋"/>
          <w:bCs/>
          <w:color w:val="auto"/>
          <w:sz w:val="24"/>
          <w:szCs w:val="24"/>
          <w:highlight w:val="none"/>
        </w:rPr>
        <w:t>实行100分制，计算公式如下：</w:t>
      </w:r>
    </w:p>
    <w:p w14:paraId="4987D0C0">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月度考核得分=日常检查得分*</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70%～</w:t>
      </w:r>
      <w:r>
        <w:rPr>
          <w:rFonts w:hint="eastAsia" w:ascii="仿宋" w:hAnsi="仿宋" w:eastAsia="仿宋" w:cs="仿宋"/>
          <w:bCs/>
          <w:sz w:val="24"/>
          <w:szCs w:val="24"/>
          <w:highlight w:val="none"/>
          <w:lang w:val="en-US" w:eastAsia="zh-CN"/>
        </w:rPr>
        <w:t>100%</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+月度综合检查得分*</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±月度加减分（计入在加减分情形确定的当月）</w:t>
      </w:r>
    </w:p>
    <w:p w14:paraId="4422449A">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季度考核得分=本季度</w:t>
      </w:r>
      <w:r>
        <w:rPr>
          <w:rFonts w:hint="eastAsia" w:ascii="仿宋" w:hAnsi="仿宋" w:eastAsia="仿宋" w:cs="仿宋"/>
          <w:bCs/>
          <w:color w:val="auto"/>
          <w:sz w:val="24"/>
          <w:szCs w:val="24"/>
          <w:highlight w:val="none"/>
        </w:rPr>
        <w:t>月度考核平均分</w:t>
      </w:r>
    </w:p>
    <w:p w14:paraId="513629E6">
      <w:pPr>
        <w:spacing w:line="580" w:lineRule="exact"/>
        <w:ind w:firstLine="480" w:firstLineChars="200"/>
        <w:rPr>
          <w:rFonts w:hint="eastAsia" w:ascii="仿宋" w:hAnsi="仿宋" w:eastAsia="仿宋" w:cs="仿宋"/>
          <w:b/>
          <w:sz w:val="24"/>
          <w:szCs w:val="24"/>
          <w:highlight w:val="none"/>
        </w:rPr>
      </w:pPr>
      <w:r>
        <w:rPr>
          <w:rFonts w:hint="eastAsia" w:ascii="仿宋" w:hAnsi="仿宋" w:eastAsia="仿宋" w:cs="仿宋"/>
          <w:bCs/>
          <w:color w:val="auto"/>
          <w:sz w:val="24"/>
          <w:szCs w:val="24"/>
          <w:highlight w:val="none"/>
        </w:rPr>
        <w:t>年度考核得分=月度考核平均分（当年度内月度考核得分之和/12）*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85%～</w:t>
      </w:r>
      <w:r>
        <w:rPr>
          <w:rFonts w:hint="eastAsia" w:ascii="仿宋" w:hAnsi="仿宋" w:eastAsia="仿宋" w:cs="仿宋"/>
          <w:bCs/>
          <w:color w:val="auto"/>
          <w:sz w:val="24"/>
          <w:szCs w:val="24"/>
          <w:highlight w:val="none"/>
          <w:lang w:val="en-US" w:eastAsia="zh-CN"/>
        </w:rPr>
        <w:t>100%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+当年度</w:t>
      </w:r>
      <w:r>
        <w:rPr>
          <w:rFonts w:hint="eastAsia" w:ascii="仿宋" w:hAnsi="仿宋" w:eastAsia="仿宋" w:cs="仿宋"/>
          <w:bCs/>
          <w:color w:val="auto"/>
          <w:sz w:val="24"/>
          <w:szCs w:val="24"/>
          <w:highlight w:val="none"/>
          <w:lang w:val="en-US" w:eastAsia="zh-CN"/>
        </w:rPr>
        <w:t>内</w:t>
      </w:r>
      <w:r>
        <w:rPr>
          <w:rFonts w:hint="eastAsia" w:ascii="仿宋" w:hAnsi="仿宋" w:eastAsia="仿宋" w:cs="仿宋"/>
          <w:bCs/>
          <w:color w:val="auto"/>
          <w:sz w:val="24"/>
          <w:szCs w:val="24"/>
          <w:highlight w:val="none"/>
        </w:rPr>
        <w:t>第三方机构</w:t>
      </w:r>
      <w:r>
        <w:rPr>
          <w:rFonts w:hint="eastAsia" w:ascii="仿宋" w:hAnsi="仿宋" w:eastAsia="仿宋" w:cs="仿宋"/>
          <w:bCs/>
          <w:color w:val="auto"/>
          <w:sz w:val="24"/>
          <w:szCs w:val="24"/>
          <w:highlight w:val="none"/>
          <w:lang w:val="en-US" w:eastAsia="zh-CN"/>
        </w:rPr>
        <w:t>测评</w:t>
      </w:r>
      <w:r>
        <w:rPr>
          <w:rFonts w:hint="eastAsia" w:ascii="仿宋" w:hAnsi="仿宋" w:eastAsia="仿宋" w:cs="仿宋"/>
          <w:bCs/>
          <w:color w:val="auto"/>
          <w:sz w:val="24"/>
          <w:szCs w:val="24"/>
          <w:highlight w:val="none"/>
        </w:rPr>
        <w:t>平均分*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±年度加减分 （计入在加减分情形确定的当年）加减分项由考核责任部门提出，经</w:t>
      </w:r>
      <w:r>
        <w:rPr>
          <w:rFonts w:hint="eastAsia" w:ascii="仿宋" w:hAnsi="仿宋" w:eastAsia="仿宋" w:cs="仿宋"/>
          <w:bCs/>
          <w:strike w:val="0"/>
          <w:sz w:val="24"/>
          <w:szCs w:val="24"/>
          <w:highlight w:val="none"/>
          <w:lang w:val="en-US" w:eastAsia="zh-CN"/>
        </w:rPr>
        <w:t>各</w:t>
      </w:r>
      <w:r>
        <w:rPr>
          <w:rFonts w:hint="eastAsia" w:ascii="仿宋" w:hAnsi="仿宋" w:eastAsia="仿宋" w:cs="仿宋"/>
          <w:bCs/>
          <w:sz w:val="24"/>
          <w:szCs w:val="24"/>
          <w:highlight w:val="none"/>
          <w:lang w:val="en-US" w:eastAsia="zh-CN"/>
        </w:rPr>
        <w:t>作业</w:t>
      </w:r>
      <w:r>
        <w:rPr>
          <w:rFonts w:hint="eastAsia" w:ascii="仿宋" w:hAnsi="仿宋" w:eastAsia="仿宋" w:cs="仿宋"/>
          <w:bCs/>
          <w:sz w:val="24"/>
          <w:szCs w:val="24"/>
          <w:highlight w:val="none"/>
        </w:rPr>
        <w:t>项目对应的</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w:t>
      </w:r>
      <w:r>
        <w:rPr>
          <w:rFonts w:hint="eastAsia" w:ascii="仿宋" w:hAnsi="仿宋" w:eastAsia="仿宋" w:cs="仿宋"/>
          <w:bCs/>
          <w:color w:val="auto"/>
          <w:sz w:val="24"/>
          <w:szCs w:val="24"/>
          <w:highlight w:val="none"/>
        </w:rPr>
        <w:t>审核通过并报中心批准后执行。月度、年度加分累计均不得超过5分，扣减分不</w:t>
      </w:r>
      <w:r>
        <w:rPr>
          <w:rFonts w:hint="eastAsia" w:ascii="仿宋" w:hAnsi="仿宋" w:eastAsia="仿宋" w:cs="仿宋"/>
          <w:bCs/>
          <w:color w:val="auto"/>
          <w:sz w:val="24"/>
          <w:szCs w:val="24"/>
          <w:highlight w:val="none"/>
          <w:lang w:val="en-US" w:eastAsia="zh-CN"/>
        </w:rPr>
        <w:t>设</w:t>
      </w:r>
      <w:r>
        <w:rPr>
          <w:rFonts w:hint="eastAsia" w:ascii="仿宋" w:hAnsi="仿宋" w:eastAsia="仿宋" w:cs="仿宋"/>
          <w:bCs/>
          <w:color w:val="auto"/>
          <w:sz w:val="24"/>
          <w:szCs w:val="24"/>
          <w:highlight w:val="none"/>
        </w:rPr>
        <w:t>限制。</w:t>
      </w:r>
    </w:p>
    <w:p w14:paraId="087AA438">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条</w:t>
      </w:r>
      <w:r>
        <w:rPr>
          <w:rFonts w:hint="eastAsia" w:ascii="仿宋" w:hAnsi="仿宋" w:eastAsia="仿宋" w:cs="仿宋"/>
          <w:bCs/>
          <w:color w:val="FF0000"/>
          <w:sz w:val="24"/>
          <w:szCs w:val="24"/>
          <w:highlight w:val="none"/>
        </w:rPr>
        <w:t xml:space="preserve"> </w:t>
      </w:r>
      <w:r>
        <w:rPr>
          <w:rFonts w:hint="eastAsia" w:ascii="仿宋" w:hAnsi="仿宋" w:eastAsia="仿宋" w:cs="仿宋"/>
          <w:bCs/>
          <w:sz w:val="24"/>
          <w:szCs w:val="24"/>
          <w:highlight w:val="none"/>
        </w:rPr>
        <w:t>考核均按得分分为优秀、良好、合格和不合格四个等次，得分90分及以上的为优秀，达到88分但不足90分的为良好，达到85分但不足88分为合格，不足85分的为不合格。</w:t>
      </w:r>
    </w:p>
    <w:p w14:paraId="0161236C">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季度内发生月度考核不合格的，则该季度考核直接评定为不合格；同一年度内连续2个月或累计3个月月度考核不合格的，则年度考核直接评定为不合格。</w:t>
      </w:r>
    </w:p>
    <w:p w14:paraId="50DA7026">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第十</w:t>
      </w:r>
      <w:r>
        <w:rPr>
          <w:rFonts w:hint="eastAsia" w:ascii="仿宋" w:hAnsi="仿宋" w:eastAsia="仿宋" w:cs="仿宋"/>
          <w:b/>
          <w:strike w:val="0"/>
          <w:sz w:val="24"/>
          <w:szCs w:val="24"/>
          <w:highlight w:val="none"/>
          <w:lang w:val="en-US" w:eastAsia="zh-CN"/>
        </w:rPr>
        <w:t>一</w:t>
      </w:r>
      <w:r>
        <w:rPr>
          <w:rFonts w:hint="eastAsia" w:ascii="仿宋" w:hAnsi="仿宋" w:eastAsia="仿宋" w:cs="仿宋"/>
          <w:b/>
          <w:strike w:val="0"/>
          <w:sz w:val="24"/>
          <w:szCs w:val="24"/>
          <w:highlight w:val="none"/>
        </w:rPr>
        <w:t>条</w:t>
      </w:r>
      <w:r>
        <w:rPr>
          <w:rFonts w:hint="eastAsia" w:ascii="仿宋" w:hAnsi="仿宋" w:eastAsia="仿宋" w:cs="仿宋"/>
          <w:bCs/>
          <w:strike w:val="0"/>
          <w:sz w:val="24"/>
          <w:szCs w:val="24"/>
          <w:highlight w:val="none"/>
        </w:rPr>
        <w:t xml:space="preserve"> 建立日常检查、</w:t>
      </w:r>
      <w:r>
        <w:rPr>
          <w:rFonts w:hint="eastAsia" w:ascii="仿宋" w:hAnsi="仿宋" w:eastAsia="仿宋" w:cs="仿宋"/>
          <w:bCs/>
          <w:strike w:val="0"/>
          <w:dstrike w:val="0"/>
          <w:sz w:val="24"/>
          <w:szCs w:val="24"/>
          <w:highlight w:val="none"/>
        </w:rPr>
        <w:t>部门专项检查</w:t>
      </w:r>
      <w:r>
        <w:rPr>
          <w:rFonts w:hint="eastAsia" w:ascii="仿宋" w:hAnsi="仿宋" w:eastAsia="仿宋" w:cs="仿宋"/>
          <w:bCs/>
          <w:strike w:val="0"/>
          <w:dstrike w:val="0"/>
          <w:sz w:val="24"/>
          <w:szCs w:val="24"/>
          <w:highlight w:val="none"/>
          <w:lang w:eastAsia="zh-CN"/>
        </w:rPr>
        <w:t>、</w:t>
      </w:r>
      <w:r>
        <w:rPr>
          <w:rFonts w:hint="eastAsia" w:ascii="仿宋" w:hAnsi="仿宋" w:eastAsia="仿宋" w:cs="仿宋"/>
          <w:bCs/>
          <w:strike w:val="0"/>
          <w:sz w:val="24"/>
          <w:szCs w:val="24"/>
          <w:highlight w:val="none"/>
        </w:rPr>
        <w:t>月度综合检查、行政人员“深度拍”</w:t>
      </w:r>
      <w:r>
        <w:rPr>
          <w:rFonts w:hint="eastAsia" w:ascii="仿宋" w:hAnsi="仿宋" w:eastAsia="仿宋" w:cs="仿宋"/>
          <w:bCs/>
          <w:strike w:val="0"/>
          <w:sz w:val="24"/>
          <w:szCs w:val="24"/>
          <w:highlight w:val="none"/>
          <w:lang w:eastAsia="zh-CN"/>
        </w:rPr>
        <w:t>、中心职工“随手拍”、</w:t>
      </w:r>
      <w:r>
        <w:rPr>
          <w:rFonts w:hint="eastAsia" w:ascii="仿宋" w:hAnsi="仿宋" w:eastAsia="仿宋" w:cs="仿宋"/>
          <w:bCs/>
          <w:strike w:val="0"/>
          <w:dstrike w:val="0"/>
          <w:sz w:val="24"/>
          <w:szCs w:val="24"/>
          <w:highlight w:val="none"/>
        </w:rPr>
        <w:t>第三方机构测评</w:t>
      </w:r>
      <w:r>
        <w:rPr>
          <w:rFonts w:hint="eastAsia" w:ascii="仿宋" w:hAnsi="仿宋" w:eastAsia="仿宋" w:cs="仿宋"/>
          <w:bCs/>
          <w:strike w:val="0"/>
          <w:sz w:val="24"/>
          <w:szCs w:val="24"/>
          <w:highlight w:val="none"/>
        </w:rPr>
        <w:t>、社会监督相结合</w:t>
      </w:r>
      <w:r>
        <w:rPr>
          <w:rFonts w:hint="eastAsia" w:ascii="仿宋" w:hAnsi="仿宋" w:eastAsia="仿宋" w:cs="仿宋"/>
          <w:bCs/>
          <w:strike w:val="0"/>
          <w:sz w:val="24"/>
          <w:szCs w:val="24"/>
          <w:highlight w:val="none"/>
          <w:lang w:val="en-US" w:eastAsia="zh-CN"/>
        </w:rPr>
        <w:t>等</w:t>
      </w:r>
      <w:r>
        <w:rPr>
          <w:rFonts w:hint="eastAsia" w:ascii="仿宋" w:hAnsi="仿宋" w:eastAsia="仿宋" w:cs="仿宋"/>
          <w:bCs/>
          <w:strike w:val="0"/>
          <w:sz w:val="24"/>
          <w:szCs w:val="24"/>
          <w:highlight w:val="none"/>
        </w:rPr>
        <w:t>考核机制，主要采用现场检查、台账抽查及数字监管平台核查等方式。</w:t>
      </w:r>
    </w:p>
    <w:p w14:paraId="3C02ECD6">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第十</w:t>
      </w:r>
      <w:r>
        <w:rPr>
          <w:rFonts w:hint="eastAsia" w:ascii="仿宋" w:hAnsi="仿宋" w:eastAsia="仿宋" w:cs="仿宋"/>
          <w:b/>
          <w:strike w:val="0"/>
          <w:sz w:val="24"/>
          <w:szCs w:val="24"/>
          <w:highlight w:val="none"/>
          <w:lang w:val="en-US" w:eastAsia="zh-CN"/>
        </w:rPr>
        <w:t>二</w:t>
      </w:r>
      <w:r>
        <w:rPr>
          <w:rFonts w:hint="eastAsia" w:ascii="仿宋" w:hAnsi="仿宋" w:eastAsia="仿宋" w:cs="仿宋"/>
          <w:b/>
          <w:strike w:val="0"/>
          <w:sz w:val="24"/>
          <w:szCs w:val="24"/>
          <w:highlight w:val="none"/>
        </w:rPr>
        <w:t>条</w:t>
      </w:r>
      <w:r>
        <w:rPr>
          <w:rFonts w:hint="eastAsia" w:ascii="仿宋" w:hAnsi="仿宋" w:eastAsia="仿宋" w:cs="仿宋"/>
          <w:bCs/>
          <w:strike w:val="0"/>
          <w:sz w:val="24"/>
          <w:szCs w:val="24"/>
          <w:highlight w:val="none"/>
        </w:rPr>
        <w:t xml:space="preserve"> 日常检查由中心相关考核责任部门具体组织实施，赋分权重</w:t>
      </w:r>
      <w:r>
        <w:rPr>
          <w:rFonts w:hint="eastAsia" w:ascii="仿宋" w:hAnsi="仿宋" w:eastAsia="仿宋" w:cs="仿宋"/>
          <w:bCs/>
          <w:strike w:val="0"/>
          <w:sz w:val="24"/>
          <w:szCs w:val="24"/>
          <w:highlight w:val="none"/>
          <w:lang w:val="en-US" w:eastAsia="zh-CN"/>
        </w:rPr>
        <w:t>不得低于</w:t>
      </w:r>
      <w:r>
        <w:rPr>
          <w:rFonts w:hint="eastAsia" w:ascii="仿宋" w:hAnsi="仿宋" w:eastAsia="仿宋" w:cs="仿宋"/>
          <w:bCs/>
          <w:strike w:val="0"/>
          <w:sz w:val="24"/>
          <w:szCs w:val="24"/>
          <w:highlight w:val="none"/>
        </w:rPr>
        <w:t>月度考核得分</w:t>
      </w:r>
      <w:r>
        <w:rPr>
          <w:rFonts w:hint="eastAsia" w:ascii="仿宋" w:hAnsi="仿宋" w:eastAsia="仿宋" w:cs="仿宋"/>
          <w:bCs/>
          <w:strike w:val="0"/>
          <w:sz w:val="24"/>
          <w:szCs w:val="24"/>
          <w:highlight w:val="none"/>
          <w:lang w:val="en-US" w:eastAsia="zh-CN"/>
        </w:rPr>
        <w:t>的</w:t>
      </w:r>
      <w:r>
        <w:rPr>
          <w:rFonts w:hint="eastAsia" w:ascii="仿宋" w:hAnsi="仿宋" w:eastAsia="仿宋" w:cs="仿宋"/>
          <w:bCs/>
          <w:strike w:val="0"/>
          <w:sz w:val="24"/>
          <w:szCs w:val="24"/>
          <w:highlight w:val="none"/>
        </w:rPr>
        <w:t>70%，各</w:t>
      </w:r>
      <w:r>
        <w:rPr>
          <w:rFonts w:hint="eastAsia" w:ascii="仿宋" w:hAnsi="仿宋" w:eastAsia="仿宋" w:cs="仿宋"/>
          <w:bCs/>
          <w:strike w:val="0"/>
          <w:sz w:val="24"/>
          <w:szCs w:val="24"/>
          <w:highlight w:val="none"/>
          <w:lang w:val="en-US" w:eastAsia="zh-CN"/>
        </w:rPr>
        <w:t>相关</w:t>
      </w:r>
      <w:r>
        <w:rPr>
          <w:rFonts w:hint="eastAsia" w:ascii="仿宋" w:hAnsi="仿宋" w:eastAsia="仿宋" w:cs="仿宋"/>
          <w:bCs/>
          <w:strike w:val="0"/>
          <w:sz w:val="24"/>
          <w:szCs w:val="24"/>
          <w:highlight w:val="none"/>
        </w:rPr>
        <w:t>部门在次月第</w:t>
      </w:r>
      <w:r>
        <w:rPr>
          <w:rFonts w:hint="eastAsia" w:ascii="仿宋" w:hAnsi="仿宋" w:eastAsia="仿宋" w:cs="仿宋"/>
          <w:bCs/>
          <w:strike w:val="0"/>
          <w:sz w:val="24"/>
          <w:szCs w:val="24"/>
          <w:highlight w:val="none"/>
          <w:lang w:val="en-US" w:eastAsia="zh-CN"/>
        </w:rPr>
        <w:t>3</w:t>
      </w:r>
      <w:r>
        <w:rPr>
          <w:rFonts w:hint="eastAsia" w:ascii="仿宋" w:hAnsi="仿宋" w:eastAsia="仿宋" w:cs="仿宋"/>
          <w:bCs/>
          <w:strike w:val="0"/>
          <w:sz w:val="24"/>
          <w:szCs w:val="24"/>
          <w:highlight w:val="none"/>
        </w:rPr>
        <w:t>个工作日前将检查考核情况报</w:t>
      </w:r>
      <w:r>
        <w:rPr>
          <w:rFonts w:hint="eastAsia" w:ascii="仿宋" w:hAnsi="仿宋" w:eastAsia="仿宋" w:cs="仿宋"/>
          <w:bCs/>
          <w:strike w:val="0"/>
          <w:sz w:val="24"/>
          <w:szCs w:val="24"/>
          <w:highlight w:val="none"/>
          <w:lang w:val="en-US" w:eastAsia="zh-CN"/>
        </w:rPr>
        <w:t>各</w:t>
      </w:r>
      <w:r>
        <w:rPr>
          <w:rFonts w:hint="eastAsia" w:ascii="仿宋" w:hAnsi="仿宋" w:eastAsia="仿宋" w:cs="仿宋"/>
          <w:bCs/>
          <w:sz w:val="24"/>
          <w:szCs w:val="24"/>
          <w:highlight w:val="none"/>
          <w:lang w:val="en-US" w:eastAsia="zh-CN"/>
        </w:rPr>
        <w:t>作业</w:t>
      </w:r>
      <w:r>
        <w:rPr>
          <w:rFonts w:hint="eastAsia" w:ascii="仿宋" w:hAnsi="仿宋" w:eastAsia="仿宋" w:cs="仿宋"/>
          <w:bCs/>
          <w:sz w:val="24"/>
          <w:szCs w:val="24"/>
          <w:highlight w:val="none"/>
        </w:rPr>
        <w:t>项目对应的</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w:t>
      </w:r>
      <w:r>
        <w:rPr>
          <w:rFonts w:hint="eastAsia" w:ascii="仿宋" w:hAnsi="仿宋" w:eastAsia="仿宋" w:cs="仿宋"/>
          <w:bCs/>
          <w:strike w:val="0"/>
          <w:sz w:val="24"/>
          <w:szCs w:val="24"/>
          <w:highlight w:val="none"/>
        </w:rPr>
        <w:t>核算后计入月度考核得分。</w:t>
      </w:r>
    </w:p>
    <w:p w14:paraId="4D83F4AE">
      <w:pPr>
        <w:spacing w:line="580" w:lineRule="exact"/>
        <w:ind w:firstLine="240" w:firstLineChars="1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 xml:space="preserve"> 相关考核部门应建立巡查人员每日常规检查赋分、</w:t>
      </w:r>
      <w:r>
        <w:rPr>
          <w:rFonts w:hint="eastAsia" w:ascii="仿宋" w:hAnsi="仿宋" w:eastAsia="仿宋" w:cs="仿宋"/>
          <w:bCs/>
          <w:strike w:val="0"/>
          <w:dstrike w:val="0"/>
          <w:sz w:val="24"/>
          <w:szCs w:val="24"/>
          <w:highlight w:val="none"/>
        </w:rPr>
        <w:t>部门专项检查赋分</w:t>
      </w:r>
      <w:r>
        <w:rPr>
          <w:rFonts w:hint="eastAsia" w:ascii="仿宋" w:hAnsi="仿宋" w:eastAsia="仿宋" w:cs="仿宋"/>
          <w:bCs/>
          <w:strike w:val="0"/>
          <w:sz w:val="24"/>
          <w:szCs w:val="24"/>
          <w:highlight w:val="none"/>
        </w:rPr>
        <w:t>及创优创先活动复查等相结合的日常检查赋分机制。</w:t>
      </w:r>
    </w:p>
    <w:p w14:paraId="0288A236">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第十</w:t>
      </w:r>
      <w:r>
        <w:rPr>
          <w:rFonts w:hint="eastAsia" w:ascii="仿宋" w:hAnsi="仿宋" w:eastAsia="仿宋" w:cs="仿宋"/>
          <w:b/>
          <w:strike w:val="0"/>
          <w:sz w:val="24"/>
          <w:szCs w:val="24"/>
          <w:highlight w:val="none"/>
          <w:lang w:val="en-US" w:eastAsia="zh-CN"/>
        </w:rPr>
        <w:t>三</w:t>
      </w:r>
      <w:r>
        <w:rPr>
          <w:rFonts w:hint="eastAsia" w:ascii="仿宋" w:hAnsi="仿宋" w:eastAsia="仿宋" w:cs="仿宋"/>
          <w:b/>
          <w:strike w:val="0"/>
          <w:sz w:val="24"/>
          <w:szCs w:val="24"/>
          <w:highlight w:val="none"/>
        </w:rPr>
        <w:t>条</w:t>
      </w:r>
      <w:r>
        <w:rPr>
          <w:rFonts w:hint="eastAsia" w:ascii="仿宋" w:hAnsi="仿宋" w:eastAsia="仿宋" w:cs="仿宋"/>
          <w:bCs/>
          <w:strike w:val="0"/>
          <w:sz w:val="24"/>
          <w:szCs w:val="24"/>
          <w:highlight w:val="none"/>
        </w:rPr>
        <w:t xml:space="preserve"> 月度综合检查按照《</w:t>
      </w:r>
      <w:r>
        <w:rPr>
          <w:rFonts w:hint="eastAsia" w:ascii="仿宋" w:hAnsi="仿宋" w:eastAsia="仿宋" w:cs="仿宋"/>
          <w:bCs/>
          <w:sz w:val="24"/>
          <w:szCs w:val="24"/>
          <w:highlight w:val="none"/>
        </w:rPr>
        <w:t>湖州市市容环境卫生管理中心</w:t>
      </w:r>
      <w:r>
        <w:rPr>
          <w:rFonts w:hint="eastAsia" w:ascii="仿宋" w:hAnsi="仿宋" w:eastAsia="仿宋" w:cs="仿宋"/>
          <w:bCs/>
          <w:strike w:val="0"/>
          <w:sz w:val="24"/>
          <w:szCs w:val="24"/>
          <w:highlight w:val="none"/>
        </w:rPr>
        <w:t>领导带班检查</w:t>
      </w:r>
      <w:r>
        <w:rPr>
          <w:rFonts w:hint="eastAsia" w:ascii="仿宋" w:hAnsi="仿宋" w:eastAsia="仿宋" w:cs="仿宋"/>
          <w:bCs/>
          <w:strike w:val="0"/>
          <w:dstrike w:val="0"/>
          <w:sz w:val="24"/>
          <w:szCs w:val="24"/>
          <w:highlight w:val="none"/>
        </w:rPr>
        <w:t>环卫作业质量</w:t>
      </w:r>
      <w:r>
        <w:rPr>
          <w:rFonts w:hint="eastAsia" w:ascii="仿宋" w:hAnsi="仿宋" w:eastAsia="仿宋" w:cs="仿宋"/>
          <w:bCs/>
          <w:strike w:val="0"/>
          <w:sz w:val="24"/>
          <w:szCs w:val="24"/>
          <w:highlight w:val="none"/>
        </w:rPr>
        <w:t>工作方案》统一组织实施，赋分权重</w:t>
      </w:r>
      <w:r>
        <w:rPr>
          <w:rFonts w:hint="eastAsia" w:ascii="仿宋" w:hAnsi="仿宋" w:eastAsia="仿宋" w:cs="仿宋"/>
          <w:bCs/>
          <w:strike w:val="0"/>
          <w:sz w:val="24"/>
          <w:szCs w:val="24"/>
          <w:highlight w:val="none"/>
          <w:lang w:val="en-US" w:eastAsia="zh-CN"/>
        </w:rPr>
        <w:t>不得高于</w:t>
      </w:r>
      <w:r>
        <w:rPr>
          <w:rFonts w:hint="eastAsia" w:ascii="仿宋" w:hAnsi="仿宋" w:eastAsia="仿宋" w:cs="仿宋"/>
          <w:bCs/>
          <w:strike w:val="0"/>
          <w:sz w:val="24"/>
          <w:szCs w:val="24"/>
          <w:highlight w:val="none"/>
        </w:rPr>
        <w:t>月度考核得分</w:t>
      </w:r>
      <w:r>
        <w:rPr>
          <w:rFonts w:hint="eastAsia" w:ascii="仿宋" w:hAnsi="仿宋" w:eastAsia="仿宋" w:cs="仿宋"/>
          <w:bCs/>
          <w:strike w:val="0"/>
          <w:sz w:val="24"/>
          <w:szCs w:val="24"/>
          <w:highlight w:val="none"/>
          <w:lang w:val="en-US" w:eastAsia="zh-CN"/>
        </w:rPr>
        <w:t>的</w:t>
      </w:r>
      <w:r>
        <w:rPr>
          <w:rFonts w:hint="eastAsia" w:ascii="仿宋" w:hAnsi="仿宋" w:eastAsia="仿宋" w:cs="仿宋"/>
          <w:bCs/>
          <w:strike w:val="0"/>
          <w:sz w:val="24"/>
          <w:szCs w:val="24"/>
          <w:highlight w:val="none"/>
        </w:rPr>
        <w:t>30%，检查考核情况由</w:t>
      </w:r>
      <w:r>
        <w:rPr>
          <w:rFonts w:hint="eastAsia" w:ascii="仿宋" w:hAnsi="仿宋" w:eastAsia="仿宋" w:cs="仿宋"/>
          <w:bCs/>
          <w:strike w:val="0"/>
          <w:sz w:val="24"/>
          <w:szCs w:val="24"/>
          <w:highlight w:val="none"/>
          <w:lang w:val="en-US" w:eastAsia="zh-CN"/>
        </w:rPr>
        <w:t>各</w:t>
      </w:r>
      <w:r>
        <w:rPr>
          <w:rFonts w:hint="eastAsia" w:ascii="仿宋" w:hAnsi="仿宋" w:eastAsia="仿宋" w:cs="仿宋"/>
          <w:bCs/>
          <w:sz w:val="24"/>
          <w:szCs w:val="24"/>
          <w:highlight w:val="none"/>
          <w:lang w:val="en-US" w:eastAsia="zh-CN"/>
        </w:rPr>
        <w:t>作业</w:t>
      </w:r>
      <w:r>
        <w:rPr>
          <w:rFonts w:hint="eastAsia" w:ascii="仿宋" w:hAnsi="仿宋" w:eastAsia="仿宋" w:cs="仿宋"/>
          <w:bCs/>
          <w:sz w:val="24"/>
          <w:szCs w:val="24"/>
          <w:highlight w:val="none"/>
        </w:rPr>
        <w:t>项目对应的</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w:t>
      </w:r>
      <w:r>
        <w:rPr>
          <w:rFonts w:hint="eastAsia" w:ascii="仿宋" w:hAnsi="仿宋" w:eastAsia="仿宋" w:cs="仿宋"/>
          <w:bCs/>
          <w:strike w:val="0"/>
          <w:sz w:val="24"/>
          <w:szCs w:val="24"/>
          <w:highlight w:val="none"/>
        </w:rPr>
        <w:t>按月汇总并核算计入月度考核得分。</w:t>
      </w:r>
    </w:p>
    <w:p w14:paraId="5FE71930">
      <w:pPr>
        <w:spacing w:line="580" w:lineRule="exact"/>
        <w:ind w:firstLine="482" w:firstLineChars="200"/>
        <w:rPr>
          <w:rFonts w:hint="eastAsia" w:ascii="仿宋" w:hAnsi="仿宋" w:eastAsia="仿宋" w:cs="仿宋"/>
          <w:bCs/>
          <w:strike/>
          <w:dstrike w:val="0"/>
          <w:sz w:val="24"/>
          <w:szCs w:val="24"/>
          <w:highlight w:val="none"/>
        </w:rPr>
      </w:pPr>
      <w:r>
        <w:rPr>
          <w:rFonts w:hint="eastAsia" w:ascii="仿宋" w:hAnsi="仿宋" w:eastAsia="仿宋" w:cs="仿宋"/>
          <w:b/>
          <w:strike w:val="0"/>
          <w:dstrike w:val="0"/>
          <w:sz w:val="24"/>
          <w:szCs w:val="24"/>
          <w:highlight w:val="none"/>
        </w:rPr>
        <w:t>第十</w:t>
      </w:r>
      <w:r>
        <w:rPr>
          <w:rFonts w:hint="eastAsia" w:ascii="仿宋" w:hAnsi="仿宋" w:eastAsia="仿宋" w:cs="仿宋"/>
          <w:b/>
          <w:strike w:val="0"/>
          <w:dstrike w:val="0"/>
          <w:sz w:val="24"/>
          <w:szCs w:val="24"/>
          <w:highlight w:val="none"/>
          <w:lang w:val="en-US" w:eastAsia="zh-CN"/>
        </w:rPr>
        <w:t>四</w:t>
      </w:r>
      <w:r>
        <w:rPr>
          <w:rFonts w:hint="eastAsia" w:ascii="仿宋" w:hAnsi="仿宋" w:eastAsia="仿宋" w:cs="仿宋"/>
          <w:b/>
          <w:strike w:val="0"/>
          <w:dstrike w:val="0"/>
          <w:sz w:val="24"/>
          <w:szCs w:val="24"/>
          <w:highlight w:val="none"/>
        </w:rPr>
        <w:t>条</w:t>
      </w:r>
      <w:r>
        <w:rPr>
          <w:rFonts w:hint="eastAsia" w:ascii="仿宋" w:hAnsi="仿宋" w:eastAsia="仿宋" w:cs="仿宋"/>
          <w:bCs/>
          <w:strike w:val="0"/>
          <w:dstrike w:val="0"/>
          <w:sz w:val="24"/>
          <w:szCs w:val="24"/>
          <w:highlight w:val="none"/>
        </w:rPr>
        <w:t xml:space="preserve"> 第三方机构测评由</w:t>
      </w:r>
      <w:r>
        <w:rPr>
          <w:rFonts w:hint="eastAsia" w:ascii="仿宋" w:hAnsi="仿宋" w:eastAsia="仿宋" w:cs="仿宋"/>
          <w:bCs/>
          <w:strike w:val="0"/>
          <w:dstrike w:val="0"/>
          <w:sz w:val="24"/>
          <w:szCs w:val="24"/>
          <w:highlight w:val="none"/>
          <w:lang w:val="en-US" w:eastAsia="zh-CN"/>
        </w:rPr>
        <w:t>各作业</w:t>
      </w:r>
      <w:r>
        <w:rPr>
          <w:rFonts w:hint="eastAsia" w:ascii="仿宋" w:hAnsi="仿宋" w:eastAsia="仿宋" w:cs="仿宋"/>
          <w:bCs/>
          <w:strike w:val="0"/>
          <w:dstrike w:val="0"/>
          <w:sz w:val="24"/>
          <w:szCs w:val="24"/>
          <w:highlight w:val="none"/>
        </w:rPr>
        <w:t>项目对应的</w:t>
      </w:r>
      <w:r>
        <w:rPr>
          <w:rFonts w:hint="eastAsia" w:ascii="仿宋" w:hAnsi="仿宋" w:eastAsia="仿宋" w:cs="仿宋"/>
          <w:bCs/>
          <w:strike w:val="0"/>
          <w:dstrike w:val="0"/>
          <w:sz w:val="24"/>
          <w:szCs w:val="24"/>
          <w:highlight w:val="none"/>
          <w:lang w:val="en-US" w:eastAsia="zh-CN"/>
        </w:rPr>
        <w:t>牵头</w:t>
      </w:r>
      <w:r>
        <w:rPr>
          <w:rFonts w:hint="eastAsia" w:ascii="仿宋" w:hAnsi="仿宋" w:eastAsia="仿宋" w:cs="仿宋"/>
          <w:bCs/>
          <w:strike w:val="0"/>
          <w:dstrike w:val="0"/>
          <w:sz w:val="24"/>
          <w:szCs w:val="24"/>
          <w:highlight w:val="none"/>
        </w:rPr>
        <w:t>管理部门牵头组织设施，测评结果纳入年度考核，赋分权重</w:t>
      </w:r>
      <w:r>
        <w:rPr>
          <w:rFonts w:hint="eastAsia" w:ascii="仿宋" w:hAnsi="仿宋" w:eastAsia="仿宋" w:cs="仿宋"/>
          <w:bCs/>
          <w:strike w:val="0"/>
          <w:sz w:val="24"/>
          <w:szCs w:val="24"/>
          <w:highlight w:val="none"/>
          <w:lang w:val="en-US" w:eastAsia="zh-CN"/>
        </w:rPr>
        <w:t>不得高于</w:t>
      </w:r>
      <w:r>
        <w:rPr>
          <w:rFonts w:hint="eastAsia" w:ascii="仿宋" w:hAnsi="仿宋" w:eastAsia="仿宋" w:cs="仿宋"/>
          <w:bCs/>
          <w:strike w:val="0"/>
          <w:dstrike w:val="0"/>
          <w:sz w:val="24"/>
          <w:szCs w:val="24"/>
          <w:highlight w:val="none"/>
        </w:rPr>
        <w:t>年度考核得分</w:t>
      </w:r>
      <w:r>
        <w:rPr>
          <w:rFonts w:hint="eastAsia" w:ascii="仿宋" w:hAnsi="仿宋" w:eastAsia="仿宋" w:cs="仿宋"/>
          <w:bCs/>
          <w:strike w:val="0"/>
          <w:dstrike w:val="0"/>
          <w:sz w:val="24"/>
          <w:szCs w:val="24"/>
          <w:highlight w:val="none"/>
          <w:lang w:val="en-US" w:eastAsia="zh-CN"/>
        </w:rPr>
        <w:t>的</w:t>
      </w:r>
      <w:r>
        <w:rPr>
          <w:rFonts w:hint="eastAsia" w:ascii="仿宋" w:hAnsi="仿宋" w:eastAsia="仿宋" w:cs="仿宋"/>
          <w:bCs/>
          <w:strike w:val="0"/>
          <w:dstrike w:val="0"/>
          <w:sz w:val="24"/>
          <w:szCs w:val="24"/>
          <w:highlight w:val="none"/>
        </w:rPr>
        <w:t>15%。</w:t>
      </w:r>
    </w:p>
    <w:p w14:paraId="18F2D89D">
      <w:pPr>
        <w:spacing w:line="580" w:lineRule="exact"/>
        <w:ind w:firstLine="482" w:firstLineChars="200"/>
        <w:rPr>
          <w:rFonts w:hint="eastAsia" w:ascii="仿宋" w:hAnsi="仿宋" w:eastAsia="仿宋" w:cs="仿宋"/>
          <w:bCs/>
          <w:strike/>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各作业项目月度、季度、年度考核结果应同时向该项目所有作业单位予以通报。</w:t>
      </w:r>
    </w:p>
    <w:p w14:paraId="6CFF82FB">
      <w:pPr>
        <w:spacing w:line="580" w:lineRule="exact"/>
        <w:ind w:firstLine="482" w:firstLineChars="200"/>
        <w:rPr>
          <w:rFonts w:hint="eastAsia" w:ascii="仿宋" w:hAnsi="仿宋" w:eastAsia="仿宋" w:cs="仿宋"/>
          <w:bCs/>
          <w:color w:val="0000FF"/>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十六</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考核机制与方式</w:t>
      </w:r>
      <w:r>
        <w:rPr>
          <w:rFonts w:hint="eastAsia" w:ascii="仿宋" w:hAnsi="仿宋" w:eastAsia="仿宋" w:cs="仿宋"/>
          <w:bCs/>
          <w:sz w:val="24"/>
          <w:szCs w:val="24"/>
          <w:highlight w:val="none"/>
        </w:rPr>
        <w:t>中未明确规定的具体事项，统一由</w:t>
      </w:r>
      <w:r>
        <w:rPr>
          <w:rFonts w:hint="eastAsia" w:ascii="仿宋" w:hAnsi="仿宋" w:eastAsia="仿宋" w:cs="仿宋"/>
          <w:bCs/>
          <w:sz w:val="24"/>
          <w:szCs w:val="24"/>
          <w:highlight w:val="none"/>
          <w:lang w:val="en-US" w:eastAsia="zh-CN"/>
        </w:rPr>
        <w:t>各作业</w:t>
      </w:r>
      <w:r>
        <w:rPr>
          <w:rFonts w:hint="eastAsia" w:ascii="仿宋" w:hAnsi="仿宋" w:eastAsia="仿宋" w:cs="仿宋"/>
          <w:bCs/>
          <w:sz w:val="24"/>
          <w:szCs w:val="24"/>
          <w:highlight w:val="none"/>
        </w:rPr>
        <w:t>项目对应的</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管理部门负责制定。</w:t>
      </w:r>
    </w:p>
    <w:p w14:paraId="55D3B601">
      <w:pPr>
        <w:spacing w:before="156" w:beforeLines="50" w:after="156" w:afterLines="50" w:line="580" w:lineRule="exact"/>
        <w:jc w:val="center"/>
        <w:rPr>
          <w:rFonts w:hint="eastAsia" w:ascii="仿宋" w:hAnsi="仿宋" w:eastAsia="仿宋" w:cs="仿宋"/>
          <w:b/>
          <w:sz w:val="24"/>
          <w:szCs w:val="24"/>
          <w:highlight w:val="none"/>
        </w:rPr>
      </w:pPr>
      <w:r>
        <w:rPr>
          <w:rFonts w:hint="eastAsia" w:ascii="仿宋" w:hAnsi="仿宋" w:eastAsia="仿宋" w:cs="仿宋"/>
          <w:b/>
          <w:bCs w:val="0"/>
          <w:sz w:val="28"/>
          <w:szCs w:val="28"/>
          <w:highlight w:val="none"/>
        </w:rPr>
        <w:t>第四章 奖励与处罚</w:t>
      </w:r>
    </w:p>
    <w:p w14:paraId="164BD07F">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检查考核中发现问题，中心相关考核责任部门应及时通知作业单位限期整改，同时按照《细则》作扣分、扣款等处理；</w:t>
      </w:r>
      <w:r>
        <w:rPr>
          <w:rFonts w:hint="eastAsia" w:ascii="仿宋" w:hAnsi="仿宋" w:eastAsia="仿宋" w:cs="仿宋"/>
          <w:sz w:val="24"/>
          <w:szCs w:val="24"/>
          <w:highlight w:val="none"/>
        </w:rPr>
        <w:t>造成重大社会负面影响或重大损失的</w:t>
      </w:r>
      <w:r>
        <w:rPr>
          <w:rFonts w:hint="eastAsia" w:ascii="仿宋" w:hAnsi="仿宋" w:eastAsia="仿宋" w:cs="仿宋"/>
          <w:bCs/>
          <w:sz w:val="24"/>
          <w:szCs w:val="24"/>
          <w:highlight w:val="none"/>
        </w:rPr>
        <w:t>或未在规定期限内整改到位的或重复出现同类型问题的，应作加倍加重扣分、扣款等处罚。</w:t>
      </w:r>
    </w:p>
    <w:p w14:paraId="4FA43FF8">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检查考核中发现未作业、作业漏项、未按要求作业的，在扣分、扣款等处罚基础上，应视情况严重程度扣除相应服务费；完成状况、质量严重不达标的可视为未作业。</w:t>
      </w:r>
    </w:p>
    <w:p w14:paraId="595B4F18">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扣分、扣款可单独执行，也可一并执行；同时视违规情形、影响程度等还可要求作业单位对有关人员进行停岗、教育、更换，作业单位须无条件响应。</w:t>
      </w:r>
    </w:p>
    <w:p w14:paraId="0C6F9A47">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以下情况予以加分，并可直接计入月度考核、年度考核得分：</w:t>
      </w:r>
    </w:p>
    <w:p w14:paraId="1F90A348">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（一）环卫作业服务工作受到中心或县区级及以上党委政府、部门（含主要领导、分管领导）表扬表彰的；</w:t>
      </w:r>
    </w:p>
    <w:p w14:paraId="5765B315">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（二）先进经验被中心或市级及以上行业主管部门、行业协会复制推广的；</w:t>
      </w:r>
    </w:p>
    <w:p w14:paraId="75E042D7">
      <w:pPr>
        <w:spacing w:line="580" w:lineRule="exact"/>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（三）在服务期内，作业单位积极参与中心及上级组织的各项创新、创优、创先等活动，获得较好的评价及效果的。</w:t>
      </w:r>
    </w:p>
    <w:p w14:paraId="04D1F38A">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以下情况予以减分，并可直接计入月度考核、年度考核得分：</w:t>
      </w:r>
    </w:p>
    <w:p w14:paraId="79FFC72B">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（一）对公众举报、新闻媒体曝光、突发事件、重大节日、文明城市测评、防台防汛等工作的响应处置不力，造成恶劣影响的；</w:t>
      </w:r>
    </w:p>
    <w:p w14:paraId="3A754048">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（二）环卫作业服务工作被中心或县区级及以上党委政府、部门（含主要领导、分管领导）批评的；</w:t>
      </w:r>
    </w:p>
    <w:p w14:paraId="7C578D75">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（三）未按中心其他各类要求（含活动、应急预案等）执行到位的；</w:t>
      </w:r>
    </w:p>
    <w:p w14:paraId="5395276E">
      <w:pPr>
        <w:spacing w:line="580" w:lineRule="exact"/>
        <w:ind w:firstLine="480" w:firstLineChars="200"/>
        <w:rPr>
          <w:rFonts w:hint="eastAsia" w:ascii="仿宋" w:hAnsi="仿宋" w:eastAsia="仿宋" w:cs="仿宋"/>
          <w:bCs/>
          <w:strike/>
          <w:sz w:val="24"/>
          <w:szCs w:val="24"/>
          <w:highlight w:val="none"/>
          <w:lang w:eastAsia="zh-CN"/>
        </w:rPr>
      </w:pPr>
      <w:r>
        <w:rPr>
          <w:rFonts w:hint="eastAsia" w:ascii="仿宋" w:hAnsi="仿宋" w:eastAsia="仿宋" w:cs="仿宋"/>
          <w:bCs/>
          <w:sz w:val="24"/>
          <w:szCs w:val="24"/>
          <w:highlight w:val="none"/>
        </w:rPr>
        <w:t>（四）</w:t>
      </w:r>
      <w:r>
        <w:rPr>
          <w:rFonts w:hint="eastAsia" w:ascii="仿宋" w:hAnsi="仿宋" w:eastAsia="仿宋" w:cs="仿宋"/>
          <w:sz w:val="24"/>
          <w:szCs w:val="24"/>
          <w:highlight w:val="none"/>
        </w:rPr>
        <w:t>造成重大社会负面影响或重大损失的</w:t>
      </w:r>
      <w:r>
        <w:rPr>
          <w:rFonts w:hint="eastAsia" w:ascii="仿宋" w:hAnsi="仿宋" w:eastAsia="仿宋" w:cs="仿宋"/>
          <w:bCs/>
          <w:sz w:val="24"/>
          <w:szCs w:val="24"/>
          <w:highlight w:val="none"/>
          <w:lang w:eastAsia="zh-CN"/>
        </w:rPr>
        <w:t>。</w:t>
      </w:r>
    </w:p>
    <w:p w14:paraId="53392BE5">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w:t>
      </w:r>
      <w:r>
        <w:rPr>
          <w:rFonts w:hint="eastAsia" w:ascii="仿宋" w:hAnsi="仿宋" w:eastAsia="仿宋" w:cs="仿宋"/>
          <w:b/>
          <w:sz w:val="24"/>
          <w:szCs w:val="24"/>
          <w:highlight w:val="none"/>
        </w:rPr>
        <w:t xml:space="preserve">条 </w:t>
      </w:r>
      <w:r>
        <w:rPr>
          <w:rFonts w:hint="eastAsia" w:ascii="仿宋" w:hAnsi="仿宋" w:eastAsia="仿宋" w:cs="仿宋"/>
          <w:bCs/>
          <w:sz w:val="24"/>
          <w:szCs w:val="24"/>
          <w:highlight w:val="none"/>
        </w:rPr>
        <w:t>对月度考核得分未达到88分的作业项目，按照考核得分扣减其当月作业服务费，具体计算公式如下：</w:t>
      </w:r>
    </w:p>
    <w:p w14:paraId="1E4B8C62">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月度考核扣减服务费＝合同约定当月应付金额×（88－当月月度考核得分）/100，如当月月度考核得分为86分，则扣</w:t>
      </w:r>
      <w:r>
        <w:rPr>
          <w:rFonts w:hint="eastAsia" w:ascii="仿宋" w:hAnsi="仿宋" w:eastAsia="仿宋" w:cs="仿宋"/>
          <w:bCs/>
          <w:sz w:val="24"/>
          <w:szCs w:val="24"/>
          <w:highlight w:val="none"/>
          <w:lang w:eastAsia="zh-CN"/>
        </w:rPr>
        <w:t>除</w:t>
      </w:r>
      <w:r>
        <w:rPr>
          <w:rFonts w:hint="eastAsia" w:ascii="仿宋" w:hAnsi="仿宋" w:eastAsia="仿宋" w:cs="仿宋"/>
          <w:bCs/>
          <w:sz w:val="24"/>
          <w:szCs w:val="24"/>
          <w:highlight w:val="none"/>
        </w:rPr>
        <w:t>合同约定当月应付金额的2%作为处罚</w:t>
      </w:r>
      <w:r>
        <w:rPr>
          <w:rFonts w:hint="eastAsia" w:ascii="仿宋" w:hAnsi="仿宋" w:eastAsia="仿宋" w:cs="仿宋"/>
          <w:bCs/>
          <w:sz w:val="24"/>
          <w:szCs w:val="24"/>
          <w:highlight w:val="none"/>
          <w:lang w:eastAsia="zh-CN"/>
        </w:rPr>
        <w:t>款</w:t>
      </w:r>
      <w:r>
        <w:rPr>
          <w:rFonts w:hint="eastAsia" w:ascii="仿宋" w:hAnsi="仿宋" w:eastAsia="仿宋" w:cs="仿宋"/>
          <w:bCs/>
          <w:sz w:val="24"/>
          <w:szCs w:val="24"/>
          <w:highlight w:val="none"/>
        </w:rPr>
        <w:t>。</w:t>
      </w:r>
    </w:p>
    <w:p w14:paraId="7D148A81">
      <w:pPr>
        <w:spacing w:line="580" w:lineRule="exact"/>
        <w:ind w:firstLine="482" w:firstLineChars="200"/>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rPr>
        <w:t>第</w:t>
      </w:r>
      <w:r>
        <w:rPr>
          <w:rFonts w:hint="eastAsia" w:ascii="仿宋" w:hAnsi="仿宋" w:eastAsia="仿宋" w:cs="仿宋"/>
          <w:b/>
          <w:bCs w:val="0"/>
          <w:sz w:val="24"/>
          <w:szCs w:val="24"/>
          <w:highlight w:val="none"/>
          <w:lang w:val="en-US" w:eastAsia="zh-CN"/>
        </w:rPr>
        <w:t>二十一</w:t>
      </w:r>
      <w:r>
        <w:rPr>
          <w:rFonts w:hint="eastAsia" w:ascii="仿宋" w:hAnsi="仿宋" w:eastAsia="仿宋" w:cs="仿宋"/>
          <w:b/>
          <w:bCs w:val="0"/>
          <w:sz w:val="24"/>
          <w:szCs w:val="24"/>
          <w:highlight w:val="none"/>
        </w:rPr>
        <w:t>条</w:t>
      </w:r>
      <w:r>
        <w:rPr>
          <w:rFonts w:hint="eastAsia" w:ascii="仿宋" w:hAnsi="仿宋" w:eastAsia="仿宋" w:cs="仿宋"/>
          <w:bCs/>
          <w:sz w:val="24"/>
          <w:szCs w:val="24"/>
          <w:highlight w:val="none"/>
        </w:rPr>
        <w:t xml:space="preserve"> 以下情况可</w:t>
      </w:r>
      <w:r>
        <w:rPr>
          <w:rFonts w:hint="eastAsia" w:ascii="仿宋" w:hAnsi="仿宋" w:eastAsia="仿宋" w:cs="仿宋"/>
          <w:bCs/>
          <w:sz w:val="24"/>
          <w:szCs w:val="24"/>
          <w:highlight w:val="none"/>
          <w:lang w:eastAsia="zh-CN"/>
        </w:rPr>
        <w:t>暂缓</w:t>
      </w:r>
      <w:r>
        <w:rPr>
          <w:rFonts w:hint="eastAsia" w:ascii="仿宋" w:hAnsi="仿宋" w:eastAsia="仿宋" w:cs="仿宋"/>
          <w:bCs/>
          <w:sz w:val="24"/>
          <w:szCs w:val="24"/>
          <w:highlight w:val="none"/>
        </w:rPr>
        <w:t>支付服务费用</w:t>
      </w:r>
      <w:r>
        <w:rPr>
          <w:rFonts w:hint="eastAsia" w:ascii="仿宋" w:hAnsi="仿宋" w:eastAsia="仿宋" w:cs="仿宋"/>
          <w:bCs/>
          <w:sz w:val="24"/>
          <w:szCs w:val="24"/>
          <w:highlight w:val="none"/>
          <w:lang w:val="en-US" w:eastAsia="zh-CN"/>
        </w:rPr>
        <w:t>或扣除本次支付服务费用的1%作为扣罚金额：</w:t>
      </w:r>
    </w:p>
    <w:p w14:paraId="7A7FFD9D">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lang w:eastAsia="zh-CN"/>
        </w:rPr>
        <w:t>季度</w:t>
      </w:r>
      <w:r>
        <w:rPr>
          <w:rFonts w:hint="eastAsia" w:ascii="仿宋" w:hAnsi="仿宋" w:eastAsia="仿宋" w:cs="仿宋"/>
          <w:bCs/>
          <w:sz w:val="24"/>
          <w:szCs w:val="24"/>
          <w:highlight w:val="none"/>
        </w:rPr>
        <w:t>考核结果为不合格的项目，服务费用可推迟支付</w:t>
      </w:r>
      <w:r>
        <w:rPr>
          <w:rFonts w:hint="eastAsia" w:ascii="仿宋" w:hAnsi="仿宋" w:eastAsia="仿宋" w:cs="仿宋"/>
          <w:bCs/>
          <w:sz w:val="24"/>
          <w:szCs w:val="24"/>
          <w:highlight w:val="none"/>
          <w:lang w:val="en-US" w:eastAsia="zh-CN"/>
        </w:rPr>
        <w:t>或扣除本次支付服务费用的1%作为扣罚金额</w:t>
      </w:r>
      <w:r>
        <w:rPr>
          <w:rFonts w:hint="eastAsia" w:ascii="仿宋" w:hAnsi="仿宋" w:eastAsia="仿宋" w:cs="仿宋"/>
          <w:bCs/>
          <w:sz w:val="24"/>
          <w:szCs w:val="24"/>
          <w:highlight w:val="none"/>
        </w:rPr>
        <w:t>；</w:t>
      </w:r>
    </w:p>
    <w:p w14:paraId="1958F853">
      <w:pPr>
        <w:spacing w:line="580" w:lineRule="exact"/>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（二）</w:t>
      </w:r>
      <w:r>
        <w:rPr>
          <w:rFonts w:hint="eastAsia" w:ascii="仿宋" w:hAnsi="仿宋" w:eastAsia="仿宋" w:cs="仿宋"/>
          <w:bCs/>
          <w:sz w:val="24"/>
          <w:szCs w:val="24"/>
          <w:highlight w:val="none"/>
        </w:rPr>
        <w:t>季度考核结果未达到优秀等次且在同类型项目中排名为末2位的项目，服务费用可推迟支付</w:t>
      </w:r>
      <w:r>
        <w:rPr>
          <w:rFonts w:hint="eastAsia" w:ascii="仿宋" w:hAnsi="仿宋" w:eastAsia="仿宋" w:cs="仿宋"/>
          <w:bCs/>
          <w:sz w:val="24"/>
          <w:szCs w:val="24"/>
          <w:highlight w:val="none"/>
          <w:lang w:val="en-US" w:eastAsia="zh-CN"/>
        </w:rPr>
        <w:t>或扣除本次支付服务费用的1%作为扣罚金额</w:t>
      </w:r>
      <w:r>
        <w:rPr>
          <w:rFonts w:hint="eastAsia" w:ascii="仿宋" w:hAnsi="仿宋" w:eastAsia="仿宋" w:cs="仿宋"/>
          <w:bCs/>
          <w:sz w:val="24"/>
          <w:szCs w:val="24"/>
          <w:highlight w:val="none"/>
        </w:rPr>
        <w:t>；</w:t>
      </w:r>
    </w:p>
    <w:p w14:paraId="6D343E4A">
      <w:pPr>
        <w:spacing w:line="58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rPr>
        <w:t>推迟支付的时间应根据该</w:t>
      </w:r>
      <w:r>
        <w:rPr>
          <w:rFonts w:hint="eastAsia" w:ascii="仿宋" w:hAnsi="仿宋" w:eastAsia="仿宋" w:cs="仿宋"/>
          <w:bCs/>
          <w:sz w:val="24"/>
          <w:szCs w:val="24"/>
          <w:highlight w:val="none"/>
          <w:lang w:val="en-US" w:eastAsia="zh-CN"/>
        </w:rPr>
        <w:t>作业</w:t>
      </w:r>
      <w:r>
        <w:rPr>
          <w:rFonts w:hint="eastAsia" w:ascii="仿宋" w:hAnsi="仿宋" w:eastAsia="仿宋" w:cs="仿宋"/>
          <w:bCs/>
          <w:sz w:val="24"/>
          <w:szCs w:val="24"/>
          <w:highlight w:val="none"/>
        </w:rPr>
        <w:t>项目之后的月度考核结果确定：考核达到合格且在同类型项目中排名达到前5名的，一个月内完成支付；考核未达到合格或在同类型项目中排名未达到前5名的，推迟时间最长不超过6个月</w:t>
      </w:r>
      <w:r>
        <w:rPr>
          <w:rFonts w:hint="eastAsia" w:ascii="仿宋" w:hAnsi="仿宋" w:eastAsia="仿宋" w:cs="仿宋"/>
          <w:bCs/>
          <w:sz w:val="24"/>
          <w:szCs w:val="24"/>
          <w:highlight w:val="none"/>
          <w:lang w:eastAsia="zh-CN"/>
        </w:rPr>
        <w:t>；</w:t>
      </w:r>
    </w:p>
    <w:p w14:paraId="4DA573F5">
      <w:pPr>
        <w:spacing w:line="580" w:lineRule="exact"/>
        <w:ind w:firstLine="480" w:firstLineChars="200"/>
        <w:rPr>
          <w:rFonts w:hint="eastAsia" w:ascii="仿宋" w:hAnsi="仿宋" w:eastAsia="仿宋" w:cs="仿宋"/>
          <w:b w:val="0"/>
          <w:bCs/>
          <w:strike w:val="0"/>
          <w:sz w:val="24"/>
          <w:szCs w:val="24"/>
          <w:highlight w:val="none"/>
          <w:lang w:eastAsia="zh-CN"/>
        </w:rPr>
      </w:pPr>
      <w:r>
        <w:rPr>
          <w:rFonts w:hint="eastAsia" w:ascii="仿宋" w:hAnsi="仿宋" w:eastAsia="仿宋" w:cs="仿宋"/>
          <w:b w:val="0"/>
          <w:bCs/>
          <w:strike w:val="0"/>
          <w:sz w:val="24"/>
          <w:szCs w:val="24"/>
          <w:highlight w:val="none"/>
          <w:lang w:eastAsia="zh-CN"/>
        </w:rPr>
        <w:t>（四）增加因财政调度困难等原因，导致资金未能按时到位，经与作业单位协商同意后可暂缓支付。</w:t>
      </w:r>
    </w:p>
    <w:p w14:paraId="5F76039F">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第二十</w:t>
      </w:r>
      <w:r>
        <w:rPr>
          <w:rFonts w:hint="eastAsia" w:ascii="仿宋" w:hAnsi="仿宋" w:eastAsia="仿宋" w:cs="仿宋"/>
          <w:b/>
          <w:strike w:val="0"/>
          <w:sz w:val="24"/>
          <w:szCs w:val="24"/>
          <w:highlight w:val="none"/>
          <w:lang w:val="en-US" w:eastAsia="zh-CN"/>
        </w:rPr>
        <w:t>二</w:t>
      </w:r>
      <w:r>
        <w:rPr>
          <w:rFonts w:hint="eastAsia" w:ascii="仿宋" w:hAnsi="仿宋" w:eastAsia="仿宋" w:cs="仿宋"/>
          <w:b/>
          <w:strike w:val="0"/>
          <w:sz w:val="24"/>
          <w:szCs w:val="24"/>
          <w:highlight w:val="none"/>
        </w:rPr>
        <w:t>条</w:t>
      </w:r>
      <w:r>
        <w:rPr>
          <w:rFonts w:hint="eastAsia" w:ascii="仿宋" w:hAnsi="仿宋" w:eastAsia="仿宋" w:cs="仿宋"/>
          <w:bCs/>
          <w:strike w:val="0"/>
          <w:sz w:val="24"/>
          <w:szCs w:val="24"/>
          <w:highlight w:val="none"/>
        </w:rPr>
        <w:t xml:space="preserve"> </w:t>
      </w:r>
      <w:r>
        <w:rPr>
          <w:rFonts w:hint="eastAsia" w:ascii="仿宋" w:hAnsi="仿宋" w:eastAsia="仿宋" w:cs="仿宋"/>
          <w:b w:val="0"/>
          <w:bCs/>
          <w:strike w:val="0"/>
          <w:sz w:val="24"/>
          <w:szCs w:val="24"/>
          <w:highlight w:val="none"/>
          <w:lang w:eastAsia="zh-CN"/>
        </w:rPr>
        <w:t>项目</w:t>
      </w:r>
      <w:r>
        <w:rPr>
          <w:rFonts w:hint="eastAsia" w:ascii="仿宋" w:hAnsi="仿宋" w:eastAsia="仿宋" w:cs="仿宋"/>
          <w:bCs/>
          <w:strike w:val="0"/>
          <w:sz w:val="24"/>
          <w:szCs w:val="24"/>
          <w:highlight w:val="none"/>
        </w:rPr>
        <w:t>年度服务费的5%作为“年度考核得分预留服务费”，3%作为“年度考核排名预留服务费”，根据项目年度考核得分、排名情况进行支付。</w:t>
      </w:r>
    </w:p>
    <w:p w14:paraId="5CA66036">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第二十</w:t>
      </w:r>
      <w:r>
        <w:rPr>
          <w:rFonts w:hint="eastAsia" w:ascii="仿宋" w:hAnsi="仿宋" w:eastAsia="仿宋" w:cs="仿宋"/>
          <w:b/>
          <w:strike w:val="0"/>
          <w:sz w:val="24"/>
          <w:szCs w:val="24"/>
          <w:highlight w:val="none"/>
          <w:lang w:val="en-US" w:eastAsia="zh-CN"/>
        </w:rPr>
        <w:t>三</w:t>
      </w:r>
      <w:r>
        <w:rPr>
          <w:rFonts w:hint="eastAsia" w:ascii="仿宋" w:hAnsi="仿宋" w:eastAsia="仿宋" w:cs="仿宋"/>
          <w:b/>
          <w:strike w:val="0"/>
          <w:sz w:val="24"/>
          <w:szCs w:val="24"/>
          <w:highlight w:val="none"/>
        </w:rPr>
        <w:t>条</w:t>
      </w:r>
      <w:r>
        <w:rPr>
          <w:rFonts w:hint="eastAsia" w:ascii="仿宋" w:hAnsi="仿宋" w:eastAsia="仿宋" w:cs="仿宋"/>
          <w:bCs/>
          <w:strike w:val="0"/>
          <w:sz w:val="24"/>
          <w:szCs w:val="24"/>
          <w:highlight w:val="none"/>
        </w:rPr>
        <w:t xml:space="preserve"> 对年度考核得分未达到88分的</w:t>
      </w:r>
      <w:r>
        <w:rPr>
          <w:rFonts w:hint="eastAsia" w:ascii="仿宋" w:hAnsi="仿宋" w:eastAsia="仿宋" w:cs="仿宋"/>
          <w:b w:val="0"/>
          <w:bCs/>
          <w:strike w:val="0"/>
          <w:sz w:val="24"/>
          <w:szCs w:val="24"/>
          <w:highlight w:val="none"/>
          <w:lang w:eastAsia="zh-CN"/>
        </w:rPr>
        <w:t>项目</w:t>
      </w:r>
      <w:r>
        <w:rPr>
          <w:rFonts w:hint="eastAsia" w:ascii="仿宋" w:hAnsi="仿宋" w:eastAsia="仿宋" w:cs="仿宋"/>
          <w:bCs/>
          <w:strike w:val="0"/>
          <w:sz w:val="24"/>
          <w:szCs w:val="24"/>
          <w:highlight w:val="none"/>
        </w:rPr>
        <w:t>，合同对支付具体标准已作约定的按照合同约定支付，合同未约定或约定不够具体的，按照考核得分扣减其“年度考核得分预留服务费”，扣完为止，具体计算公式如下：</w:t>
      </w:r>
    </w:p>
    <w:p w14:paraId="68A8B3CE">
      <w:pPr>
        <w:spacing w:line="580" w:lineRule="exact"/>
        <w:ind w:firstLine="480" w:firstLineChars="2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 xml:space="preserve">年度考核扣减服务费＝“年度考核得分预留服务费”×（88－当年年度考核得分）/5，如当年年度考核得分为87分，则扣减“年度考核得分预留服务费”的1/5作为处罚。   </w:t>
      </w:r>
    </w:p>
    <w:p w14:paraId="2962727C">
      <w:pPr>
        <w:spacing w:line="580" w:lineRule="exact"/>
        <w:ind w:firstLine="482" w:firstLineChars="200"/>
        <w:rPr>
          <w:rFonts w:hint="eastAsia" w:ascii="仿宋" w:hAnsi="仿宋" w:eastAsia="仿宋" w:cs="仿宋"/>
          <w:bCs/>
          <w:strike w:val="0"/>
          <w:sz w:val="24"/>
          <w:szCs w:val="24"/>
          <w:highlight w:val="none"/>
        </w:rPr>
      </w:pPr>
      <w:r>
        <w:rPr>
          <w:rFonts w:hint="eastAsia" w:ascii="仿宋" w:hAnsi="仿宋" w:eastAsia="仿宋" w:cs="仿宋"/>
          <w:b/>
          <w:strike w:val="0"/>
          <w:sz w:val="24"/>
          <w:szCs w:val="24"/>
          <w:highlight w:val="none"/>
        </w:rPr>
        <w:t>第二十</w:t>
      </w:r>
      <w:r>
        <w:rPr>
          <w:rFonts w:hint="eastAsia" w:ascii="仿宋" w:hAnsi="仿宋" w:eastAsia="仿宋" w:cs="仿宋"/>
          <w:b/>
          <w:strike w:val="0"/>
          <w:sz w:val="24"/>
          <w:szCs w:val="24"/>
          <w:highlight w:val="none"/>
          <w:lang w:val="en-US" w:eastAsia="zh-CN"/>
        </w:rPr>
        <w:t>四</w:t>
      </w:r>
      <w:r>
        <w:rPr>
          <w:rFonts w:hint="eastAsia" w:ascii="仿宋" w:hAnsi="仿宋" w:eastAsia="仿宋" w:cs="仿宋"/>
          <w:b/>
          <w:strike w:val="0"/>
          <w:sz w:val="24"/>
          <w:szCs w:val="24"/>
          <w:highlight w:val="none"/>
        </w:rPr>
        <w:t xml:space="preserve">条 </w:t>
      </w:r>
      <w:r>
        <w:rPr>
          <w:rFonts w:hint="eastAsia" w:ascii="仿宋" w:hAnsi="仿宋" w:eastAsia="仿宋" w:cs="仿宋"/>
          <w:bCs/>
          <w:strike w:val="0"/>
          <w:sz w:val="24"/>
          <w:szCs w:val="24"/>
          <w:highlight w:val="none"/>
        </w:rPr>
        <w:t>根据</w:t>
      </w:r>
      <w:r>
        <w:rPr>
          <w:rFonts w:hint="eastAsia" w:ascii="仿宋" w:hAnsi="仿宋" w:eastAsia="仿宋" w:cs="仿宋"/>
          <w:b w:val="0"/>
          <w:bCs/>
          <w:strike w:val="0"/>
          <w:sz w:val="24"/>
          <w:szCs w:val="24"/>
          <w:highlight w:val="none"/>
          <w:lang w:eastAsia="zh-CN"/>
        </w:rPr>
        <w:t>项目</w:t>
      </w:r>
      <w:r>
        <w:rPr>
          <w:rFonts w:hint="eastAsia" w:ascii="仿宋" w:hAnsi="仿宋" w:eastAsia="仿宋" w:cs="仿宋"/>
          <w:bCs/>
          <w:strike w:val="0"/>
          <w:sz w:val="24"/>
          <w:szCs w:val="24"/>
          <w:highlight w:val="none"/>
        </w:rPr>
        <w:t>在中心同类型项目中的年度考核排名情况支付“年度考核排名预留服务费”。合同对支付具体标准已作约定的按照合同约定支付，合同未约定或约定不够具体的，按照考核得分扣减其“年度考核排名预留服务费”，具体扣减比例如下：</w:t>
      </w:r>
    </w:p>
    <w:p w14:paraId="0106ECE6">
      <w:pPr>
        <w:spacing w:line="580" w:lineRule="exact"/>
        <w:ind w:firstLine="480" w:firstLineChars="2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1.排名位列第一的或位于前50%（含）的，不予扣减；</w:t>
      </w:r>
    </w:p>
    <w:p w14:paraId="6087A941">
      <w:pPr>
        <w:spacing w:line="580" w:lineRule="exact"/>
        <w:ind w:firstLine="480" w:firstLineChars="2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2.排名位于50%以后至70%（含）的，扣减15%;</w:t>
      </w:r>
    </w:p>
    <w:p w14:paraId="52546A1A">
      <w:pPr>
        <w:spacing w:line="580" w:lineRule="exact"/>
        <w:ind w:firstLine="480" w:firstLineChars="2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3.排名位于70%以后至90%（含）的，扣减30%;</w:t>
      </w:r>
    </w:p>
    <w:p w14:paraId="055B2629">
      <w:pPr>
        <w:spacing w:line="580" w:lineRule="exact"/>
        <w:ind w:firstLine="480" w:firstLineChars="200"/>
        <w:rPr>
          <w:rFonts w:hint="eastAsia" w:ascii="仿宋" w:hAnsi="仿宋" w:eastAsia="仿宋" w:cs="仿宋"/>
          <w:bCs/>
          <w:strike w:val="0"/>
          <w:sz w:val="24"/>
          <w:szCs w:val="24"/>
          <w:highlight w:val="none"/>
        </w:rPr>
      </w:pPr>
      <w:r>
        <w:rPr>
          <w:rFonts w:hint="eastAsia" w:ascii="仿宋" w:hAnsi="仿宋" w:eastAsia="仿宋" w:cs="仿宋"/>
          <w:bCs/>
          <w:strike w:val="0"/>
          <w:sz w:val="24"/>
          <w:szCs w:val="24"/>
          <w:highlight w:val="none"/>
        </w:rPr>
        <w:t>4.排名位列最后一位的或位于90%以后至100%（含）的，扣减50%。</w:t>
      </w:r>
    </w:p>
    <w:p w14:paraId="3801B505">
      <w:pPr>
        <w:spacing w:line="580" w:lineRule="exact"/>
        <w:ind w:firstLine="480" w:firstLineChars="200"/>
        <w:rPr>
          <w:rFonts w:hint="eastAsia" w:ascii="仿宋" w:hAnsi="仿宋" w:eastAsia="仿宋" w:cs="仿宋"/>
          <w:b/>
          <w:strike w:val="0"/>
          <w:sz w:val="24"/>
          <w:szCs w:val="24"/>
          <w:highlight w:val="none"/>
        </w:rPr>
      </w:pPr>
      <w:r>
        <w:rPr>
          <w:rFonts w:hint="eastAsia" w:ascii="仿宋" w:hAnsi="仿宋" w:eastAsia="仿宋" w:cs="仿宋"/>
          <w:b w:val="0"/>
          <w:bCs/>
          <w:strike w:val="0"/>
          <w:sz w:val="24"/>
          <w:szCs w:val="24"/>
          <w:highlight w:val="none"/>
          <w:lang w:eastAsia="zh-CN"/>
        </w:rPr>
        <w:t>项目</w:t>
      </w:r>
      <w:r>
        <w:rPr>
          <w:rFonts w:hint="eastAsia" w:ascii="仿宋" w:hAnsi="仿宋" w:eastAsia="仿宋" w:cs="仿宋"/>
          <w:bCs/>
          <w:strike w:val="0"/>
          <w:sz w:val="24"/>
          <w:szCs w:val="24"/>
          <w:highlight w:val="none"/>
        </w:rPr>
        <w:t>年度考核等次为优秀的，不论排名位次，不予扣除“年度考核排名预留服务费”；年度考核等次为不合格的，应按以上规定的2倍扣减“年度考核排名预留服务费”，扣完为止。</w:t>
      </w:r>
    </w:p>
    <w:p w14:paraId="0C8EC0D5">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二十五</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对年度考核等次为不合格的或同一年度内连续2个月考核不合格或累计3个月考核不合格的作业单位，除按上述规定扣减服务费外，还可解除服务合同。</w:t>
      </w:r>
    </w:p>
    <w:p w14:paraId="31D24DDC">
      <w:pPr>
        <w:spacing w:line="580" w:lineRule="exact"/>
        <w:ind w:firstLine="482" w:firstLineChars="200"/>
        <w:rPr>
          <w:rFonts w:hint="eastAsia" w:ascii="仿宋" w:hAnsi="仿宋" w:eastAsia="仿宋" w:cs="仿宋"/>
          <w:spacing w:val="0"/>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二十六</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新中标的作业单位（非同项目的上一服务期作业单位）履行合同的第一个月为过渡期，过渡期月度考核不合格的，仅按考核得分扣减月度作业服务费，不适用第十条第二款、第</w:t>
      </w:r>
      <w:r>
        <w:rPr>
          <w:rFonts w:hint="eastAsia" w:ascii="仿宋" w:hAnsi="仿宋" w:eastAsia="仿宋" w:cs="仿宋"/>
          <w:bCs/>
          <w:sz w:val="24"/>
          <w:szCs w:val="24"/>
          <w:highlight w:val="none"/>
          <w:lang w:val="en-US" w:eastAsia="zh-CN"/>
        </w:rPr>
        <w:t>二十五条</w:t>
      </w:r>
      <w:r>
        <w:rPr>
          <w:rFonts w:hint="eastAsia" w:ascii="仿宋" w:hAnsi="仿宋" w:eastAsia="仿宋" w:cs="仿宋"/>
          <w:bCs/>
          <w:sz w:val="24"/>
          <w:szCs w:val="24"/>
          <w:highlight w:val="none"/>
        </w:rPr>
        <w:t>之规定。</w:t>
      </w:r>
    </w:p>
    <w:p w14:paraId="5DEADD81">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二十七</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xml:space="preserve"> 本办法规定之外的其他方面奖励与处罚，按照合同约定及其他相关规定执行。</w:t>
      </w:r>
    </w:p>
    <w:p w14:paraId="6BD15960">
      <w:pPr>
        <w:spacing w:before="156" w:beforeLines="50" w:after="156" w:afterLines="50" w:line="580" w:lineRule="exact"/>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第五章 附则</w:t>
      </w:r>
    </w:p>
    <w:p w14:paraId="207DB143">
      <w:pPr>
        <w:spacing w:line="580" w:lineRule="exact"/>
        <w:ind w:firstLine="482" w:firstLineChars="200"/>
        <w:rPr>
          <w:rFonts w:hint="eastAsia" w:ascii="仿宋" w:hAnsi="仿宋" w:eastAsia="仿宋" w:cs="仿宋"/>
          <w:bCs/>
          <w:sz w:val="24"/>
          <w:szCs w:val="24"/>
          <w:highlight w:val="none"/>
          <w:lang w:val="en-US" w:eastAsia="zh-CN"/>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二十八</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有关应急方案、业务报表、联系单、通知书等按中心统一规定制定。</w:t>
      </w:r>
    </w:p>
    <w:p w14:paraId="23B89B10">
      <w:pPr>
        <w:spacing w:line="580" w:lineRule="exact"/>
        <w:ind w:firstLine="482" w:firstLineChars="200"/>
        <w:rPr>
          <w:rFonts w:hint="eastAsia" w:ascii="仿宋" w:hAnsi="仿宋" w:eastAsia="仿宋" w:cs="仿宋"/>
          <w:bCs/>
          <w:sz w:val="24"/>
          <w:szCs w:val="24"/>
          <w:highlight w:val="none"/>
          <w:lang w:val="en-US" w:eastAsia="zh-CN"/>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二十九</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w:t>
      </w:r>
      <w:r>
        <w:rPr>
          <w:rFonts w:hint="eastAsia" w:ascii="仿宋" w:hAnsi="仿宋" w:eastAsia="仿宋" w:cs="仿宋"/>
          <w:bCs/>
          <w:sz w:val="24"/>
          <w:szCs w:val="24"/>
          <w:highlight w:val="none"/>
          <w:lang w:val="en-US" w:eastAsia="zh-CN"/>
        </w:rPr>
        <w:t>以上规定，有条件执行的作业项目应确保执行；暂不具备条件的，在项目招标前，</w:t>
      </w:r>
      <w:r>
        <w:rPr>
          <w:rFonts w:hint="eastAsia" w:ascii="仿宋" w:hAnsi="仿宋" w:eastAsia="仿宋" w:cs="仿宋"/>
          <w:bCs/>
          <w:sz w:val="24"/>
          <w:szCs w:val="24"/>
          <w:highlight w:val="none"/>
        </w:rPr>
        <w:t>统一由</w:t>
      </w:r>
      <w:r>
        <w:rPr>
          <w:rFonts w:hint="eastAsia" w:ascii="仿宋" w:hAnsi="仿宋" w:eastAsia="仿宋" w:cs="仿宋"/>
          <w:bCs/>
          <w:sz w:val="24"/>
          <w:szCs w:val="24"/>
          <w:highlight w:val="none"/>
          <w:lang w:val="en-US" w:eastAsia="zh-CN"/>
        </w:rPr>
        <w:t>各作业</w:t>
      </w:r>
      <w:r>
        <w:rPr>
          <w:rFonts w:hint="eastAsia" w:ascii="仿宋" w:hAnsi="仿宋" w:eastAsia="仿宋" w:cs="仿宋"/>
          <w:bCs/>
          <w:sz w:val="24"/>
          <w:szCs w:val="24"/>
          <w:highlight w:val="none"/>
        </w:rPr>
        <w:t>项目对应的</w:t>
      </w:r>
      <w:r>
        <w:rPr>
          <w:rFonts w:hint="eastAsia" w:ascii="仿宋" w:hAnsi="仿宋" w:eastAsia="仿宋" w:cs="仿宋"/>
          <w:bCs/>
          <w:sz w:val="24"/>
          <w:szCs w:val="24"/>
          <w:highlight w:val="none"/>
          <w:lang w:val="en-US" w:eastAsia="zh-CN"/>
        </w:rPr>
        <w:t>牵头</w:t>
      </w:r>
      <w:r>
        <w:rPr>
          <w:rFonts w:hint="eastAsia" w:ascii="仿宋" w:hAnsi="仿宋" w:eastAsia="仿宋" w:cs="仿宋"/>
          <w:bCs/>
          <w:sz w:val="24"/>
          <w:szCs w:val="24"/>
          <w:highlight w:val="none"/>
        </w:rPr>
        <w:t>管理部门</w:t>
      </w:r>
      <w:r>
        <w:rPr>
          <w:rFonts w:hint="eastAsia" w:ascii="仿宋" w:hAnsi="仿宋" w:eastAsia="仿宋" w:cs="仿宋"/>
          <w:bCs/>
          <w:sz w:val="24"/>
          <w:szCs w:val="24"/>
          <w:highlight w:val="none"/>
          <w:lang w:val="en-US" w:eastAsia="zh-CN"/>
        </w:rPr>
        <w:t>结合项目实际情况提出相应方案，交由班子审批并通过后实行。</w:t>
      </w:r>
    </w:p>
    <w:p w14:paraId="27E8C988">
      <w:pPr>
        <w:spacing w:line="580" w:lineRule="exact"/>
        <w:ind w:firstLine="482" w:firstLineChars="200"/>
        <w:rPr>
          <w:rFonts w:hint="eastAsia" w:ascii="仿宋" w:hAnsi="仿宋" w:eastAsia="仿宋" w:cs="仿宋"/>
          <w:bCs/>
          <w:sz w:val="24"/>
          <w:szCs w:val="24"/>
          <w:highlight w:val="none"/>
          <w:lang w:val="en-US" w:eastAsia="zh-CN"/>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三十</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w:t>
      </w:r>
      <w:r>
        <w:rPr>
          <w:rFonts w:hint="eastAsia" w:ascii="仿宋" w:hAnsi="仿宋" w:eastAsia="仿宋" w:cs="仿宋"/>
          <w:bCs/>
          <w:sz w:val="24"/>
          <w:szCs w:val="24"/>
          <w:highlight w:val="none"/>
          <w:lang w:val="en-US" w:eastAsia="zh-CN"/>
        </w:rPr>
        <w:t>本办法实行</w:t>
      </w:r>
      <w:r>
        <w:rPr>
          <w:rFonts w:hint="eastAsia" w:ascii="仿宋" w:hAnsi="仿宋" w:eastAsia="仿宋" w:cs="仿宋"/>
          <w:bCs/>
          <w:sz w:val="24"/>
          <w:szCs w:val="24"/>
          <w:highlight w:val="none"/>
        </w:rPr>
        <w:t>的第一个</w:t>
      </w:r>
      <w:r>
        <w:rPr>
          <w:rFonts w:hint="eastAsia" w:ascii="仿宋" w:hAnsi="仿宋" w:eastAsia="仿宋" w:cs="仿宋"/>
          <w:bCs/>
          <w:sz w:val="24"/>
          <w:szCs w:val="24"/>
          <w:highlight w:val="none"/>
          <w:lang w:val="en-US" w:eastAsia="zh-CN"/>
        </w:rPr>
        <w:t>季度</w:t>
      </w:r>
      <w:r>
        <w:rPr>
          <w:rFonts w:hint="eastAsia" w:ascii="仿宋" w:hAnsi="仿宋" w:eastAsia="仿宋" w:cs="仿宋"/>
          <w:bCs/>
          <w:sz w:val="24"/>
          <w:szCs w:val="24"/>
          <w:highlight w:val="none"/>
        </w:rPr>
        <w:t>为过渡期，过渡期</w:t>
      </w:r>
      <w:r>
        <w:rPr>
          <w:rFonts w:hint="eastAsia" w:ascii="仿宋" w:hAnsi="仿宋" w:eastAsia="仿宋" w:cs="仿宋"/>
          <w:bCs/>
          <w:sz w:val="24"/>
          <w:szCs w:val="24"/>
          <w:highlight w:val="none"/>
          <w:lang w:val="en-US" w:eastAsia="zh-CN"/>
        </w:rPr>
        <w:t>内</w:t>
      </w:r>
      <w:r>
        <w:rPr>
          <w:rFonts w:hint="eastAsia" w:ascii="仿宋" w:hAnsi="仿宋" w:eastAsia="仿宋" w:cs="仿宋"/>
          <w:bCs/>
          <w:sz w:val="24"/>
          <w:szCs w:val="24"/>
          <w:highlight w:val="none"/>
        </w:rPr>
        <w:t>考核</w:t>
      </w:r>
      <w:r>
        <w:rPr>
          <w:rFonts w:hint="eastAsia" w:ascii="仿宋" w:hAnsi="仿宋" w:eastAsia="仿宋" w:cs="仿宋"/>
          <w:bCs/>
          <w:sz w:val="24"/>
          <w:szCs w:val="24"/>
          <w:highlight w:val="none"/>
          <w:lang w:val="en-US" w:eastAsia="zh-CN"/>
        </w:rPr>
        <w:t>结果</w:t>
      </w:r>
      <w:r>
        <w:rPr>
          <w:rFonts w:hint="eastAsia" w:ascii="仿宋" w:hAnsi="仿宋" w:eastAsia="仿宋" w:cs="仿宋"/>
          <w:bCs/>
          <w:sz w:val="24"/>
          <w:szCs w:val="24"/>
          <w:highlight w:val="none"/>
        </w:rPr>
        <w:t>不适用第</w:t>
      </w:r>
      <w:r>
        <w:rPr>
          <w:rFonts w:hint="eastAsia" w:ascii="仿宋" w:hAnsi="仿宋" w:eastAsia="仿宋" w:cs="仿宋"/>
          <w:bCs/>
          <w:sz w:val="24"/>
          <w:szCs w:val="24"/>
          <w:highlight w:val="none"/>
          <w:lang w:val="en-US" w:eastAsia="zh-CN"/>
        </w:rPr>
        <w:t>二</w:t>
      </w:r>
      <w:r>
        <w:rPr>
          <w:rFonts w:hint="eastAsia" w:ascii="仿宋" w:hAnsi="仿宋" w:eastAsia="仿宋" w:cs="仿宋"/>
          <w:bCs/>
          <w:sz w:val="24"/>
          <w:szCs w:val="24"/>
          <w:highlight w:val="none"/>
        </w:rPr>
        <w:t>十</w:t>
      </w: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rPr>
        <w:t>条</w:t>
      </w:r>
      <w:r>
        <w:rPr>
          <w:rFonts w:hint="eastAsia" w:ascii="仿宋" w:hAnsi="仿宋" w:eastAsia="仿宋" w:cs="仿宋"/>
          <w:bCs/>
          <w:sz w:val="24"/>
          <w:szCs w:val="24"/>
          <w:highlight w:val="none"/>
          <w:lang w:val="en-US" w:eastAsia="zh-CN"/>
        </w:rPr>
        <w:t>至</w:t>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二十四条</w:t>
      </w:r>
      <w:r>
        <w:rPr>
          <w:rFonts w:hint="eastAsia" w:ascii="仿宋" w:hAnsi="仿宋" w:eastAsia="仿宋" w:cs="仿宋"/>
          <w:bCs/>
          <w:sz w:val="24"/>
          <w:szCs w:val="24"/>
          <w:highlight w:val="none"/>
        </w:rPr>
        <w:t>之规定。</w:t>
      </w:r>
    </w:p>
    <w:p w14:paraId="0903D680">
      <w:pPr>
        <w:spacing w:line="580" w:lineRule="exact"/>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三十一</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本办法由中心负责解释。</w:t>
      </w:r>
    </w:p>
    <w:p w14:paraId="1F729973">
      <w:pPr>
        <w:widowControl/>
        <w:spacing w:line="600" w:lineRule="exact"/>
        <w:ind w:firstLine="482" w:firstLineChars="200"/>
        <w:jc w:val="left"/>
        <w:outlineLvl w:val="0"/>
        <w:rPr>
          <w:rFonts w:hint="eastAsia" w:ascii="仿宋" w:hAnsi="仿宋" w:eastAsia="仿宋" w:cs="仿宋"/>
          <w:sz w:val="24"/>
          <w:szCs w:val="24"/>
          <w:highlight w:val="none"/>
        </w:rPr>
      </w:pPr>
      <w:bookmarkStart w:id="27" w:name="_Toc22077"/>
      <w:bookmarkStart w:id="28" w:name="_Toc1816"/>
      <w:bookmarkStart w:id="29" w:name="_Toc26707"/>
      <w:bookmarkStart w:id="30" w:name="_Toc10677"/>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三十二</w:t>
      </w:r>
      <w:r>
        <w:rPr>
          <w:rFonts w:hint="eastAsia" w:ascii="仿宋" w:hAnsi="仿宋" w:eastAsia="仿宋" w:cs="仿宋"/>
          <w:b/>
          <w:sz w:val="24"/>
          <w:szCs w:val="24"/>
          <w:highlight w:val="none"/>
        </w:rPr>
        <w:t>条</w:t>
      </w:r>
      <w:r>
        <w:rPr>
          <w:rFonts w:hint="eastAsia" w:ascii="仿宋" w:hAnsi="仿宋" w:eastAsia="仿宋" w:cs="仿宋"/>
          <w:bCs/>
          <w:sz w:val="24"/>
          <w:szCs w:val="24"/>
          <w:highlight w:val="none"/>
        </w:rPr>
        <w:t> 本办法自公布之日起施行。原《湖州市市容环境卫生管理中心环卫作业管理与质量考核办法》（〔2023〕25号）同时废止，其他相关规定与之冲突的，以此为准</w:t>
      </w:r>
      <w:r>
        <w:rPr>
          <w:rFonts w:hint="eastAsia" w:ascii="仿宋" w:hAnsi="仿宋" w:eastAsia="仿宋" w:cs="仿宋"/>
          <w:bCs/>
          <w:sz w:val="24"/>
          <w:szCs w:val="24"/>
          <w:highlight w:val="none"/>
          <w:lang w:eastAsia="zh-CN"/>
        </w:rPr>
        <w:t>。</w:t>
      </w:r>
      <w:bookmarkEnd w:id="27"/>
      <w:bookmarkEnd w:id="28"/>
      <w:bookmarkEnd w:id="29"/>
      <w:bookmarkEnd w:id="30"/>
    </w:p>
    <w:p w14:paraId="02A6B779">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bookmarkStart w:id="31" w:name="_Toc1386"/>
      <w:bookmarkStart w:id="32" w:name="_Toc12213"/>
    </w:p>
    <w:p w14:paraId="13EE5B9C">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52F8C16A">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65FA3917">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732D83BF">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176A388F">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2378AC3D">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1AF6D1C7">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0"/>
        <w:rPr>
          <w:rFonts w:hint="eastAsia" w:ascii="方正小标宋简体" w:hAnsi="方正小标宋简体" w:eastAsia="方正小标宋简体" w:cs="方正小标宋简体"/>
          <w:bCs/>
          <w:kern w:val="44"/>
          <w:sz w:val="44"/>
          <w:szCs w:val="44"/>
          <w:highlight w:val="none"/>
          <w:lang w:val="en-US" w:eastAsia="zh-CN"/>
        </w:rPr>
      </w:pPr>
    </w:p>
    <w:p w14:paraId="02660C4C">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仿宋" w:hAnsi="仿宋" w:eastAsia="仿宋" w:cs="仿宋"/>
          <w:b/>
          <w:bCs w:val="0"/>
          <w:kern w:val="44"/>
          <w:sz w:val="40"/>
          <w:szCs w:val="40"/>
          <w:highlight w:val="none"/>
          <w:lang w:val="en-US" w:eastAsia="zh-CN"/>
        </w:rPr>
      </w:pPr>
      <w:r>
        <w:rPr>
          <w:rFonts w:hint="eastAsia" w:ascii="仿宋" w:hAnsi="仿宋" w:eastAsia="仿宋" w:cs="仿宋"/>
          <w:b/>
          <w:bCs w:val="0"/>
          <w:kern w:val="44"/>
          <w:sz w:val="40"/>
          <w:szCs w:val="40"/>
          <w:highlight w:val="none"/>
          <w:lang w:val="en-US" w:eastAsia="zh-CN"/>
        </w:rPr>
        <w:t>第三部分 环卫配套业务市场化购买服务</w:t>
      </w:r>
      <w:bookmarkEnd w:id="31"/>
      <w:bookmarkEnd w:id="32"/>
    </w:p>
    <w:p w14:paraId="3EF73A72">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仿宋_GB2312" w:hAnsi="仿宋_GB2312" w:cs="仿宋_GB2312"/>
          <w:bCs/>
          <w:color w:val="auto"/>
          <w:szCs w:val="32"/>
          <w:highlight w:val="none"/>
          <w:lang w:val="en-US" w:eastAsia="zh-CN"/>
        </w:rPr>
      </w:pPr>
      <w:bookmarkStart w:id="33" w:name="_Toc5637"/>
      <w:bookmarkStart w:id="34" w:name="_Toc9945"/>
      <w:bookmarkStart w:id="35" w:name="_Toc17569"/>
      <w:bookmarkStart w:id="36" w:name="_Toc1365"/>
      <w:r>
        <w:rPr>
          <w:rFonts w:hint="eastAsia" w:ascii="仿宋" w:hAnsi="仿宋" w:eastAsia="仿宋" w:cs="仿宋"/>
          <w:b/>
          <w:bCs w:val="0"/>
          <w:kern w:val="44"/>
          <w:sz w:val="40"/>
          <w:szCs w:val="40"/>
          <w:highlight w:val="none"/>
          <w:lang w:val="en-US" w:eastAsia="zh-CN"/>
        </w:rPr>
        <w:t>项目</w:t>
      </w:r>
      <w:bookmarkEnd w:id="33"/>
      <w:bookmarkEnd w:id="34"/>
      <w:bookmarkEnd w:id="35"/>
      <w:bookmarkEnd w:id="36"/>
    </w:p>
    <w:p w14:paraId="31CF06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
          <w:bCs w:val="0"/>
          <w:color w:val="auto"/>
          <w:spacing w:val="-4"/>
          <w:kern w:val="2"/>
          <w:sz w:val="28"/>
          <w:szCs w:val="28"/>
          <w:highlight w:val="none"/>
          <w:lang w:val="en-US" w:eastAsia="zh-CN" w:bidi="ar-SA"/>
        </w:rPr>
      </w:pPr>
    </w:p>
    <w:p w14:paraId="4B5155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pacing w:val="-4"/>
          <w:kern w:val="2"/>
          <w:sz w:val="28"/>
          <w:szCs w:val="28"/>
          <w:highlight w:val="none"/>
          <w:lang w:val="en-US" w:eastAsia="zh-CN" w:bidi="ar-SA"/>
        </w:rPr>
        <w:t xml:space="preserve">第一章 </w:t>
      </w:r>
      <w:r>
        <w:rPr>
          <w:rFonts w:hint="eastAsia" w:ascii="仿宋" w:hAnsi="仿宋" w:eastAsia="仿宋" w:cs="仿宋"/>
          <w:b/>
          <w:bCs w:val="0"/>
          <w:color w:val="auto"/>
          <w:sz w:val="28"/>
          <w:szCs w:val="28"/>
          <w:highlight w:val="none"/>
        </w:rPr>
        <w:t>考核内容</w:t>
      </w:r>
    </w:p>
    <w:p w14:paraId="58825D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482" w:firstLineChars="20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Cs/>
          <w:color w:val="auto"/>
          <w:sz w:val="24"/>
          <w:szCs w:val="24"/>
          <w:highlight w:val="none"/>
          <w:lang w:val="en-US" w:eastAsia="zh-CN"/>
        </w:rPr>
        <w:t>本办法所指的环卫配套业务市场化购买服务项目，指涉及</w:t>
      </w:r>
      <w:r>
        <w:rPr>
          <w:rFonts w:hint="eastAsia" w:ascii="仿宋" w:hAnsi="仿宋" w:eastAsia="仿宋" w:cs="仿宋"/>
          <w:bCs/>
          <w:color w:val="auto"/>
          <w:sz w:val="24"/>
          <w:szCs w:val="24"/>
          <w:highlight w:val="none"/>
        </w:rPr>
        <w:t>辅助相关环卫基础设施运维</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辅助垃圾清运</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污水及粪便清运</w:t>
      </w:r>
      <w:r>
        <w:rPr>
          <w:rFonts w:hint="eastAsia" w:ascii="仿宋" w:hAnsi="仿宋" w:eastAsia="仿宋" w:cs="仿宋"/>
          <w:bCs/>
          <w:color w:val="auto"/>
          <w:sz w:val="24"/>
          <w:szCs w:val="24"/>
          <w:highlight w:val="none"/>
          <w:lang w:val="en-US" w:eastAsia="zh-CN"/>
        </w:rPr>
        <w:t>等一项或多项环卫保洁清运作业服务内容的环卫作业服务项目。</w:t>
      </w:r>
    </w:p>
    <w:p w14:paraId="6F67823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条</w:t>
      </w:r>
      <w:r>
        <w:rPr>
          <w:rFonts w:hint="eastAsia" w:ascii="仿宋" w:hAnsi="仿宋" w:eastAsia="仿宋" w:cs="仿宋"/>
          <w:bCs/>
          <w:color w:val="auto"/>
          <w:sz w:val="24"/>
          <w:szCs w:val="24"/>
          <w:highlight w:val="none"/>
        </w:rPr>
        <w:t xml:space="preserve"> 环卫作业质量</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考核主要包括以下内容：</w:t>
      </w:r>
    </w:p>
    <w:p w14:paraId="47174B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(一)辅助相关环卫基础设施运维:大钱港垃圾中转站、湖州市建筑渣土循环利用中心、松鼠岭生活垃圾填埋场、环卫车辆后方基地、鹿山园林垃圾处置中心、再生资源回收利用场站的辅助运行和维护。</w:t>
      </w:r>
    </w:p>
    <w:p w14:paraId="1BB120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中心管辖范围内的果壳箱、灭烟器等环卫设施的管养维护和各类甲方作业车辆的基础保养、简单维修，同时，授予环卫设施设备如公厕、果壳箱、清运车等宣传位运营权。</w:t>
      </w:r>
    </w:p>
    <w:p w14:paraId="1B98DB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(二)辅助垃圾清运:中心管辖范围内的生活垃圾接驳点、装修/大件/园林垃圾堆放点、工程垃圾堆放点、各类垃圾清运车辆车容车貌的日常巡查。</w:t>
      </w:r>
    </w:p>
    <w:p w14:paraId="0889D6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(三)中心管辖范围内的生活垃圾中转清运，城市公厕、小区化粪池和其他零星点污水及粪便清运。</w:t>
      </w:r>
    </w:p>
    <w:p w14:paraId="451E46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(四)生活垃圾和建筑垃圾分类的日常巡查。</w:t>
      </w:r>
    </w:p>
    <w:p w14:paraId="17E50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(五)防暑、防台、防汛、防雪的应急工作辅助配合。</w:t>
      </w:r>
    </w:p>
    <w:p w14:paraId="494379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环卫清运设施业务相配套的日常工作，如运维、巡查、报修、应急等的正常开展。</w:t>
      </w:r>
    </w:p>
    <w:p w14:paraId="069F49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七</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日常养护：</w:t>
      </w:r>
      <w:r>
        <w:rPr>
          <w:rFonts w:hint="eastAsia" w:ascii="仿宋" w:hAnsi="仿宋" w:eastAsia="仿宋" w:cs="仿宋"/>
          <w:bCs/>
          <w:color w:val="auto"/>
          <w:sz w:val="24"/>
          <w:szCs w:val="24"/>
          <w:highlight w:val="none"/>
          <w:lang w:eastAsia="zh-CN"/>
        </w:rPr>
        <w:t>小型设施设备日常巡检，保洁养护和小型以上及复杂维修的报修等。</w:t>
      </w:r>
    </w:p>
    <w:p w14:paraId="3E337B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八</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小型设备保障：</w:t>
      </w:r>
      <w:r>
        <w:rPr>
          <w:rFonts w:hint="eastAsia" w:ascii="仿宋" w:hAnsi="仿宋" w:eastAsia="仿宋" w:cs="仿宋"/>
          <w:bCs/>
          <w:color w:val="auto"/>
          <w:sz w:val="24"/>
          <w:szCs w:val="24"/>
          <w:highlight w:val="none"/>
          <w:lang w:eastAsia="zh-CN"/>
        </w:rPr>
        <w:t>雾炮机、清洗机维修(更换水管、水枪、上水阀、出水管和更换机油等)道闸小修(加固、更换道杆等),设备更换液压油管、设备马达</w:t>
      </w:r>
      <w:r>
        <w:rPr>
          <w:rFonts w:hint="eastAsia" w:ascii="仿宋" w:hAnsi="仿宋" w:eastAsia="仿宋" w:cs="仿宋"/>
          <w:bCs/>
          <w:color w:val="auto"/>
          <w:sz w:val="24"/>
          <w:szCs w:val="24"/>
          <w:highlight w:val="none"/>
          <w:lang w:val="en-US" w:eastAsia="zh-CN"/>
        </w:rPr>
        <w:t>维修</w:t>
      </w:r>
      <w:r>
        <w:rPr>
          <w:rFonts w:hint="eastAsia" w:ascii="仿宋" w:hAnsi="仿宋" w:eastAsia="仿宋" w:cs="仿宋"/>
          <w:bCs/>
          <w:color w:val="auto"/>
          <w:sz w:val="24"/>
          <w:szCs w:val="24"/>
          <w:highlight w:val="none"/>
          <w:lang w:eastAsia="zh-CN"/>
        </w:rPr>
        <w:t>，设备电焊加固维修，设备移位;其他维修(包括门、锁、拉手、窗户，加装、修补遮阳网，地面石子回填等)。</w:t>
      </w:r>
    </w:p>
    <w:p w14:paraId="1DB3AA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九</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中小水电保障：</w:t>
      </w:r>
      <w:r>
        <w:rPr>
          <w:rFonts w:hint="eastAsia" w:ascii="仿宋" w:hAnsi="仿宋" w:eastAsia="仿宋" w:cs="仿宋"/>
          <w:bCs/>
          <w:color w:val="auto"/>
          <w:sz w:val="24"/>
          <w:szCs w:val="24"/>
          <w:highlight w:val="none"/>
          <w:lang w:eastAsia="zh-CN"/>
        </w:rPr>
        <w:t>水电维修(更换插座、灯、</w:t>
      </w:r>
      <w:r>
        <w:rPr>
          <w:rFonts w:hint="eastAsia" w:ascii="仿宋" w:hAnsi="仿宋" w:eastAsia="仿宋" w:cs="仿宋"/>
          <w:bCs/>
          <w:color w:val="auto"/>
          <w:sz w:val="24"/>
          <w:szCs w:val="24"/>
          <w:highlight w:val="none"/>
          <w:lang w:val="en-US" w:eastAsia="zh-CN"/>
        </w:rPr>
        <w:t>水龙头</w:t>
      </w:r>
      <w:r>
        <w:rPr>
          <w:rFonts w:hint="eastAsia" w:ascii="仿宋" w:hAnsi="仿宋" w:eastAsia="仿宋" w:cs="仿宋"/>
          <w:bCs/>
          <w:color w:val="auto"/>
          <w:sz w:val="24"/>
          <w:szCs w:val="24"/>
          <w:highlight w:val="none"/>
          <w:lang w:eastAsia="zh-CN"/>
        </w:rPr>
        <w:t>、大小便阀、电池、上下水管、空气开关、电箱、放电线装水管、接水泵等)。</w:t>
      </w:r>
    </w:p>
    <w:p w14:paraId="612A1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十</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与日常养护及保障相关的辅助措施，如扬尘控制，雨、污水收集池降水清池等。</w:t>
      </w:r>
    </w:p>
    <w:p w14:paraId="3D4D75E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bCs w:val="0"/>
          <w:color w:val="auto"/>
          <w:sz w:val="24"/>
          <w:szCs w:val="24"/>
          <w:highlight w:val="none"/>
          <w:lang w:eastAsia="zh-CN"/>
        </w:rPr>
        <w:t>第三条</w:t>
      </w:r>
      <w:r>
        <w:rPr>
          <w:rFonts w:hint="eastAsia" w:ascii="仿宋" w:hAnsi="仿宋" w:eastAsia="仿宋" w:cs="仿宋"/>
          <w:bCs/>
          <w:color w:val="auto"/>
          <w:sz w:val="24"/>
          <w:szCs w:val="24"/>
          <w:highlight w:val="none"/>
          <w:lang w:eastAsia="zh-CN"/>
        </w:rPr>
        <w:t xml:space="preserve"> </w:t>
      </w:r>
      <w:r>
        <w:rPr>
          <w:rFonts w:hint="eastAsia" w:ascii="仿宋" w:hAnsi="仿宋" w:eastAsia="仿宋" w:cs="仿宋"/>
          <w:bCs/>
          <w:color w:val="auto"/>
          <w:sz w:val="24"/>
          <w:szCs w:val="24"/>
          <w:highlight w:val="none"/>
          <w:lang w:val="en-US" w:eastAsia="zh-CN"/>
        </w:rPr>
        <w:t>本项目牵头管理部门为资源利用部门、综合业务部门、业务综合管理部门，负责具体管理及考核工作，其他相关部门协同配合。</w:t>
      </w:r>
    </w:p>
    <w:p w14:paraId="71A694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pacing w:val="-4"/>
          <w:kern w:val="2"/>
          <w:sz w:val="28"/>
          <w:szCs w:val="28"/>
          <w:highlight w:val="none"/>
          <w:lang w:val="en-US" w:eastAsia="zh-CN" w:bidi="ar-SA"/>
        </w:rPr>
        <w:t xml:space="preserve">第二章 </w:t>
      </w:r>
      <w:r>
        <w:rPr>
          <w:rFonts w:hint="eastAsia" w:ascii="仿宋" w:hAnsi="仿宋" w:eastAsia="仿宋" w:cs="仿宋"/>
          <w:b/>
          <w:bCs w:val="0"/>
          <w:color w:val="auto"/>
          <w:sz w:val="28"/>
          <w:szCs w:val="28"/>
          <w:highlight w:val="none"/>
        </w:rPr>
        <w:t>考核</w:t>
      </w:r>
      <w:r>
        <w:rPr>
          <w:rFonts w:hint="eastAsia" w:ascii="仿宋" w:hAnsi="仿宋" w:eastAsia="仿宋" w:cs="仿宋"/>
          <w:b/>
          <w:bCs w:val="0"/>
          <w:color w:val="auto"/>
          <w:sz w:val="28"/>
          <w:szCs w:val="28"/>
          <w:highlight w:val="none"/>
          <w:lang w:val="en-US" w:eastAsia="zh-CN"/>
        </w:rPr>
        <w:t>机制与</w:t>
      </w:r>
      <w:r>
        <w:rPr>
          <w:rFonts w:hint="eastAsia" w:ascii="仿宋" w:hAnsi="仿宋" w:eastAsia="仿宋" w:cs="仿宋"/>
          <w:b/>
          <w:bCs w:val="0"/>
          <w:color w:val="auto"/>
          <w:sz w:val="28"/>
          <w:szCs w:val="28"/>
          <w:highlight w:val="none"/>
        </w:rPr>
        <w:t>方式</w:t>
      </w:r>
    </w:p>
    <w:p w14:paraId="628AC92F">
      <w:pPr>
        <w:keepNext w:val="0"/>
        <w:keepLines w:val="0"/>
        <w:pageBreakBefore w:val="0"/>
        <w:numPr>
          <w:ilvl w:val="0"/>
          <w:numId w:val="0"/>
        </w:numPr>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第四条</w:t>
      </w:r>
      <w:r>
        <w:rPr>
          <w:rFonts w:hint="eastAsia" w:ascii="仿宋" w:hAnsi="仿宋" w:eastAsia="仿宋" w:cs="仿宋"/>
          <w:bCs/>
          <w:color w:val="auto"/>
          <w:spacing w:val="-4"/>
          <w:kern w:val="2"/>
          <w:sz w:val="24"/>
          <w:szCs w:val="24"/>
          <w:highlight w:val="none"/>
          <w:lang w:val="en-US" w:eastAsia="zh-CN" w:bidi="ar-SA"/>
        </w:rPr>
        <w:t xml:space="preserve"> </w:t>
      </w:r>
      <w:r>
        <w:rPr>
          <w:rFonts w:hint="eastAsia" w:ascii="仿宋" w:hAnsi="仿宋" w:eastAsia="仿宋" w:cs="仿宋"/>
          <w:bCs/>
          <w:color w:val="auto"/>
          <w:sz w:val="24"/>
          <w:szCs w:val="24"/>
          <w:highlight w:val="none"/>
          <w:lang w:eastAsia="zh-CN"/>
        </w:rPr>
        <w:t>考核采用</w:t>
      </w:r>
      <w:r>
        <w:rPr>
          <w:rFonts w:hint="eastAsia" w:ascii="仿宋" w:hAnsi="仿宋" w:eastAsia="仿宋" w:cs="仿宋"/>
          <w:bCs/>
          <w:color w:val="auto"/>
          <w:sz w:val="24"/>
          <w:szCs w:val="24"/>
          <w:highlight w:val="none"/>
        </w:rPr>
        <w:t>100分制，</w:t>
      </w:r>
      <w:r>
        <w:rPr>
          <w:rFonts w:hint="eastAsia" w:ascii="仿宋" w:hAnsi="仿宋" w:eastAsia="仿宋" w:cs="仿宋"/>
          <w:bCs/>
          <w:color w:val="auto"/>
          <w:sz w:val="24"/>
          <w:szCs w:val="24"/>
          <w:highlight w:val="none"/>
          <w:lang w:val="en-US" w:eastAsia="zh-CN"/>
        </w:rPr>
        <w:t>月度考核</w:t>
      </w:r>
      <w:r>
        <w:rPr>
          <w:rFonts w:hint="eastAsia" w:ascii="仿宋" w:hAnsi="仿宋" w:eastAsia="仿宋" w:cs="仿宋"/>
          <w:bCs/>
          <w:color w:val="auto"/>
          <w:sz w:val="24"/>
          <w:szCs w:val="24"/>
          <w:highlight w:val="none"/>
        </w:rPr>
        <w:t>计算公式如下：</w:t>
      </w:r>
    </w:p>
    <w:p w14:paraId="553C5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月度考核得分 = 日常检查得分±月度加减分（计入加减分情形确定的当月）</w:t>
      </w:r>
    </w:p>
    <w:p w14:paraId="7B3E7E7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条</w:t>
      </w:r>
      <w:r>
        <w:rPr>
          <w:rFonts w:hint="eastAsia" w:ascii="仿宋" w:hAnsi="仿宋" w:eastAsia="仿宋" w:cs="仿宋"/>
          <w:bCs/>
          <w:color w:val="auto"/>
          <w:sz w:val="24"/>
          <w:szCs w:val="24"/>
          <w:highlight w:val="none"/>
        </w:rPr>
        <w:t xml:space="preserve"> 建立日常检查、社会监督相结合的考核机制，主要采用现场检查、</w:t>
      </w:r>
      <w:r>
        <w:rPr>
          <w:rFonts w:hint="eastAsia" w:ascii="仿宋" w:hAnsi="仿宋" w:eastAsia="仿宋" w:cs="仿宋"/>
          <w:bCs/>
          <w:color w:val="auto"/>
          <w:sz w:val="24"/>
          <w:szCs w:val="24"/>
          <w:highlight w:val="none"/>
          <w:lang w:val="en-US" w:eastAsia="zh-CN"/>
        </w:rPr>
        <w:t>台账</w:t>
      </w:r>
      <w:r>
        <w:rPr>
          <w:rFonts w:hint="eastAsia" w:ascii="仿宋" w:hAnsi="仿宋" w:eastAsia="仿宋" w:cs="仿宋"/>
          <w:bCs/>
          <w:color w:val="auto"/>
          <w:sz w:val="24"/>
          <w:szCs w:val="24"/>
          <w:highlight w:val="none"/>
        </w:rPr>
        <w:t>抽查及数字监管平台核查等方式。</w:t>
      </w:r>
    </w:p>
    <w:p w14:paraId="55BE522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bCs w:val="0"/>
          <w:color w:val="auto"/>
          <w:sz w:val="28"/>
          <w:szCs w:val="28"/>
          <w:highlight w:val="none"/>
        </w:rPr>
        <w:t>第</w:t>
      </w:r>
      <w:r>
        <w:rPr>
          <w:rFonts w:hint="eastAsia" w:ascii="仿宋" w:hAnsi="仿宋" w:eastAsia="仿宋" w:cs="仿宋"/>
          <w:b/>
          <w:bCs w:val="0"/>
          <w:color w:val="auto"/>
          <w:sz w:val="28"/>
          <w:szCs w:val="28"/>
          <w:highlight w:val="none"/>
          <w:lang w:val="en-US" w:eastAsia="zh-CN"/>
        </w:rPr>
        <w:t>三</w:t>
      </w:r>
      <w:r>
        <w:rPr>
          <w:rFonts w:hint="eastAsia" w:ascii="仿宋" w:hAnsi="仿宋" w:eastAsia="仿宋" w:cs="仿宋"/>
          <w:b/>
          <w:bCs w:val="0"/>
          <w:color w:val="auto"/>
          <w:sz w:val="28"/>
          <w:szCs w:val="28"/>
          <w:highlight w:val="none"/>
        </w:rPr>
        <w:t>章 奖励与处罚</w:t>
      </w:r>
    </w:p>
    <w:p w14:paraId="09F9E11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条 </w:t>
      </w:r>
      <w:r>
        <w:rPr>
          <w:rFonts w:hint="eastAsia" w:ascii="仿宋" w:hAnsi="仿宋" w:eastAsia="仿宋" w:cs="仿宋"/>
          <w:bCs/>
          <w:color w:val="auto"/>
          <w:sz w:val="24"/>
          <w:szCs w:val="24"/>
          <w:highlight w:val="none"/>
          <w:lang w:val="en-US" w:eastAsia="zh-CN"/>
        </w:rPr>
        <w:t>发现</w:t>
      </w:r>
      <w:r>
        <w:rPr>
          <w:rFonts w:hint="eastAsia" w:ascii="仿宋" w:hAnsi="仿宋" w:eastAsia="仿宋" w:cs="仿宋"/>
          <w:bCs/>
          <w:color w:val="auto"/>
          <w:sz w:val="24"/>
          <w:szCs w:val="24"/>
          <w:highlight w:val="none"/>
        </w:rPr>
        <w:t>作业单位</w:t>
      </w:r>
      <w:r>
        <w:rPr>
          <w:rFonts w:hint="eastAsia" w:ascii="仿宋" w:hAnsi="仿宋" w:eastAsia="仿宋" w:cs="仿宋"/>
          <w:bCs/>
          <w:color w:val="auto"/>
          <w:sz w:val="24"/>
          <w:szCs w:val="24"/>
          <w:highlight w:val="none"/>
          <w:lang w:val="en-US" w:eastAsia="zh-CN"/>
        </w:rPr>
        <w:t>有贿赂、请客、送礼等影响考核公正性的行为，原考核分作废，当月直接判定为考核不合格，直接扣罚5000元，情节严重的按相关法律法规处理。</w:t>
      </w:r>
    </w:p>
    <w:p w14:paraId="14E385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0"/>
          <w:sz w:val="24"/>
          <w:szCs w:val="24"/>
          <w:highlight w:val="none"/>
        </w:rPr>
      </w:pPr>
    </w:p>
    <w:p w14:paraId="10BE38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附件：</w:t>
      </w:r>
      <w:r>
        <w:rPr>
          <w:rFonts w:hint="eastAsia" w:ascii="仿宋" w:hAnsi="仿宋" w:eastAsia="仿宋" w:cs="仿宋"/>
          <w:bCs/>
          <w:color w:val="auto"/>
          <w:sz w:val="24"/>
          <w:szCs w:val="24"/>
          <w:highlight w:val="none"/>
          <w:lang w:val="en-US" w:eastAsia="zh-CN"/>
        </w:rPr>
        <w:t>《湖州市市容环境卫生管理中心环卫配套业务市场化购买项目管理与质量标准及考核评价细则》</w:t>
      </w:r>
    </w:p>
    <w:p w14:paraId="24F220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0"/>
          <w:sz w:val="24"/>
          <w:szCs w:val="24"/>
          <w:highlight w:val="none"/>
        </w:rPr>
        <w:sectPr>
          <w:headerReference r:id="rId14" w:type="default"/>
          <w:footerReference r:id="rId15" w:type="default"/>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CA67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附件：</w:t>
      </w:r>
    </w:p>
    <w:p w14:paraId="19175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湖州市市容环境卫生管理中心</w:t>
      </w:r>
      <w:r>
        <w:rPr>
          <w:rFonts w:hint="eastAsia" w:ascii="仿宋" w:hAnsi="仿宋" w:eastAsia="仿宋" w:cs="仿宋"/>
          <w:spacing w:val="0"/>
          <w:sz w:val="24"/>
          <w:szCs w:val="24"/>
          <w:highlight w:val="none"/>
          <w:lang w:val="en-US" w:eastAsia="zh-CN"/>
        </w:rPr>
        <w:t>环卫配套业务市场化购买项目</w:t>
      </w:r>
      <w:r>
        <w:rPr>
          <w:rFonts w:hint="eastAsia" w:ascii="仿宋" w:hAnsi="仿宋" w:eastAsia="仿宋" w:cs="仿宋"/>
          <w:spacing w:val="0"/>
          <w:sz w:val="24"/>
          <w:szCs w:val="24"/>
          <w:highlight w:val="none"/>
        </w:rPr>
        <w:t>管理与质量标准及考核评价细则</w:t>
      </w:r>
    </w:p>
    <w:p w14:paraId="606A0A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0"/>
          <w:sz w:val="24"/>
          <w:szCs w:val="24"/>
          <w:highlight w:val="none"/>
        </w:rPr>
      </w:pPr>
    </w:p>
    <w:p w14:paraId="7E145366">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b w:val="0"/>
          <w:bCs w:val="0"/>
          <w:spacing w:val="0"/>
          <w:sz w:val="24"/>
          <w:szCs w:val="24"/>
          <w:highlight w:val="none"/>
        </w:rPr>
      </w:pPr>
      <w:r>
        <w:rPr>
          <w:rFonts w:hint="eastAsia" w:ascii="仿宋" w:hAnsi="仿宋" w:eastAsia="仿宋" w:cs="仿宋"/>
          <w:b w:val="0"/>
          <w:bCs w:val="0"/>
          <w:spacing w:val="0"/>
          <w:sz w:val="24"/>
          <w:szCs w:val="24"/>
          <w:highlight w:val="none"/>
        </w:rPr>
        <w:t>为加强环境卫生作业规范化、标准化管理，提高城市环境卫生整体质量水平，依据《城市环境卫生质量标准》和《湖州市市容和环境卫生管理条例》及相关行业规范，结合湖州市市容环境卫生管理中心（以下简称“中心”）实际，制定本细则。</w:t>
      </w:r>
    </w:p>
    <w:p w14:paraId="2AFBE5E0">
      <w:pPr>
        <w:pStyle w:val="10"/>
        <w:keepNext w:val="0"/>
        <w:keepLines w:val="0"/>
        <w:pageBreakBefore w:val="0"/>
        <w:widowControl w:val="0"/>
        <w:tabs>
          <w:tab w:val="left" w:pos="3380"/>
        </w:tabs>
        <w:kinsoku/>
        <w:wordWrap/>
        <w:overflowPunct/>
        <w:topLinePunct w:val="0"/>
        <w:autoSpaceDE/>
        <w:autoSpaceDN/>
        <w:bidi w:val="0"/>
        <w:adjustRightInd/>
        <w:snapToGrid w:val="0"/>
        <w:spacing w:before="157" w:beforeLines="50" w:after="157" w:afterLines="50" w:line="560" w:lineRule="exact"/>
        <w:ind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rPr>
        <w:t>一、</w:t>
      </w:r>
      <w:r>
        <w:rPr>
          <w:rFonts w:hint="eastAsia" w:ascii="仿宋" w:hAnsi="仿宋" w:eastAsia="仿宋" w:cs="仿宋"/>
          <w:b w:val="0"/>
          <w:bCs w:val="0"/>
          <w:color w:val="auto"/>
          <w:spacing w:val="0"/>
          <w:sz w:val="24"/>
          <w:szCs w:val="24"/>
          <w:highlight w:val="none"/>
          <w:lang w:val="en-US" w:eastAsia="zh-CN"/>
        </w:rPr>
        <w:t>总体</w:t>
      </w:r>
      <w:r>
        <w:rPr>
          <w:rFonts w:hint="eastAsia" w:ascii="仿宋" w:hAnsi="仿宋" w:eastAsia="仿宋" w:cs="仿宋"/>
          <w:b w:val="0"/>
          <w:bCs w:val="0"/>
          <w:color w:val="auto"/>
          <w:spacing w:val="0"/>
          <w:sz w:val="24"/>
          <w:szCs w:val="24"/>
          <w:highlight w:val="none"/>
        </w:rPr>
        <w:t>作业</w:t>
      </w:r>
    </w:p>
    <w:p w14:paraId="7DAE2D81">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（一）环卫小型设施设备养护及保障</w:t>
      </w:r>
    </w:p>
    <w:p w14:paraId="0A9BC41A">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1.1环卫小型设施设备养护及保障</w:t>
      </w:r>
    </w:p>
    <w:p w14:paraId="11222896">
      <w:pPr>
        <w:ind w:firstLine="480" w:firstLineChars="200"/>
        <w:rPr>
          <w:rFonts w:hint="eastAsia" w:ascii="仿宋" w:hAnsi="仿宋" w:eastAsia="仿宋" w:cs="仿宋"/>
          <w:sz w:val="24"/>
          <w:szCs w:val="24"/>
          <w:highlight w:val="none"/>
        </w:rPr>
      </w:pPr>
      <w:r>
        <w:rPr>
          <w:rFonts w:hint="eastAsia" w:ascii="仿宋" w:hAnsi="仿宋" w:eastAsia="仿宋" w:cs="仿宋"/>
          <w:b w:val="0"/>
          <w:bCs w:val="0"/>
          <w:color w:val="auto"/>
          <w:spacing w:val="0"/>
          <w:kern w:val="2"/>
          <w:sz w:val="24"/>
          <w:szCs w:val="24"/>
          <w:highlight w:val="none"/>
          <w:lang w:val="en-US" w:eastAsia="zh-CN" w:bidi="ar-SA"/>
        </w:rPr>
        <w:t xml:space="preserve">1.1.1 </w:t>
      </w:r>
      <w:r>
        <w:rPr>
          <w:rFonts w:hint="eastAsia" w:ascii="仿宋" w:hAnsi="仿宋" w:eastAsia="仿宋" w:cs="仿宋"/>
          <w:sz w:val="24"/>
          <w:szCs w:val="24"/>
          <w:highlight w:val="none"/>
        </w:rPr>
        <w:t>作业单位在服务期间应确保设施设备完好，服务态度</w:t>
      </w:r>
      <w:r>
        <w:rPr>
          <w:rFonts w:hint="eastAsia" w:ascii="仿宋" w:hAnsi="仿宋" w:eastAsia="仿宋" w:cs="仿宋"/>
          <w:sz w:val="24"/>
          <w:szCs w:val="24"/>
          <w:highlight w:val="none"/>
          <w:lang w:val="en-US" w:eastAsia="zh-CN"/>
        </w:rPr>
        <w:t>良好。</w:t>
      </w:r>
    </w:p>
    <w:p w14:paraId="6D5727B4">
      <w:pPr>
        <w:ind w:firstLine="480" w:firstLineChars="200"/>
        <w:rPr>
          <w:rFonts w:hint="eastAsia" w:ascii="仿宋" w:hAnsi="仿宋" w:eastAsia="仿宋" w:cs="仿宋"/>
          <w:sz w:val="24"/>
          <w:szCs w:val="24"/>
          <w:highlight w:val="none"/>
        </w:rPr>
      </w:pPr>
      <w:r>
        <w:rPr>
          <w:rFonts w:hint="eastAsia" w:ascii="仿宋" w:hAnsi="仿宋" w:eastAsia="仿宋" w:cs="仿宋"/>
          <w:b w:val="0"/>
          <w:bCs w:val="0"/>
          <w:color w:val="auto"/>
          <w:spacing w:val="0"/>
          <w:kern w:val="2"/>
          <w:sz w:val="24"/>
          <w:szCs w:val="24"/>
          <w:highlight w:val="none"/>
          <w:lang w:val="en-US" w:eastAsia="zh-CN" w:bidi="ar-SA"/>
        </w:rPr>
        <w:t xml:space="preserve">1.1.2 </w:t>
      </w:r>
      <w:r>
        <w:rPr>
          <w:rFonts w:hint="eastAsia" w:ascii="仿宋" w:hAnsi="仿宋" w:eastAsia="仿宋" w:cs="仿宋"/>
          <w:sz w:val="24"/>
          <w:szCs w:val="24"/>
          <w:highlight w:val="none"/>
        </w:rPr>
        <w:t>作业单位应按时</w:t>
      </w:r>
      <w:r>
        <w:rPr>
          <w:rFonts w:hint="eastAsia" w:ascii="仿宋" w:hAnsi="仿宋" w:eastAsia="仿宋" w:cs="仿宋"/>
          <w:sz w:val="24"/>
          <w:szCs w:val="24"/>
          <w:highlight w:val="none"/>
          <w:lang w:val="en-US" w:eastAsia="zh-CN"/>
        </w:rPr>
        <w:t>及时</w:t>
      </w:r>
      <w:r>
        <w:rPr>
          <w:rFonts w:hint="eastAsia" w:ascii="仿宋" w:hAnsi="仿宋" w:eastAsia="仿宋" w:cs="仿宋"/>
          <w:sz w:val="24"/>
          <w:szCs w:val="24"/>
          <w:highlight w:val="none"/>
        </w:rPr>
        <w:t>完成维修任务，</w:t>
      </w:r>
      <w:r>
        <w:rPr>
          <w:rFonts w:hint="eastAsia" w:ascii="仿宋" w:hAnsi="仿宋" w:eastAsia="仿宋" w:cs="仿宋"/>
          <w:sz w:val="24"/>
          <w:szCs w:val="24"/>
          <w:highlight w:val="none"/>
          <w:lang w:val="en-US" w:eastAsia="zh-CN"/>
        </w:rPr>
        <w:t>不得无故拖延或推诿。</w:t>
      </w:r>
    </w:p>
    <w:p w14:paraId="4EFD07DC">
      <w:pPr>
        <w:ind w:firstLine="480" w:firstLineChars="200"/>
        <w:rPr>
          <w:rFonts w:hint="eastAsia" w:ascii="仿宋" w:hAnsi="仿宋" w:eastAsia="仿宋" w:cs="仿宋"/>
          <w:sz w:val="24"/>
          <w:szCs w:val="24"/>
          <w:highlight w:val="none"/>
        </w:rPr>
      </w:pPr>
      <w:r>
        <w:rPr>
          <w:rFonts w:hint="eastAsia" w:ascii="仿宋" w:hAnsi="仿宋" w:eastAsia="仿宋" w:cs="仿宋"/>
          <w:b w:val="0"/>
          <w:bCs w:val="0"/>
          <w:color w:val="auto"/>
          <w:spacing w:val="0"/>
          <w:kern w:val="2"/>
          <w:sz w:val="24"/>
          <w:szCs w:val="24"/>
          <w:highlight w:val="none"/>
          <w:lang w:val="en-US" w:eastAsia="zh-CN" w:bidi="ar-SA"/>
        </w:rPr>
        <w:t xml:space="preserve">1.1.3 </w:t>
      </w:r>
      <w:r>
        <w:rPr>
          <w:rFonts w:hint="eastAsia" w:ascii="仿宋" w:hAnsi="仿宋" w:eastAsia="仿宋" w:cs="仿宋"/>
          <w:sz w:val="24"/>
          <w:szCs w:val="24"/>
          <w:highlight w:val="none"/>
        </w:rPr>
        <w:t>维修质量</w:t>
      </w:r>
      <w:r>
        <w:rPr>
          <w:rFonts w:hint="eastAsia" w:ascii="仿宋" w:hAnsi="仿宋" w:eastAsia="仿宋" w:cs="仿宋"/>
          <w:sz w:val="24"/>
          <w:szCs w:val="24"/>
          <w:highlight w:val="none"/>
          <w:lang w:val="en-US" w:eastAsia="zh-CN"/>
        </w:rPr>
        <w:t>应保证合格</w:t>
      </w:r>
      <w:r>
        <w:rPr>
          <w:rFonts w:hint="eastAsia" w:ascii="仿宋" w:hAnsi="仿宋" w:eastAsia="仿宋" w:cs="仿宋"/>
          <w:sz w:val="24"/>
          <w:szCs w:val="24"/>
          <w:highlight w:val="none"/>
        </w:rPr>
        <w:t>，避免返修和投诉。</w:t>
      </w:r>
    </w:p>
    <w:p w14:paraId="48190662">
      <w:pPr>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val="0"/>
          <w:color w:val="auto"/>
          <w:spacing w:val="0"/>
          <w:kern w:val="2"/>
          <w:sz w:val="24"/>
          <w:szCs w:val="24"/>
          <w:highlight w:val="none"/>
          <w:lang w:val="en-US" w:eastAsia="zh-CN" w:bidi="ar-SA"/>
        </w:rPr>
        <w:t xml:space="preserve">1.1.4 </w:t>
      </w:r>
      <w:r>
        <w:rPr>
          <w:rFonts w:hint="eastAsia" w:ascii="仿宋" w:hAnsi="仿宋" w:eastAsia="仿宋" w:cs="仿宋"/>
          <w:sz w:val="24"/>
          <w:szCs w:val="24"/>
          <w:highlight w:val="none"/>
        </w:rPr>
        <w:t>作业单位应合理使用维修材料，遵守工作纪律，不得擅离职守</w:t>
      </w:r>
      <w:r>
        <w:rPr>
          <w:rFonts w:hint="eastAsia" w:ascii="仿宋" w:hAnsi="仿宋" w:eastAsia="仿宋" w:cs="仿宋"/>
          <w:sz w:val="24"/>
          <w:szCs w:val="24"/>
          <w:highlight w:val="none"/>
          <w:lang w:eastAsia="zh-CN"/>
        </w:rPr>
        <w:t>。</w:t>
      </w:r>
    </w:p>
    <w:p w14:paraId="2085AF79">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（二）环卫清运设施及停放站点配套服务</w:t>
      </w:r>
    </w:p>
    <w:p w14:paraId="7FBDEE76">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1.1 环卫清运设施及停放站点配套</w:t>
      </w:r>
    </w:p>
    <w:p w14:paraId="7909866F">
      <w:pPr>
        <w:ind w:firstLine="480" w:firstLineChars="200"/>
        <w:rPr>
          <w:rFonts w:hint="eastAsia" w:ascii="仿宋" w:hAnsi="仿宋" w:eastAsia="仿宋" w:cs="仿宋"/>
          <w:sz w:val="24"/>
          <w:szCs w:val="24"/>
          <w:highlight w:val="none"/>
        </w:rPr>
      </w:pPr>
      <w:r>
        <w:rPr>
          <w:rFonts w:hint="eastAsia" w:ascii="仿宋" w:hAnsi="仿宋" w:eastAsia="仿宋" w:cs="仿宋"/>
          <w:b w:val="0"/>
          <w:bCs w:val="0"/>
          <w:color w:val="auto"/>
          <w:spacing w:val="0"/>
          <w:kern w:val="2"/>
          <w:sz w:val="24"/>
          <w:szCs w:val="24"/>
          <w:highlight w:val="none"/>
          <w:lang w:val="en-US" w:eastAsia="zh-CN" w:bidi="ar-SA"/>
        </w:rPr>
        <w:t xml:space="preserve">1.1.1 </w:t>
      </w:r>
      <w:r>
        <w:rPr>
          <w:rFonts w:hint="eastAsia" w:ascii="仿宋" w:hAnsi="仿宋" w:eastAsia="仿宋" w:cs="仿宋"/>
          <w:sz w:val="24"/>
          <w:szCs w:val="24"/>
          <w:highlight w:val="none"/>
        </w:rPr>
        <w:t>场站内严禁吸烟，确保消防安全。</w:t>
      </w:r>
    </w:p>
    <w:p w14:paraId="2F03EFE3">
      <w:pPr>
        <w:ind w:firstLine="480" w:firstLineChars="200"/>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 xml:space="preserve">1.1.2 </w:t>
      </w:r>
      <w:r>
        <w:rPr>
          <w:rFonts w:hint="eastAsia" w:ascii="仿宋" w:hAnsi="仿宋" w:eastAsia="仿宋" w:cs="仿宋"/>
          <w:sz w:val="24"/>
          <w:szCs w:val="24"/>
          <w:highlight w:val="none"/>
        </w:rPr>
        <w:t>夜间安全管理应定期全面检查，确保无安全隐患。</w:t>
      </w:r>
    </w:p>
    <w:p w14:paraId="5C4CDB99">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1.2 装修垃圾智能收运箱体</w:t>
      </w:r>
    </w:p>
    <w:p w14:paraId="7CA084C1">
      <w:pPr>
        <w:pStyle w:val="23"/>
        <w:keepNext w:val="0"/>
        <w:keepLines w:val="0"/>
        <w:pageBreakBefore w:val="0"/>
        <w:widowControl/>
        <w:suppressLineNumbers w:val="0"/>
        <w:kinsoku/>
        <w:wordWrap/>
        <w:overflowPunct/>
        <w:topLinePunct w:val="0"/>
        <w:autoSpaceDE/>
        <w:autoSpaceDN/>
        <w:bidi w:val="0"/>
        <w:adjustRightInd/>
        <w:spacing w:before="0" w:beforeAutospacing="0" w:after="60" w:afterAutospacing="0" w:line="560" w:lineRule="exact"/>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1.2.1巡查人员须检查装修垃圾智能收运箱箱体的外观，须确保箱体美观，表面无污渍、无缺损等。</w:t>
      </w:r>
    </w:p>
    <w:p w14:paraId="45F631DD">
      <w:pPr>
        <w:pStyle w:val="23"/>
        <w:keepNext w:val="0"/>
        <w:keepLines w:val="0"/>
        <w:pageBreakBefore w:val="0"/>
        <w:widowControl/>
        <w:suppressLineNumbers w:val="0"/>
        <w:kinsoku/>
        <w:wordWrap/>
        <w:overflowPunct/>
        <w:topLinePunct w:val="0"/>
        <w:autoSpaceDE/>
        <w:autoSpaceDN/>
        <w:bidi w:val="0"/>
        <w:adjustRightInd/>
        <w:spacing w:before="0" w:beforeAutospacing="0" w:after="60" w:afterAutospacing="0" w:line="560" w:lineRule="exact"/>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1.2.2巡查人员须检查装修垃圾智能收运箱箱体电源开关正常关闭，须确保箱体太阳能板无破损，无被树叶等杂物遮挡。</w:t>
      </w:r>
    </w:p>
    <w:p w14:paraId="754992AF">
      <w:pPr>
        <w:pStyle w:val="23"/>
        <w:keepNext w:val="0"/>
        <w:keepLines w:val="0"/>
        <w:pageBreakBefore w:val="0"/>
        <w:widowControl/>
        <w:suppressLineNumbers w:val="0"/>
        <w:kinsoku/>
        <w:wordWrap/>
        <w:overflowPunct/>
        <w:topLinePunct w:val="0"/>
        <w:autoSpaceDE/>
        <w:autoSpaceDN/>
        <w:bidi w:val="0"/>
        <w:adjustRightInd/>
        <w:spacing w:before="0" w:beforeAutospacing="0" w:after="60" w:afterAutospacing="0" w:line="560" w:lineRule="exact"/>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1.2.3巡查人员须检查装修垃圾智能收运箱箱体锁具功能性正常，无故障。</w:t>
      </w:r>
    </w:p>
    <w:p w14:paraId="1396819D">
      <w:pPr>
        <w:pStyle w:val="23"/>
        <w:keepNext w:val="0"/>
        <w:keepLines w:val="0"/>
        <w:pageBreakBefore w:val="0"/>
        <w:widowControl/>
        <w:suppressLineNumbers w:val="0"/>
        <w:kinsoku/>
        <w:wordWrap/>
        <w:overflowPunct/>
        <w:topLinePunct w:val="0"/>
        <w:autoSpaceDE/>
        <w:autoSpaceDN/>
        <w:bidi w:val="0"/>
        <w:adjustRightInd/>
        <w:spacing w:before="0" w:beforeAutospacing="0" w:after="60" w:afterAutospacing="0" w:line="560" w:lineRule="exact"/>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1.2.4巡查人员须检查装修垃圾智能收运箱箱体勾臂、液压等重要构件完好正常，无断裂损坏等情况</w:t>
      </w:r>
    </w:p>
    <w:p w14:paraId="5F0F5AD0">
      <w:pPr>
        <w:pStyle w:val="23"/>
        <w:keepNext w:val="0"/>
        <w:keepLines w:val="0"/>
        <w:pageBreakBefore w:val="0"/>
        <w:widowControl/>
        <w:suppressLineNumbers w:val="0"/>
        <w:kinsoku/>
        <w:wordWrap/>
        <w:overflowPunct/>
        <w:topLinePunct w:val="0"/>
        <w:autoSpaceDE/>
        <w:autoSpaceDN/>
        <w:bidi w:val="0"/>
        <w:adjustRightInd/>
        <w:spacing w:before="0" w:beforeAutospacing="0" w:after="60" w:afterAutospacing="0" w:line="560" w:lineRule="exact"/>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1.2.5服务单位须按时做好检查台账、报修台账等业务资料。</w:t>
      </w:r>
    </w:p>
    <w:p w14:paraId="482484D9">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（三）环卫辅助性业务</w:t>
      </w:r>
    </w:p>
    <w:p w14:paraId="46A09F4B">
      <w:pPr>
        <w:pStyle w:val="23"/>
        <w:keepNext w:val="0"/>
        <w:keepLines w:val="0"/>
        <w:widowControl/>
        <w:suppressLineNumbers w:val="0"/>
        <w:spacing w:before="0" w:beforeAutospacing="0" w:after="0" w:afterAutospacing="0"/>
        <w:ind w:right="0" w:firstLine="482" w:firstLineChars="200"/>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1.1运维管理</w:t>
      </w:r>
    </w:p>
    <w:p w14:paraId="54155B8E">
      <w:pPr>
        <w:pStyle w:val="23"/>
        <w:keepNext w:val="0"/>
        <w:keepLines w:val="0"/>
        <w:widowControl/>
        <w:suppressLineNumbers w:val="0"/>
        <w:spacing w:before="0" w:beforeAutospacing="0" w:after="0" w:afterAutospacing="0"/>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1.1.1履行环卫基础设施（含中转站、处置中心、车辆基地等）的辅助运维职责。</w:t>
      </w:r>
    </w:p>
    <w:p w14:paraId="40A448D9">
      <w:pPr>
        <w:pStyle w:val="23"/>
        <w:keepNext w:val="0"/>
        <w:keepLines w:val="0"/>
        <w:widowControl/>
        <w:suppressLineNumbers w:val="0"/>
        <w:spacing w:before="0" w:beforeAutospacing="0" w:after="0" w:afterAutospacing="0"/>
        <w:ind w:right="0"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1.1.2妥善管养环卫设施（果壳箱、灭烟器、公厕等）及车辆基础保养。</w:t>
      </w:r>
    </w:p>
    <w:p w14:paraId="56D663D3">
      <w:pPr>
        <w:pStyle w:val="23"/>
        <w:keepNext w:val="0"/>
        <w:keepLines w:val="0"/>
        <w:widowControl/>
        <w:suppressLineNumbers w:val="0"/>
        <w:spacing w:before="0" w:beforeAutospacing="0" w:after="0" w:afterAutospacing="0"/>
        <w:ind w:right="0" w:firstLine="482" w:firstLineChars="200"/>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1.2垃圾清运巡查</w:t>
      </w:r>
    </w:p>
    <w:p w14:paraId="26D86DE3">
      <w:pPr>
        <w:pStyle w:val="23"/>
        <w:keepNext w:val="0"/>
        <w:keepLines w:val="0"/>
        <w:widowControl/>
        <w:suppressLineNumbers w:val="0"/>
        <w:spacing w:before="0" w:beforeAutospacing="0" w:after="0" w:afterAutospacing="0"/>
        <w:ind w:right="0" w:firstLine="480" w:firstLineChars="200"/>
        <w:jc w:val="left"/>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1.2.1对垃圾堆放点（生活垃圾、装修/大件/园林/工程垃圾）及清运车辆车容车貌开展日常巡查，发现问题及时上报处置。</w:t>
      </w:r>
    </w:p>
    <w:p w14:paraId="7EDC1F0D">
      <w:pPr>
        <w:keepNext w:val="0"/>
        <w:keepLines w:val="0"/>
        <w:widowControl/>
        <w:numPr>
          <w:ilvl w:val="0"/>
          <w:numId w:val="0"/>
        </w:numPr>
        <w:suppressLineNumbers w:val="0"/>
        <w:spacing w:before="60" w:beforeAutospacing="0" w:after="100" w:afterAutospacing="1"/>
        <w:rPr>
          <w:rFonts w:hint="eastAsia" w:ascii="仿宋" w:hAnsi="仿宋" w:eastAsia="仿宋" w:cs="仿宋"/>
          <w:b w:val="0"/>
          <w:bCs w:val="0"/>
          <w:color w:val="auto"/>
          <w:spacing w:val="0"/>
          <w:kern w:val="2"/>
          <w:sz w:val="24"/>
          <w:szCs w:val="24"/>
          <w:highlight w:val="none"/>
          <w:lang w:val="en-US" w:eastAsia="zh-CN" w:bidi="ar-SA"/>
        </w:rPr>
      </w:pPr>
    </w:p>
    <w:p w14:paraId="6DCF103F">
      <w:pPr>
        <w:pStyle w:val="23"/>
        <w:keepNext w:val="0"/>
        <w:keepLines w:val="0"/>
        <w:widowControl/>
        <w:suppressLineNumbers w:val="0"/>
        <w:spacing w:before="0" w:beforeAutospacing="0" w:after="0" w:afterAutospacing="0"/>
        <w:ind w:right="0" w:firstLine="482" w:firstLineChars="200"/>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1.3中转清运及污水处置</w:t>
      </w:r>
    </w:p>
    <w:p w14:paraId="3577A185">
      <w:pPr>
        <w:pStyle w:val="23"/>
        <w:keepNext w:val="0"/>
        <w:keepLines w:val="0"/>
        <w:widowControl/>
        <w:suppressLineNumbers w:val="0"/>
        <w:spacing w:before="0" w:beforeAutospacing="0" w:after="0" w:afterAutospacing="0"/>
        <w:ind w:right="0" w:firstLine="480" w:firstLineChars="200"/>
        <w:jc w:val="left"/>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1.3.1生活垃圾中转清运或公厕、化粪池污水清运作业中，操作得当，不得出现泄漏、滞留、满溢等问题。</w:t>
      </w:r>
    </w:p>
    <w:p w14:paraId="1DB0AD41">
      <w:pPr>
        <w:pStyle w:val="23"/>
        <w:keepNext w:val="0"/>
        <w:keepLines w:val="0"/>
        <w:widowControl/>
        <w:suppressLineNumbers w:val="0"/>
        <w:spacing w:before="0" w:beforeAutospacing="0" w:after="0" w:afterAutospacing="0"/>
        <w:ind w:right="0" w:firstLine="482" w:firstLineChars="200"/>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1.4日常巡查</w:t>
      </w:r>
    </w:p>
    <w:p w14:paraId="19E95D54">
      <w:pPr>
        <w:pStyle w:val="23"/>
        <w:keepNext w:val="0"/>
        <w:keepLines w:val="0"/>
        <w:widowControl/>
        <w:suppressLineNumbers w:val="0"/>
        <w:spacing w:before="0" w:beforeAutospacing="0" w:after="0" w:afterAutospacing="0"/>
        <w:ind w:right="0" w:firstLine="480" w:firstLineChars="200"/>
        <w:jc w:val="left"/>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1.4.1根据标准执行生活垃圾、建筑垃圾日常巡查。</w:t>
      </w:r>
    </w:p>
    <w:p w14:paraId="089EA765">
      <w:pPr>
        <w:pStyle w:val="10"/>
        <w:keepNext w:val="0"/>
        <w:keepLines w:val="0"/>
        <w:pageBreakBefore w:val="0"/>
        <w:widowControl w:val="0"/>
        <w:tabs>
          <w:tab w:val="left" w:pos="3380"/>
        </w:tabs>
        <w:kinsoku/>
        <w:wordWrap/>
        <w:overflowPunct/>
        <w:topLinePunct w:val="0"/>
        <w:autoSpaceDE/>
        <w:autoSpaceDN/>
        <w:bidi w:val="0"/>
        <w:adjustRightInd/>
        <w:snapToGrid w:val="0"/>
        <w:spacing w:before="157" w:beforeLines="50" w:after="157" w:afterLines="50" w:line="560" w:lineRule="exact"/>
        <w:ind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二、信息化管理</w:t>
      </w:r>
    </w:p>
    <w:p w14:paraId="4F9A266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2.1 信息化配置</w:t>
      </w:r>
    </w:p>
    <w:p w14:paraId="78DBE09C">
      <w:pPr>
        <w:pStyle w:val="11"/>
        <w:keepNext w:val="0"/>
        <w:keepLines w:val="0"/>
        <w:pageBreakBefore w:val="0"/>
        <w:kinsoku/>
        <w:wordWrap/>
        <w:overflowPunct/>
        <w:topLinePunct w:val="0"/>
        <w:autoSpaceDE/>
        <w:autoSpaceDN/>
        <w:bidi w:val="0"/>
        <w:adjustRightInd/>
        <w:spacing w:line="560" w:lineRule="exact"/>
        <w:ind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2.1.1 按中心要求落实信息化设施设备及配套产品配置，新增环卫作业设施设备涉及信息化的，应同步配置到位。</w:t>
      </w:r>
    </w:p>
    <w:p w14:paraId="04B89B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2.1.2 信息化设施设备及其配套产品须符合国家标准、满足中心要求并接入中心指定系统。</w:t>
      </w:r>
    </w:p>
    <w:p w14:paraId="0DF5F3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2.1.3 信息化设施设备的配置及接入标准等参照《湖州市市容环境卫生管理中心信息化设备配置及接入</w:t>
      </w:r>
      <w:r>
        <w:rPr>
          <w:rFonts w:hint="eastAsia" w:ascii="仿宋" w:hAnsi="仿宋" w:eastAsia="仿宋" w:cs="仿宋"/>
          <w:b w:val="0"/>
          <w:bCs w:val="0"/>
          <w:strike w:val="0"/>
          <w:dstrike w:val="0"/>
          <w:color w:val="auto"/>
          <w:spacing w:val="0"/>
          <w:kern w:val="2"/>
          <w:sz w:val="24"/>
          <w:szCs w:val="24"/>
          <w:highlight w:val="none"/>
          <w:lang w:val="en-US" w:eastAsia="zh-CN" w:bidi="ar-SA"/>
        </w:rPr>
        <w:t>规范</w:t>
      </w:r>
      <w:r>
        <w:rPr>
          <w:rFonts w:hint="eastAsia" w:ascii="仿宋" w:hAnsi="仿宋" w:eastAsia="仿宋" w:cs="仿宋"/>
          <w:b w:val="0"/>
          <w:bCs w:val="0"/>
          <w:color w:val="auto"/>
          <w:spacing w:val="0"/>
          <w:kern w:val="2"/>
          <w:sz w:val="24"/>
          <w:szCs w:val="24"/>
          <w:highlight w:val="none"/>
          <w:lang w:val="en-US" w:eastAsia="zh-CN" w:bidi="ar-SA"/>
        </w:rPr>
        <w:t>》执行。</w:t>
      </w:r>
    </w:p>
    <w:p w14:paraId="59C29CE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2.2 维护与管理</w:t>
      </w:r>
    </w:p>
    <w:p w14:paraId="40C99D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2.2.1 按中心要求落实信息化设施设备、环卫作业基础数据等日常巡检、维护保养与管理等工作，并落实台账管理，确保其信息化设施设备稳定运行、数据准确有效，其中车载称重设备每月至少校准一次，其数据偏差率[</w:t>
      </w:r>
      <w:r>
        <w:rPr>
          <w:rFonts w:hint="eastAsia" w:ascii="仿宋" w:hAnsi="仿宋" w:eastAsia="仿宋" w:cs="仿宋"/>
          <w:b w:val="0"/>
          <w:bCs w:val="0"/>
          <w:color w:val="auto"/>
          <w:spacing w:val="0"/>
          <w:kern w:val="2"/>
          <w:sz w:val="24"/>
          <w:szCs w:val="24"/>
          <w:highlight w:val="none"/>
          <w:lang w:val="en-US" w:eastAsia="zh-CN" w:bidi="ar-SA"/>
        </w:rPr>
        <w:footnoteReference w:id="0"/>
      </w:r>
      <w:r>
        <w:rPr>
          <w:rFonts w:hint="eastAsia" w:ascii="仿宋" w:hAnsi="仿宋" w:eastAsia="仿宋" w:cs="仿宋"/>
          <w:b w:val="0"/>
          <w:bCs w:val="0"/>
          <w:color w:val="auto"/>
          <w:spacing w:val="0"/>
          <w:kern w:val="2"/>
          <w:sz w:val="24"/>
          <w:szCs w:val="24"/>
          <w:highlight w:val="none"/>
          <w:lang w:val="en-US" w:eastAsia="zh-CN" w:bidi="ar-SA"/>
        </w:rPr>
        <w:t>]应控制在±3%范围内。</w:t>
      </w:r>
    </w:p>
    <w:p w14:paraId="0AD917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2.2.2 信息化设施设备及配套产品发生故障或作业数据出现异常的，作业单位应当日内向中心信息化管理部门报备，一般问题</w:t>
      </w:r>
      <w:r>
        <w:rPr>
          <w:rStyle w:val="32"/>
          <w:rFonts w:hint="eastAsia" w:ascii="仿宋" w:hAnsi="仿宋" w:eastAsia="仿宋" w:cs="仿宋"/>
          <w:b w:val="0"/>
          <w:bCs w:val="0"/>
          <w:color w:val="auto"/>
          <w:spacing w:val="0"/>
          <w:kern w:val="2"/>
          <w:sz w:val="24"/>
          <w:szCs w:val="24"/>
          <w:highlight w:val="none"/>
          <w:lang w:val="en-US" w:eastAsia="zh-CN" w:bidi="ar-SA"/>
        </w:rPr>
        <w:t>[</w:t>
      </w:r>
      <w:r>
        <w:rPr>
          <w:rStyle w:val="32"/>
          <w:rFonts w:hint="eastAsia" w:ascii="仿宋" w:hAnsi="仿宋" w:eastAsia="仿宋" w:cs="仿宋"/>
          <w:b w:val="0"/>
          <w:bCs w:val="0"/>
          <w:color w:val="auto"/>
          <w:spacing w:val="0"/>
          <w:kern w:val="2"/>
          <w:sz w:val="24"/>
          <w:szCs w:val="24"/>
          <w:highlight w:val="none"/>
          <w:lang w:val="en-US" w:eastAsia="zh-CN" w:bidi="ar-SA"/>
        </w:rPr>
        <w:footnoteReference w:id="1"/>
      </w:r>
      <w:r>
        <w:rPr>
          <w:rStyle w:val="32"/>
          <w:rFonts w:hint="eastAsia" w:ascii="仿宋" w:hAnsi="仿宋" w:eastAsia="仿宋" w:cs="仿宋"/>
          <w:b w:val="0"/>
          <w:bCs w:val="0"/>
          <w:color w:val="auto"/>
          <w:spacing w:val="0"/>
          <w:kern w:val="2"/>
          <w:sz w:val="24"/>
          <w:szCs w:val="24"/>
          <w:highlight w:val="none"/>
          <w:lang w:val="en-US" w:eastAsia="zh-CN" w:bidi="ar-SA"/>
        </w:rPr>
        <w:t>]</w:t>
      </w:r>
      <w:r>
        <w:rPr>
          <w:rFonts w:hint="eastAsia" w:ascii="仿宋" w:hAnsi="仿宋" w:eastAsia="仿宋" w:cs="仿宋"/>
          <w:b w:val="0"/>
          <w:bCs w:val="0"/>
          <w:color w:val="auto"/>
          <w:spacing w:val="0"/>
          <w:kern w:val="2"/>
          <w:sz w:val="24"/>
          <w:szCs w:val="24"/>
          <w:highlight w:val="none"/>
          <w:lang w:val="en-US" w:eastAsia="zh-CN" w:bidi="ar-SA"/>
        </w:rPr>
        <w:t>24小时内解决，重大问题</w:t>
      </w:r>
      <w:r>
        <w:rPr>
          <w:rStyle w:val="32"/>
          <w:rFonts w:hint="eastAsia" w:ascii="仿宋" w:hAnsi="仿宋" w:eastAsia="仿宋" w:cs="仿宋"/>
          <w:b w:val="0"/>
          <w:bCs w:val="0"/>
          <w:color w:val="auto"/>
          <w:spacing w:val="0"/>
          <w:kern w:val="2"/>
          <w:sz w:val="24"/>
          <w:szCs w:val="24"/>
          <w:highlight w:val="none"/>
          <w:lang w:val="en-US" w:eastAsia="zh-CN" w:bidi="ar-SA"/>
        </w:rPr>
        <w:t>[</w:t>
      </w:r>
      <w:r>
        <w:rPr>
          <w:rStyle w:val="32"/>
          <w:rFonts w:hint="eastAsia" w:ascii="仿宋" w:hAnsi="仿宋" w:eastAsia="仿宋" w:cs="仿宋"/>
          <w:b w:val="0"/>
          <w:bCs w:val="0"/>
          <w:color w:val="auto"/>
          <w:spacing w:val="0"/>
          <w:kern w:val="2"/>
          <w:sz w:val="24"/>
          <w:szCs w:val="24"/>
          <w:highlight w:val="none"/>
          <w:lang w:val="en-US" w:eastAsia="zh-CN" w:bidi="ar-SA"/>
        </w:rPr>
        <w:footnoteReference w:id="2"/>
      </w:r>
      <w:r>
        <w:rPr>
          <w:rStyle w:val="32"/>
          <w:rFonts w:hint="eastAsia" w:ascii="仿宋" w:hAnsi="仿宋" w:eastAsia="仿宋" w:cs="仿宋"/>
          <w:b w:val="0"/>
          <w:bCs w:val="0"/>
          <w:color w:val="auto"/>
          <w:spacing w:val="0"/>
          <w:kern w:val="2"/>
          <w:sz w:val="24"/>
          <w:szCs w:val="24"/>
          <w:highlight w:val="none"/>
          <w:lang w:val="en-US" w:eastAsia="zh-CN" w:bidi="ar-SA"/>
        </w:rPr>
        <w:t>]</w:t>
      </w:r>
      <w:r>
        <w:rPr>
          <w:rFonts w:hint="eastAsia" w:ascii="仿宋" w:hAnsi="仿宋" w:eastAsia="仿宋" w:cs="仿宋"/>
          <w:b w:val="0"/>
          <w:bCs w:val="0"/>
          <w:color w:val="auto"/>
          <w:spacing w:val="0"/>
          <w:kern w:val="2"/>
          <w:sz w:val="24"/>
          <w:szCs w:val="24"/>
          <w:highlight w:val="none"/>
          <w:lang w:val="en-US" w:eastAsia="zh-CN" w:bidi="ar-SA"/>
        </w:rPr>
        <w:t>或技术性、复杂性问题等应在24小时内提出解决方案并经中心批准。</w:t>
      </w:r>
    </w:p>
    <w:p w14:paraId="4C0169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2.2.3 信息化设施设备或环卫作业基础数据新增或变更的，应至少提前3日向中心申请，并按要求提供相关资料。</w:t>
      </w:r>
    </w:p>
    <w:p w14:paraId="7E222A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2.2.4 因信息化设施设备维护不到位、管理缺失等作业单位原因引起的数据缺失、丢失等问题，由作业单位负责数据的补录，补录工作应在15个工作日内完成。</w:t>
      </w:r>
    </w:p>
    <w:p w14:paraId="5DFE39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2.2.5 数据的补录必须确保数据的准确性和及时性，补录的数据需提供由中心认可的专业机构、权威部门等第三方出具的书面证明、佐证材料，提交中心审核，数据不得有缺项、漏项。</w:t>
      </w:r>
    </w:p>
    <w:p w14:paraId="457B11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2.2.6 按中心要求规范信息化设施设备与产品的使用与管理，严禁出现影响设施设备正常运行、作业数据准确率等行为。</w:t>
      </w:r>
    </w:p>
    <w:p w14:paraId="4BD45AF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2.3 其他要求</w:t>
      </w:r>
    </w:p>
    <w:p w14:paraId="2BB0D0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2.3.1 按中心要求落实信息化工作，主动应用信息化工具或产品开展常态化自查自纠，各作业单位信息系统月活跃率[</w:t>
      </w:r>
      <w:r>
        <w:rPr>
          <w:rFonts w:hint="eastAsia" w:ascii="仿宋" w:hAnsi="仿宋" w:eastAsia="仿宋" w:cs="仿宋"/>
          <w:b w:val="0"/>
          <w:bCs w:val="0"/>
          <w:color w:val="auto"/>
          <w:spacing w:val="0"/>
          <w:kern w:val="2"/>
          <w:sz w:val="24"/>
          <w:szCs w:val="24"/>
          <w:highlight w:val="none"/>
          <w:lang w:val="en-US" w:eastAsia="zh-CN" w:bidi="ar-SA"/>
        </w:rPr>
        <w:footnoteReference w:id="3"/>
      </w:r>
      <w:r>
        <w:rPr>
          <w:rFonts w:hint="eastAsia" w:ascii="仿宋" w:hAnsi="仿宋" w:eastAsia="仿宋" w:cs="仿宋"/>
          <w:b w:val="0"/>
          <w:bCs w:val="0"/>
          <w:color w:val="auto"/>
          <w:spacing w:val="0"/>
          <w:kern w:val="2"/>
          <w:sz w:val="24"/>
          <w:szCs w:val="24"/>
          <w:highlight w:val="none"/>
          <w:lang w:val="en-US" w:eastAsia="zh-CN" w:bidi="ar-SA"/>
        </w:rPr>
        <w:t>]不得低于90%。</w:t>
      </w:r>
    </w:p>
    <w:p w14:paraId="745605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2.3.2 作业单位应做好数字化成果应用过程中的网络安全与数据保密工作，未经中心批准，不得随意透露敏感数据、公共信息等。</w:t>
      </w:r>
    </w:p>
    <w:p w14:paraId="6A121E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2.3.3 按要求落实上级部门、中心数字化改革部署，主动推广应用数字化改革成果，积极配合中心做好基础数据的采集、录入与管理工作，积极参与创新、试点工作，鼓励自主研发或应用信息化产品与成果。</w:t>
      </w:r>
    </w:p>
    <w:p w14:paraId="5ECB518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2.4 加分项</w:t>
      </w:r>
    </w:p>
    <w:p w14:paraId="19DADB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2.4.1 应用信息化工具或产品开展常态化自查自纠工作成效显著，在中心组织的重要会议上进行经验交流或被中心推荐以案例形式推广应用的。</w:t>
      </w:r>
    </w:p>
    <w:p w14:paraId="2714EE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2.4.2 在中心组织的创新、试点信息化项目中表现突出，贡献重要经验或成果的。</w:t>
      </w:r>
    </w:p>
    <w:p w14:paraId="3FA43E25">
      <w:pPr>
        <w:pStyle w:val="10"/>
        <w:keepNext w:val="0"/>
        <w:keepLines w:val="0"/>
        <w:pageBreakBefore w:val="0"/>
        <w:widowControl w:val="0"/>
        <w:tabs>
          <w:tab w:val="left" w:pos="3380"/>
        </w:tabs>
        <w:kinsoku/>
        <w:wordWrap/>
        <w:overflowPunct/>
        <w:topLinePunct w:val="0"/>
        <w:autoSpaceDE/>
        <w:autoSpaceDN/>
        <w:bidi w:val="0"/>
        <w:adjustRightInd/>
        <w:snapToGrid w:val="0"/>
        <w:spacing w:before="157" w:beforeLines="50" w:after="157" w:afterLines="50" w:line="560" w:lineRule="exact"/>
        <w:ind w:firstLine="480" w:firstLineChars="200"/>
        <w:jc w:val="left"/>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2.4.3 提出合理化建议被中心采纳，有效优化现有信息系统功能或提升信息化设备稳定性的。</w:t>
      </w:r>
    </w:p>
    <w:p w14:paraId="66EC9B48">
      <w:pPr>
        <w:pStyle w:val="10"/>
        <w:keepNext w:val="0"/>
        <w:keepLines w:val="0"/>
        <w:pageBreakBefore w:val="0"/>
        <w:widowControl w:val="0"/>
        <w:tabs>
          <w:tab w:val="left" w:pos="3380"/>
        </w:tabs>
        <w:kinsoku/>
        <w:wordWrap/>
        <w:overflowPunct/>
        <w:topLinePunct w:val="0"/>
        <w:autoSpaceDE/>
        <w:autoSpaceDN/>
        <w:bidi w:val="0"/>
        <w:adjustRightInd/>
        <w:snapToGrid w:val="0"/>
        <w:spacing w:before="157" w:beforeLines="50" w:after="157" w:afterLines="50" w:line="560" w:lineRule="exact"/>
        <w:ind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三、信访投诉</w:t>
      </w:r>
    </w:p>
    <w:p w14:paraId="0BC4B1E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3.1 信访投诉总体要求</w:t>
      </w:r>
    </w:p>
    <w:p w14:paraId="74E0AE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3.1.1 作业单位应设置专人做好“12345”市长热线、“2201212”专线、数字城管、网络舆情、扬言件、市容环卫采集平台等案件的受理工作。投诉类案件接单后及时与来电对象取得联系，应遵守首问责任制</w:t>
      </w:r>
      <w:r>
        <w:rPr>
          <w:rStyle w:val="32"/>
          <w:rFonts w:hint="eastAsia" w:ascii="仿宋" w:hAnsi="仿宋" w:eastAsia="仿宋" w:cs="仿宋"/>
          <w:color w:val="auto"/>
          <w:spacing w:val="0"/>
          <w:sz w:val="24"/>
          <w:szCs w:val="24"/>
          <w:highlight w:val="none"/>
          <w:lang w:val="en-US" w:eastAsia="zh-CN"/>
        </w:rPr>
        <w:t>[</w:t>
      </w:r>
      <w:r>
        <w:rPr>
          <w:rStyle w:val="32"/>
          <w:rFonts w:hint="eastAsia" w:ascii="仿宋" w:hAnsi="仿宋" w:eastAsia="仿宋" w:cs="仿宋"/>
          <w:color w:val="auto"/>
          <w:spacing w:val="0"/>
          <w:sz w:val="24"/>
          <w:szCs w:val="24"/>
          <w:highlight w:val="none"/>
          <w:lang w:val="en-US" w:eastAsia="zh-CN"/>
        </w:rPr>
        <w:footnoteReference w:id="4"/>
      </w:r>
      <w:r>
        <w:rPr>
          <w:rStyle w:val="32"/>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lang w:val="en-US" w:eastAsia="zh-CN"/>
        </w:rPr>
        <w:t>、一次性告知制</w:t>
      </w:r>
      <w:r>
        <w:rPr>
          <w:rStyle w:val="32"/>
          <w:rFonts w:hint="eastAsia" w:ascii="仿宋" w:hAnsi="仿宋" w:eastAsia="仿宋" w:cs="仿宋"/>
          <w:color w:val="auto"/>
          <w:spacing w:val="0"/>
          <w:sz w:val="24"/>
          <w:szCs w:val="24"/>
          <w:highlight w:val="none"/>
          <w:lang w:val="en-US" w:eastAsia="zh-CN"/>
        </w:rPr>
        <w:t>[</w:t>
      </w:r>
      <w:r>
        <w:rPr>
          <w:rStyle w:val="32"/>
          <w:rFonts w:hint="eastAsia" w:ascii="仿宋" w:hAnsi="仿宋" w:eastAsia="仿宋" w:cs="仿宋"/>
          <w:color w:val="auto"/>
          <w:spacing w:val="0"/>
          <w:sz w:val="24"/>
          <w:szCs w:val="24"/>
          <w:highlight w:val="none"/>
          <w:lang w:val="en-US" w:eastAsia="zh-CN"/>
        </w:rPr>
        <w:footnoteReference w:id="5"/>
      </w:r>
      <w:r>
        <w:rPr>
          <w:rStyle w:val="32"/>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4"/>
          <w:szCs w:val="24"/>
          <w:highlight w:val="none"/>
          <w:lang w:val="en-US" w:eastAsia="zh-CN"/>
        </w:rPr>
        <w:t>，按时将处理情况向中心反馈，杜绝推诿扯皮或故意刁难来电对象等情况。</w:t>
      </w:r>
    </w:p>
    <w:p w14:paraId="542598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3.1.2 作业单位应严格按照《市市容环卫中心一体化单位热线受理简报》的要求，做好相关“回头看”的整改工作。</w:t>
      </w:r>
    </w:p>
    <w:p w14:paraId="1F30EB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3.1.3 作业单位应建立健全职工劳动权益保障机制，畅通内部投诉渠道，及时处理职工关于薪资发放、劳动保护、工作时间等合理诉求，设立内部投诉快速响应通道（如2201212专线、民意直通车线上平台），确保职工诉求早发现、早介入、早化解。</w:t>
      </w:r>
    </w:p>
    <w:p w14:paraId="503DA8C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3.2 确保信访投诉高效处置</w:t>
      </w:r>
    </w:p>
    <w:p w14:paraId="473FC71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3.2.1</w:t>
      </w:r>
      <w:r>
        <w:rPr>
          <w:rFonts w:hint="eastAsia" w:ascii="仿宋" w:hAnsi="仿宋" w:eastAsia="仿宋" w:cs="仿宋"/>
          <w:color w:val="auto"/>
          <w:spacing w:val="0"/>
          <w:sz w:val="24"/>
          <w:szCs w:val="24"/>
          <w:highlight w:val="none"/>
          <w:lang w:val="en-US" w:eastAsia="zh-CN"/>
        </w:rPr>
        <w:t>“12345”市长热线、“2201212”专线等信访投诉件应按照《市市容环境卫生管理中心作业服务单位热线受理评判办法》中时效要求完成接单、退单，处置、反馈等工作。</w:t>
      </w:r>
    </w:p>
    <w:p w14:paraId="67213545">
      <w:pPr>
        <w:pStyle w:val="4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 xml:space="preserve">3.2.2 </w:t>
      </w:r>
      <w:r>
        <w:rPr>
          <w:rFonts w:hint="eastAsia" w:ascii="仿宋" w:hAnsi="仿宋" w:eastAsia="仿宋" w:cs="仿宋"/>
          <w:b w:val="0"/>
          <w:bCs w:val="0"/>
          <w:color w:val="auto"/>
          <w:spacing w:val="0"/>
          <w:kern w:val="2"/>
          <w:sz w:val="24"/>
          <w:szCs w:val="24"/>
          <w:highlight w:val="none"/>
          <w:lang w:val="en-US" w:eastAsia="zh-CN" w:bidi="ar-SA"/>
        </w:rPr>
        <w:t>数字城管件接单后在规定时间内对反映内容进行整改，并严格按照原图的角度和内容拍摄整改后的照片向中心反馈，杜绝在“第三方数据评估”板块出现延期件、超时件、返工件等特殊件。</w:t>
      </w:r>
    </w:p>
    <w:p w14:paraId="0FFAB5C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3.2.3</w:t>
      </w:r>
      <w:r>
        <w:rPr>
          <w:rFonts w:hint="eastAsia" w:ascii="仿宋" w:hAnsi="仿宋" w:eastAsia="仿宋" w:cs="仿宋"/>
          <w:color w:val="auto"/>
          <w:spacing w:val="0"/>
          <w:sz w:val="24"/>
          <w:szCs w:val="24"/>
          <w:highlight w:val="none"/>
          <w:lang w:val="en-US" w:eastAsia="zh-CN"/>
        </w:rPr>
        <w:t xml:space="preserve"> 信访投诉件应按要求进行整改，不得出现因主观原因造成的不满意件。</w:t>
      </w:r>
    </w:p>
    <w:p w14:paraId="454CCF5F">
      <w:pPr>
        <w:pStyle w:val="4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 xml:space="preserve">3.2.4 </w:t>
      </w:r>
      <w:r>
        <w:rPr>
          <w:rFonts w:hint="eastAsia" w:ascii="仿宋" w:hAnsi="仿宋" w:eastAsia="仿宋" w:cs="仿宋"/>
          <w:b w:val="0"/>
          <w:bCs w:val="0"/>
          <w:color w:val="auto"/>
          <w:spacing w:val="0"/>
          <w:kern w:val="2"/>
          <w:sz w:val="24"/>
          <w:szCs w:val="24"/>
          <w:highlight w:val="none"/>
          <w:lang w:val="en-US" w:eastAsia="zh-CN" w:bidi="ar-SA"/>
        </w:rPr>
        <w:t>市容环卫采集平台的采集件应按照《市市容环境卫生管理中心作业服务单位热线受理评判办法》中时效要求完成全流程工作，不得出现未处理件。</w:t>
      </w:r>
    </w:p>
    <w:p w14:paraId="7BC7DB51">
      <w:pPr>
        <w:pStyle w:val="47"/>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 xml:space="preserve">3.2.5 </w:t>
      </w:r>
      <w:r>
        <w:rPr>
          <w:rFonts w:hint="eastAsia" w:ascii="仿宋" w:hAnsi="仿宋" w:eastAsia="仿宋" w:cs="仿宋"/>
          <w:b w:val="0"/>
          <w:bCs w:val="0"/>
          <w:color w:val="auto"/>
          <w:spacing w:val="0"/>
          <w:kern w:val="2"/>
          <w:sz w:val="24"/>
          <w:szCs w:val="24"/>
          <w:highlight w:val="none"/>
          <w:lang w:val="en-US" w:eastAsia="zh-CN" w:bidi="ar-SA"/>
        </w:rPr>
        <w:t>网络舆情、扬言件等原则上应按照《市市容环境卫生管理中心作业服务单位热线受理评判办法》中时效要求完成案件的调查、取证及反馈。特殊情况的，按照上级部门要求落实。</w:t>
      </w:r>
    </w:p>
    <w:p w14:paraId="3731481E">
      <w:pPr>
        <w:pStyle w:val="47"/>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3.3 降低有责信访投诉率，提升一次性化解率</w:t>
      </w:r>
    </w:p>
    <w:p w14:paraId="4DE5A83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b/>
          <w:bCs/>
          <w:color w:val="auto"/>
          <w:spacing w:val="0"/>
          <w:kern w:val="2"/>
          <w:sz w:val="24"/>
          <w:szCs w:val="24"/>
          <w:highlight w:val="none"/>
          <w:lang w:val="en-US" w:eastAsia="zh-CN" w:bidi="ar-SA"/>
        </w:rPr>
        <w:t xml:space="preserve">3.3.1 </w:t>
      </w:r>
      <w:r>
        <w:rPr>
          <w:rFonts w:hint="eastAsia" w:ascii="仿宋" w:hAnsi="仿宋" w:eastAsia="仿宋" w:cs="仿宋"/>
          <w:color w:val="auto"/>
          <w:spacing w:val="0"/>
          <w:sz w:val="24"/>
          <w:szCs w:val="24"/>
          <w:highlight w:val="none"/>
          <w:lang w:val="en-US" w:eastAsia="zh-CN"/>
        </w:rPr>
        <w:t>作业单位应要求开展环卫作业业务，不得在“12345”市长热线、“2201212”专线中出现有责案件。</w:t>
      </w:r>
    </w:p>
    <w:p w14:paraId="6E9BC2F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trike/>
          <w:dstrike w:val="0"/>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 xml:space="preserve">3.3.2 </w:t>
      </w:r>
      <w:r>
        <w:rPr>
          <w:rFonts w:hint="eastAsia" w:ascii="仿宋" w:hAnsi="仿宋" w:eastAsia="仿宋" w:cs="仿宋"/>
          <w:color w:val="auto"/>
          <w:spacing w:val="0"/>
          <w:sz w:val="24"/>
          <w:szCs w:val="24"/>
          <w:highlight w:val="none"/>
          <w:lang w:val="en-US" w:eastAsia="zh-CN"/>
        </w:rPr>
        <w:t xml:space="preserve">作业单位应提高案件首次处理实效，不得在“12345”市长热线、“2201212”专线中出现未化解件。       </w:t>
      </w:r>
    </w:p>
    <w:p w14:paraId="17396E5E">
      <w:pPr>
        <w:pStyle w:val="47"/>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 xml:space="preserve">3.3.3 </w:t>
      </w:r>
      <w:r>
        <w:rPr>
          <w:rFonts w:hint="eastAsia" w:ascii="仿宋" w:hAnsi="仿宋" w:eastAsia="仿宋" w:cs="仿宋"/>
          <w:b w:val="0"/>
          <w:bCs w:val="0"/>
          <w:color w:val="auto"/>
          <w:spacing w:val="0"/>
          <w:kern w:val="2"/>
          <w:sz w:val="24"/>
          <w:szCs w:val="24"/>
          <w:highlight w:val="none"/>
          <w:lang w:val="en-US" w:eastAsia="zh-CN" w:bidi="ar-SA"/>
        </w:rPr>
        <w:t>职工权益保障专项要求：设立职工权益热线联络员，负责协调处理职工投诉事项。接到投诉后，联络员须在16小时内上报主管部门，40小时内推动完成处置，实现问题“动态清零”；对职工集中反映的共性问题（如高温补贴、防护装备等），联络员应牵头建立整改台账并限期落实，确保劳动纠纷零搁置，杜绝因处置不力引发有责投诉或群体性事件。</w:t>
      </w:r>
    </w:p>
    <w:p w14:paraId="4339E330">
      <w:pPr>
        <w:pStyle w:val="47"/>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3.3.4</w:t>
      </w:r>
      <w:r>
        <w:rPr>
          <w:rFonts w:hint="eastAsia" w:ascii="仿宋" w:hAnsi="仿宋" w:eastAsia="仿宋" w:cs="仿宋"/>
          <w:b w:val="0"/>
          <w:bCs w:val="0"/>
          <w:color w:val="auto"/>
          <w:spacing w:val="0"/>
          <w:kern w:val="2"/>
          <w:sz w:val="24"/>
          <w:szCs w:val="24"/>
          <w:highlight w:val="none"/>
          <w:lang w:val="en-US" w:eastAsia="zh-CN" w:bidi="ar-SA"/>
        </w:rPr>
        <w:t>对重复性劳动权益信访案件（如欠薪、防护缺失等），倒查管理责任并限期整改，同一问题年度累计3次以上的，年度考核应予以扣分。</w:t>
      </w:r>
    </w:p>
    <w:p w14:paraId="1733274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四、安全生产及文明创建</w:t>
      </w:r>
    </w:p>
    <w:p w14:paraId="447027EC">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4.1 安全生产</w:t>
      </w:r>
    </w:p>
    <w:p w14:paraId="2979EA64">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4.1.1 作业单位所有责任范围内的环卫设施、设备、车辆安全管理应做到“四有一无”，即有安全管理组织、有安全管理制度、有安全检查制度、有安全培训制度，无安全事故（包括安全隐患或事件）发生。</w:t>
      </w:r>
    </w:p>
    <w:p w14:paraId="682B3D09">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4.1.2 作业单位作业时应确保中心设施设备完好，在服务期间损坏中心设施设备等应限时修复或照价赔偿。</w:t>
      </w:r>
    </w:p>
    <w:p w14:paraId="4A19B8B6">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4.1.3 环卫作业车辆应保持车况良好，频繁故障的车辆应暂停作业并进行全面检修，待彻底排除故障符合作业条件后，方可重新启用。车辆发生事故后，应及时上报，有责事故发生率高的作业片区在单次扣罚的基础上，再给予其他扣罚。</w:t>
      </w:r>
    </w:p>
    <w:p w14:paraId="63BC107F">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4.1.4 作业单位应建立有效的应急机制，遇到重大活动、文明城市迎检、疫情防控、自然灾害（如：台风、梅雨汛期的防内涝，冬季雪天防路面、桥面打滑、积雪清除、落叶飞絮等）等情况，应依据应急预案快速响应。</w:t>
      </w:r>
    </w:p>
    <w:p w14:paraId="54DE8A8E">
      <w:pPr>
        <w:pStyle w:val="11"/>
        <w:keepNext w:val="0"/>
        <w:keepLines w:val="0"/>
        <w:pageBreakBefore w:val="0"/>
        <w:kinsoku/>
        <w:wordWrap/>
        <w:overflowPunct/>
        <w:topLinePunct w:val="0"/>
        <w:autoSpaceDE/>
        <w:autoSpaceDN/>
        <w:bidi w:val="0"/>
        <w:adjustRightInd/>
        <w:spacing w:line="560" w:lineRule="exact"/>
        <w:ind w:firstLine="456" w:firstLineChars="200"/>
        <w:rPr>
          <w:rFonts w:hint="eastAsia" w:ascii="仿宋" w:hAnsi="仿宋" w:eastAsia="仿宋" w:cs="仿宋"/>
          <w:b w:val="0"/>
          <w:bCs w:val="0"/>
          <w:color w:val="auto"/>
          <w:spacing w:val="-6"/>
          <w:kern w:val="2"/>
          <w:sz w:val="24"/>
          <w:szCs w:val="24"/>
          <w:highlight w:val="none"/>
          <w:lang w:val="en-US" w:eastAsia="zh-CN" w:bidi="ar-SA"/>
        </w:rPr>
      </w:pPr>
      <w:r>
        <w:rPr>
          <w:rFonts w:hint="eastAsia" w:ascii="仿宋" w:hAnsi="仿宋" w:eastAsia="仿宋" w:cs="仿宋"/>
          <w:b w:val="0"/>
          <w:bCs w:val="0"/>
          <w:color w:val="auto"/>
          <w:spacing w:val="-6"/>
          <w:kern w:val="2"/>
          <w:sz w:val="24"/>
          <w:szCs w:val="24"/>
          <w:highlight w:val="none"/>
          <w:lang w:val="en-US" w:eastAsia="zh-CN" w:bidi="ar-SA"/>
        </w:rPr>
        <w:t>4.1.5 作业单位应统一巡检工具并按巡查部门要求规范使用。</w:t>
      </w:r>
    </w:p>
    <w:p w14:paraId="49A04A81">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4.2 文明作业</w:t>
      </w:r>
    </w:p>
    <w:p w14:paraId="05E37596">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4.2.1 作业人员应规范配备作业服务工具，作业时须规范身着反光工作服，按要求着装。</w:t>
      </w:r>
    </w:p>
    <w:p w14:paraId="13FBEA81">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4.2.2 作业人员作业时不得随意脱岗或从事工作以外事情。</w:t>
      </w:r>
    </w:p>
    <w:p w14:paraId="5BD2A449">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4.2.3 作业人员应文明服务，态度良好，不得与人发生冲突，不得出现闯红灯、爬栏杆、逆向行驶、随地便溺</w:t>
      </w:r>
      <w:r>
        <w:rPr>
          <w:rFonts w:hint="eastAsia" w:ascii="仿宋" w:hAnsi="仿宋" w:eastAsia="仿宋" w:cs="仿宋"/>
          <w:b w:val="0"/>
          <w:bCs w:val="0"/>
          <w:color w:val="auto"/>
          <w:spacing w:val="0"/>
          <w:kern w:val="2"/>
          <w:sz w:val="24"/>
          <w:szCs w:val="24"/>
          <w:highlight w:val="none"/>
          <w:lang w:val="en-US" w:eastAsia="zh-CN" w:bidi="ar-SA"/>
        </w:rPr>
        <w:t>等不文明行为</w:t>
      </w:r>
      <w:r>
        <w:rPr>
          <w:rFonts w:hint="eastAsia" w:ascii="仿宋" w:hAnsi="仿宋" w:eastAsia="仿宋" w:cs="仿宋"/>
          <w:b w:val="0"/>
          <w:bCs w:val="0"/>
          <w:color w:val="auto"/>
          <w:spacing w:val="-6"/>
          <w:sz w:val="24"/>
          <w:szCs w:val="24"/>
          <w:highlight w:val="none"/>
          <w:lang w:val="en-US" w:eastAsia="zh-CN"/>
        </w:rPr>
        <w:t>。</w:t>
      </w:r>
    </w:p>
    <w:p w14:paraId="092D969B">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4.2.4 环卫作业车辆应配备到位、统一标识，保持车容整洁，车身无破损并装贴反光警示条，车外无杂物吊挂。环卫作业车辆作业时应做到密闭运输，无垃圾抛洒、无污水滴漏；作业时实行分类收集、分类运输，不得混装、混运。</w:t>
      </w:r>
    </w:p>
    <w:p w14:paraId="085A3C0E">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4.2.5 环卫作业车辆行驶应遵守交规，不得超速、闯红灯、逆行或随意停放等。</w:t>
      </w:r>
    </w:p>
    <w:p w14:paraId="20D61301">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4.2.6 环卫作业车辆保洁、清运作业时间应按照中心要求严格执行，须避开交通高峰期 </w:t>
      </w:r>
      <w:r>
        <w:rPr>
          <w:rStyle w:val="32"/>
          <w:rFonts w:hint="eastAsia" w:ascii="仿宋" w:hAnsi="仿宋" w:eastAsia="仿宋" w:cs="仿宋"/>
          <w:b w:val="0"/>
          <w:bCs w:val="0"/>
          <w:color w:val="auto"/>
          <w:spacing w:val="-6"/>
          <w:sz w:val="24"/>
          <w:szCs w:val="24"/>
          <w:highlight w:val="none"/>
          <w:lang w:val="en-US" w:eastAsia="zh-CN"/>
        </w:rPr>
        <w:t>[</w:t>
      </w:r>
      <w:r>
        <w:rPr>
          <w:rStyle w:val="32"/>
          <w:rFonts w:hint="eastAsia" w:ascii="仿宋" w:hAnsi="仿宋" w:eastAsia="仿宋" w:cs="仿宋"/>
          <w:b w:val="0"/>
          <w:bCs w:val="0"/>
          <w:color w:val="auto"/>
          <w:spacing w:val="-6"/>
          <w:sz w:val="24"/>
          <w:szCs w:val="24"/>
          <w:highlight w:val="none"/>
          <w:lang w:val="en-US" w:eastAsia="zh-CN"/>
        </w:rPr>
        <w:footnoteReference w:id="6"/>
      </w:r>
      <w:r>
        <w:rPr>
          <w:rStyle w:val="32"/>
          <w:rFonts w:hint="eastAsia" w:ascii="仿宋" w:hAnsi="仿宋" w:eastAsia="仿宋" w:cs="仿宋"/>
          <w:b w:val="0"/>
          <w:bCs w:val="0"/>
          <w:color w:val="auto"/>
          <w:spacing w:val="-6"/>
          <w:sz w:val="24"/>
          <w:szCs w:val="24"/>
          <w:highlight w:val="none"/>
          <w:lang w:val="en-US" w:eastAsia="zh-CN"/>
        </w:rPr>
        <w:t>]</w:t>
      </w:r>
      <w:r>
        <w:rPr>
          <w:rFonts w:hint="eastAsia" w:ascii="仿宋" w:hAnsi="仿宋" w:eastAsia="仿宋" w:cs="仿宋"/>
          <w:b w:val="0"/>
          <w:bCs w:val="0"/>
          <w:color w:val="auto"/>
          <w:spacing w:val="-6"/>
          <w:sz w:val="24"/>
          <w:szCs w:val="24"/>
          <w:highlight w:val="none"/>
          <w:lang w:val="en-US" w:eastAsia="zh-CN"/>
        </w:rPr>
        <w:t>。</w:t>
      </w:r>
    </w:p>
    <w:p w14:paraId="5E5DAA1E">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4.2.7 环卫作业应在提醒市民注意避让的前提下降低对市民的干扰。环卫作业车辆作业时应开适当音量警示灯或鸣报信号（在21:00－6:00时段以及中高考等管制期间须开展夜间作业的除外）。作业时采取适当的避让措施，如不得洒水、清运扰民，冲洗过程应避让行人等。</w:t>
      </w:r>
    </w:p>
    <w:p w14:paraId="7162A4E8">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56" w:firstLineChars="200"/>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4.2.8 环卫作业车辆随车人员进入中心各类场站（中转站、建筑渣土循环利用中心等）后，禁止发生在场站内及周边随地乱扔垃圾、随地便溺等不文明行为。</w:t>
      </w:r>
    </w:p>
    <w:p w14:paraId="0985655F">
      <w:pPr>
        <w:pStyle w:val="11"/>
        <w:keepNext w:val="0"/>
        <w:keepLines w:val="0"/>
        <w:pageBreakBefore w:val="0"/>
        <w:tabs>
          <w:tab w:val="left" w:pos="3380"/>
        </w:tabs>
        <w:kinsoku/>
        <w:wordWrap/>
        <w:overflowPunct/>
        <w:topLinePunct w:val="0"/>
        <w:autoSpaceDE/>
        <w:autoSpaceDN/>
        <w:bidi w:val="0"/>
        <w:adjustRightInd/>
        <w:spacing w:line="560" w:lineRule="exact"/>
        <w:jc w:val="left"/>
        <w:textAlignment w:val="auto"/>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  4.2.9 作业单位提供的作业车辆原则上只为本次环卫业务服务（确有外调服务需求的，按照中心相关规定执行），未经中心同意，不得私自承接该项目以外任何作业任务。</w:t>
      </w:r>
    </w:p>
    <w:p w14:paraId="55D8571B">
      <w:pPr>
        <w:keepNext w:val="0"/>
        <w:keepLines w:val="0"/>
        <w:pageBreakBefore w:val="0"/>
        <w:kinsoku/>
        <w:wordWrap/>
        <w:overflowPunct/>
        <w:topLinePunct w:val="0"/>
        <w:autoSpaceDE/>
        <w:autoSpaceDN/>
        <w:bidi w:val="0"/>
        <w:adjustRightInd/>
        <w:snapToGrid/>
        <w:spacing w:line="560" w:lineRule="exact"/>
        <w:ind w:firstLine="456"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 xml:space="preserve">4.2.10 </w:t>
      </w:r>
      <w:r>
        <w:rPr>
          <w:rFonts w:hint="eastAsia" w:ascii="仿宋" w:hAnsi="仿宋" w:eastAsia="仿宋" w:cs="仿宋"/>
          <w:b w:val="0"/>
          <w:bCs/>
          <w:color w:val="auto"/>
          <w:sz w:val="24"/>
          <w:szCs w:val="24"/>
          <w:highlight w:val="none"/>
          <w:lang w:val="en-US" w:eastAsia="zh-CN"/>
        </w:rPr>
        <w:t>环卫作业用水应按照环卫作业加水点相关规定执行。</w:t>
      </w:r>
    </w:p>
    <w:p w14:paraId="1DAB1913">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4.3文明管理</w:t>
      </w:r>
    </w:p>
    <w:p w14:paraId="35E9B5D5">
      <w:pPr>
        <w:keepNext w:val="0"/>
        <w:keepLines w:val="0"/>
        <w:pageBreakBefore w:val="0"/>
        <w:kinsoku/>
        <w:wordWrap/>
        <w:overflowPunct/>
        <w:topLinePunct w:val="0"/>
        <w:autoSpaceDE/>
        <w:autoSpaceDN/>
        <w:bidi w:val="0"/>
        <w:adjustRightInd/>
        <w:spacing w:line="560" w:lineRule="exact"/>
        <w:ind w:firstLine="456" w:firstLineChars="200"/>
        <w:rPr>
          <w:rFonts w:hint="eastAsia" w:ascii="仿宋" w:hAnsi="仿宋" w:eastAsia="仿宋" w:cs="仿宋"/>
          <w:b w:val="0"/>
          <w:bCs w:val="0"/>
          <w:color w:val="auto"/>
          <w:spacing w:val="-6"/>
          <w:kern w:val="2"/>
          <w:sz w:val="24"/>
          <w:szCs w:val="24"/>
          <w:highlight w:val="none"/>
          <w:lang w:val="en-US" w:eastAsia="zh-CN" w:bidi="ar-SA"/>
        </w:rPr>
      </w:pPr>
      <w:r>
        <w:rPr>
          <w:rFonts w:hint="eastAsia" w:ascii="仿宋" w:hAnsi="仿宋" w:eastAsia="仿宋" w:cs="仿宋"/>
          <w:b w:val="0"/>
          <w:bCs w:val="0"/>
          <w:color w:val="auto"/>
          <w:spacing w:val="-6"/>
          <w:kern w:val="2"/>
          <w:sz w:val="24"/>
          <w:szCs w:val="24"/>
          <w:highlight w:val="none"/>
          <w:lang w:val="en-US" w:eastAsia="zh-CN" w:bidi="ar-SA"/>
        </w:rPr>
        <w:t>4.3.1 为提升文明管理水平，制定年度文明作业实施方案，明确目标与具体措施。</w:t>
      </w:r>
    </w:p>
    <w:p w14:paraId="35B21959">
      <w:pPr>
        <w:keepNext w:val="0"/>
        <w:keepLines w:val="0"/>
        <w:pageBreakBefore w:val="0"/>
        <w:kinsoku/>
        <w:wordWrap/>
        <w:overflowPunct/>
        <w:topLinePunct w:val="0"/>
        <w:autoSpaceDE/>
        <w:autoSpaceDN/>
        <w:bidi w:val="0"/>
        <w:adjustRightInd/>
        <w:spacing w:line="560" w:lineRule="exact"/>
        <w:ind w:firstLine="456" w:firstLineChars="200"/>
        <w:rPr>
          <w:rFonts w:hint="eastAsia" w:ascii="仿宋" w:hAnsi="仿宋" w:eastAsia="仿宋" w:cs="仿宋"/>
          <w:b w:val="0"/>
          <w:bCs w:val="0"/>
          <w:color w:val="auto"/>
          <w:spacing w:val="-6"/>
          <w:kern w:val="2"/>
          <w:sz w:val="24"/>
          <w:szCs w:val="24"/>
          <w:highlight w:val="none"/>
          <w:lang w:val="en-US" w:eastAsia="zh-CN" w:bidi="ar-SA"/>
        </w:rPr>
      </w:pPr>
      <w:r>
        <w:rPr>
          <w:rFonts w:hint="eastAsia" w:ascii="仿宋" w:hAnsi="仿宋" w:eastAsia="仿宋" w:cs="仿宋"/>
          <w:b w:val="0"/>
          <w:bCs w:val="0"/>
          <w:color w:val="auto"/>
          <w:spacing w:val="-6"/>
          <w:kern w:val="2"/>
          <w:sz w:val="24"/>
          <w:szCs w:val="24"/>
          <w:highlight w:val="none"/>
          <w:lang w:val="en-US" w:eastAsia="zh-CN" w:bidi="ar-SA"/>
        </w:rPr>
        <w:t>4.3.2 逐层签订文明管理责任书，细化责任到科室、落实到班组。</w:t>
      </w:r>
    </w:p>
    <w:p w14:paraId="41DADD76">
      <w:pPr>
        <w:keepNext w:val="0"/>
        <w:keepLines w:val="0"/>
        <w:pageBreakBefore w:val="0"/>
        <w:kinsoku/>
        <w:wordWrap/>
        <w:overflowPunct/>
        <w:topLinePunct w:val="0"/>
        <w:autoSpaceDE/>
        <w:autoSpaceDN/>
        <w:bidi w:val="0"/>
        <w:adjustRightInd/>
        <w:spacing w:line="560" w:lineRule="exact"/>
        <w:ind w:firstLine="456" w:firstLineChars="200"/>
        <w:rPr>
          <w:rFonts w:hint="eastAsia" w:ascii="仿宋" w:hAnsi="仿宋" w:eastAsia="仿宋" w:cs="仿宋"/>
          <w:b w:val="0"/>
          <w:bCs w:val="0"/>
          <w:color w:val="auto"/>
          <w:spacing w:val="-6"/>
          <w:kern w:val="2"/>
          <w:sz w:val="24"/>
          <w:szCs w:val="24"/>
          <w:highlight w:val="none"/>
          <w:lang w:val="en-US" w:eastAsia="zh-CN" w:bidi="ar-SA"/>
        </w:rPr>
      </w:pPr>
      <w:r>
        <w:rPr>
          <w:rFonts w:hint="eastAsia" w:ascii="仿宋" w:hAnsi="仿宋" w:eastAsia="仿宋" w:cs="仿宋"/>
          <w:b w:val="0"/>
          <w:bCs w:val="0"/>
          <w:color w:val="auto"/>
          <w:spacing w:val="-6"/>
          <w:kern w:val="2"/>
          <w:sz w:val="24"/>
          <w:szCs w:val="24"/>
          <w:highlight w:val="none"/>
          <w:lang w:val="en-US" w:eastAsia="zh-CN" w:bidi="ar-SA"/>
        </w:rPr>
        <w:t>4.3.3 定期召开文明管理专题会议，每年组织管理层文明管理培训不少于2次，员工培训不少于4次，全方位提升文明素养。</w:t>
      </w:r>
    </w:p>
    <w:p w14:paraId="136A7932">
      <w:pPr>
        <w:keepNext w:val="0"/>
        <w:keepLines w:val="0"/>
        <w:pageBreakBefore w:val="0"/>
        <w:kinsoku/>
        <w:wordWrap/>
        <w:overflowPunct/>
        <w:topLinePunct w:val="0"/>
        <w:autoSpaceDE/>
        <w:autoSpaceDN/>
        <w:bidi w:val="0"/>
        <w:adjustRightInd/>
        <w:snapToGrid/>
        <w:spacing w:line="560" w:lineRule="exact"/>
        <w:ind w:firstLine="456"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val="0"/>
          <w:color w:val="auto"/>
          <w:spacing w:val="-6"/>
          <w:kern w:val="2"/>
          <w:sz w:val="24"/>
          <w:szCs w:val="24"/>
          <w:highlight w:val="none"/>
          <w:lang w:val="en-US" w:eastAsia="zh-CN" w:bidi="ar-SA"/>
        </w:rPr>
        <w:t>4.3.4 杜绝发生因管理粗暴等原因引发员工投诉或舆情事件，维护良好工作氛围。</w:t>
      </w:r>
    </w:p>
    <w:p w14:paraId="34C568D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五、职工保障</w:t>
      </w:r>
    </w:p>
    <w:p w14:paraId="7052DE7A">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both"/>
        <w:textAlignment w:val="auto"/>
        <w:outlineLvl w:val="9"/>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5.1 人员管理</w:t>
      </w:r>
    </w:p>
    <w:p w14:paraId="29C74424">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b w:val="0"/>
          <w:bCs w:val="0"/>
          <w:color w:val="auto"/>
          <w:spacing w:val="0"/>
          <w:sz w:val="24"/>
          <w:szCs w:val="24"/>
          <w:highlight w:val="none"/>
          <w:shd w:val="clear" w:color="auto" w:fill="auto"/>
          <w:lang w:val="en-US" w:eastAsia="zh-CN"/>
        </w:rPr>
      </w:pPr>
      <w:r>
        <w:rPr>
          <w:rFonts w:hint="eastAsia" w:ascii="仿宋" w:hAnsi="仿宋" w:eastAsia="仿宋" w:cs="仿宋"/>
          <w:b w:val="0"/>
          <w:bCs w:val="0"/>
          <w:color w:val="auto"/>
          <w:spacing w:val="0"/>
          <w:sz w:val="24"/>
          <w:szCs w:val="24"/>
          <w:highlight w:val="none"/>
          <w:lang w:val="en-US" w:eastAsia="zh-CN"/>
        </w:rPr>
        <w:t>5.1.1 环卫作业服务项目必须按招标要求配备管理人员。其中项目负责人必须为本项目专职服务，到场响应时间按招标要求执行。项目负责人及</w:t>
      </w:r>
      <w:r>
        <w:rPr>
          <w:rFonts w:hint="eastAsia" w:ascii="仿宋" w:hAnsi="仿宋" w:eastAsia="仿宋" w:cs="仿宋"/>
          <w:b w:val="0"/>
          <w:bCs w:val="0"/>
          <w:color w:val="auto"/>
          <w:spacing w:val="0"/>
          <w:kern w:val="2"/>
          <w:sz w:val="24"/>
          <w:szCs w:val="24"/>
          <w:highlight w:val="none"/>
          <w:lang w:val="en-US" w:eastAsia="zh-CN" w:bidi="ar-SA"/>
        </w:rPr>
        <w:t>其他管理人员</w:t>
      </w:r>
      <w:r>
        <w:rPr>
          <w:rFonts w:hint="eastAsia" w:ascii="仿宋" w:hAnsi="仿宋" w:eastAsia="仿宋" w:cs="仿宋"/>
          <w:b w:val="0"/>
          <w:bCs w:val="0"/>
          <w:color w:val="auto"/>
          <w:spacing w:val="0"/>
          <w:sz w:val="24"/>
          <w:szCs w:val="24"/>
          <w:highlight w:val="none"/>
          <w:lang w:val="en-US" w:eastAsia="zh-CN"/>
        </w:rPr>
        <w:t>变更的，应由作业单位提出申请（由中心责令变更的情况除外），经中心书面同意后方可</w:t>
      </w:r>
      <w:r>
        <w:rPr>
          <w:rFonts w:hint="eastAsia" w:ascii="仿宋" w:hAnsi="仿宋" w:eastAsia="仿宋" w:cs="仿宋"/>
          <w:b w:val="0"/>
          <w:bCs w:val="0"/>
          <w:color w:val="auto"/>
          <w:spacing w:val="0"/>
          <w:sz w:val="24"/>
          <w:szCs w:val="24"/>
          <w:highlight w:val="none"/>
          <w:shd w:val="clear" w:color="auto" w:fill="auto"/>
          <w:lang w:val="en-US" w:eastAsia="zh-CN"/>
        </w:rPr>
        <w:t>变更，变更后的人员条件不得低于投标相应条件。</w:t>
      </w:r>
    </w:p>
    <w:p w14:paraId="663E7C22">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both"/>
        <w:textAlignment w:val="auto"/>
        <w:outlineLvl w:val="9"/>
        <w:rPr>
          <w:rFonts w:hint="eastAsia" w:ascii="仿宋" w:hAnsi="仿宋" w:eastAsia="仿宋" w:cs="仿宋"/>
          <w:b w:val="0"/>
          <w:bCs w:val="0"/>
          <w:color w:val="auto"/>
          <w:spacing w:val="0"/>
          <w:sz w:val="24"/>
          <w:szCs w:val="24"/>
          <w:highlight w:val="none"/>
          <w:shd w:val="clear" w:color="auto" w:fill="auto"/>
          <w:lang w:val="en-US" w:eastAsia="zh-CN"/>
        </w:rPr>
      </w:pPr>
      <w:r>
        <w:rPr>
          <w:rFonts w:hint="eastAsia" w:ascii="仿宋" w:hAnsi="仿宋" w:eastAsia="仿宋" w:cs="仿宋"/>
          <w:b w:val="0"/>
          <w:bCs w:val="0"/>
          <w:color w:val="auto"/>
          <w:spacing w:val="0"/>
          <w:sz w:val="24"/>
          <w:szCs w:val="24"/>
          <w:highlight w:val="none"/>
          <w:shd w:val="clear" w:color="auto" w:fill="auto"/>
          <w:lang w:val="en-US" w:eastAsia="zh-CN"/>
        </w:rPr>
        <w:t>作业单位需明确管理人员岗位职责，清晰界定各岗位工作内容、任务标准及权责范围；同时，精准确定每项工作的联系人和对接人，建立明确的沟通协作机制与责任追溯路径，确保信息传递及时、工作衔接有序。</w:t>
      </w:r>
    </w:p>
    <w:p w14:paraId="0A8A6FB9">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both"/>
        <w:textAlignment w:val="auto"/>
        <w:outlineLvl w:val="9"/>
        <w:rPr>
          <w:rFonts w:hint="eastAsia" w:ascii="仿宋" w:hAnsi="仿宋" w:eastAsia="仿宋" w:cs="仿宋"/>
          <w:b w:val="0"/>
          <w:bCs w:val="0"/>
          <w:color w:val="auto"/>
          <w:spacing w:val="0"/>
          <w:sz w:val="24"/>
          <w:szCs w:val="24"/>
          <w:highlight w:val="none"/>
          <w:shd w:val="clear" w:color="auto" w:fill="auto"/>
          <w:lang w:val="en-US" w:eastAsia="zh-CN"/>
        </w:rPr>
      </w:pPr>
      <w:r>
        <w:rPr>
          <w:rFonts w:hint="eastAsia" w:ascii="仿宋" w:hAnsi="仿宋" w:eastAsia="仿宋" w:cs="仿宋"/>
          <w:b w:val="0"/>
          <w:bCs w:val="0"/>
          <w:color w:val="auto"/>
          <w:spacing w:val="0"/>
          <w:sz w:val="24"/>
          <w:szCs w:val="24"/>
          <w:highlight w:val="none"/>
          <w:shd w:val="clear" w:color="auto" w:fill="auto"/>
          <w:lang w:val="en-US" w:eastAsia="zh-CN"/>
        </w:rPr>
        <w:t>5.1.2 环卫作业服务项目管理人员和作业人员的配备应符合招标文件，人员到位率不得低于经巡查管理部门核准的项目人员配置方案的人员配置数，人员到岗率不得低于90%。社会保险和公积金参缴率应按招标文件中的要求执行。</w:t>
      </w:r>
    </w:p>
    <w:p w14:paraId="534757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中心相关业务科室应定期对安全管理、人事管理、信息监管、数据采集、热线处理员、宣传联络、公厕保洁等岗位人员进行培训及考核，考核合格后方可上岗。</w:t>
      </w:r>
    </w:p>
    <w:p w14:paraId="5A52C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作业单位须按照要求为新入职人员提供入职体检，做好关于业务技能、安全生产和权益保障等方面的入职培训，同时作业单位应定期对作业人员开展业务技能、安全生产和权益保障培训，每年不少于8次（其中权益保障方面的培训不少于4次）。</w:t>
      </w:r>
      <w:r>
        <w:rPr>
          <w:rFonts w:hint="eastAsia" w:ascii="仿宋" w:hAnsi="仿宋" w:eastAsia="仿宋" w:cs="仿宋"/>
          <w:b w:val="0"/>
          <w:bCs w:val="0"/>
          <w:color w:val="auto"/>
          <w:spacing w:val="0"/>
          <w:kern w:val="2"/>
          <w:sz w:val="24"/>
          <w:szCs w:val="24"/>
          <w:highlight w:val="none"/>
          <w:lang w:val="en-US" w:eastAsia="zh-CN" w:bidi="ar-SA"/>
        </w:rPr>
        <w:t>并对培训内容进行阶段性测试考核，每年不少于2次。</w:t>
      </w:r>
    </w:p>
    <w:p w14:paraId="53D22B2D">
      <w:pPr>
        <w:pStyle w:val="11"/>
        <w:keepNext w:val="0"/>
        <w:keepLines w:val="0"/>
        <w:pageBreakBefore w:val="0"/>
        <w:kinsoku/>
        <w:wordWrap/>
        <w:overflowPunct/>
        <w:topLinePunct w:val="0"/>
        <w:autoSpaceDE/>
        <w:autoSpaceDN/>
        <w:bidi w:val="0"/>
        <w:adjustRightInd/>
        <w:spacing w:after="0" w:line="560" w:lineRule="exact"/>
        <w:ind w:left="0" w:leftChars="0"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sz w:val="24"/>
          <w:szCs w:val="24"/>
          <w:highlight w:val="none"/>
          <w:lang w:val="en-US" w:eastAsia="zh-CN"/>
        </w:rPr>
        <w:t>涉及道路保洁、公厕保洁、垃圾清运等项目或其他超过10人的环卫作业服务项目，必须建立项目职工花名册，主要包括姓名、性别、年龄、身份证号、工种、用工形式（合同类型）、户籍地址、居住地址、联系电话等信息，并在项目履约前上报。服务期内按规定将</w:t>
      </w:r>
      <w:r>
        <w:rPr>
          <w:rFonts w:hint="eastAsia" w:ascii="仿宋" w:hAnsi="仿宋" w:eastAsia="仿宋" w:cs="仿宋"/>
          <w:b w:val="0"/>
          <w:bCs w:val="0"/>
          <w:color w:val="auto"/>
          <w:spacing w:val="0"/>
          <w:kern w:val="2"/>
          <w:sz w:val="24"/>
          <w:szCs w:val="24"/>
          <w:highlight w:val="none"/>
          <w:lang w:val="en-US" w:eastAsia="zh-CN" w:bidi="ar-SA"/>
        </w:rPr>
        <w:t>人员信息变更表、合同扫描件、当月缴纳人员社保凭证等人事报表于次月最后一个工作日前上报，参保人员变更情况同步上报。</w:t>
      </w:r>
    </w:p>
    <w:p w14:paraId="7A97A59F">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both"/>
        <w:textAlignment w:val="auto"/>
        <w:outlineLvl w:val="9"/>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5.2 权益保障</w:t>
      </w:r>
    </w:p>
    <w:p w14:paraId="20870A2F">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both"/>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5.2.1 环卫作业服务项目作业人员的工资、加班费、高温费、保暖费、过节费（包括环卫节、春节福利等）等须按照法律法规、政策文件规定足额发放到位。体检、租房补贴等福利应按照政策文件规定落实到位，所有人员每年均应参加体检及购买意外伤害保险和工伤保险（或雇主险），商业保险保障额度不得低于招标文件要求，作业人员超过法定退休年龄的，相关劳动权益保障参照《中华人民共和国劳动法》有关规定执行。</w:t>
      </w:r>
    </w:p>
    <w:p w14:paraId="1518DCC9">
      <w:pPr>
        <w:pStyle w:val="11"/>
        <w:keepNext w:val="0"/>
        <w:keepLines w:val="0"/>
        <w:pageBreakBefore w:val="0"/>
        <w:kinsoku/>
        <w:wordWrap/>
        <w:overflowPunct/>
        <w:topLinePunct w:val="0"/>
        <w:autoSpaceDE/>
        <w:autoSpaceDN/>
        <w:bidi w:val="0"/>
        <w:adjustRightInd/>
        <w:spacing w:after="0" w:line="560" w:lineRule="exact"/>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作业服务单位要积极响应夏季避高温作业要求，及时发放夏季防暑药品，落实困难职工关爱等工作。</w:t>
      </w:r>
    </w:p>
    <w:p w14:paraId="38993580">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5.2.2 作业单位应按照中心要求建立环卫工人工资专用账户，并设置专门的管理员岗位，负责工资专用账户的资金监管、异常情况预警、工资编制及对账核算，确保工资发放流程合规透明。</w:t>
      </w:r>
    </w:p>
    <w:p w14:paraId="7D7E8523">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作业单位须按照要求，在合同签订之日起30个工作日内，开立工资专用账户，并与采购单位、开户银行签订资金管理三方协议。在进行支付工资时，作业单位应在规定时间内将实名制管理台账、经环卫工人本人签字确认的工资支付表、考勤表等审核后的相关资料报送开户银行。</w:t>
      </w:r>
    </w:p>
    <w:p w14:paraId="59EA4DD6">
      <w:pPr>
        <w:pStyle w:val="11"/>
        <w:keepNext w:val="0"/>
        <w:keepLines w:val="0"/>
        <w:pageBreakBefore w:val="0"/>
        <w:kinsoku/>
        <w:wordWrap/>
        <w:overflowPunct/>
        <w:topLinePunct w:val="0"/>
        <w:autoSpaceDE/>
        <w:autoSpaceDN/>
        <w:bidi w:val="0"/>
        <w:adjustRightInd/>
        <w:spacing w:after="0" w:line="560" w:lineRule="exact"/>
        <w:ind w:left="0" w:leftChars="0" w:firstLine="480" w:firstLineChars="200"/>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5.2.3作业单位应按照《中华人民共和国劳动法》相关规定合理安排环卫工人工作时间。</w:t>
      </w:r>
    </w:p>
    <w:p w14:paraId="59681891">
      <w:pPr>
        <w:pStyle w:val="11"/>
        <w:keepNext w:val="0"/>
        <w:keepLines w:val="0"/>
        <w:pageBreakBefore w:val="0"/>
        <w:kinsoku/>
        <w:wordWrap/>
        <w:overflowPunct/>
        <w:topLinePunct w:val="0"/>
        <w:autoSpaceDE/>
        <w:autoSpaceDN/>
        <w:bidi w:val="0"/>
        <w:adjustRightInd/>
        <w:spacing w:after="0" w:line="560" w:lineRule="exact"/>
        <w:ind w:left="0" w:leftChars="0"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5.2.4作业单位要确保工资福利等发放的准确性与及时性。上交人事管理部门的工资发放表由项目负责人签字并加盖作业单位公章，于次月10日前上报。银行对账单加盖作业单位公章后于每月15日前上报。各类报表上报后，不得进行更改。人事管理部门每月通过核对发放表和银行对账单、电话抽查、路面抽查等方式进行核查。</w:t>
      </w:r>
    </w:p>
    <w:p w14:paraId="04324CD1">
      <w:pPr>
        <w:pStyle w:val="11"/>
        <w:keepNext w:val="0"/>
        <w:keepLines w:val="0"/>
        <w:pageBreakBefore w:val="0"/>
        <w:kinsoku/>
        <w:wordWrap/>
        <w:overflowPunct/>
        <w:topLinePunct w:val="0"/>
        <w:autoSpaceDE/>
        <w:autoSpaceDN/>
        <w:bidi w:val="0"/>
        <w:adjustRightInd/>
        <w:spacing w:after="0" w:line="560" w:lineRule="exact"/>
        <w:ind w:left="0" w:leftChars="0"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5.2.5 作业单位应无条件响应中心提出的关于环卫工人权益保障的工作要求，积极配合做好环卫工人权益保障相关工作。</w:t>
      </w:r>
    </w:p>
    <w:p w14:paraId="4EFB48E8">
      <w:pPr>
        <w:pStyle w:val="11"/>
        <w:keepNext w:val="0"/>
        <w:keepLines w:val="0"/>
        <w:pageBreakBefore w:val="0"/>
        <w:kinsoku/>
        <w:wordWrap/>
        <w:overflowPunct/>
        <w:topLinePunct w:val="0"/>
        <w:autoSpaceDE/>
        <w:autoSpaceDN/>
        <w:bidi w:val="0"/>
        <w:adjustRightInd/>
        <w:spacing w:after="0" w:line="560" w:lineRule="exact"/>
        <w:ind w:left="0" w:leftChars="0"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5.2.6针对环卫工人权益保障工作，作业单位要制定相应方案，建立激励奖励机制，推行环卫工人权益保障的创新做法。响应积极并实际取得良好效果的，人事管理部门给予相应的加分奖励。定期总结环卫工人权益保障工作方面的优秀经验做法，每季度的最后一个工作日前上报经验做法至人事管理部门。</w:t>
      </w:r>
    </w:p>
    <w:p w14:paraId="4F22620B">
      <w:pPr>
        <w:pStyle w:val="11"/>
        <w:keepNext w:val="0"/>
        <w:keepLines w:val="0"/>
        <w:pageBreakBefore w:val="0"/>
        <w:kinsoku/>
        <w:wordWrap/>
        <w:overflowPunct/>
        <w:topLinePunct w:val="0"/>
        <w:autoSpaceDE/>
        <w:autoSpaceDN/>
        <w:bidi w:val="0"/>
        <w:adjustRightInd/>
        <w:spacing w:after="0" w:line="560" w:lineRule="exact"/>
        <w:ind w:firstLine="480" w:firstLineChars="200"/>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5.2.7作业单位需完善单位内部管理制度，做好关于人事管理及权益保障方面的台账管理工作，积极处理单位内部职工投诉等情况，提升管理实效，营造良好工作氛围。</w:t>
      </w:r>
    </w:p>
    <w:p w14:paraId="5DF03692">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bCs/>
          <w:color w:val="auto"/>
          <w:spacing w:val="0"/>
          <w:sz w:val="24"/>
          <w:szCs w:val="24"/>
          <w:highlight w:val="none"/>
          <w:lang w:val="en-US" w:eastAsia="zh-CN"/>
        </w:rPr>
        <w:t>5.3 水电、罚款缴纳、</w:t>
      </w:r>
      <w:r>
        <w:rPr>
          <w:rFonts w:hint="eastAsia" w:ascii="仿宋" w:hAnsi="仿宋" w:eastAsia="仿宋" w:cs="仿宋"/>
          <w:b/>
          <w:bCs/>
          <w:color w:val="auto"/>
          <w:spacing w:val="0"/>
          <w:kern w:val="2"/>
          <w:sz w:val="24"/>
          <w:szCs w:val="24"/>
          <w:highlight w:val="none"/>
          <w:lang w:val="en-US" w:eastAsia="zh-CN" w:bidi="ar-SA"/>
        </w:rPr>
        <w:t>审计、检查问题</w:t>
      </w:r>
    </w:p>
    <w:p w14:paraId="43863AA1">
      <w:pPr>
        <w:keepNext w:val="0"/>
        <w:keepLines w:val="0"/>
        <w:pageBreakBefore w:val="0"/>
        <w:kinsoku/>
        <w:wordWrap/>
        <w:overflowPunct/>
        <w:topLinePunct w:val="0"/>
        <w:autoSpaceDE/>
        <w:autoSpaceDN/>
        <w:bidi w:val="0"/>
        <w:adjustRightInd/>
        <w:spacing w:line="560" w:lineRule="exact"/>
        <w:ind w:firstLine="464" w:firstLineChars="200"/>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val="0"/>
          <w:bCs w:val="0"/>
          <w:color w:val="auto"/>
          <w:spacing w:val="-4"/>
          <w:kern w:val="2"/>
          <w:sz w:val="24"/>
          <w:szCs w:val="24"/>
          <w:highlight w:val="none"/>
          <w:lang w:val="en-US" w:eastAsia="zh-CN" w:bidi="ar-SA"/>
        </w:rPr>
        <w:t>5.3.1</w:t>
      </w:r>
      <w:r>
        <w:rPr>
          <w:rFonts w:hint="eastAsia" w:ascii="仿宋" w:hAnsi="仿宋" w:eastAsia="仿宋" w:cs="仿宋"/>
          <w:b w:val="0"/>
          <w:bCs w:val="0"/>
          <w:color w:val="auto"/>
          <w:spacing w:val="0"/>
          <w:sz w:val="24"/>
          <w:szCs w:val="24"/>
          <w:highlight w:val="none"/>
          <w:lang w:val="en-US" w:eastAsia="zh-CN"/>
        </w:rPr>
        <w:t>作业单位需</w:t>
      </w:r>
      <w:r>
        <w:rPr>
          <w:rFonts w:hint="eastAsia" w:ascii="仿宋" w:hAnsi="仿宋" w:eastAsia="仿宋" w:cs="仿宋"/>
          <w:b w:val="0"/>
          <w:bCs w:val="0"/>
          <w:color w:val="auto"/>
          <w:spacing w:val="-4"/>
          <w:kern w:val="2"/>
          <w:sz w:val="24"/>
          <w:szCs w:val="24"/>
          <w:highlight w:val="none"/>
          <w:lang w:val="en-US" w:eastAsia="zh-CN" w:bidi="ar-SA"/>
        </w:rPr>
        <w:t>按时缴纳罚款。</w:t>
      </w:r>
    </w:p>
    <w:p w14:paraId="2EB181F5">
      <w:pPr>
        <w:pStyle w:val="11"/>
        <w:keepNext w:val="0"/>
        <w:keepLines w:val="0"/>
        <w:pageBreakBefore w:val="0"/>
        <w:kinsoku/>
        <w:wordWrap/>
        <w:overflowPunct/>
        <w:topLinePunct w:val="0"/>
        <w:autoSpaceDE/>
        <w:autoSpaceDN/>
        <w:bidi w:val="0"/>
        <w:adjustRightInd/>
        <w:spacing w:line="560" w:lineRule="exact"/>
        <w:ind w:firstLine="464" w:firstLineChars="200"/>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val="0"/>
          <w:bCs w:val="0"/>
          <w:color w:val="auto"/>
          <w:spacing w:val="-4"/>
          <w:kern w:val="2"/>
          <w:sz w:val="24"/>
          <w:szCs w:val="24"/>
          <w:highlight w:val="none"/>
          <w:lang w:val="en-US" w:eastAsia="zh-CN" w:bidi="ar-SA"/>
        </w:rPr>
        <w:t xml:space="preserve">5.3.2 </w:t>
      </w:r>
      <w:r>
        <w:rPr>
          <w:rFonts w:hint="eastAsia" w:ascii="仿宋" w:hAnsi="仿宋" w:eastAsia="仿宋" w:cs="仿宋"/>
          <w:b w:val="0"/>
          <w:bCs w:val="0"/>
          <w:color w:val="auto"/>
          <w:spacing w:val="0"/>
          <w:sz w:val="24"/>
          <w:szCs w:val="24"/>
          <w:highlight w:val="none"/>
          <w:lang w:val="en-US" w:eastAsia="zh-CN"/>
        </w:rPr>
        <w:t>作业单位</w:t>
      </w:r>
      <w:r>
        <w:rPr>
          <w:rFonts w:hint="eastAsia" w:ascii="仿宋" w:hAnsi="仿宋" w:eastAsia="仿宋" w:cs="仿宋"/>
          <w:b w:val="0"/>
          <w:bCs w:val="0"/>
          <w:color w:val="auto"/>
          <w:spacing w:val="-4"/>
          <w:kern w:val="2"/>
          <w:sz w:val="24"/>
          <w:szCs w:val="24"/>
          <w:highlight w:val="none"/>
          <w:lang w:val="en-US" w:eastAsia="zh-CN" w:bidi="ar-SA"/>
        </w:rPr>
        <w:t>缴纳罚款的金额需一致，不得存在差异。</w:t>
      </w:r>
    </w:p>
    <w:p w14:paraId="7877DE71">
      <w:pPr>
        <w:keepNext w:val="0"/>
        <w:keepLines w:val="0"/>
        <w:pageBreakBefore w:val="0"/>
        <w:kinsoku/>
        <w:wordWrap/>
        <w:overflowPunct/>
        <w:topLinePunct w:val="0"/>
        <w:autoSpaceDE/>
        <w:autoSpaceDN/>
        <w:bidi w:val="0"/>
        <w:adjustRightInd/>
        <w:spacing w:line="560" w:lineRule="exact"/>
        <w:ind w:firstLine="480" w:firstLineChars="200"/>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5.3.3作业单位需规范提供招投标资料、根据合同履行情况规范建立台账资料等。</w:t>
      </w:r>
    </w:p>
    <w:p w14:paraId="42036190">
      <w:pPr>
        <w:keepNext w:val="0"/>
        <w:keepLines w:val="0"/>
        <w:pageBreakBefore w:val="0"/>
        <w:tabs>
          <w:tab w:val="left" w:pos="3380"/>
        </w:tabs>
        <w:kinsoku/>
        <w:wordWrap/>
        <w:overflowPunct/>
        <w:topLinePunct w:val="0"/>
        <w:autoSpaceDE/>
        <w:autoSpaceDN/>
        <w:bidi w:val="0"/>
        <w:adjustRightInd/>
        <w:snapToGrid w:val="0"/>
        <w:spacing w:before="156" w:beforeLines="50" w:after="156" w:afterLines="50" w:line="560" w:lineRule="exact"/>
        <w:ind w:firstLine="480" w:firstLineChars="200"/>
        <w:jc w:val="left"/>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5.3.4开展内外部审计、检查及巡察过程中，作业单位需依据合规要求，及时提供相关资料。</w:t>
      </w:r>
    </w:p>
    <w:p w14:paraId="2375364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六、生活垃圾分类</w:t>
      </w:r>
    </w:p>
    <w:p w14:paraId="1DD52491">
      <w:pPr>
        <w:pStyle w:val="10"/>
        <w:keepNext w:val="0"/>
        <w:keepLines w:val="0"/>
        <w:pageBreakBefore w:val="0"/>
        <w:widowControl w:val="0"/>
        <w:tabs>
          <w:tab w:val="left" w:pos="3380"/>
        </w:tabs>
        <w:kinsoku/>
        <w:wordWrap/>
        <w:overflowPunct/>
        <w:topLinePunct w:val="0"/>
        <w:autoSpaceDE/>
        <w:autoSpaceDN/>
        <w:bidi w:val="0"/>
        <w:adjustRightInd/>
        <w:snapToGrid w:val="0"/>
        <w:spacing w:line="560" w:lineRule="exact"/>
        <w:ind w:firstLine="482" w:firstLineChars="200"/>
        <w:jc w:val="left"/>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6.1垃圾分类总体要求</w:t>
      </w:r>
    </w:p>
    <w:p w14:paraId="2FB533C9">
      <w:pPr>
        <w:keepNext w:val="0"/>
        <w:keepLines w:val="0"/>
        <w:pageBreakBefore w:val="0"/>
        <w:tabs>
          <w:tab w:val="left" w:pos="3380"/>
        </w:tabs>
        <w:kinsoku/>
        <w:wordWrap/>
        <w:overflowPunct/>
        <w:topLinePunct w:val="0"/>
        <w:autoSpaceDE/>
        <w:autoSpaceDN/>
        <w:bidi w:val="0"/>
        <w:adjustRightInd/>
        <w:snapToGrid w:val="0"/>
        <w:spacing w:line="560" w:lineRule="exact"/>
        <w:ind w:firstLine="480" w:firstLineChars="200"/>
        <w:jc w:val="both"/>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6.1.1 作业单位在日常作业期间须严格遵守《浙江省生活垃圾管理条例》和《城镇生活垃圾分类标准》（DB33/T1166-2019）要求，做到分类清扫、分类收运和分类处置。</w:t>
      </w:r>
    </w:p>
    <w:p w14:paraId="40CEE697">
      <w:pPr>
        <w:keepNext w:val="0"/>
        <w:keepLines w:val="0"/>
        <w:pageBreakBefore w:val="0"/>
        <w:tabs>
          <w:tab w:val="left" w:pos="3380"/>
        </w:tabs>
        <w:kinsoku/>
        <w:wordWrap/>
        <w:overflowPunct/>
        <w:topLinePunct w:val="0"/>
        <w:autoSpaceDE/>
        <w:autoSpaceDN/>
        <w:bidi w:val="0"/>
        <w:adjustRightInd/>
        <w:snapToGrid w:val="0"/>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b w:val="0"/>
          <w:bCs w:val="0"/>
          <w:color w:val="auto"/>
          <w:spacing w:val="0"/>
          <w:kern w:val="2"/>
          <w:sz w:val="24"/>
          <w:szCs w:val="24"/>
          <w:highlight w:val="none"/>
          <w:lang w:val="en-US" w:eastAsia="zh-CN" w:bidi="ar-SA"/>
        </w:rPr>
        <w:t>6.1.2 作业单位在日常作业期间应承担对居民垃圾分类宣传工作。</w:t>
      </w:r>
    </w:p>
    <w:p w14:paraId="5BB2E24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七、宣传信息报送</w:t>
      </w:r>
    </w:p>
    <w:p w14:paraId="5E7FE770">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7.1方案报表报送</w:t>
      </w:r>
    </w:p>
    <w:p w14:paraId="2FCF8952">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7.1.1 作业单位按要求制定环卫作业方案、规章制度、应急预案等，并在规定时间内上报。</w:t>
      </w:r>
    </w:p>
    <w:p w14:paraId="58185D5C">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0" w:firstLineChars="200"/>
        <w:jc w:val="left"/>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7.1.2 按要求上报各类业务数据报表，数据要求真实准确，不得弄虚作假。</w:t>
      </w:r>
    </w:p>
    <w:p w14:paraId="398147CC">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2" w:firstLineChars="200"/>
        <w:textAlignment w:val="auto"/>
        <w:rPr>
          <w:rFonts w:hint="eastAsia" w:ascii="仿宋" w:hAnsi="仿宋" w:eastAsia="仿宋" w:cs="仿宋"/>
          <w:b/>
          <w:bCs/>
          <w:color w:val="auto"/>
          <w:spacing w:val="0"/>
          <w:kern w:val="2"/>
          <w:sz w:val="24"/>
          <w:szCs w:val="24"/>
          <w:highlight w:val="none"/>
          <w:lang w:val="en-US" w:eastAsia="zh-CN" w:bidi="ar-SA"/>
        </w:rPr>
      </w:pPr>
      <w:r>
        <w:rPr>
          <w:rFonts w:hint="eastAsia" w:ascii="仿宋" w:hAnsi="仿宋" w:eastAsia="仿宋" w:cs="仿宋"/>
          <w:b/>
          <w:bCs/>
          <w:color w:val="auto"/>
          <w:spacing w:val="0"/>
          <w:kern w:val="2"/>
          <w:sz w:val="24"/>
          <w:szCs w:val="24"/>
          <w:highlight w:val="none"/>
          <w:lang w:val="en-US" w:eastAsia="zh-CN" w:bidi="ar-SA"/>
        </w:rPr>
        <w:t>7.2 宣传信息报送</w:t>
      </w:r>
    </w:p>
    <w:p w14:paraId="6A270A0E">
      <w:pPr>
        <w:pStyle w:val="11"/>
        <w:keepNext w:val="0"/>
        <w:keepLines w:val="0"/>
        <w:pageBreakBefore w:val="0"/>
        <w:widowControl/>
        <w:tabs>
          <w:tab w:val="left" w:pos="3380"/>
        </w:tabs>
        <w:kinsoku/>
        <w:wordWrap/>
        <w:overflowPunct/>
        <w:topLinePunct w:val="0"/>
        <w:autoSpaceDE/>
        <w:autoSpaceDN/>
        <w:bidi w:val="0"/>
        <w:adjustRightInd/>
        <w:snapToGrid/>
        <w:spacing w:before="157" w:beforeLines="50" w:after="157" w:afterLines="50" w:line="560" w:lineRule="exact"/>
        <w:ind w:left="0" w:leftChars="0" w:firstLine="480" w:firstLineChars="200"/>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7.2.1 每个项目宣传联络员要总结提炼本项目环卫作业管理方面优秀的做法和经验，积极配合开展相关宣传工作，并于每月月底前向行政管理部门报送1篇不少于300字的优质宣传信息和不少于10张的高清优质照片，照片包含但不限于人工作业、机械化作业、工作成效前后对比等。</w:t>
      </w:r>
    </w:p>
    <w:p w14:paraId="395B77C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7.2.2 每个项目宣传联络员应及时关注本项目环卫作业服务情况，避免因工作不到位被局公众号、市级及以上主流新闻媒体报道。</w:t>
      </w:r>
    </w:p>
    <w:p w14:paraId="58C683B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kern w:val="2"/>
          <w:sz w:val="24"/>
          <w:szCs w:val="24"/>
          <w:highlight w:val="none"/>
          <w:lang w:val="en-US" w:eastAsia="zh-CN" w:bidi="ar-SA"/>
        </w:rPr>
        <w:t xml:space="preserve">7.2.3 </w:t>
      </w:r>
      <w:r>
        <w:rPr>
          <w:rFonts w:hint="eastAsia" w:ascii="仿宋" w:hAnsi="仿宋" w:eastAsia="仿宋" w:cs="仿宋"/>
          <w:b w:val="0"/>
          <w:bCs w:val="0"/>
          <w:spacing w:val="0"/>
          <w:kern w:val="2"/>
          <w:sz w:val="24"/>
          <w:szCs w:val="24"/>
          <w:highlight w:val="none"/>
          <w:lang w:val="en-US" w:eastAsia="zh-CN" w:bidi="ar-SA"/>
        </w:rPr>
        <w:t>每个项目宣传联络员应积极挖掘本项目环卫作业管理中的优秀事迹，配合做好宣传推广工作，争取被市级及以上主流媒体报道。</w:t>
      </w:r>
    </w:p>
    <w:p w14:paraId="56EECD40">
      <w:pPr>
        <w:pStyle w:val="11"/>
        <w:keepNext w:val="0"/>
        <w:keepLines w:val="0"/>
        <w:pageBreakBefore w:val="0"/>
        <w:widowControl/>
        <w:tabs>
          <w:tab w:val="left" w:pos="3380"/>
        </w:tabs>
        <w:kinsoku/>
        <w:wordWrap/>
        <w:overflowPunct/>
        <w:topLinePunct w:val="0"/>
        <w:autoSpaceDE/>
        <w:autoSpaceDN/>
        <w:bidi w:val="0"/>
        <w:adjustRightInd/>
        <w:snapToGrid/>
        <w:spacing w:before="157" w:beforeLines="50" w:after="157" w:afterLines="50" w:line="560" w:lineRule="exact"/>
        <w:ind w:left="0" w:leftChars="0" w:firstLine="482" w:firstLineChars="200"/>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八、加减</w:t>
      </w:r>
      <w:r>
        <w:rPr>
          <w:rFonts w:hint="eastAsia" w:ascii="仿宋" w:hAnsi="仿宋" w:eastAsia="仿宋" w:cs="仿宋"/>
          <w:b/>
          <w:bCs/>
          <w:spacing w:val="0"/>
          <w:sz w:val="24"/>
          <w:szCs w:val="24"/>
          <w:highlight w:val="none"/>
          <w:lang w:val="en-US" w:eastAsia="zh-CN"/>
        </w:rPr>
        <w:t>分项</w:t>
      </w:r>
    </w:p>
    <w:p w14:paraId="6AFEC36C">
      <w:pPr>
        <w:pStyle w:val="11"/>
        <w:keepNext w:val="0"/>
        <w:keepLines w:val="0"/>
        <w:pageBreakBefore w:val="0"/>
        <w:widowControl/>
        <w:tabs>
          <w:tab w:val="left" w:pos="3380"/>
        </w:tabs>
        <w:kinsoku/>
        <w:wordWrap/>
        <w:overflowPunct/>
        <w:topLinePunct w:val="0"/>
        <w:autoSpaceDE/>
        <w:autoSpaceDN/>
        <w:bidi w:val="0"/>
        <w:adjustRightInd/>
        <w:snapToGrid/>
        <w:spacing w:before="157" w:beforeLines="50" w:after="157" w:afterLines="50" w:line="560" w:lineRule="exact"/>
        <w:ind w:left="0" w:leftChars="0" w:firstLine="480" w:firstLineChars="200"/>
        <w:textAlignment w:val="auto"/>
        <w:rPr>
          <w:rFonts w:hint="eastAsia" w:ascii="仿宋" w:hAnsi="仿宋" w:eastAsia="仿宋" w:cs="仿宋"/>
          <w:b w:val="0"/>
          <w:bCs w:val="0"/>
          <w:spacing w:val="0"/>
          <w:sz w:val="24"/>
          <w:szCs w:val="24"/>
          <w:highlight w:val="none"/>
          <w:lang w:val="en-US" w:eastAsia="zh-CN"/>
        </w:rPr>
      </w:pPr>
      <w:r>
        <w:rPr>
          <w:rFonts w:hint="eastAsia" w:ascii="仿宋" w:hAnsi="仿宋" w:eastAsia="仿宋" w:cs="仿宋"/>
          <w:b w:val="0"/>
          <w:bCs w:val="0"/>
          <w:spacing w:val="0"/>
          <w:sz w:val="24"/>
          <w:szCs w:val="24"/>
          <w:highlight w:val="none"/>
          <w:lang w:val="en-US" w:eastAsia="zh-CN"/>
        </w:rPr>
        <w:t>按照《湖州市市容环境卫生管理中心市场化环卫作业项目管理与质量考核办法》第</w:t>
      </w:r>
      <w:r>
        <w:rPr>
          <w:rFonts w:hint="eastAsia" w:ascii="仿宋" w:hAnsi="仿宋" w:eastAsia="仿宋" w:cs="仿宋"/>
          <w:b w:val="0"/>
          <w:bCs w:val="0"/>
          <w:color w:val="auto"/>
          <w:spacing w:val="0"/>
          <w:sz w:val="24"/>
          <w:szCs w:val="24"/>
          <w:highlight w:val="none"/>
          <w:lang w:val="en-US" w:eastAsia="zh-CN"/>
        </w:rPr>
        <w:t>十八条、第十九条</w:t>
      </w:r>
      <w:r>
        <w:rPr>
          <w:rFonts w:hint="eastAsia" w:ascii="仿宋" w:hAnsi="仿宋" w:eastAsia="仿宋" w:cs="仿宋"/>
          <w:b w:val="0"/>
          <w:bCs w:val="0"/>
          <w:spacing w:val="0"/>
          <w:sz w:val="24"/>
          <w:szCs w:val="24"/>
          <w:highlight w:val="none"/>
          <w:lang w:val="en-US" w:eastAsia="zh-CN"/>
        </w:rPr>
        <w:t>执行，具体执行标准参照《细则》附件。</w:t>
      </w:r>
    </w:p>
    <w:p w14:paraId="287AAEED">
      <w:pPr>
        <w:pStyle w:val="11"/>
        <w:keepNext w:val="0"/>
        <w:keepLines w:val="0"/>
        <w:pageBreakBefore w:val="0"/>
        <w:widowControl/>
        <w:tabs>
          <w:tab w:val="left" w:pos="3380"/>
        </w:tabs>
        <w:kinsoku/>
        <w:wordWrap/>
        <w:overflowPunct/>
        <w:topLinePunct w:val="0"/>
        <w:autoSpaceDE/>
        <w:autoSpaceDN/>
        <w:bidi w:val="0"/>
        <w:adjustRightInd/>
        <w:snapToGrid/>
        <w:spacing w:before="157" w:beforeLines="50" w:after="157" w:afterLines="50" w:line="560" w:lineRule="exact"/>
        <w:ind w:left="0" w:leftChars="0" w:firstLine="482" w:firstLineChars="200"/>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九、考核评价</w:t>
      </w:r>
    </w:p>
    <w:p w14:paraId="6ED79178">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0" w:firstLineChars="200"/>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具体以《细则》为准，各考核责任部门按月将日常检查考核情况汇总至项目牵头</w:t>
      </w:r>
      <w:r>
        <w:rPr>
          <w:rFonts w:hint="eastAsia" w:ascii="仿宋" w:hAnsi="仿宋" w:eastAsia="仿宋" w:cs="仿宋"/>
          <w:b w:val="0"/>
          <w:bCs w:val="0"/>
          <w:i w:val="0"/>
          <w:iCs w:val="0"/>
          <w:color w:val="auto"/>
          <w:spacing w:val="0"/>
          <w:kern w:val="2"/>
          <w:sz w:val="24"/>
          <w:szCs w:val="24"/>
          <w:highlight w:val="none"/>
          <w:u w:val="none"/>
          <w:lang w:val="en-US" w:eastAsia="zh-CN" w:bidi="ar-SA"/>
        </w:rPr>
        <w:t>管理部门</w:t>
      </w:r>
      <w:r>
        <w:rPr>
          <w:rFonts w:hint="eastAsia" w:ascii="仿宋" w:hAnsi="仿宋" w:eastAsia="仿宋" w:cs="仿宋"/>
          <w:b w:val="0"/>
          <w:bCs w:val="0"/>
          <w:color w:val="auto"/>
          <w:spacing w:val="0"/>
          <w:sz w:val="24"/>
          <w:szCs w:val="24"/>
          <w:highlight w:val="none"/>
          <w:lang w:val="en-US" w:eastAsia="zh-CN"/>
        </w:rPr>
        <w:t>，由项目牵头</w:t>
      </w:r>
      <w:r>
        <w:rPr>
          <w:rFonts w:hint="eastAsia" w:ascii="仿宋" w:hAnsi="仿宋" w:eastAsia="仿宋" w:cs="仿宋"/>
          <w:b w:val="0"/>
          <w:bCs w:val="0"/>
          <w:i w:val="0"/>
          <w:iCs w:val="0"/>
          <w:color w:val="auto"/>
          <w:spacing w:val="0"/>
          <w:kern w:val="2"/>
          <w:sz w:val="24"/>
          <w:szCs w:val="24"/>
          <w:highlight w:val="none"/>
          <w:u w:val="none"/>
          <w:lang w:val="en-US" w:eastAsia="zh-CN" w:bidi="ar-SA"/>
        </w:rPr>
        <w:t>管理部门</w:t>
      </w:r>
      <w:r>
        <w:rPr>
          <w:rFonts w:hint="eastAsia" w:ascii="仿宋" w:hAnsi="仿宋" w:eastAsia="仿宋" w:cs="仿宋"/>
          <w:b w:val="0"/>
          <w:bCs w:val="0"/>
          <w:color w:val="auto"/>
          <w:spacing w:val="0"/>
          <w:sz w:val="24"/>
          <w:szCs w:val="24"/>
          <w:highlight w:val="none"/>
          <w:lang w:val="en-US" w:eastAsia="zh-CN"/>
        </w:rPr>
        <w:t>统筹日常检查及加减分项的考核情况，按照《考核办法》计算月度考核得分。</w:t>
      </w:r>
    </w:p>
    <w:p w14:paraId="79FD5163">
      <w:pPr>
        <w:pStyle w:val="47"/>
        <w:keepNext w:val="0"/>
        <w:keepLines w:val="0"/>
        <w:pageBreakBefore w:val="0"/>
        <w:kinsoku/>
        <w:wordWrap/>
        <w:overflowPunct/>
        <w:topLinePunct w:val="0"/>
        <w:autoSpaceDE/>
        <w:autoSpaceDN/>
        <w:bidi w:val="0"/>
        <w:adjustRightInd/>
        <w:spacing w:line="560" w:lineRule="exact"/>
        <w:ind w:firstLine="480" w:firstLineChars="200"/>
        <w:jc w:val="both"/>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i w:val="0"/>
          <w:iCs w:val="0"/>
          <w:color w:val="auto"/>
          <w:spacing w:val="0"/>
          <w:kern w:val="2"/>
          <w:sz w:val="24"/>
          <w:szCs w:val="24"/>
          <w:highlight w:val="none"/>
          <w:u w:val="none"/>
          <w:lang w:val="en-US" w:eastAsia="zh-CN" w:bidi="ar-SA"/>
        </w:rPr>
        <w:t>《细则》中处罚类型分为月度扣分、直接扣款两种，并根据事件严重程度划分为1~5档。所有事件的处罚须对应在两种处罚方式的五档处罚之中，也可根据事件复杂程度，对处罚方式进行组合。情节严重、重复或连续发生的，可进行翻倍扣罚。具体如下：</w:t>
      </w:r>
    </w:p>
    <w:tbl>
      <w:tblPr>
        <w:tblStyle w:val="26"/>
        <w:tblW w:w="7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9"/>
        <w:gridCol w:w="1011"/>
        <w:gridCol w:w="1113"/>
        <w:gridCol w:w="1187"/>
        <w:gridCol w:w="1238"/>
        <w:gridCol w:w="1225"/>
      </w:tblGrid>
      <w:tr w14:paraId="0960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209"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4BA3A92A">
            <w:pPr>
              <w:keepNext w:val="0"/>
              <w:keepLines w:val="0"/>
              <w:pageBreakBefore w:val="0"/>
              <w:widowControl/>
              <w:suppressLineNumbers w:val="0"/>
              <w:kinsoku/>
              <w:wordWrap/>
              <w:overflowPunct/>
              <w:topLinePunct w:val="0"/>
              <w:autoSpaceDE/>
              <w:autoSpaceDN/>
              <w:bidi w:val="0"/>
              <w:adjustRightInd/>
              <w:spacing w:line="560" w:lineRule="exact"/>
              <w:ind w:firstLine="448"/>
              <w:jc w:val="right"/>
              <w:textAlignment w:val="center"/>
              <w:rPr>
                <w:rFonts w:hint="eastAsia" w:ascii="仿宋" w:hAnsi="仿宋" w:eastAsia="仿宋" w:cs="仿宋"/>
                <w:i w:val="0"/>
                <w:iCs w:val="0"/>
                <w:color w:val="000000"/>
                <w:spacing w:val="-4"/>
                <w:kern w:val="0"/>
                <w:sz w:val="24"/>
                <w:szCs w:val="24"/>
                <w:highlight w:val="none"/>
                <w:u w:val="none"/>
                <w:lang w:val="en-US" w:eastAsia="zh-CN" w:bidi="ar"/>
              </w:rPr>
            </w:pPr>
            <w:r>
              <w:rPr>
                <w:rFonts w:hint="eastAsia" w:ascii="仿宋" w:hAnsi="仿宋" w:eastAsia="仿宋" w:cs="仿宋"/>
                <w:i w:val="0"/>
                <w:iCs w:val="0"/>
                <w:color w:val="000000"/>
                <w:spacing w:val="-4"/>
                <w:kern w:val="0"/>
                <w:sz w:val="24"/>
                <w:szCs w:val="24"/>
                <w:highlight w:val="none"/>
                <w:u w:val="none"/>
                <w:lang w:val="en-US" w:eastAsia="zh-CN" w:bidi="ar"/>
              </w:rPr>
              <w:t>处罚档次</w:t>
            </w:r>
          </w:p>
          <w:p w14:paraId="7E7C3FAA">
            <w:pPr>
              <w:keepNext w:val="0"/>
              <w:keepLines w:val="0"/>
              <w:pageBreakBefore w:val="0"/>
              <w:widowControl/>
              <w:suppressLineNumbers w:val="0"/>
              <w:kinsoku/>
              <w:wordWrap/>
              <w:overflowPunct/>
              <w:topLinePunct w:val="0"/>
              <w:autoSpaceDE/>
              <w:autoSpaceDN/>
              <w:bidi w:val="0"/>
              <w:adjustRightInd/>
              <w:spacing w:line="560" w:lineRule="exact"/>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处罚类型</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E32480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第1档</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D7FB23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第2档</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648868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第3档</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E37591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第4档</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76E0B5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第5档</w:t>
            </w:r>
          </w:p>
        </w:tc>
      </w:tr>
      <w:tr w14:paraId="210C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09" w:type="dxa"/>
            <w:tcBorders>
              <w:top w:val="single" w:color="000000" w:sz="4" w:space="0"/>
              <w:left w:val="single" w:color="000000" w:sz="4" w:space="0"/>
              <w:bottom w:val="single" w:color="000000" w:sz="4" w:space="0"/>
              <w:right w:val="single" w:color="000000" w:sz="4" w:space="0"/>
            </w:tcBorders>
            <w:noWrap/>
            <w:vAlign w:val="center"/>
          </w:tcPr>
          <w:p w14:paraId="0063FCD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A－直接扣款</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580EE5A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300元</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485466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500元</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8B6CEE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1000元</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15387972">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2000元</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7E3CD8E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5000元</w:t>
            </w:r>
          </w:p>
        </w:tc>
      </w:tr>
      <w:tr w14:paraId="3346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09" w:type="dxa"/>
            <w:tcBorders>
              <w:top w:val="single" w:color="000000" w:sz="4" w:space="0"/>
              <w:left w:val="single" w:color="000000" w:sz="4" w:space="0"/>
              <w:bottom w:val="single" w:color="000000" w:sz="4" w:space="0"/>
              <w:right w:val="single" w:color="000000" w:sz="4" w:space="0"/>
            </w:tcBorders>
            <w:noWrap/>
            <w:vAlign w:val="center"/>
          </w:tcPr>
          <w:p w14:paraId="107BEB6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B-日常考核加减分</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F7625F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0.2分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482A1EC3">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0.5分</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094B11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1.0分</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106DBB1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1.5分</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20A0663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pacing w:val="-4"/>
                <w:kern w:val="0"/>
                <w:sz w:val="24"/>
                <w:szCs w:val="24"/>
                <w:highlight w:val="none"/>
                <w:u w:val="none"/>
                <w:lang w:val="en-US" w:eastAsia="zh-CN" w:bidi="ar"/>
              </w:rPr>
              <w:t>2.0分</w:t>
            </w:r>
          </w:p>
        </w:tc>
      </w:tr>
      <w:tr w14:paraId="7DD7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09" w:type="dxa"/>
            <w:tcBorders>
              <w:top w:val="single" w:color="000000" w:sz="4" w:space="0"/>
              <w:left w:val="single" w:color="000000" w:sz="4" w:space="0"/>
              <w:bottom w:val="single" w:color="000000" w:sz="4" w:space="0"/>
              <w:right w:val="single" w:color="000000" w:sz="4" w:space="0"/>
            </w:tcBorders>
            <w:noWrap/>
            <w:vAlign w:val="center"/>
          </w:tcPr>
          <w:p w14:paraId="1ECEF975">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C-月度考核加减分</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F80370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0.1分</w:t>
            </w:r>
          </w:p>
        </w:tc>
        <w:tc>
          <w:tcPr>
            <w:tcW w:w="1113" w:type="dxa"/>
            <w:tcBorders>
              <w:top w:val="single" w:color="000000" w:sz="4" w:space="0"/>
              <w:left w:val="single" w:color="000000" w:sz="4" w:space="0"/>
              <w:bottom w:val="single" w:color="000000" w:sz="4" w:space="0"/>
              <w:right w:val="single" w:color="000000" w:sz="4" w:space="0"/>
            </w:tcBorders>
            <w:noWrap/>
            <w:vAlign w:val="center"/>
          </w:tcPr>
          <w:p w14:paraId="1389E3F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0.3分</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8BEA89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0.5分</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B3047CD">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1.0分</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231340BB">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pacing w:val="-4"/>
                <w:kern w:val="0"/>
                <w:sz w:val="24"/>
                <w:szCs w:val="24"/>
                <w:highlight w:val="none"/>
                <w:u w:val="none"/>
                <w:lang w:val="en-US" w:eastAsia="zh-CN" w:bidi="ar"/>
              </w:rPr>
              <w:t>2.0分</w:t>
            </w:r>
          </w:p>
        </w:tc>
      </w:tr>
    </w:tbl>
    <w:p w14:paraId="3370BC17">
      <w:pPr>
        <w:pStyle w:val="11"/>
        <w:keepNext w:val="0"/>
        <w:keepLines w:val="0"/>
        <w:pageBreakBefore w:val="0"/>
        <w:widowControl/>
        <w:tabs>
          <w:tab w:val="left" w:pos="3380"/>
        </w:tabs>
        <w:kinsoku/>
        <w:wordWrap/>
        <w:overflowPunct/>
        <w:topLinePunct w:val="0"/>
        <w:autoSpaceDE/>
        <w:autoSpaceDN/>
        <w:bidi w:val="0"/>
        <w:adjustRightInd/>
        <w:snapToGrid/>
        <w:spacing w:after="0" w:line="560" w:lineRule="exact"/>
        <w:ind w:left="0" w:leftChars="0" w:firstLine="480" w:firstLineChars="200"/>
        <w:textAlignment w:val="auto"/>
        <w:rPr>
          <w:rFonts w:hint="eastAsia" w:asciiTheme="minorEastAsia" w:hAnsiTheme="minorEastAsia" w:eastAsiaTheme="minorEastAsia" w:cstheme="minorEastAsia"/>
          <w:b w:val="0"/>
          <w:bCs w:val="0"/>
          <w:color w:val="auto"/>
          <w:spacing w:val="0"/>
          <w:sz w:val="21"/>
          <w:szCs w:val="21"/>
          <w:highlight w:val="none"/>
          <w:lang w:val="en-US" w:eastAsia="zh-CN"/>
        </w:rPr>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val="0"/>
          <w:bCs w:val="0"/>
          <w:strike w:val="0"/>
          <w:dstrike w:val="0"/>
          <w:color w:val="auto"/>
          <w:spacing w:val="0"/>
          <w:sz w:val="24"/>
          <w:szCs w:val="24"/>
          <w:highlight w:val="none"/>
          <w:lang w:val="en-US" w:eastAsia="zh-CN"/>
        </w:rPr>
        <w:t>所有</w:t>
      </w:r>
      <w:r>
        <w:rPr>
          <w:rFonts w:hint="eastAsia" w:ascii="仿宋" w:hAnsi="仿宋" w:eastAsia="仿宋" w:cs="仿宋"/>
          <w:b w:val="0"/>
          <w:bCs w:val="0"/>
          <w:color w:val="auto"/>
          <w:spacing w:val="0"/>
          <w:sz w:val="24"/>
          <w:szCs w:val="24"/>
          <w:highlight w:val="none"/>
          <w:lang w:val="en-US" w:eastAsia="zh-CN"/>
        </w:rPr>
        <w:t>作业单位均适用本细则。本细则未规定的事项，应按照政府主管部门、中心、行业协会等相关规定执行。</w:t>
      </w:r>
    </w:p>
    <w:p w14:paraId="41FCB0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pacing w:val="0"/>
          <w:kern w:val="2"/>
          <w:sz w:val="32"/>
          <w:szCs w:val="24"/>
          <w:highlight w:val="none"/>
          <w:lang w:val="en-US" w:eastAsia="zh-CN" w:bidi="ar-SA"/>
        </w:rPr>
      </w:pPr>
      <w:r>
        <w:rPr>
          <w:rFonts w:hint="eastAsia" w:ascii="仿宋" w:hAnsi="仿宋" w:eastAsia="仿宋" w:cs="仿宋"/>
          <w:b w:val="0"/>
          <w:bCs w:val="0"/>
          <w:spacing w:val="0"/>
          <w:kern w:val="2"/>
          <w:sz w:val="32"/>
          <w:szCs w:val="24"/>
          <w:highlight w:val="none"/>
          <w:lang w:val="en-US" w:eastAsia="zh-CN" w:bidi="ar-SA"/>
        </w:rPr>
        <w:t>附件:</w:t>
      </w:r>
    </w:p>
    <w:p w14:paraId="4445F6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pacing w:val="0"/>
          <w:sz w:val="36"/>
          <w:szCs w:val="36"/>
          <w:highlight w:val="none"/>
          <w:lang w:val="en-US" w:eastAsia="zh-CN"/>
        </w:rPr>
      </w:pPr>
      <w:r>
        <w:rPr>
          <w:rFonts w:hint="eastAsia" w:ascii="仿宋" w:hAnsi="仿宋" w:eastAsia="仿宋" w:cs="仿宋"/>
          <w:b/>
          <w:bCs/>
          <w:spacing w:val="0"/>
          <w:sz w:val="36"/>
          <w:szCs w:val="36"/>
          <w:highlight w:val="none"/>
          <w:lang w:val="en-US" w:eastAsia="zh-CN"/>
        </w:rPr>
        <w:t>湖州市市容环境卫生管理中心环卫配套业务市场化购买项目</w:t>
      </w:r>
      <w:r>
        <w:rPr>
          <w:rFonts w:hint="eastAsia" w:ascii="仿宋" w:hAnsi="仿宋" w:eastAsia="仿宋" w:cs="仿宋"/>
          <w:b/>
          <w:bCs/>
          <w:spacing w:val="0"/>
          <w:sz w:val="36"/>
          <w:szCs w:val="36"/>
          <w:highlight w:val="none"/>
        </w:rPr>
        <w:t>管理与质量考核评价</w:t>
      </w:r>
      <w:r>
        <w:rPr>
          <w:rFonts w:hint="eastAsia" w:ascii="仿宋" w:hAnsi="仿宋" w:eastAsia="仿宋" w:cs="仿宋"/>
          <w:b/>
          <w:bCs/>
          <w:spacing w:val="0"/>
          <w:sz w:val="36"/>
          <w:szCs w:val="36"/>
          <w:highlight w:val="none"/>
          <w:lang w:val="en-US" w:eastAsia="zh-CN"/>
        </w:rPr>
        <w:t>表</w:t>
      </w:r>
    </w:p>
    <w:p w14:paraId="55186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eastAsia="zh-CN"/>
        </w:rPr>
      </w:pPr>
      <w:r>
        <w:rPr>
          <w:rFonts w:hint="eastAsia" w:ascii="仿宋" w:hAnsi="仿宋" w:eastAsia="仿宋" w:cs="仿宋"/>
          <w:b/>
          <w:bCs/>
          <w:spacing w:val="0"/>
          <w:sz w:val="36"/>
          <w:szCs w:val="36"/>
          <w:highlight w:val="none"/>
          <w:lang w:val="en-US" w:eastAsia="zh-CN"/>
        </w:rPr>
        <w:t>（项目专用细则-1）</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023"/>
        <w:gridCol w:w="1032"/>
        <w:gridCol w:w="1000"/>
        <w:gridCol w:w="7964"/>
        <w:gridCol w:w="1426"/>
        <w:gridCol w:w="771"/>
      </w:tblGrid>
      <w:tr w14:paraId="55B9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337" w:type="pct"/>
            <w:tcBorders>
              <w:bottom w:val="single" w:color="auto" w:sz="4" w:space="0"/>
            </w:tcBorders>
            <w:noWrap w:val="0"/>
            <w:vAlign w:val="center"/>
          </w:tcPr>
          <w:p w14:paraId="20753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1A6BF5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主项</w:t>
            </w:r>
          </w:p>
        </w:tc>
        <w:tc>
          <w:tcPr>
            <w:tcW w:w="361" w:type="pct"/>
            <w:tcBorders>
              <w:bottom w:val="single" w:color="auto" w:sz="4" w:space="0"/>
            </w:tcBorders>
            <w:noWrap w:val="0"/>
            <w:vAlign w:val="center"/>
          </w:tcPr>
          <w:p w14:paraId="038FD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考核部门</w:t>
            </w:r>
          </w:p>
        </w:tc>
        <w:tc>
          <w:tcPr>
            <w:tcW w:w="364" w:type="pct"/>
            <w:tcBorders>
              <w:bottom w:val="single" w:color="auto" w:sz="4" w:space="0"/>
            </w:tcBorders>
            <w:noWrap w:val="0"/>
            <w:vAlign w:val="center"/>
          </w:tcPr>
          <w:p w14:paraId="61C65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103AC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内容</w:t>
            </w:r>
          </w:p>
        </w:tc>
        <w:tc>
          <w:tcPr>
            <w:tcW w:w="353" w:type="pct"/>
            <w:tcBorders>
              <w:bottom w:val="single" w:color="auto" w:sz="4" w:space="0"/>
            </w:tcBorders>
            <w:noWrap w:val="0"/>
            <w:vAlign w:val="center"/>
          </w:tcPr>
          <w:p w14:paraId="2DF22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对应条款</w:t>
            </w:r>
          </w:p>
        </w:tc>
        <w:tc>
          <w:tcPr>
            <w:tcW w:w="2810" w:type="pct"/>
            <w:tcBorders>
              <w:bottom w:val="single" w:color="auto" w:sz="4" w:space="0"/>
            </w:tcBorders>
            <w:noWrap w:val="0"/>
            <w:vAlign w:val="center"/>
          </w:tcPr>
          <w:p w14:paraId="01CBD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考核评价标准</w:t>
            </w:r>
          </w:p>
        </w:tc>
        <w:tc>
          <w:tcPr>
            <w:tcW w:w="503" w:type="pct"/>
            <w:tcBorders>
              <w:bottom w:val="single" w:color="auto" w:sz="4" w:space="0"/>
            </w:tcBorders>
            <w:noWrap w:val="0"/>
            <w:vAlign w:val="center"/>
          </w:tcPr>
          <w:p w14:paraId="072B1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lang w:val="en-US"/>
              </w:rPr>
            </w:pPr>
            <w:r>
              <w:rPr>
                <w:rFonts w:hint="eastAsia" w:ascii="仿宋" w:hAnsi="仿宋" w:eastAsia="仿宋" w:cs="仿宋"/>
                <w:b/>
                <w:bCs/>
                <w:i w:val="0"/>
                <w:iCs w:val="0"/>
                <w:color w:val="auto"/>
                <w:spacing w:val="-4"/>
                <w:kern w:val="0"/>
                <w:sz w:val="22"/>
                <w:szCs w:val="22"/>
                <w:highlight w:val="none"/>
                <w:u w:val="none"/>
                <w:lang w:val="en-US" w:eastAsia="zh-CN" w:bidi="ar"/>
              </w:rPr>
              <w:t>责任部门</w:t>
            </w:r>
          </w:p>
        </w:tc>
        <w:tc>
          <w:tcPr>
            <w:tcW w:w="268" w:type="pct"/>
            <w:tcBorders>
              <w:bottom w:val="single" w:color="auto" w:sz="4" w:space="0"/>
            </w:tcBorders>
            <w:noWrap w:val="0"/>
            <w:vAlign w:val="center"/>
          </w:tcPr>
          <w:p w14:paraId="1A6E8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备注</w:t>
            </w:r>
          </w:p>
        </w:tc>
      </w:tr>
      <w:tr w14:paraId="7F75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Merge w:val="restart"/>
            <w:tcBorders>
              <w:top w:val="single" w:color="auto" w:sz="4" w:space="0"/>
              <w:left w:val="single" w:color="auto" w:sz="4" w:space="0"/>
              <w:bottom w:val="single" w:color="auto" w:sz="4" w:space="0"/>
              <w:right w:val="single" w:color="auto" w:sz="4" w:space="0"/>
            </w:tcBorders>
            <w:noWrap w:val="0"/>
            <w:vAlign w:val="center"/>
          </w:tcPr>
          <w:p w14:paraId="239D2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一、总体要求（60分）</w:t>
            </w:r>
          </w:p>
        </w:tc>
        <w:tc>
          <w:tcPr>
            <w:tcW w:w="361" w:type="pct"/>
            <w:vMerge w:val="restart"/>
            <w:tcBorders>
              <w:top w:val="single" w:color="auto" w:sz="4" w:space="0"/>
              <w:left w:val="single" w:color="auto" w:sz="4" w:space="0"/>
              <w:bottom w:val="single" w:color="auto" w:sz="4" w:space="0"/>
              <w:right w:val="single" w:color="auto" w:sz="4" w:space="0"/>
            </w:tcBorders>
            <w:noWrap w:val="0"/>
            <w:vAlign w:val="center"/>
          </w:tcPr>
          <w:p w14:paraId="37DB5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综合管理部门</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14:paraId="627A0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1.1环卫小型设施设备养护及保障（60分）</w:t>
            </w:r>
          </w:p>
        </w:tc>
        <w:tc>
          <w:tcPr>
            <w:tcW w:w="353" w:type="pct"/>
            <w:tcBorders>
              <w:top w:val="single" w:color="auto" w:sz="4" w:space="0"/>
              <w:left w:val="single" w:color="auto" w:sz="4" w:space="0"/>
              <w:bottom w:val="single" w:color="auto" w:sz="4" w:space="0"/>
              <w:right w:val="single" w:color="auto" w:sz="4" w:space="0"/>
            </w:tcBorders>
            <w:noWrap w:val="0"/>
            <w:vAlign w:val="center"/>
          </w:tcPr>
          <w:p w14:paraId="26B72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1.1.1</w:t>
            </w:r>
          </w:p>
        </w:tc>
        <w:tc>
          <w:tcPr>
            <w:tcW w:w="2810" w:type="pct"/>
            <w:tcBorders>
              <w:top w:val="single" w:color="auto" w:sz="4" w:space="0"/>
              <w:left w:val="single" w:color="auto" w:sz="4" w:space="0"/>
              <w:bottom w:val="single" w:color="auto" w:sz="4" w:space="0"/>
              <w:right w:val="single" w:color="auto" w:sz="4" w:space="0"/>
            </w:tcBorders>
            <w:noWrap w:val="0"/>
            <w:vAlign w:val="center"/>
          </w:tcPr>
          <w:p w14:paraId="315EDA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服务态度不佳，造成影响的，按B1+A1处罚；态度恶劣，造成不良影响的，按B2+A2处罚。</w:t>
            </w:r>
          </w:p>
        </w:tc>
        <w:tc>
          <w:tcPr>
            <w:tcW w:w="503" w:type="pct"/>
            <w:vMerge w:val="restart"/>
            <w:tcBorders>
              <w:top w:val="single" w:color="auto" w:sz="4" w:space="0"/>
              <w:left w:val="single" w:color="auto" w:sz="4" w:space="0"/>
              <w:bottom w:val="single" w:color="auto" w:sz="4" w:space="0"/>
              <w:right w:val="single" w:color="auto" w:sz="4" w:space="0"/>
            </w:tcBorders>
            <w:noWrap w:val="0"/>
            <w:vAlign w:val="center"/>
          </w:tcPr>
          <w:p w14:paraId="531F2E0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综合管理部门</w:t>
            </w:r>
          </w:p>
          <w:p w14:paraId="5B630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i w:val="0"/>
                <w:iCs w:val="0"/>
                <w:color w:val="auto"/>
                <w:sz w:val="22"/>
                <w:szCs w:val="22"/>
                <w:highlight w:val="none"/>
                <w:u w:val="none"/>
                <w:lang w:eastAsia="zh-CN"/>
              </w:rPr>
            </w:pPr>
          </w:p>
        </w:tc>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5AB05E7E">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i w:val="0"/>
                <w:iCs w:val="0"/>
                <w:color w:val="auto"/>
                <w:sz w:val="22"/>
                <w:szCs w:val="22"/>
                <w:highlight w:val="none"/>
                <w:u w:val="none"/>
                <w:lang w:eastAsia="zh-CN"/>
              </w:rPr>
            </w:pPr>
          </w:p>
        </w:tc>
      </w:tr>
      <w:tr w14:paraId="5109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7" w:type="pct"/>
            <w:vMerge w:val="continue"/>
            <w:tcBorders>
              <w:top w:val="single" w:color="auto" w:sz="4" w:space="0"/>
              <w:left w:val="single" w:color="auto" w:sz="4" w:space="0"/>
              <w:bottom w:val="single" w:color="auto" w:sz="4" w:space="0"/>
              <w:right w:val="single" w:color="auto" w:sz="4" w:space="0"/>
            </w:tcBorders>
            <w:noWrap w:val="0"/>
            <w:vAlign w:val="center"/>
          </w:tcPr>
          <w:p w14:paraId="618A56E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top w:val="single" w:color="auto" w:sz="4" w:space="0"/>
              <w:left w:val="single" w:color="auto" w:sz="4" w:space="0"/>
              <w:bottom w:val="single" w:color="auto" w:sz="4" w:space="0"/>
              <w:right w:val="single" w:color="auto" w:sz="4" w:space="0"/>
            </w:tcBorders>
            <w:noWrap w:val="0"/>
            <w:vAlign w:val="center"/>
          </w:tcPr>
          <w:p w14:paraId="707500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14:paraId="1C5B5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tcBorders>
              <w:top w:val="single" w:color="auto" w:sz="4" w:space="0"/>
              <w:left w:val="single" w:color="auto" w:sz="4" w:space="0"/>
              <w:bottom w:val="single" w:color="auto" w:sz="4" w:space="0"/>
              <w:right w:val="single" w:color="auto" w:sz="4" w:space="0"/>
            </w:tcBorders>
            <w:noWrap w:val="0"/>
            <w:vAlign w:val="center"/>
          </w:tcPr>
          <w:p w14:paraId="4B707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1.1.2</w:t>
            </w:r>
          </w:p>
        </w:tc>
        <w:tc>
          <w:tcPr>
            <w:tcW w:w="2810" w:type="pct"/>
            <w:tcBorders>
              <w:top w:val="single" w:color="auto" w:sz="4" w:space="0"/>
              <w:left w:val="single" w:color="auto" w:sz="4" w:space="0"/>
              <w:bottom w:val="single" w:color="auto" w:sz="4" w:space="0"/>
              <w:right w:val="single" w:color="auto" w:sz="4" w:space="0"/>
            </w:tcBorders>
            <w:noWrap w:val="0"/>
            <w:vAlign w:val="center"/>
          </w:tcPr>
          <w:p w14:paraId="46FEA3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无正当理由，延迟维修工作的，按B1+A1处罚；在本职范围内的维修任务却故意推诿的，按B2+A2处罚。</w:t>
            </w:r>
          </w:p>
        </w:tc>
        <w:tc>
          <w:tcPr>
            <w:tcW w:w="503" w:type="pct"/>
            <w:vMerge w:val="continue"/>
            <w:tcBorders>
              <w:top w:val="single" w:color="auto" w:sz="4" w:space="0"/>
              <w:left w:val="single" w:color="auto" w:sz="4" w:space="0"/>
              <w:bottom w:val="single" w:color="auto" w:sz="4" w:space="0"/>
              <w:right w:val="single" w:color="auto" w:sz="4" w:space="0"/>
            </w:tcBorders>
            <w:noWrap w:val="0"/>
            <w:vAlign w:val="center"/>
          </w:tcPr>
          <w:p w14:paraId="18A4247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6FFD774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i w:val="0"/>
                <w:iCs w:val="0"/>
                <w:color w:val="auto"/>
                <w:sz w:val="22"/>
                <w:szCs w:val="22"/>
                <w:highlight w:val="none"/>
                <w:u w:val="none"/>
              </w:rPr>
            </w:pPr>
          </w:p>
        </w:tc>
      </w:tr>
      <w:tr w14:paraId="577C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7" w:type="pct"/>
            <w:vMerge w:val="continue"/>
            <w:tcBorders>
              <w:top w:val="single" w:color="auto" w:sz="4" w:space="0"/>
              <w:left w:val="single" w:color="auto" w:sz="4" w:space="0"/>
              <w:bottom w:val="single" w:color="auto" w:sz="4" w:space="0"/>
              <w:right w:val="single" w:color="auto" w:sz="4" w:space="0"/>
            </w:tcBorders>
            <w:noWrap w:val="0"/>
            <w:vAlign w:val="center"/>
          </w:tcPr>
          <w:p w14:paraId="2E43BF0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top w:val="single" w:color="auto" w:sz="4" w:space="0"/>
              <w:left w:val="single" w:color="auto" w:sz="4" w:space="0"/>
              <w:bottom w:val="single" w:color="auto" w:sz="4" w:space="0"/>
              <w:right w:val="single" w:color="auto" w:sz="4" w:space="0"/>
            </w:tcBorders>
            <w:noWrap w:val="0"/>
            <w:vAlign w:val="center"/>
          </w:tcPr>
          <w:p w14:paraId="76970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14:paraId="7BB3C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tcBorders>
              <w:top w:val="single" w:color="auto" w:sz="4" w:space="0"/>
              <w:left w:val="single" w:color="auto" w:sz="4" w:space="0"/>
              <w:bottom w:val="single" w:color="auto" w:sz="4" w:space="0"/>
              <w:right w:val="single" w:color="auto" w:sz="4" w:space="0"/>
            </w:tcBorders>
            <w:noWrap w:val="0"/>
            <w:vAlign w:val="center"/>
          </w:tcPr>
          <w:p w14:paraId="3C45D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1.1.3</w:t>
            </w:r>
          </w:p>
        </w:tc>
        <w:tc>
          <w:tcPr>
            <w:tcW w:w="2810" w:type="pct"/>
            <w:tcBorders>
              <w:top w:val="single" w:color="auto" w:sz="4" w:space="0"/>
              <w:left w:val="single" w:color="auto" w:sz="4" w:space="0"/>
              <w:bottom w:val="single" w:color="auto" w:sz="4" w:space="0"/>
              <w:right w:val="single" w:color="auto" w:sz="4" w:space="0"/>
            </w:tcBorders>
            <w:noWrap w:val="0"/>
            <w:vAlign w:val="center"/>
          </w:tcPr>
          <w:p w14:paraId="4D980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维修质量不合格导致返修的，按B1+A1处罚；因维修问题被其他部门投诉的，按B2+A2处罚；因维修问题受到领导批评的， 按B4+A4处罚。</w:t>
            </w:r>
          </w:p>
        </w:tc>
        <w:tc>
          <w:tcPr>
            <w:tcW w:w="503" w:type="pct"/>
            <w:vMerge w:val="continue"/>
            <w:tcBorders>
              <w:top w:val="single" w:color="auto" w:sz="4" w:space="0"/>
              <w:left w:val="single" w:color="auto" w:sz="4" w:space="0"/>
              <w:bottom w:val="single" w:color="auto" w:sz="4" w:space="0"/>
              <w:right w:val="single" w:color="auto" w:sz="4" w:space="0"/>
            </w:tcBorders>
            <w:noWrap w:val="0"/>
            <w:vAlign w:val="center"/>
          </w:tcPr>
          <w:p w14:paraId="0D9BCD9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6C877173">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i w:val="0"/>
                <w:iCs w:val="0"/>
                <w:color w:val="auto"/>
                <w:sz w:val="22"/>
                <w:szCs w:val="22"/>
                <w:highlight w:val="none"/>
                <w:u w:val="none"/>
                <w:lang w:eastAsia="zh-CN"/>
              </w:rPr>
            </w:pPr>
          </w:p>
        </w:tc>
      </w:tr>
      <w:tr w14:paraId="0997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7" w:type="pct"/>
            <w:vMerge w:val="continue"/>
            <w:tcBorders>
              <w:top w:val="single" w:color="auto" w:sz="4" w:space="0"/>
              <w:left w:val="single" w:color="auto" w:sz="4" w:space="0"/>
              <w:bottom w:val="single" w:color="auto" w:sz="4" w:space="0"/>
            </w:tcBorders>
            <w:noWrap w:val="0"/>
            <w:vAlign w:val="center"/>
          </w:tcPr>
          <w:p w14:paraId="287BC2A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top w:val="single" w:color="auto" w:sz="4" w:space="0"/>
              <w:bottom w:val="single" w:color="auto" w:sz="4" w:space="0"/>
            </w:tcBorders>
            <w:noWrap w:val="0"/>
            <w:vAlign w:val="center"/>
          </w:tcPr>
          <w:p w14:paraId="19D2F69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tcBorders>
              <w:top w:val="single" w:color="auto" w:sz="4" w:space="0"/>
              <w:bottom w:val="single" w:color="auto" w:sz="4" w:space="0"/>
              <w:right w:val="single" w:color="auto" w:sz="4" w:space="0"/>
            </w:tcBorders>
            <w:noWrap w:val="0"/>
            <w:vAlign w:val="center"/>
          </w:tcPr>
          <w:p w14:paraId="66C07F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tcBorders>
              <w:top w:val="single" w:color="auto" w:sz="4" w:space="0"/>
              <w:left w:val="single" w:color="auto" w:sz="4" w:space="0"/>
              <w:bottom w:val="single" w:color="auto" w:sz="4" w:space="0"/>
            </w:tcBorders>
            <w:noWrap w:val="0"/>
            <w:vAlign w:val="center"/>
          </w:tcPr>
          <w:p w14:paraId="7CDCD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1.1.4</w:t>
            </w:r>
          </w:p>
        </w:tc>
        <w:tc>
          <w:tcPr>
            <w:tcW w:w="2810" w:type="pct"/>
            <w:tcBorders>
              <w:top w:val="single" w:color="auto" w:sz="4" w:space="0"/>
              <w:bottom w:val="single" w:color="auto" w:sz="4" w:space="0"/>
              <w:right w:val="single" w:color="auto" w:sz="4" w:space="0"/>
            </w:tcBorders>
            <w:noWrap w:val="0"/>
            <w:vAlign w:val="center"/>
          </w:tcPr>
          <w:p w14:paraId="0ABC8D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不合理浪费维修材料的，按B1+A1处罚；私自挪用公共物资的，按B2+A2处罚；维修期间擅离职守办私事的，按B3+A3处罚。</w:t>
            </w:r>
          </w:p>
        </w:tc>
        <w:tc>
          <w:tcPr>
            <w:tcW w:w="503" w:type="pct"/>
            <w:vMerge w:val="continue"/>
            <w:tcBorders>
              <w:top w:val="single" w:color="auto" w:sz="4" w:space="0"/>
              <w:left w:val="single" w:color="auto" w:sz="4" w:space="0"/>
              <w:bottom w:val="single" w:color="auto" w:sz="4" w:space="0"/>
            </w:tcBorders>
            <w:noWrap w:val="0"/>
            <w:vAlign w:val="center"/>
          </w:tcPr>
          <w:p w14:paraId="470BA33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single" w:color="auto" w:sz="4" w:space="0"/>
              <w:bottom w:val="single" w:color="auto" w:sz="4" w:space="0"/>
              <w:right w:val="single" w:color="auto" w:sz="4" w:space="0"/>
            </w:tcBorders>
            <w:noWrap w:val="0"/>
            <w:vAlign w:val="center"/>
          </w:tcPr>
          <w:p w14:paraId="6ACE59F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25A0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7"/>
            <w:tcBorders>
              <w:top w:val="nil"/>
              <w:left w:val="nil"/>
              <w:bottom w:val="nil"/>
              <w:right w:val="nil"/>
            </w:tcBorders>
            <w:noWrap w:val="0"/>
            <w:vAlign w:val="center"/>
          </w:tcPr>
          <w:p w14:paraId="600C348F">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bCs/>
                <w:i w:val="0"/>
                <w:iCs w:val="0"/>
                <w:color w:val="auto"/>
                <w:sz w:val="22"/>
                <w:szCs w:val="22"/>
                <w:highlight w:val="none"/>
                <w:u w:val="none"/>
                <w:lang w:val="en-US" w:eastAsia="zh-CN"/>
              </w:rPr>
            </w:pPr>
            <w:r>
              <w:rPr>
                <w:rFonts w:hint="eastAsia" w:ascii="仿宋" w:hAnsi="仿宋" w:eastAsia="仿宋" w:cs="仿宋"/>
                <w:b w:val="0"/>
                <w:bCs w:val="0"/>
                <w:i w:val="0"/>
                <w:iCs w:val="0"/>
                <w:color w:val="auto"/>
                <w:sz w:val="22"/>
                <w:szCs w:val="22"/>
                <w:highlight w:val="none"/>
                <w:u w:val="none"/>
                <w:lang w:val="en-US" w:eastAsia="zh-CN"/>
              </w:rPr>
              <w:t>注：本项目考核方式采用“各项目专用细则（三选一）+通用细则”组合形式。</w:t>
            </w:r>
          </w:p>
        </w:tc>
      </w:tr>
    </w:tbl>
    <w:p w14:paraId="0D881C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pPr>
    </w:p>
    <w:p w14:paraId="510C5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sectPr>
          <w:headerReference r:id="rId16" w:type="default"/>
          <w:footerReference r:id="rId17" w:type="default"/>
          <w:pgSz w:w="16838" w:h="11906" w:orient="landscape"/>
          <w:pgMar w:top="1800" w:right="1440" w:bottom="1800" w:left="1440" w:header="851" w:footer="992" w:gutter="0"/>
          <w:pgNumType w:fmt="decimal"/>
          <w:cols w:space="720" w:num="1"/>
          <w:docGrid w:type="lines" w:linePitch="312" w:charSpace="0"/>
        </w:sectPr>
      </w:pPr>
    </w:p>
    <w:p w14:paraId="29E68A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pPr>
      <w:r>
        <w:rPr>
          <w:rFonts w:hint="eastAsia" w:ascii="方正小标宋简体" w:hAnsi="方正小标宋简体" w:eastAsia="方正小标宋简体" w:cs="方正小标宋简体"/>
          <w:spacing w:val="0"/>
          <w:sz w:val="36"/>
          <w:szCs w:val="36"/>
          <w:highlight w:val="none"/>
          <w:lang w:val="en-US" w:eastAsia="zh-CN"/>
        </w:rPr>
        <w:t>湖州市市容环境卫生管理中心环卫配套业务市场化购买项目</w:t>
      </w:r>
      <w:r>
        <w:rPr>
          <w:rFonts w:hint="eastAsia" w:ascii="方正小标宋简体" w:hAnsi="方正小标宋简体" w:eastAsia="方正小标宋简体" w:cs="方正小标宋简体"/>
          <w:spacing w:val="0"/>
          <w:sz w:val="36"/>
          <w:szCs w:val="36"/>
          <w:highlight w:val="none"/>
        </w:rPr>
        <w:t>管理与质量考核评价</w:t>
      </w:r>
      <w:r>
        <w:rPr>
          <w:rFonts w:hint="eastAsia" w:ascii="方正小标宋简体" w:hAnsi="方正小标宋简体" w:eastAsia="方正小标宋简体" w:cs="方正小标宋简体"/>
          <w:spacing w:val="0"/>
          <w:sz w:val="36"/>
          <w:szCs w:val="36"/>
          <w:highlight w:val="none"/>
          <w:lang w:val="en-US" w:eastAsia="zh-CN"/>
        </w:rPr>
        <w:t>表</w:t>
      </w:r>
    </w:p>
    <w:p w14:paraId="71075F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ascii="方正小标宋简体" w:hAnsi="方正小标宋简体" w:eastAsia="方正小标宋简体" w:cs="方正小标宋简体"/>
          <w:spacing w:val="0"/>
          <w:sz w:val="36"/>
          <w:szCs w:val="36"/>
          <w:highlight w:val="none"/>
          <w:lang w:val="en-US" w:eastAsia="zh-CN"/>
        </w:rPr>
        <w:t>（项目专用细则-2）</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023"/>
        <w:gridCol w:w="1032"/>
        <w:gridCol w:w="1000"/>
        <w:gridCol w:w="7964"/>
        <w:gridCol w:w="1426"/>
        <w:gridCol w:w="771"/>
      </w:tblGrid>
      <w:tr w14:paraId="431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337" w:type="pct"/>
            <w:noWrap w:val="0"/>
            <w:vAlign w:val="center"/>
          </w:tcPr>
          <w:p w14:paraId="362C4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637CD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主项</w:t>
            </w:r>
          </w:p>
        </w:tc>
        <w:tc>
          <w:tcPr>
            <w:tcW w:w="361" w:type="pct"/>
            <w:noWrap w:val="0"/>
            <w:vAlign w:val="center"/>
          </w:tcPr>
          <w:p w14:paraId="6EEDD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考核部门</w:t>
            </w:r>
          </w:p>
        </w:tc>
        <w:tc>
          <w:tcPr>
            <w:tcW w:w="364" w:type="pct"/>
            <w:noWrap w:val="0"/>
            <w:vAlign w:val="center"/>
          </w:tcPr>
          <w:p w14:paraId="60610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13F1AD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内容</w:t>
            </w:r>
          </w:p>
        </w:tc>
        <w:tc>
          <w:tcPr>
            <w:tcW w:w="353" w:type="pct"/>
            <w:noWrap w:val="0"/>
            <w:vAlign w:val="center"/>
          </w:tcPr>
          <w:p w14:paraId="7BEBF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对应条款</w:t>
            </w:r>
          </w:p>
        </w:tc>
        <w:tc>
          <w:tcPr>
            <w:tcW w:w="2810" w:type="pct"/>
            <w:tcBorders>
              <w:bottom w:val="single" w:color="auto" w:sz="4" w:space="0"/>
            </w:tcBorders>
            <w:noWrap w:val="0"/>
            <w:vAlign w:val="center"/>
          </w:tcPr>
          <w:p w14:paraId="100FE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考核评价标准</w:t>
            </w:r>
          </w:p>
        </w:tc>
        <w:tc>
          <w:tcPr>
            <w:tcW w:w="503" w:type="pct"/>
            <w:tcBorders>
              <w:bottom w:val="single" w:color="auto" w:sz="4" w:space="0"/>
            </w:tcBorders>
            <w:noWrap w:val="0"/>
            <w:vAlign w:val="center"/>
          </w:tcPr>
          <w:p w14:paraId="2EC02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lang w:val="en-US"/>
              </w:rPr>
            </w:pPr>
            <w:r>
              <w:rPr>
                <w:rFonts w:hint="eastAsia" w:ascii="仿宋" w:hAnsi="仿宋" w:eastAsia="仿宋" w:cs="仿宋"/>
                <w:b/>
                <w:bCs/>
                <w:i w:val="0"/>
                <w:iCs w:val="0"/>
                <w:color w:val="auto"/>
                <w:spacing w:val="-4"/>
                <w:kern w:val="0"/>
                <w:sz w:val="22"/>
                <w:szCs w:val="22"/>
                <w:highlight w:val="none"/>
                <w:u w:val="none"/>
                <w:lang w:val="en-US" w:eastAsia="zh-CN" w:bidi="ar"/>
              </w:rPr>
              <w:t>责任部门</w:t>
            </w:r>
          </w:p>
        </w:tc>
        <w:tc>
          <w:tcPr>
            <w:tcW w:w="268" w:type="pct"/>
            <w:tcBorders>
              <w:bottom w:val="single" w:color="auto" w:sz="4" w:space="0"/>
            </w:tcBorders>
            <w:noWrap w:val="0"/>
            <w:vAlign w:val="center"/>
          </w:tcPr>
          <w:p w14:paraId="26105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备注</w:t>
            </w:r>
          </w:p>
        </w:tc>
      </w:tr>
      <w:tr w14:paraId="7C16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37" w:type="pct"/>
            <w:vMerge w:val="restart"/>
            <w:noWrap w:val="0"/>
            <w:vAlign w:val="center"/>
          </w:tcPr>
          <w:p w14:paraId="74776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一、总体要求（60分）</w:t>
            </w:r>
          </w:p>
        </w:tc>
        <w:tc>
          <w:tcPr>
            <w:tcW w:w="361" w:type="pct"/>
            <w:vMerge w:val="restart"/>
            <w:noWrap w:val="0"/>
            <w:vAlign w:val="center"/>
          </w:tcPr>
          <w:p w14:paraId="459A1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综合业务部门</w:t>
            </w:r>
          </w:p>
        </w:tc>
        <w:tc>
          <w:tcPr>
            <w:tcW w:w="364" w:type="pct"/>
            <w:vMerge w:val="restart"/>
            <w:noWrap w:val="0"/>
            <w:vAlign w:val="center"/>
          </w:tcPr>
          <w:p w14:paraId="11AF1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1.1环卫清运设施及停放站点配套（30分）</w:t>
            </w:r>
          </w:p>
        </w:tc>
        <w:tc>
          <w:tcPr>
            <w:tcW w:w="353" w:type="pct"/>
            <w:tcBorders>
              <w:right w:val="single" w:color="auto" w:sz="4" w:space="0"/>
            </w:tcBorders>
            <w:noWrap w:val="0"/>
            <w:vAlign w:val="center"/>
          </w:tcPr>
          <w:p w14:paraId="06D9B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1.1.1</w:t>
            </w:r>
          </w:p>
        </w:tc>
        <w:tc>
          <w:tcPr>
            <w:tcW w:w="2810" w:type="pct"/>
            <w:tcBorders>
              <w:top w:val="single" w:color="auto" w:sz="4" w:space="0"/>
              <w:left w:val="single" w:color="auto" w:sz="4" w:space="0"/>
              <w:bottom w:val="single" w:color="auto" w:sz="4" w:space="0"/>
              <w:right w:val="single" w:color="auto" w:sz="4" w:space="0"/>
            </w:tcBorders>
            <w:noWrap w:val="0"/>
            <w:vAlign w:val="center"/>
          </w:tcPr>
          <w:p w14:paraId="23E1E8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工作人员在场站内部抽烟，每次按B1+A1处罚。</w:t>
            </w:r>
          </w:p>
        </w:tc>
        <w:tc>
          <w:tcPr>
            <w:tcW w:w="503" w:type="pct"/>
            <w:vMerge w:val="restart"/>
            <w:tcBorders>
              <w:top w:val="single" w:color="auto" w:sz="4" w:space="0"/>
              <w:left w:val="single" w:color="auto" w:sz="4" w:space="0"/>
              <w:bottom w:val="single" w:color="auto" w:sz="4" w:space="0"/>
              <w:right w:val="single" w:color="auto" w:sz="4" w:space="0"/>
            </w:tcBorders>
            <w:noWrap w:val="0"/>
            <w:vAlign w:val="center"/>
          </w:tcPr>
          <w:p w14:paraId="3E1C3C6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综合业务部门</w:t>
            </w:r>
          </w:p>
        </w:tc>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3CF6CE3E">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bCs/>
                <w:i w:val="0"/>
                <w:iCs w:val="0"/>
                <w:color w:val="auto"/>
                <w:sz w:val="22"/>
                <w:szCs w:val="22"/>
                <w:highlight w:val="none"/>
                <w:u w:val="none"/>
              </w:rPr>
            </w:pPr>
          </w:p>
        </w:tc>
      </w:tr>
      <w:tr w14:paraId="0DD1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37" w:type="pct"/>
            <w:vMerge w:val="continue"/>
            <w:noWrap w:val="0"/>
            <w:vAlign w:val="center"/>
          </w:tcPr>
          <w:p w14:paraId="1601153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B7895D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0756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noWrap w:val="0"/>
            <w:vAlign w:val="center"/>
          </w:tcPr>
          <w:p w14:paraId="2C07B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1.1.2</w:t>
            </w:r>
          </w:p>
        </w:tc>
        <w:tc>
          <w:tcPr>
            <w:tcW w:w="2810" w:type="pct"/>
            <w:tcBorders>
              <w:top w:val="single" w:color="auto" w:sz="4" w:space="0"/>
              <w:bottom w:val="single" w:color="auto" w:sz="4" w:space="0"/>
              <w:right w:val="single" w:color="auto" w:sz="4" w:space="0"/>
            </w:tcBorders>
            <w:noWrap w:val="0"/>
            <w:vAlign w:val="center"/>
          </w:tcPr>
          <w:p w14:paraId="44BE7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夜间安全管理未按照要求定期全覆盖的，或出现有责问题、事件的，每项每次按B1处罚.</w:t>
            </w:r>
          </w:p>
        </w:tc>
        <w:tc>
          <w:tcPr>
            <w:tcW w:w="503" w:type="pct"/>
            <w:vMerge w:val="continue"/>
            <w:tcBorders>
              <w:top w:val="single" w:color="auto" w:sz="4" w:space="0"/>
              <w:left w:val="single" w:color="auto" w:sz="4" w:space="0"/>
              <w:bottom w:val="single" w:color="auto" w:sz="4" w:space="0"/>
              <w:right w:val="single" w:color="auto" w:sz="4" w:space="0"/>
            </w:tcBorders>
            <w:noWrap w:val="0"/>
            <w:vAlign w:val="center"/>
          </w:tcPr>
          <w:p w14:paraId="1E7C378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single" w:color="auto" w:sz="4" w:space="0"/>
              <w:left w:val="single" w:color="auto" w:sz="4" w:space="0"/>
              <w:bottom w:val="nil"/>
              <w:right w:val="single" w:color="auto" w:sz="4" w:space="0"/>
            </w:tcBorders>
            <w:noWrap w:val="0"/>
            <w:vAlign w:val="center"/>
          </w:tcPr>
          <w:p w14:paraId="0B504E4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459E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7" w:type="pct"/>
            <w:vMerge w:val="continue"/>
            <w:noWrap w:val="0"/>
            <w:vAlign w:val="center"/>
          </w:tcPr>
          <w:p w14:paraId="667B18C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restart"/>
            <w:noWrap w:val="0"/>
            <w:vAlign w:val="center"/>
          </w:tcPr>
          <w:p w14:paraId="1F953AE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资源利用部门</w:t>
            </w:r>
          </w:p>
        </w:tc>
        <w:tc>
          <w:tcPr>
            <w:tcW w:w="364" w:type="pct"/>
            <w:vMerge w:val="restart"/>
            <w:noWrap w:val="0"/>
            <w:vAlign w:val="center"/>
          </w:tcPr>
          <w:p w14:paraId="1FB52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1.2装修垃圾智能收运箱体（30分）</w:t>
            </w:r>
          </w:p>
        </w:tc>
        <w:tc>
          <w:tcPr>
            <w:tcW w:w="353" w:type="pct"/>
            <w:noWrap w:val="0"/>
            <w:vAlign w:val="center"/>
          </w:tcPr>
          <w:p w14:paraId="20D19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1.2.1</w:t>
            </w:r>
          </w:p>
        </w:tc>
        <w:tc>
          <w:tcPr>
            <w:tcW w:w="2810" w:type="pct"/>
            <w:tcBorders>
              <w:top w:val="single" w:color="auto" w:sz="4" w:space="0"/>
              <w:bottom w:val="single" w:color="auto" w:sz="4" w:space="0"/>
              <w:right w:val="single" w:color="auto" w:sz="4" w:space="0"/>
            </w:tcBorders>
            <w:noWrap w:val="0"/>
            <w:vAlign w:val="center"/>
          </w:tcPr>
          <w:p w14:paraId="6660B7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巡查人员未发现装修垃圾智能收运箱箱体外观污渍、缺损等每次按A1+C1处罚。</w:t>
            </w:r>
          </w:p>
        </w:tc>
        <w:tc>
          <w:tcPr>
            <w:tcW w:w="503" w:type="pct"/>
            <w:vMerge w:val="restart"/>
            <w:tcBorders>
              <w:top w:val="single" w:color="auto" w:sz="4" w:space="0"/>
              <w:left w:val="single" w:color="auto" w:sz="4" w:space="0"/>
              <w:bottom w:val="single" w:color="auto" w:sz="4" w:space="0"/>
              <w:right w:val="single" w:color="auto" w:sz="4" w:space="0"/>
            </w:tcBorders>
            <w:noWrap w:val="0"/>
            <w:vAlign w:val="center"/>
          </w:tcPr>
          <w:p w14:paraId="7C4E379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资源利用部门</w:t>
            </w:r>
          </w:p>
        </w:tc>
        <w:tc>
          <w:tcPr>
            <w:tcW w:w="268" w:type="pct"/>
            <w:vMerge w:val="continue"/>
            <w:tcBorders>
              <w:top w:val="nil"/>
              <w:left w:val="single" w:color="auto" w:sz="4" w:space="0"/>
              <w:bottom w:val="nil"/>
              <w:right w:val="single" w:color="auto" w:sz="4" w:space="0"/>
            </w:tcBorders>
            <w:noWrap w:val="0"/>
            <w:vAlign w:val="center"/>
          </w:tcPr>
          <w:p w14:paraId="2AF5A17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4E41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37" w:type="pct"/>
            <w:vMerge w:val="continue"/>
            <w:noWrap w:val="0"/>
            <w:vAlign w:val="center"/>
          </w:tcPr>
          <w:p w14:paraId="219ADEF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7FCD69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57C0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noWrap w:val="0"/>
            <w:vAlign w:val="center"/>
          </w:tcPr>
          <w:p w14:paraId="380F6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1.2.2</w:t>
            </w:r>
          </w:p>
        </w:tc>
        <w:tc>
          <w:tcPr>
            <w:tcW w:w="2810" w:type="pct"/>
            <w:tcBorders>
              <w:top w:val="single" w:color="auto" w:sz="4" w:space="0"/>
              <w:right w:val="single" w:color="auto" w:sz="4" w:space="0"/>
            </w:tcBorders>
            <w:noWrap w:val="0"/>
            <w:vAlign w:val="center"/>
          </w:tcPr>
          <w:p w14:paraId="2CA804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巡查人员未发现装修垃圾智能收运箱箱体电源开关未关闭，太阳能板破损或被树叶等杂物遮挡等造成箱体没电箱门无法正常开关，每次按A2+C2处罚。</w:t>
            </w:r>
          </w:p>
        </w:tc>
        <w:tc>
          <w:tcPr>
            <w:tcW w:w="503" w:type="pct"/>
            <w:vMerge w:val="continue"/>
            <w:tcBorders>
              <w:top w:val="single" w:color="auto" w:sz="4" w:space="0"/>
              <w:left w:val="single" w:color="auto" w:sz="4" w:space="0"/>
              <w:bottom w:val="nil"/>
              <w:right w:val="single" w:color="auto" w:sz="4" w:space="0"/>
            </w:tcBorders>
            <w:noWrap w:val="0"/>
            <w:vAlign w:val="center"/>
          </w:tcPr>
          <w:p w14:paraId="6065BE0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nil"/>
              <w:left w:val="single" w:color="auto" w:sz="4" w:space="0"/>
              <w:bottom w:val="nil"/>
              <w:right w:val="single" w:color="auto" w:sz="4" w:space="0"/>
            </w:tcBorders>
            <w:noWrap w:val="0"/>
            <w:vAlign w:val="center"/>
          </w:tcPr>
          <w:p w14:paraId="4C911DD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1BA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7" w:type="pct"/>
            <w:vMerge w:val="continue"/>
            <w:noWrap w:val="0"/>
            <w:vAlign w:val="center"/>
          </w:tcPr>
          <w:p w14:paraId="3C6DF4D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928C9F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3F9F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noWrap w:val="0"/>
            <w:vAlign w:val="center"/>
          </w:tcPr>
          <w:p w14:paraId="3CFD1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1.2.3</w:t>
            </w:r>
          </w:p>
        </w:tc>
        <w:tc>
          <w:tcPr>
            <w:tcW w:w="2810" w:type="pct"/>
            <w:tcBorders>
              <w:right w:val="single" w:color="auto" w:sz="4" w:space="0"/>
            </w:tcBorders>
            <w:noWrap w:val="0"/>
            <w:vAlign w:val="center"/>
          </w:tcPr>
          <w:p w14:paraId="38DD8E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巡查人员未发现装修垃圾智能收运箱箱体锁具等功能性故障，每次按A3+C3处罚。</w:t>
            </w:r>
          </w:p>
        </w:tc>
        <w:tc>
          <w:tcPr>
            <w:tcW w:w="503" w:type="pct"/>
            <w:vMerge w:val="continue"/>
            <w:tcBorders>
              <w:top w:val="nil"/>
              <w:left w:val="single" w:color="auto" w:sz="4" w:space="0"/>
              <w:bottom w:val="nil"/>
              <w:right w:val="single" w:color="auto" w:sz="4" w:space="0"/>
            </w:tcBorders>
            <w:noWrap w:val="0"/>
            <w:vAlign w:val="center"/>
          </w:tcPr>
          <w:p w14:paraId="272C6D8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nil"/>
              <w:left w:val="single" w:color="auto" w:sz="4" w:space="0"/>
              <w:bottom w:val="nil"/>
              <w:right w:val="single" w:color="auto" w:sz="4" w:space="0"/>
            </w:tcBorders>
            <w:noWrap w:val="0"/>
            <w:vAlign w:val="center"/>
          </w:tcPr>
          <w:p w14:paraId="1A148D0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6783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37" w:type="pct"/>
            <w:vMerge w:val="continue"/>
            <w:noWrap w:val="0"/>
            <w:vAlign w:val="center"/>
          </w:tcPr>
          <w:p w14:paraId="50D120B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7A352BD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6FD4F2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noWrap w:val="0"/>
            <w:vAlign w:val="center"/>
          </w:tcPr>
          <w:p w14:paraId="4D27E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1.2.4</w:t>
            </w:r>
          </w:p>
        </w:tc>
        <w:tc>
          <w:tcPr>
            <w:tcW w:w="2810" w:type="pct"/>
            <w:tcBorders>
              <w:right w:val="single" w:color="auto" w:sz="4" w:space="0"/>
            </w:tcBorders>
            <w:noWrap w:val="0"/>
            <w:vAlign w:val="center"/>
          </w:tcPr>
          <w:p w14:paraId="235069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巡查人员未发现装修垃圾智能收运箱箱体勾臂、液压等重要构件断裂损坏等情况，每次按A4+C4处罚。直接或间接产生安全事故的，每次按A5+C5处罚。</w:t>
            </w:r>
          </w:p>
        </w:tc>
        <w:tc>
          <w:tcPr>
            <w:tcW w:w="503" w:type="pct"/>
            <w:vMerge w:val="continue"/>
            <w:tcBorders>
              <w:top w:val="nil"/>
              <w:left w:val="single" w:color="auto" w:sz="4" w:space="0"/>
              <w:bottom w:val="nil"/>
              <w:right w:val="single" w:color="auto" w:sz="4" w:space="0"/>
            </w:tcBorders>
            <w:noWrap w:val="0"/>
            <w:vAlign w:val="center"/>
          </w:tcPr>
          <w:p w14:paraId="6C3EA7A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nil"/>
              <w:left w:val="single" w:color="auto" w:sz="4" w:space="0"/>
              <w:bottom w:val="nil"/>
              <w:right w:val="single" w:color="auto" w:sz="4" w:space="0"/>
            </w:tcBorders>
            <w:noWrap w:val="0"/>
            <w:vAlign w:val="center"/>
          </w:tcPr>
          <w:p w14:paraId="3B34C3B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028B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7" w:type="pct"/>
            <w:vMerge w:val="continue"/>
            <w:tcBorders>
              <w:bottom w:val="single" w:color="auto" w:sz="4" w:space="0"/>
            </w:tcBorders>
            <w:noWrap w:val="0"/>
            <w:vAlign w:val="center"/>
          </w:tcPr>
          <w:p w14:paraId="0F97206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bottom w:val="single" w:color="auto" w:sz="4" w:space="0"/>
            </w:tcBorders>
            <w:noWrap w:val="0"/>
            <w:vAlign w:val="center"/>
          </w:tcPr>
          <w:p w14:paraId="757FAF2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tcBorders>
              <w:bottom w:val="single" w:color="auto" w:sz="4" w:space="0"/>
            </w:tcBorders>
            <w:noWrap w:val="0"/>
            <w:vAlign w:val="center"/>
          </w:tcPr>
          <w:p w14:paraId="41709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p>
        </w:tc>
        <w:tc>
          <w:tcPr>
            <w:tcW w:w="353" w:type="pct"/>
            <w:tcBorders>
              <w:bottom w:val="single" w:color="auto" w:sz="4" w:space="0"/>
            </w:tcBorders>
            <w:noWrap w:val="0"/>
            <w:vAlign w:val="center"/>
          </w:tcPr>
          <w:p w14:paraId="20825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1.2.5</w:t>
            </w:r>
          </w:p>
        </w:tc>
        <w:tc>
          <w:tcPr>
            <w:tcW w:w="2810" w:type="pct"/>
            <w:tcBorders>
              <w:bottom w:val="single" w:color="auto" w:sz="4" w:space="0"/>
              <w:right w:val="single" w:color="auto" w:sz="4" w:space="0"/>
            </w:tcBorders>
            <w:noWrap w:val="0"/>
            <w:vAlign w:val="center"/>
          </w:tcPr>
          <w:p w14:paraId="6C8028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服务单位未按时做好检查台账、报修台账等业务资料，发现1次，按A2+C2处罚；发现2次及以上按A3+C3处罚。</w:t>
            </w:r>
          </w:p>
        </w:tc>
        <w:tc>
          <w:tcPr>
            <w:tcW w:w="503" w:type="pct"/>
            <w:vMerge w:val="continue"/>
            <w:tcBorders>
              <w:top w:val="nil"/>
              <w:left w:val="single" w:color="auto" w:sz="4" w:space="0"/>
              <w:bottom w:val="single" w:color="auto" w:sz="4" w:space="0"/>
              <w:right w:val="single" w:color="auto" w:sz="4" w:space="0"/>
            </w:tcBorders>
            <w:noWrap w:val="0"/>
            <w:vAlign w:val="center"/>
          </w:tcPr>
          <w:p w14:paraId="64AE094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top w:val="nil"/>
              <w:left w:val="single" w:color="auto" w:sz="4" w:space="0"/>
              <w:bottom w:val="single" w:color="auto" w:sz="4" w:space="0"/>
              <w:right w:val="single" w:color="auto" w:sz="4" w:space="0"/>
            </w:tcBorders>
            <w:noWrap w:val="0"/>
            <w:vAlign w:val="center"/>
          </w:tcPr>
          <w:p w14:paraId="13BEA74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0C08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7"/>
            <w:tcBorders>
              <w:top w:val="single" w:color="auto" w:sz="4" w:space="0"/>
              <w:left w:val="nil"/>
              <w:bottom w:val="nil"/>
              <w:right w:val="nil"/>
            </w:tcBorders>
            <w:noWrap w:val="0"/>
            <w:vAlign w:val="center"/>
          </w:tcPr>
          <w:p w14:paraId="1CCBFD14">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bCs/>
                <w:i w:val="0"/>
                <w:iCs w:val="0"/>
                <w:color w:val="auto"/>
                <w:spacing w:val="-4"/>
                <w:kern w:val="2"/>
                <w:sz w:val="22"/>
                <w:szCs w:val="22"/>
                <w:highlight w:val="none"/>
                <w:u w:val="none"/>
                <w:lang w:val="en-US" w:eastAsia="zh-CN" w:bidi="ar-SA"/>
              </w:rPr>
            </w:pPr>
            <w:r>
              <w:rPr>
                <w:rFonts w:hint="eastAsia" w:ascii="仿宋" w:hAnsi="仿宋" w:eastAsia="仿宋" w:cs="仿宋"/>
                <w:b w:val="0"/>
                <w:bCs w:val="0"/>
                <w:i w:val="0"/>
                <w:iCs w:val="0"/>
                <w:color w:val="auto"/>
                <w:sz w:val="22"/>
                <w:szCs w:val="22"/>
                <w:highlight w:val="none"/>
                <w:u w:val="none"/>
                <w:lang w:val="en-US" w:eastAsia="zh-CN"/>
              </w:rPr>
              <w:t>注：本项目考核方式采用“各项目专用细则（三选一）+通用细则”组合形式。</w:t>
            </w:r>
          </w:p>
        </w:tc>
      </w:tr>
    </w:tbl>
    <w:p w14:paraId="658CD83E">
      <w:pPr>
        <w:rPr>
          <w:highlight w:val="none"/>
        </w:rPr>
      </w:pPr>
    </w:p>
    <w:p w14:paraId="6199C3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14AD77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pPr>
      <w:r>
        <w:rPr>
          <w:rFonts w:hint="eastAsia" w:ascii="方正小标宋简体" w:hAnsi="方正小标宋简体" w:eastAsia="方正小标宋简体" w:cs="方正小标宋简体"/>
          <w:spacing w:val="0"/>
          <w:sz w:val="36"/>
          <w:szCs w:val="36"/>
          <w:highlight w:val="none"/>
          <w:lang w:val="en-US" w:eastAsia="zh-CN"/>
        </w:rPr>
        <w:t>湖州市市容环境卫生管理中心环卫配套业务市场化购买项目</w:t>
      </w:r>
      <w:r>
        <w:rPr>
          <w:rFonts w:hint="eastAsia" w:ascii="方正小标宋简体" w:hAnsi="方正小标宋简体" w:eastAsia="方正小标宋简体" w:cs="方正小标宋简体"/>
          <w:spacing w:val="0"/>
          <w:sz w:val="36"/>
          <w:szCs w:val="36"/>
          <w:highlight w:val="none"/>
        </w:rPr>
        <w:t>管理与质量考核评价</w:t>
      </w:r>
      <w:r>
        <w:rPr>
          <w:rFonts w:hint="eastAsia" w:ascii="方正小标宋简体" w:hAnsi="方正小标宋简体" w:eastAsia="方正小标宋简体" w:cs="方正小标宋简体"/>
          <w:spacing w:val="0"/>
          <w:sz w:val="36"/>
          <w:szCs w:val="36"/>
          <w:highlight w:val="none"/>
          <w:lang w:val="en-US" w:eastAsia="zh-CN"/>
        </w:rPr>
        <w:t>表</w:t>
      </w:r>
    </w:p>
    <w:p w14:paraId="72EE610C">
      <w:pPr>
        <w:jc w:val="center"/>
        <w:rPr>
          <w:highlight w:val="none"/>
        </w:rPr>
      </w:pPr>
      <w:r>
        <w:rPr>
          <w:rFonts w:hint="eastAsia" w:ascii="方正小标宋简体" w:hAnsi="方正小标宋简体" w:eastAsia="方正小标宋简体" w:cs="方正小标宋简体"/>
          <w:spacing w:val="0"/>
          <w:sz w:val="36"/>
          <w:szCs w:val="36"/>
          <w:highlight w:val="none"/>
          <w:lang w:val="en-US" w:eastAsia="zh-CN"/>
        </w:rPr>
        <w:t>（项目专用细则-3）</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023"/>
        <w:gridCol w:w="1032"/>
        <w:gridCol w:w="1000"/>
        <w:gridCol w:w="7964"/>
        <w:gridCol w:w="1426"/>
        <w:gridCol w:w="771"/>
      </w:tblGrid>
      <w:tr w14:paraId="5889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337" w:type="pct"/>
            <w:noWrap w:val="0"/>
            <w:vAlign w:val="center"/>
          </w:tcPr>
          <w:p w14:paraId="2B21E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2C9FE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主项</w:t>
            </w:r>
          </w:p>
        </w:tc>
        <w:tc>
          <w:tcPr>
            <w:tcW w:w="361" w:type="pct"/>
            <w:noWrap w:val="0"/>
            <w:vAlign w:val="center"/>
          </w:tcPr>
          <w:p w14:paraId="75F7E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考核部门</w:t>
            </w:r>
          </w:p>
        </w:tc>
        <w:tc>
          <w:tcPr>
            <w:tcW w:w="364" w:type="pct"/>
            <w:noWrap w:val="0"/>
            <w:vAlign w:val="center"/>
          </w:tcPr>
          <w:p w14:paraId="19964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2B0E2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内容</w:t>
            </w:r>
          </w:p>
        </w:tc>
        <w:tc>
          <w:tcPr>
            <w:tcW w:w="353" w:type="pct"/>
            <w:noWrap w:val="0"/>
            <w:vAlign w:val="center"/>
          </w:tcPr>
          <w:p w14:paraId="7AB47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对应条款</w:t>
            </w:r>
          </w:p>
        </w:tc>
        <w:tc>
          <w:tcPr>
            <w:tcW w:w="2810" w:type="pct"/>
            <w:noWrap w:val="0"/>
            <w:vAlign w:val="center"/>
          </w:tcPr>
          <w:p w14:paraId="27C9B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考核评价标准</w:t>
            </w:r>
          </w:p>
        </w:tc>
        <w:tc>
          <w:tcPr>
            <w:tcW w:w="503" w:type="pct"/>
            <w:noWrap w:val="0"/>
            <w:vAlign w:val="center"/>
          </w:tcPr>
          <w:p w14:paraId="7BFFE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lang w:val="en-US"/>
              </w:rPr>
            </w:pPr>
            <w:r>
              <w:rPr>
                <w:rFonts w:hint="eastAsia" w:ascii="仿宋" w:hAnsi="仿宋" w:eastAsia="仿宋" w:cs="仿宋"/>
                <w:b/>
                <w:bCs/>
                <w:i w:val="0"/>
                <w:iCs w:val="0"/>
                <w:color w:val="auto"/>
                <w:spacing w:val="-4"/>
                <w:kern w:val="0"/>
                <w:sz w:val="22"/>
                <w:szCs w:val="22"/>
                <w:highlight w:val="none"/>
                <w:u w:val="none"/>
                <w:lang w:val="en-US" w:eastAsia="zh-CN" w:bidi="ar"/>
              </w:rPr>
              <w:t>责任部门</w:t>
            </w:r>
          </w:p>
        </w:tc>
        <w:tc>
          <w:tcPr>
            <w:tcW w:w="268" w:type="pct"/>
            <w:noWrap w:val="0"/>
            <w:vAlign w:val="center"/>
          </w:tcPr>
          <w:p w14:paraId="0F5DE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备注</w:t>
            </w:r>
          </w:p>
        </w:tc>
      </w:tr>
      <w:tr w14:paraId="1473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Merge w:val="restart"/>
            <w:noWrap w:val="0"/>
            <w:vAlign w:val="center"/>
          </w:tcPr>
          <w:p w14:paraId="26080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一、总体要求（60分）</w:t>
            </w:r>
          </w:p>
        </w:tc>
        <w:tc>
          <w:tcPr>
            <w:tcW w:w="361" w:type="pct"/>
            <w:vMerge w:val="restart"/>
            <w:noWrap w:val="0"/>
            <w:vAlign w:val="center"/>
          </w:tcPr>
          <w:p w14:paraId="7FD8B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综合业务部门</w:t>
            </w:r>
          </w:p>
        </w:tc>
        <w:tc>
          <w:tcPr>
            <w:tcW w:w="364" w:type="pct"/>
            <w:noWrap w:val="0"/>
            <w:vAlign w:val="center"/>
          </w:tcPr>
          <w:p w14:paraId="79FA9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1.1运维管理</w:t>
            </w:r>
          </w:p>
          <w:p w14:paraId="3CAA0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（15分）</w:t>
            </w:r>
          </w:p>
        </w:tc>
        <w:tc>
          <w:tcPr>
            <w:tcW w:w="353" w:type="pct"/>
            <w:noWrap w:val="0"/>
            <w:vAlign w:val="center"/>
          </w:tcPr>
          <w:p w14:paraId="29012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1.1.1</w:t>
            </w:r>
          </w:p>
          <w:p w14:paraId="24AA3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1.1.2</w:t>
            </w:r>
          </w:p>
        </w:tc>
        <w:tc>
          <w:tcPr>
            <w:tcW w:w="2810" w:type="pct"/>
            <w:noWrap w:val="0"/>
            <w:vAlign w:val="center"/>
          </w:tcPr>
          <w:p w14:paraId="52FFB5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未按规定履行环卫基础设施（含中转站、处置中心、车辆基地等）的辅助运维职责，或未妥善管养环卫设施（果壳箱、灭烟器、公厕等）及车辆基础保养，导致设备损坏、环境脏乱或影响正常运行的，每次按B2处罚。</w:t>
            </w:r>
          </w:p>
        </w:tc>
        <w:tc>
          <w:tcPr>
            <w:tcW w:w="503" w:type="pct"/>
            <w:vMerge w:val="restart"/>
            <w:noWrap w:val="0"/>
            <w:vAlign w:val="center"/>
          </w:tcPr>
          <w:p w14:paraId="24F3E0C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综合业务部门</w:t>
            </w:r>
          </w:p>
          <w:p w14:paraId="7D4EE91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i w:val="0"/>
                <w:iCs w:val="0"/>
                <w:color w:val="auto"/>
                <w:sz w:val="22"/>
                <w:szCs w:val="22"/>
                <w:highlight w:val="none"/>
                <w:u w:val="none"/>
                <w:lang w:eastAsia="zh-CN"/>
              </w:rPr>
            </w:pPr>
          </w:p>
        </w:tc>
        <w:tc>
          <w:tcPr>
            <w:tcW w:w="268" w:type="pct"/>
            <w:vMerge w:val="restart"/>
            <w:noWrap w:val="0"/>
            <w:vAlign w:val="center"/>
          </w:tcPr>
          <w:p w14:paraId="6870E51D">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i w:val="0"/>
                <w:iCs w:val="0"/>
                <w:color w:val="auto"/>
                <w:sz w:val="22"/>
                <w:szCs w:val="22"/>
                <w:highlight w:val="none"/>
                <w:u w:val="none"/>
                <w:lang w:eastAsia="zh-CN"/>
              </w:rPr>
            </w:pPr>
          </w:p>
        </w:tc>
      </w:tr>
      <w:tr w14:paraId="31D4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7" w:type="pct"/>
            <w:vMerge w:val="continue"/>
            <w:noWrap w:val="0"/>
            <w:vAlign w:val="center"/>
          </w:tcPr>
          <w:p w14:paraId="46917B7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F21E9C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noWrap w:val="0"/>
            <w:vAlign w:val="center"/>
          </w:tcPr>
          <w:p w14:paraId="77C6E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1.2垃圾清运巡查（15分）</w:t>
            </w:r>
          </w:p>
        </w:tc>
        <w:tc>
          <w:tcPr>
            <w:tcW w:w="353" w:type="pct"/>
            <w:noWrap w:val="0"/>
            <w:vAlign w:val="center"/>
          </w:tcPr>
          <w:p w14:paraId="17511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1.2.1</w:t>
            </w:r>
          </w:p>
        </w:tc>
        <w:tc>
          <w:tcPr>
            <w:tcW w:w="2810" w:type="pct"/>
            <w:noWrap w:val="0"/>
            <w:vAlign w:val="center"/>
          </w:tcPr>
          <w:p w14:paraId="6F5B9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未对垃圾堆放点（生活垃圾、装修/大件/园林/工程垃圾）及清运车辆车容车貌开展日常巡查，或发现问题未及时上报处置的，每次按B2处罚。</w:t>
            </w:r>
          </w:p>
        </w:tc>
        <w:tc>
          <w:tcPr>
            <w:tcW w:w="503" w:type="pct"/>
            <w:vMerge w:val="continue"/>
            <w:noWrap w:val="0"/>
            <w:vAlign w:val="center"/>
          </w:tcPr>
          <w:p w14:paraId="3C90066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c>
          <w:tcPr>
            <w:tcW w:w="268" w:type="pct"/>
            <w:vMerge w:val="continue"/>
            <w:noWrap w:val="0"/>
            <w:vAlign w:val="center"/>
          </w:tcPr>
          <w:p w14:paraId="2538530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val="0"/>
                <w:bCs w:val="0"/>
                <w:i w:val="0"/>
                <w:iCs w:val="0"/>
                <w:color w:val="auto"/>
                <w:sz w:val="22"/>
                <w:szCs w:val="22"/>
                <w:highlight w:val="none"/>
                <w:u w:val="none"/>
              </w:rPr>
            </w:pPr>
          </w:p>
        </w:tc>
      </w:tr>
      <w:tr w14:paraId="5406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7" w:type="pct"/>
            <w:vMerge w:val="continue"/>
            <w:noWrap w:val="0"/>
            <w:vAlign w:val="center"/>
          </w:tcPr>
          <w:p w14:paraId="3E64C2C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D7A3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noWrap w:val="0"/>
            <w:vAlign w:val="center"/>
          </w:tcPr>
          <w:p w14:paraId="4A48F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1.3中转清运及污水处置（15分）</w:t>
            </w:r>
          </w:p>
        </w:tc>
        <w:tc>
          <w:tcPr>
            <w:tcW w:w="353" w:type="pct"/>
            <w:noWrap w:val="0"/>
            <w:vAlign w:val="center"/>
          </w:tcPr>
          <w:p w14:paraId="5DB6F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1.3.1</w:t>
            </w:r>
          </w:p>
        </w:tc>
        <w:tc>
          <w:tcPr>
            <w:tcW w:w="2810" w:type="pct"/>
            <w:noWrap w:val="0"/>
            <w:vAlign w:val="center"/>
          </w:tcPr>
          <w:p w14:paraId="19282C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生活垃圾中转清运或公厕、化粪池污水清运作业中，操作不当，或出现泄漏、滞留、满溢等问题的，每次按B2+A2处罚。</w:t>
            </w:r>
          </w:p>
        </w:tc>
        <w:tc>
          <w:tcPr>
            <w:tcW w:w="503" w:type="pct"/>
            <w:vMerge w:val="continue"/>
            <w:noWrap w:val="0"/>
            <w:vAlign w:val="center"/>
          </w:tcPr>
          <w:p w14:paraId="369195A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restart"/>
            <w:noWrap w:val="0"/>
            <w:vAlign w:val="center"/>
          </w:tcPr>
          <w:p w14:paraId="3AD5BDB6">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val="0"/>
                <w:bCs w:val="0"/>
                <w:i w:val="0"/>
                <w:iCs w:val="0"/>
                <w:color w:val="auto"/>
                <w:sz w:val="22"/>
                <w:szCs w:val="22"/>
                <w:highlight w:val="none"/>
                <w:u w:val="none"/>
                <w:lang w:eastAsia="zh-CN"/>
              </w:rPr>
            </w:pPr>
          </w:p>
        </w:tc>
      </w:tr>
      <w:tr w14:paraId="0B4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7" w:type="pct"/>
            <w:vMerge w:val="continue"/>
            <w:tcBorders>
              <w:bottom w:val="single" w:color="auto" w:sz="4" w:space="0"/>
            </w:tcBorders>
            <w:noWrap w:val="0"/>
            <w:vAlign w:val="center"/>
          </w:tcPr>
          <w:p w14:paraId="3445700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bottom w:val="single" w:color="auto" w:sz="4" w:space="0"/>
            </w:tcBorders>
            <w:noWrap w:val="0"/>
            <w:vAlign w:val="center"/>
          </w:tcPr>
          <w:p w14:paraId="0188E87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tcBorders>
              <w:bottom w:val="single" w:color="auto" w:sz="4" w:space="0"/>
            </w:tcBorders>
            <w:noWrap w:val="0"/>
            <w:vAlign w:val="center"/>
          </w:tcPr>
          <w:p w14:paraId="7B70C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1.4日常巡查（15分）</w:t>
            </w:r>
          </w:p>
        </w:tc>
        <w:tc>
          <w:tcPr>
            <w:tcW w:w="353" w:type="pct"/>
            <w:tcBorders>
              <w:bottom w:val="single" w:color="auto" w:sz="4" w:space="0"/>
            </w:tcBorders>
            <w:noWrap w:val="0"/>
            <w:vAlign w:val="center"/>
          </w:tcPr>
          <w:p w14:paraId="2CC209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1.4.1</w:t>
            </w:r>
          </w:p>
        </w:tc>
        <w:tc>
          <w:tcPr>
            <w:tcW w:w="2810" w:type="pct"/>
            <w:tcBorders>
              <w:bottom w:val="single" w:color="auto" w:sz="4" w:space="0"/>
            </w:tcBorders>
            <w:noWrap w:val="0"/>
            <w:vAlign w:val="center"/>
          </w:tcPr>
          <w:p w14:paraId="0E73F5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未根据标准执行生活垃圾、建筑垃圾日常巡查的，每次按B2处罚。</w:t>
            </w:r>
          </w:p>
        </w:tc>
        <w:tc>
          <w:tcPr>
            <w:tcW w:w="503" w:type="pct"/>
            <w:vMerge w:val="continue"/>
            <w:tcBorders>
              <w:bottom w:val="single" w:color="auto" w:sz="4" w:space="0"/>
            </w:tcBorders>
            <w:noWrap w:val="0"/>
            <w:vAlign w:val="center"/>
          </w:tcPr>
          <w:p w14:paraId="377CAA4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bottom w:val="single" w:color="auto" w:sz="4" w:space="0"/>
            </w:tcBorders>
            <w:noWrap w:val="0"/>
            <w:vAlign w:val="center"/>
          </w:tcPr>
          <w:p w14:paraId="75CB061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2"/>
                <w:szCs w:val="22"/>
                <w:highlight w:val="none"/>
                <w:u w:val="none"/>
              </w:rPr>
            </w:pPr>
          </w:p>
        </w:tc>
      </w:tr>
      <w:tr w14:paraId="5BA8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7"/>
            <w:tcBorders>
              <w:top w:val="single" w:color="auto" w:sz="4" w:space="0"/>
              <w:left w:val="nil"/>
              <w:bottom w:val="nil"/>
              <w:right w:val="nil"/>
            </w:tcBorders>
            <w:noWrap w:val="0"/>
            <w:vAlign w:val="center"/>
          </w:tcPr>
          <w:p w14:paraId="3AE07D01">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bCs/>
                <w:i w:val="0"/>
                <w:iCs w:val="0"/>
                <w:color w:val="auto"/>
                <w:spacing w:val="-4"/>
                <w:kern w:val="2"/>
                <w:sz w:val="22"/>
                <w:szCs w:val="22"/>
                <w:highlight w:val="none"/>
                <w:u w:val="none"/>
                <w:lang w:val="en-US" w:eastAsia="zh-CN" w:bidi="ar-SA"/>
              </w:rPr>
            </w:pPr>
            <w:r>
              <w:rPr>
                <w:rFonts w:hint="eastAsia" w:ascii="仿宋" w:hAnsi="仿宋" w:eastAsia="仿宋" w:cs="仿宋"/>
                <w:b w:val="0"/>
                <w:bCs w:val="0"/>
                <w:i w:val="0"/>
                <w:iCs w:val="0"/>
                <w:color w:val="auto"/>
                <w:sz w:val="22"/>
                <w:szCs w:val="22"/>
                <w:highlight w:val="none"/>
                <w:u w:val="none"/>
                <w:lang w:val="en-US" w:eastAsia="zh-CN"/>
              </w:rPr>
              <w:t>注：本项目考核方式采用“各项目专用细则（三选一）+通用细则”组合形式。</w:t>
            </w:r>
          </w:p>
        </w:tc>
      </w:tr>
    </w:tbl>
    <w:p w14:paraId="358FC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05F312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36"/>
          <w:szCs w:val="36"/>
          <w:highlight w:val="none"/>
          <w:lang w:val="en-US" w:eastAsia="zh-CN"/>
        </w:rPr>
      </w:pPr>
      <w:r>
        <w:rPr>
          <w:rFonts w:hint="eastAsia" w:ascii="方正小标宋简体" w:hAnsi="方正小标宋简体" w:eastAsia="方正小标宋简体" w:cs="方正小标宋简体"/>
          <w:spacing w:val="0"/>
          <w:sz w:val="36"/>
          <w:szCs w:val="36"/>
          <w:highlight w:val="none"/>
          <w:lang w:val="en-US" w:eastAsia="zh-CN"/>
        </w:rPr>
        <w:t>湖州市市容环境卫生管理中心环卫配套业务市场化购买项目</w:t>
      </w:r>
      <w:r>
        <w:rPr>
          <w:rFonts w:hint="eastAsia" w:ascii="方正小标宋简体" w:hAnsi="方正小标宋简体" w:eastAsia="方正小标宋简体" w:cs="方正小标宋简体"/>
          <w:spacing w:val="0"/>
          <w:sz w:val="36"/>
          <w:szCs w:val="36"/>
          <w:highlight w:val="none"/>
        </w:rPr>
        <w:t>管理与质量考核评价</w:t>
      </w:r>
      <w:r>
        <w:rPr>
          <w:rFonts w:hint="eastAsia" w:ascii="方正小标宋简体" w:hAnsi="方正小标宋简体" w:eastAsia="方正小标宋简体" w:cs="方正小标宋简体"/>
          <w:spacing w:val="0"/>
          <w:sz w:val="36"/>
          <w:szCs w:val="36"/>
          <w:highlight w:val="none"/>
          <w:lang w:val="en-US" w:eastAsia="zh-CN"/>
        </w:rPr>
        <w:t>表</w:t>
      </w:r>
    </w:p>
    <w:p w14:paraId="51B9B64F">
      <w:pPr>
        <w:jc w:val="center"/>
        <w:rPr>
          <w:highlight w:val="none"/>
        </w:rPr>
      </w:pPr>
      <w:r>
        <w:rPr>
          <w:rFonts w:hint="eastAsia" w:ascii="方正小标宋简体" w:hAnsi="方正小标宋简体" w:eastAsia="方正小标宋简体" w:cs="方正小标宋简体"/>
          <w:spacing w:val="0"/>
          <w:sz w:val="36"/>
          <w:szCs w:val="36"/>
          <w:highlight w:val="none"/>
          <w:lang w:val="en-US" w:eastAsia="zh-CN"/>
        </w:rPr>
        <w:t>（通用细则）</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074"/>
        <w:gridCol w:w="1083"/>
        <w:gridCol w:w="1051"/>
        <w:gridCol w:w="8367"/>
        <w:gridCol w:w="1497"/>
        <w:gridCol w:w="807"/>
      </w:tblGrid>
      <w:tr w14:paraId="0F05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337" w:type="pct"/>
            <w:noWrap w:val="0"/>
            <w:vAlign w:val="center"/>
          </w:tcPr>
          <w:p w14:paraId="2E10F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3BB71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主项</w:t>
            </w:r>
          </w:p>
        </w:tc>
        <w:tc>
          <w:tcPr>
            <w:tcW w:w="361" w:type="pct"/>
            <w:noWrap w:val="0"/>
            <w:vAlign w:val="center"/>
          </w:tcPr>
          <w:p w14:paraId="42C9F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考核部门</w:t>
            </w:r>
          </w:p>
        </w:tc>
        <w:tc>
          <w:tcPr>
            <w:tcW w:w="364" w:type="pct"/>
            <w:noWrap w:val="0"/>
            <w:vAlign w:val="center"/>
          </w:tcPr>
          <w:p w14:paraId="5901A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pacing w:val="-4"/>
                <w:kern w:val="0"/>
                <w:sz w:val="22"/>
                <w:szCs w:val="22"/>
                <w:highlight w:val="none"/>
                <w:u w:val="none"/>
                <w:lang w:val="en-US" w:eastAsia="zh-CN" w:bidi="ar"/>
              </w:rPr>
            </w:pPr>
            <w:r>
              <w:rPr>
                <w:rFonts w:hint="eastAsia" w:ascii="仿宋" w:hAnsi="仿宋" w:eastAsia="仿宋" w:cs="仿宋"/>
                <w:b/>
                <w:bCs/>
                <w:i w:val="0"/>
                <w:iCs w:val="0"/>
                <w:color w:val="auto"/>
                <w:spacing w:val="-4"/>
                <w:kern w:val="0"/>
                <w:sz w:val="22"/>
                <w:szCs w:val="22"/>
                <w:highlight w:val="none"/>
                <w:u w:val="none"/>
                <w:lang w:val="en-US" w:eastAsia="zh-CN" w:bidi="ar"/>
              </w:rPr>
              <w:t>考核</w:t>
            </w:r>
          </w:p>
          <w:p w14:paraId="5D8E1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内容</w:t>
            </w:r>
          </w:p>
        </w:tc>
        <w:tc>
          <w:tcPr>
            <w:tcW w:w="353" w:type="pct"/>
            <w:noWrap w:val="0"/>
            <w:vAlign w:val="center"/>
          </w:tcPr>
          <w:p w14:paraId="5D9D7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对应条款</w:t>
            </w:r>
          </w:p>
        </w:tc>
        <w:tc>
          <w:tcPr>
            <w:tcW w:w="2811" w:type="pct"/>
            <w:noWrap w:val="0"/>
            <w:vAlign w:val="center"/>
          </w:tcPr>
          <w:p w14:paraId="511FB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考核评价标准</w:t>
            </w:r>
          </w:p>
        </w:tc>
        <w:tc>
          <w:tcPr>
            <w:tcW w:w="503" w:type="pct"/>
            <w:noWrap w:val="0"/>
            <w:vAlign w:val="center"/>
          </w:tcPr>
          <w:p w14:paraId="72B27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lang w:val="en-US"/>
              </w:rPr>
            </w:pPr>
            <w:r>
              <w:rPr>
                <w:rFonts w:hint="eastAsia" w:ascii="仿宋" w:hAnsi="仿宋" w:eastAsia="仿宋" w:cs="仿宋"/>
                <w:b/>
                <w:bCs/>
                <w:i w:val="0"/>
                <w:iCs w:val="0"/>
                <w:color w:val="auto"/>
                <w:spacing w:val="-4"/>
                <w:kern w:val="0"/>
                <w:sz w:val="22"/>
                <w:szCs w:val="22"/>
                <w:highlight w:val="none"/>
                <w:u w:val="none"/>
                <w:lang w:val="en-US" w:eastAsia="zh-CN" w:bidi="ar"/>
              </w:rPr>
              <w:t>责任部门</w:t>
            </w:r>
          </w:p>
        </w:tc>
        <w:tc>
          <w:tcPr>
            <w:tcW w:w="268" w:type="pct"/>
            <w:noWrap w:val="0"/>
            <w:vAlign w:val="center"/>
          </w:tcPr>
          <w:p w14:paraId="602C1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pacing w:val="-4"/>
                <w:kern w:val="0"/>
                <w:sz w:val="22"/>
                <w:szCs w:val="22"/>
                <w:highlight w:val="none"/>
                <w:u w:val="none"/>
                <w:lang w:val="en-US" w:eastAsia="zh-CN" w:bidi="ar"/>
              </w:rPr>
              <w:t>备注</w:t>
            </w:r>
          </w:p>
        </w:tc>
      </w:tr>
      <w:tr w14:paraId="4119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37" w:type="pct"/>
            <w:vMerge w:val="restart"/>
            <w:noWrap w:val="0"/>
            <w:vAlign w:val="center"/>
          </w:tcPr>
          <w:p w14:paraId="03707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二、信息化管理（7分）</w:t>
            </w:r>
          </w:p>
        </w:tc>
        <w:tc>
          <w:tcPr>
            <w:tcW w:w="361" w:type="pct"/>
            <w:vMerge w:val="restart"/>
            <w:noWrap w:val="0"/>
            <w:vAlign w:val="center"/>
          </w:tcPr>
          <w:p w14:paraId="06AD3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信息管理部门</w:t>
            </w:r>
          </w:p>
        </w:tc>
        <w:tc>
          <w:tcPr>
            <w:tcW w:w="364" w:type="pct"/>
            <w:noWrap w:val="0"/>
            <w:vAlign w:val="center"/>
          </w:tcPr>
          <w:p w14:paraId="5619E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2.1信息化配置     （3分）</w:t>
            </w:r>
          </w:p>
        </w:tc>
        <w:tc>
          <w:tcPr>
            <w:tcW w:w="353" w:type="pct"/>
            <w:noWrap w:val="0"/>
            <w:vAlign w:val="center"/>
          </w:tcPr>
          <w:p w14:paraId="2A3081E2">
            <w:pPr>
              <w:keepNext w:val="0"/>
              <w:keepLines w:val="0"/>
              <w:widowControl/>
              <w:suppressLineNumbers w:val="0"/>
              <w:jc w:val="center"/>
              <w:textAlignment w:val="center"/>
              <w:rPr>
                <w:rStyle w:val="48"/>
                <w:rFonts w:hint="eastAsia" w:ascii="仿宋" w:hAnsi="仿宋" w:eastAsia="仿宋" w:cs="仿宋"/>
                <w:color w:val="auto"/>
                <w:spacing w:val="-4"/>
                <w:sz w:val="22"/>
                <w:szCs w:val="22"/>
                <w:highlight w:val="none"/>
                <w:lang w:val="en-US" w:eastAsia="zh-CN" w:bidi="ar"/>
              </w:rPr>
            </w:pPr>
            <w:r>
              <w:rPr>
                <w:rStyle w:val="48"/>
                <w:rFonts w:hint="eastAsia" w:ascii="仿宋" w:hAnsi="仿宋" w:eastAsia="仿宋" w:cs="仿宋"/>
                <w:color w:val="auto"/>
                <w:spacing w:val="-4"/>
                <w:sz w:val="22"/>
                <w:szCs w:val="22"/>
                <w:highlight w:val="none"/>
                <w:lang w:val="en-US" w:eastAsia="zh-CN" w:bidi="ar"/>
              </w:rPr>
              <w:t>2.1.1  2.1.2</w:t>
            </w:r>
          </w:p>
          <w:p w14:paraId="143BE2D2">
            <w:pPr>
              <w:keepNext w:val="0"/>
              <w:keepLines w:val="0"/>
              <w:widowControl/>
              <w:suppressLineNumbers w:val="0"/>
              <w:jc w:val="center"/>
              <w:textAlignment w:val="center"/>
              <w:rPr>
                <w:rStyle w:val="48"/>
                <w:rFonts w:hint="eastAsia" w:ascii="仿宋" w:hAnsi="仿宋" w:eastAsia="仿宋" w:cs="仿宋"/>
                <w:color w:val="auto"/>
                <w:spacing w:val="-4"/>
                <w:sz w:val="22"/>
                <w:szCs w:val="22"/>
                <w:highlight w:val="none"/>
                <w:lang w:val="en-US" w:eastAsia="zh-CN" w:bidi="ar"/>
              </w:rPr>
            </w:pPr>
            <w:r>
              <w:rPr>
                <w:rStyle w:val="48"/>
                <w:rFonts w:hint="eastAsia" w:ascii="仿宋" w:hAnsi="仿宋" w:eastAsia="仿宋" w:cs="仿宋"/>
                <w:color w:val="auto"/>
                <w:spacing w:val="-4"/>
                <w:sz w:val="22"/>
                <w:szCs w:val="22"/>
                <w:highlight w:val="none"/>
                <w:lang w:val="en-US" w:eastAsia="zh-CN" w:bidi="ar"/>
              </w:rPr>
              <w:t>2.1.3</w:t>
            </w:r>
          </w:p>
        </w:tc>
        <w:tc>
          <w:tcPr>
            <w:tcW w:w="2811" w:type="pct"/>
            <w:noWrap w:val="0"/>
            <w:vAlign w:val="center"/>
          </w:tcPr>
          <w:p w14:paraId="4CC65EF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未按要求配置信息化设施设备及配套产品的，（配置的信息化设施设备及配套产品</w:t>
            </w:r>
            <w:r>
              <w:rPr>
                <w:rStyle w:val="49"/>
                <w:rFonts w:hint="eastAsia" w:ascii="仿宋" w:hAnsi="仿宋" w:eastAsia="仿宋" w:cs="仿宋"/>
                <w:color w:val="auto"/>
                <w:spacing w:val="-4"/>
                <w:sz w:val="22"/>
                <w:szCs w:val="22"/>
                <w:highlight w:val="none"/>
                <w:lang w:val="en-US" w:eastAsia="zh-CN" w:bidi="ar"/>
              </w:rPr>
              <w:t>未符合国家标准、中心要求的，或未接入指定系统的</w:t>
            </w:r>
            <w:r>
              <w:rPr>
                <w:rStyle w:val="48"/>
                <w:rFonts w:hint="eastAsia" w:ascii="仿宋" w:hAnsi="仿宋" w:eastAsia="仿宋" w:cs="仿宋"/>
                <w:color w:val="auto"/>
                <w:spacing w:val="-4"/>
                <w:sz w:val="22"/>
                <w:szCs w:val="22"/>
                <w:highlight w:val="none"/>
                <w:lang w:val="en-US" w:eastAsia="zh-CN" w:bidi="ar"/>
              </w:rPr>
              <w:t>，视为未按照要求配置），每少一</w:t>
            </w:r>
            <w:r>
              <w:rPr>
                <w:rStyle w:val="49"/>
                <w:rFonts w:hint="eastAsia" w:ascii="仿宋" w:hAnsi="仿宋" w:eastAsia="仿宋" w:cs="仿宋"/>
                <w:color w:val="auto"/>
                <w:spacing w:val="-4"/>
                <w:sz w:val="22"/>
                <w:szCs w:val="22"/>
                <w:highlight w:val="none"/>
                <w:lang w:val="en-US" w:eastAsia="zh-CN" w:bidi="ar"/>
              </w:rPr>
              <w:t>套</w:t>
            </w:r>
            <w:r>
              <w:rPr>
                <w:rFonts w:hint="eastAsia" w:ascii="仿宋" w:hAnsi="仿宋" w:eastAsia="仿宋" w:cs="仿宋"/>
                <w:i w:val="0"/>
                <w:iCs w:val="0"/>
                <w:color w:val="auto"/>
                <w:sz w:val="22"/>
                <w:szCs w:val="22"/>
                <w:highlight w:val="none"/>
                <w:u w:val="none"/>
                <w:lang w:val="en-US" w:eastAsia="zh-CN"/>
              </w:rPr>
              <w:t>按</w:t>
            </w:r>
            <w:r>
              <w:rPr>
                <w:rFonts w:hint="eastAsia" w:ascii="仿宋" w:hAnsi="仿宋" w:eastAsia="仿宋" w:cs="仿宋"/>
                <w:i w:val="0"/>
                <w:iCs w:val="0"/>
                <w:color w:val="auto"/>
                <w:spacing w:val="-4"/>
                <w:kern w:val="0"/>
                <w:sz w:val="22"/>
                <w:szCs w:val="22"/>
                <w:highlight w:val="none"/>
                <w:u w:val="none"/>
                <w:lang w:val="en-US" w:eastAsia="zh-CN" w:bidi="ar"/>
              </w:rPr>
              <w:t>A3+B2处罚，</w:t>
            </w:r>
            <w:r>
              <w:rPr>
                <w:rStyle w:val="48"/>
                <w:rFonts w:hint="eastAsia" w:ascii="仿宋" w:hAnsi="仿宋" w:eastAsia="仿宋" w:cs="仿宋"/>
                <w:color w:val="auto"/>
                <w:spacing w:val="-4"/>
                <w:sz w:val="22"/>
                <w:szCs w:val="22"/>
                <w:highlight w:val="none"/>
                <w:lang w:val="en-US" w:eastAsia="zh-CN" w:bidi="ar"/>
              </w:rPr>
              <w:t>逾期未接入系统的，每延期1天按A1处罚。</w:t>
            </w:r>
          </w:p>
        </w:tc>
        <w:tc>
          <w:tcPr>
            <w:tcW w:w="503" w:type="pct"/>
            <w:vMerge w:val="restart"/>
            <w:noWrap w:val="0"/>
            <w:vAlign w:val="center"/>
          </w:tcPr>
          <w:p w14:paraId="6C71078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信息管理部门</w:t>
            </w:r>
          </w:p>
        </w:tc>
        <w:tc>
          <w:tcPr>
            <w:tcW w:w="268" w:type="pct"/>
            <w:noWrap w:val="0"/>
            <w:vAlign w:val="center"/>
          </w:tcPr>
          <w:p w14:paraId="0FECE512">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7BF0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37" w:type="pct"/>
            <w:vMerge w:val="continue"/>
            <w:noWrap w:val="0"/>
            <w:vAlign w:val="center"/>
          </w:tcPr>
          <w:p w14:paraId="45AE5F6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B1C5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restart"/>
            <w:noWrap w:val="0"/>
            <w:vAlign w:val="center"/>
          </w:tcPr>
          <w:p w14:paraId="27B3B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2.2维护与管理   (2分）</w:t>
            </w:r>
          </w:p>
        </w:tc>
        <w:tc>
          <w:tcPr>
            <w:tcW w:w="353" w:type="pct"/>
            <w:noWrap w:val="0"/>
            <w:vAlign w:val="center"/>
          </w:tcPr>
          <w:p w14:paraId="59396D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2.2.1</w:t>
            </w:r>
          </w:p>
        </w:tc>
        <w:tc>
          <w:tcPr>
            <w:tcW w:w="2811" w:type="pct"/>
            <w:noWrap w:val="0"/>
            <w:vAlign w:val="center"/>
          </w:tcPr>
          <w:p w14:paraId="5782E87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未按中心要求落实信息化设施设备、环卫作业基础数据日常巡检、维护与管理等，未落实台账管理的，每次</w:t>
            </w:r>
            <w:r>
              <w:rPr>
                <w:rFonts w:hint="eastAsia" w:ascii="仿宋" w:hAnsi="仿宋" w:eastAsia="仿宋" w:cs="仿宋"/>
                <w:i w:val="0"/>
                <w:iCs w:val="0"/>
                <w:color w:val="auto"/>
                <w:sz w:val="22"/>
                <w:szCs w:val="22"/>
                <w:highlight w:val="none"/>
                <w:u w:val="none"/>
                <w:lang w:val="en-US" w:eastAsia="zh-CN"/>
              </w:rPr>
              <w:t>按A2+B1</w:t>
            </w:r>
            <w:r>
              <w:rPr>
                <w:rFonts w:hint="eastAsia" w:ascii="仿宋" w:hAnsi="仿宋" w:eastAsia="仿宋" w:cs="仿宋"/>
                <w:i w:val="0"/>
                <w:iCs w:val="0"/>
                <w:color w:val="auto"/>
                <w:spacing w:val="-4"/>
                <w:kern w:val="0"/>
                <w:sz w:val="22"/>
                <w:szCs w:val="22"/>
                <w:highlight w:val="none"/>
                <w:u w:val="none"/>
                <w:lang w:val="en-US" w:eastAsia="zh-CN" w:bidi="ar"/>
              </w:rPr>
              <w:t>处罚。</w:t>
            </w:r>
          </w:p>
        </w:tc>
        <w:tc>
          <w:tcPr>
            <w:tcW w:w="503" w:type="pct"/>
            <w:vMerge w:val="continue"/>
            <w:noWrap w:val="0"/>
            <w:vAlign w:val="center"/>
          </w:tcPr>
          <w:p w14:paraId="0B48E0EC">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lang w:val="en-US"/>
              </w:rPr>
            </w:pPr>
          </w:p>
        </w:tc>
        <w:tc>
          <w:tcPr>
            <w:tcW w:w="268" w:type="pct"/>
            <w:vMerge w:val="restart"/>
            <w:noWrap w:val="0"/>
            <w:vAlign w:val="center"/>
          </w:tcPr>
          <w:p w14:paraId="59DD3E51">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3D19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37" w:type="pct"/>
            <w:vMerge w:val="continue"/>
            <w:noWrap w:val="0"/>
            <w:vAlign w:val="center"/>
          </w:tcPr>
          <w:p w14:paraId="4D20BFD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A5CB7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noWrap w:val="0"/>
            <w:vAlign w:val="center"/>
          </w:tcPr>
          <w:p w14:paraId="1E5FA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6B03B86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2.2.2  2.2.3</w:t>
            </w:r>
          </w:p>
        </w:tc>
        <w:tc>
          <w:tcPr>
            <w:tcW w:w="2811" w:type="pct"/>
            <w:noWrap w:val="0"/>
            <w:vAlign w:val="center"/>
          </w:tcPr>
          <w:p w14:paraId="279C275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信息化设备、作业数据等异常或发生变更的，未按要求及时报备的，按A2处罚，未及时处理的</w:t>
            </w:r>
            <w:r>
              <w:rPr>
                <w:rFonts w:hint="eastAsia" w:ascii="仿宋" w:hAnsi="仿宋" w:eastAsia="仿宋" w:cs="仿宋"/>
                <w:i w:val="0"/>
                <w:iCs w:val="0"/>
                <w:color w:val="auto"/>
                <w:sz w:val="22"/>
                <w:szCs w:val="22"/>
                <w:highlight w:val="none"/>
                <w:u w:val="none"/>
                <w:lang w:val="en-US" w:eastAsia="zh-CN"/>
              </w:rPr>
              <w:t>按A3处罚</w:t>
            </w:r>
            <w:r>
              <w:rPr>
                <w:rFonts w:hint="eastAsia" w:ascii="仿宋" w:hAnsi="仿宋" w:eastAsia="仿宋" w:cs="仿宋"/>
                <w:i w:val="0"/>
                <w:iCs w:val="0"/>
                <w:color w:val="auto"/>
                <w:spacing w:val="-4"/>
                <w:kern w:val="0"/>
                <w:sz w:val="22"/>
                <w:szCs w:val="22"/>
                <w:highlight w:val="none"/>
                <w:u w:val="none"/>
                <w:lang w:val="en-US" w:eastAsia="zh-CN" w:bidi="ar"/>
              </w:rPr>
              <w:t>，每延期1天</w:t>
            </w:r>
            <w:r>
              <w:rPr>
                <w:rFonts w:hint="eastAsia" w:ascii="仿宋" w:hAnsi="仿宋" w:eastAsia="仿宋" w:cs="仿宋"/>
                <w:i w:val="0"/>
                <w:iCs w:val="0"/>
                <w:color w:val="auto"/>
                <w:sz w:val="22"/>
                <w:szCs w:val="22"/>
                <w:highlight w:val="none"/>
                <w:u w:val="none"/>
                <w:lang w:val="en-US" w:eastAsia="zh-CN"/>
              </w:rPr>
              <w:t>按B1处罚</w:t>
            </w:r>
            <w:r>
              <w:rPr>
                <w:rFonts w:hint="eastAsia" w:ascii="仿宋" w:hAnsi="仿宋" w:eastAsia="仿宋" w:cs="仿宋"/>
                <w:i w:val="0"/>
                <w:iCs w:val="0"/>
                <w:color w:val="auto"/>
                <w:spacing w:val="-4"/>
                <w:kern w:val="0"/>
                <w:sz w:val="22"/>
                <w:szCs w:val="22"/>
                <w:highlight w:val="none"/>
                <w:u w:val="none"/>
                <w:lang w:val="en-US" w:eastAsia="zh-CN" w:bidi="ar"/>
              </w:rPr>
              <w:t>，由此造成的数据丢失等问题按对应条款并罚。</w:t>
            </w:r>
          </w:p>
        </w:tc>
        <w:tc>
          <w:tcPr>
            <w:tcW w:w="503" w:type="pct"/>
            <w:vMerge w:val="continue"/>
            <w:noWrap w:val="0"/>
            <w:vAlign w:val="center"/>
          </w:tcPr>
          <w:p w14:paraId="18A8EC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41CB60B3">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r>
      <w:tr w14:paraId="1E71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37" w:type="pct"/>
            <w:vMerge w:val="continue"/>
            <w:noWrap w:val="0"/>
            <w:vAlign w:val="center"/>
          </w:tcPr>
          <w:p w14:paraId="3EC37D6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A8527B2">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FEFAFE0">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53" w:type="pct"/>
            <w:noWrap w:val="0"/>
            <w:vAlign w:val="center"/>
          </w:tcPr>
          <w:p w14:paraId="2C55F2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 xml:space="preserve">2.2.4 2.2.5  </w:t>
            </w:r>
          </w:p>
        </w:tc>
        <w:tc>
          <w:tcPr>
            <w:tcW w:w="2811" w:type="pct"/>
            <w:noWrap w:val="0"/>
            <w:vAlign w:val="center"/>
          </w:tcPr>
          <w:p w14:paraId="76FDBAD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因作业单位原因引起数据丢失、异常等影响数据准确率的，每次</w:t>
            </w:r>
            <w:r>
              <w:rPr>
                <w:rFonts w:hint="eastAsia" w:ascii="仿宋" w:hAnsi="仿宋" w:eastAsia="仿宋" w:cs="仿宋"/>
                <w:i w:val="0"/>
                <w:iCs w:val="0"/>
                <w:color w:val="auto"/>
                <w:sz w:val="22"/>
                <w:szCs w:val="22"/>
                <w:highlight w:val="none"/>
                <w:u w:val="none"/>
                <w:lang w:val="en-US" w:eastAsia="zh-CN"/>
              </w:rPr>
              <w:t>按B1处罚</w:t>
            </w:r>
            <w:r>
              <w:rPr>
                <w:rStyle w:val="49"/>
                <w:rFonts w:hint="eastAsia" w:ascii="仿宋" w:hAnsi="仿宋" w:eastAsia="仿宋" w:cs="仿宋"/>
                <w:color w:val="auto"/>
                <w:spacing w:val="-4"/>
                <w:sz w:val="22"/>
                <w:szCs w:val="22"/>
                <w:highlight w:val="none"/>
                <w:lang w:val="en-US" w:eastAsia="zh-CN" w:bidi="ar"/>
              </w:rPr>
              <w:t>。</w:t>
            </w:r>
            <w:r>
              <w:rPr>
                <w:rStyle w:val="48"/>
                <w:rFonts w:hint="eastAsia" w:ascii="仿宋" w:hAnsi="仿宋" w:eastAsia="仿宋" w:cs="仿宋"/>
                <w:color w:val="auto"/>
                <w:spacing w:val="-4"/>
                <w:sz w:val="22"/>
                <w:szCs w:val="22"/>
                <w:highlight w:val="none"/>
                <w:lang w:val="en-US" w:eastAsia="zh-CN" w:bidi="ar"/>
              </w:rPr>
              <w:t>数据未按要求补录或无法补录的（逾期未补录的视为无法补录处理），</w:t>
            </w:r>
            <w:r>
              <w:rPr>
                <w:rFonts w:hint="eastAsia" w:ascii="仿宋" w:hAnsi="仿宋" w:eastAsia="仿宋" w:cs="仿宋"/>
                <w:i w:val="0"/>
                <w:iCs w:val="0"/>
                <w:color w:val="auto"/>
                <w:spacing w:val="-4"/>
                <w:kern w:val="0"/>
                <w:sz w:val="22"/>
                <w:szCs w:val="22"/>
                <w:highlight w:val="none"/>
                <w:u w:val="none"/>
                <w:lang w:val="en-US" w:eastAsia="zh-CN" w:bidi="ar"/>
              </w:rPr>
              <w:t>每次</w:t>
            </w:r>
            <w:r>
              <w:rPr>
                <w:rFonts w:hint="eastAsia" w:ascii="仿宋" w:hAnsi="仿宋" w:eastAsia="仿宋" w:cs="仿宋"/>
                <w:i w:val="0"/>
                <w:iCs w:val="0"/>
                <w:color w:val="auto"/>
                <w:sz w:val="22"/>
                <w:szCs w:val="22"/>
                <w:highlight w:val="none"/>
                <w:u w:val="none"/>
                <w:shd w:val="clear" w:color="auto" w:fill="auto"/>
                <w:lang w:val="en-US" w:eastAsia="zh-CN"/>
              </w:rPr>
              <w:t>按</w:t>
            </w:r>
            <w:r>
              <w:rPr>
                <w:rFonts w:hint="eastAsia" w:ascii="仿宋" w:hAnsi="仿宋" w:eastAsia="仿宋" w:cs="仿宋"/>
                <w:i w:val="0"/>
                <w:iCs w:val="0"/>
                <w:color w:val="auto"/>
                <w:sz w:val="22"/>
                <w:szCs w:val="22"/>
                <w:highlight w:val="none"/>
                <w:u w:val="none"/>
                <w:lang w:val="en-US" w:eastAsia="zh-CN"/>
              </w:rPr>
              <w:t>A3+B2处罚</w:t>
            </w:r>
            <w:r>
              <w:rPr>
                <w:rStyle w:val="49"/>
                <w:rFonts w:hint="eastAsia" w:ascii="仿宋" w:hAnsi="仿宋" w:eastAsia="仿宋" w:cs="仿宋"/>
                <w:color w:val="auto"/>
                <w:spacing w:val="-4"/>
                <w:sz w:val="22"/>
                <w:szCs w:val="22"/>
                <w:highlight w:val="none"/>
                <w:lang w:val="en-US" w:eastAsia="zh-CN" w:bidi="ar"/>
              </w:rPr>
              <w:t>，同时丢失的数据按未完成作业考核。</w:t>
            </w:r>
          </w:p>
        </w:tc>
        <w:tc>
          <w:tcPr>
            <w:tcW w:w="503" w:type="pct"/>
            <w:vMerge w:val="continue"/>
            <w:noWrap w:val="0"/>
            <w:vAlign w:val="center"/>
          </w:tcPr>
          <w:p w14:paraId="74351B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910A2F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6D6D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 w:type="pct"/>
            <w:vMerge w:val="continue"/>
            <w:noWrap w:val="0"/>
            <w:vAlign w:val="center"/>
          </w:tcPr>
          <w:p w14:paraId="2566FAD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B950EC3">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C2D8E3B">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53" w:type="pct"/>
            <w:noWrap w:val="0"/>
            <w:vAlign w:val="center"/>
          </w:tcPr>
          <w:p w14:paraId="583C33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2.2.1  2.2.6</w:t>
            </w:r>
          </w:p>
        </w:tc>
        <w:tc>
          <w:tcPr>
            <w:tcW w:w="2811" w:type="pct"/>
            <w:noWrap w:val="0"/>
            <w:vAlign w:val="center"/>
          </w:tcPr>
          <w:p w14:paraId="2D25363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未按要求规范作业与管理，每次</w:t>
            </w:r>
            <w:r>
              <w:rPr>
                <w:rFonts w:hint="eastAsia" w:ascii="仿宋" w:hAnsi="仿宋" w:eastAsia="仿宋" w:cs="仿宋"/>
                <w:i w:val="0"/>
                <w:iCs w:val="0"/>
                <w:color w:val="auto"/>
                <w:sz w:val="22"/>
                <w:szCs w:val="22"/>
                <w:highlight w:val="none"/>
                <w:u w:val="none"/>
                <w:shd w:val="clear" w:color="auto" w:fill="auto"/>
                <w:lang w:val="en-US" w:eastAsia="zh-CN"/>
              </w:rPr>
              <w:t>按</w:t>
            </w:r>
            <w:r>
              <w:rPr>
                <w:rFonts w:hint="eastAsia" w:ascii="仿宋" w:hAnsi="仿宋" w:eastAsia="仿宋" w:cs="仿宋"/>
                <w:i w:val="0"/>
                <w:iCs w:val="0"/>
                <w:color w:val="auto"/>
                <w:sz w:val="22"/>
                <w:szCs w:val="22"/>
                <w:highlight w:val="none"/>
                <w:u w:val="none"/>
                <w:lang w:val="en-US" w:eastAsia="zh-CN"/>
              </w:rPr>
              <w:t>A3处罚</w:t>
            </w:r>
            <w:r>
              <w:rPr>
                <w:rFonts w:hint="eastAsia" w:ascii="仿宋" w:hAnsi="仿宋" w:eastAsia="仿宋" w:cs="仿宋"/>
                <w:i w:val="0"/>
                <w:iCs w:val="0"/>
                <w:color w:val="auto"/>
                <w:spacing w:val="-4"/>
                <w:kern w:val="0"/>
                <w:sz w:val="22"/>
                <w:szCs w:val="22"/>
                <w:highlight w:val="none"/>
                <w:u w:val="none"/>
                <w:lang w:val="en-US" w:eastAsia="zh-CN" w:bidi="ar"/>
              </w:rPr>
              <w:t>，由此引起数据丢失、异常、不精准等现象按对应条款并罚。</w:t>
            </w:r>
            <w:r>
              <w:rPr>
                <w:rStyle w:val="49"/>
                <w:rFonts w:hint="eastAsia" w:ascii="仿宋" w:hAnsi="仿宋" w:eastAsia="仿宋" w:cs="仿宋"/>
                <w:color w:val="auto"/>
                <w:spacing w:val="-4"/>
                <w:sz w:val="22"/>
                <w:szCs w:val="22"/>
                <w:highlight w:val="none"/>
                <w:lang w:val="en-US" w:eastAsia="zh-CN" w:bidi="ar"/>
              </w:rPr>
              <w:t>车载称重数据超过偏差允许值的，每辆车每次超过1%，</w:t>
            </w:r>
            <w:r>
              <w:rPr>
                <w:rFonts w:hint="eastAsia" w:ascii="仿宋" w:hAnsi="仿宋" w:eastAsia="仿宋" w:cs="仿宋"/>
                <w:i w:val="0"/>
                <w:iCs w:val="0"/>
                <w:color w:val="auto"/>
                <w:sz w:val="22"/>
                <w:szCs w:val="22"/>
                <w:highlight w:val="none"/>
                <w:u w:val="none"/>
                <w:shd w:val="clear" w:color="auto" w:fill="auto"/>
                <w:lang w:val="en-US" w:eastAsia="zh-CN"/>
              </w:rPr>
              <w:t>按</w:t>
            </w:r>
            <w:r>
              <w:rPr>
                <w:rFonts w:hint="eastAsia" w:ascii="仿宋" w:hAnsi="仿宋" w:eastAsia="仿宋" w:cs="仿宋"/>
                <w:i w:val="0"/>
                <w:iCs w:val="0"/>
                <w:color w:val="auto"/>
                <w:sz w:val="22"/>
                <w:szCs w:val="22"/>
                <w:highlight w:val="none"/>
                <w:u w:val="none"/>
                <w:lang w:val="en-US" w:eastAsia="zh-CN"/>
              </w:rPr>
              <w:t>A3处罚</w:t>
            </w:r>
            <w:r>
              <w:rPr>
                <w:rStyle w:val="49"/>
                <w:rFonts w:hint="eastAsia" w:ascii="仿宋" w:hAnsi="仿宋" w:eastAsia="仿宋" w:cs="仿宋"/>
                <w:color w:val="auto"/>
                <w:spacing w:val="-4"/>
                <w:sz w:val="22"/>
                <w:szCs w:val="22"/>
                <w:highlight w:val="none"/>
                <w:lang w:val="en-US" w:eastAsia="zh-CN" w:bidi="ar"/>
              </w:rPr>
              <w:t>。</w:t>
            </w:r>
          </w:p>
        </w:tc>
        <w:tc>
          <w:tcPr>
            <w:tcW w:w="503" w:type="pct"/>
            <w:vMerge w:val="continue"/>
            <w:noWrap w:val="0"/>
            <w:vAlign w:val="center"/>
          </w:tcPr>
          <w:p w14:paraId="6AEFE60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3AD56F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0DC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37" w:type="pct"/>
            <w:vMerge w:val="continue"/>
            <w:noWrap w:val="0"/>
            <w:vAlign w:val="center"/>
          </w:tcPr>
          <w:p w14:paraId="76695C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49AD909">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64" w:type="pct"/>
            <w:vMerge w:val="restart"/>
            <w:noWrap w:val="0"/>
            <w:vAlign w:val="center"/>
          </w:tcPr>
          <w:p w14:paraId="759EE266">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2.3其他要求（2分）</w:t>
            </w:r>
          </w:p>
        </w:tc>
        <w:tc>
          <w:tcPr>
            <w:tcW w:w="353" w:type="pct"/>
            <w:noWrap w:val="0"/>
            <w:vAlign w:val="center"/>
          </w:tcPr>
          <w:p w14:paraId="6524FD2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 xml:space="preserve">2.3.1  </w:t>
            </w:r>
          </w:p>
        </w:tc>
        <w:tc>
          <w:tcPr>
            <w:tcW w:w="2811" w:type="pct"/>
            <w:noWrap w:val="0"/>
            <w:vAlign w:val="center"/>
          </w:tcPr>
          <w:p w14:paraId="4D653E2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作业单位信息系统月活跃率低于80%的，每低1%</w:t>
            </w:r>
            <w:r>
              <w:rPr>
                <w:rStyle w:val="49"/>
                <w:rFonts w:hint="eastAsia" w:ascii="仿宋" w:hAnsi="仿宋" w:eastAsia="仿宋" w:cs="仿宋"/>
                <w:color w:val="auto"/>
                <w:spacing w:val="-4"/>
                <w:sz w:val="22"/>
                <w:szCs w:val="22"/>
                <w:highlight w:val="none"/>
                <w:lang w:val="en-US" w:eastAsia="zh-CN" w:bidi="ar"/>
              </w:rPr>
              <w:t>，</w:t>
            </w:r>
            <w:r>
              <w:rPr>
                <w:rFonts w:hint="eastAsia" w:ascii="仿宋" w:hAnsi="仿宋" w:eastAsia="仿宋" w:cs="仿宋"/>
                <w:i w:val="0"/>
                <w:iCs w:val="0"/>
                <w:color w:val="auto"/>
                <w:sz w:val="22"/>
                <w:szCs w:val="22"/>
                <w:highlight w:val="none"/>
                <w:u w:val="none"/>
                <w:shd w:val="clear" w:color="auto" w:fill="auto"/>
                <w:lang w:val="en-US" w:eastAsia="zh-CN"/>
              </w:rPr>
              <w:t>按</w:t>
            </w:r>
            <w:r>
              <w:rPr>
                <w:rFonts w:hint="eastAsia" w:ascii="仿宋" w:hAnsi="仿宋" w:eastAsia="仿宋" w:cs="仿宋"/>
                <w:i w:val="0"/>
                <w:iCs w:val="0"/>
                <w:color w:val="auto"/>
                <w:sz w:val="22"/>
                <w:szCs w:val="22"/>
                <w:highlight w:val="none"/>
                <w:u w:val="none"/>
                <w:lang w:val="en-US" w:eastAsia="zh-CN"/>
              </w:rPr>
              <w:t>A2处罚</w:t>
            </w:r>
            <w:r>
              <w:rPr>
                <w:rStyle w:val="49"/>
                <w:rFonts w:hint="eastAsia" w:ascii="仿宋" w:hAnsi="仿宋" w:eastAsia="仿宋" w:cs="仿宋"/>
                <w:color w:val="auto"/>
                <w:spacing w:val="-4"/>
                <w:sz w:val="22"/>
                <w:szCs w:val="22"/>
                <w:highlight w:val="none"/>
                <w:lang w:val="en-US" w:eastAsia="zh-CN" w:bidi="ar"/>
              </w:rPr>
              <w:t>。</w:t>
            </w:r>
          </w:p>
        </w:tc>
        <w:tc>
          <w:tcPr>
            <w:tcW w:w="503" w:type="pct"/>
            <w:vMerge w:val="continue"/>
            <w:noWrap w:val="0"/>
            <w:vAlign w:val="center"/>
          </w:tcPr>
          <w:p w14:paraId="20F386D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restart"/>
            <w:noWrap w:val="0"/>
            <w:vAlign w:val="center"/>
          </w:tcPr>
          <w:p w14:paraId="13B69A1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54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7" w:type="pct"/>
            <w:vMerge w:val="continue"/>
            <w:noWrap w:val="0"/>
            <w:vAlign w:val="center"/>
          </w:tcPr>
          <w:p w14:paraId="698EBE3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B28E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noWrap w:val="0"/>
            <w:vAlign w:val="center"/>
          </w:tcPr>
          <w:p w14:paraId="10A27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695825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2.3.2</w:t>
            </w:r>
          </w:p>
        </w:tc>
        <w:tc>
          <w:tcPr>
            <w:tcW w:w="2811" w:type="pct"/>
            <w:noWrap w:val="0"/>
            <w:vAlign w:val="center"/>
          </w:tcPr>
          <w:p w14:paraId="5AB1179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因作业单位原因出现数据安全、数据泄漏等问题，每次</w:t>
            </w:r>
            <w:r>
              <w:rPr>
                <w:rFonts w:hint="eastAsia" w:ascii="仿宋" w:hAnsi="仿宋" w:eastAsia="仿宋" w:cs="仿宋"/>
                <w:i w:val="0"/>
                <w:iCs w:val="0"/>
                <w:color w:val="auto"/>
                <w:sz w:val="22"/>
                <w:szCs w:val="22"/>
                <w:highlight w:val="none"/>
                <w:u w:val="none"/>
                <w:lang w:val="en-US" w:eastAsia="zh-CN"/>
              </w:rPr>
              <w:t>按C1处罚</w:t>
            </w:r>
            <w:r>
              <w:rPr>
                <w:rStyle w:val="49"/>
                <w:rFonts w:hint="eastAsia" w:ascii="仿宋" w:hAnsi="仿宋" w:eastAsia="仿宋" w:cs="仿宋"/>
                <w:color w:val="auto"/>
                <w:spacing w:val="-4"/>
                <w:sz w:val="22"/>
                <w:szCs w:val="22"/>
                <w:highlight w:val="none"/>
                <w:lang w:val="en-US" w:eastAsia="zh-CN" w:bidi="ar"/>
              </w:rPr>
              <w:t>，并视安全事件等级根据法律法规处理。</w:t>
            </w:r>
          </w:p>
        </w:tc>
        <w:tc>
          <w:tcPr>
            <w:tcW w:w="503" w:type="pct"/>
            <w:vMerge w:val="continue"/>
            <w:noWrap w:val="0"/>
            <w:vAlign w:val="center"/>
          </w:tcPr>
          <w:p w14:paraId="5C29085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60CA2819">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r>
      <w:tr w14:paraId="450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7" w:type="pct"/>
            <w:vMerge w:val="continue"/>
            <w:noWrap w:val="0"/>
            <w:vAlign w:val="center"/>
          </w:tcPr>
          <w:p w14:paraId="23B3F60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AAD7F7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CFDAE2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060715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Style w:val="48"/>
                <w:rFonts w:hint="eastAsia" w:ascii="仿宋" w:hAnsi="仿宋" w:eastAsia="仿宋" w:cs="仿宋"/>
                <w:color w:val="auto"/>
                <w:spacing w:val="-4"/>
                <w:sz w:val="22"/>
                <w:szCs w:val="22"/>
                <w:highlight w:val="none"/>
                <w:lang w:val="en-US" w:eastAsia="zh-CN" w:bidi="ar"/>
              </w:rPr>
              <w:t>2.3.3</w:t>
            </w:r>
          </w:p>
        </w:tc>
        <w:tc>
          <w:tcPr>
            <w:tcW w:w="2811" w:type="pct"/>
            <w:noWrap w:val="0"/>
            <w:vAlign w:val="center"/>
          </w:tcPr>
          <w:p w14:paraId="68AD03F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shd w:val="clear" w:color="auto" w:fill="auto"/>
                <w:lang w:val="en-US" w:eastAsia="zh-CN"/>
              </w:rPr>
            </w:pPr>
            <w:r>
              <w:rPr>
                <w:rFonts w:hint="eastAsia" w:ascii="仿宋" w:hAnsi="仿宋" w:eastAsia="仿宋" w:cs="仿宋"/>
                <w:i w:val="0"/>
                <w:iCs w:val="0"/>
                <w:color w:val="auto"/>
                <w:sz w:val="22"/>
                <w:szCs w:val="22"/>
                <w:highlight w:val="none"/>
                <w:u w:val="none"/>
                <w:shd w:val="clear" w:color="auto" w:fill="auto"/>
                <w:lang w:val="en-US" w:eastAsia="zh-CN"/>
              </w:rPr>
              <w:t>未按上级部门及中心要求落实数字化改革、信息化工作的，不积极配合做好数据采集、录入与管理，每次按A3+B2处罚。</w:t>
            </w:r>
          </w:p>
        </w:tc>
        <w:tc>
          <w:tcPr>
            <w:tcW w:w="503" w:type="pct"/>
            <w:vMerge w:val="continue"/>
            <w:noWrap w:val="0"/>
            <w:vAlign w:val="center"/>
          </w:tcPr>
          <w:p w14:paraId="54C65E7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61E6656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B54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7" w:type="pct"/>
            <w:vMerge w:val="continue"/>
            <w:noWrap w:val="0"/>
            <w:vAlign w:val="center"/>
          </w:tcPr>
          <w:p w14:paraId="3B23C31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1B183B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restart"/>
            <w:noWrap w:val="0"/>
            <w:vAlign w:val="center"/>
          </w:tcPr>
          <w:p w14:paraId="416E99D5">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2.4加分项（1分）</w:t>
            </w:r>
          </w:p>
        </w:tc>
        <w:tc>
          <w:tcPr>
            <w:tcW w:w="353" w:type="pct"/>
            <w:noWrap w:val="0"/>
            <w:vAlign w:val="center"/>
          </w:tcPr>
          <w:p w14:paraId="023238CA">
            <w:pPr>
              <w:keepNext w:val="0"/>
              <w:keepLines w:val="0"/>
              <w:widowControl/>
              <w:suppressLineNumbers w:val="0"/>
              <w:jc w:val="center"/>
              <w:textAlignment w:val="center"/>
              <w:rPr>
                <w:rStyle w:val="48"/>
                <w:rFonts w:hint="eastAsia" w:ascii="仿宋" w:hAnsi="仿宋" w:eastAsia="仿宋" w:cs="仿宋"/>
                <w:color w:val="auto"/>
                <w:spacing w:val="-4"/>
                <w:sz w:val="22"/>
                <w:szCs w:val="22"/>
                <w:highlight w:val="none"/>
                <w:lang w:val="en-US" w:eastAsia="zh-CN" w:bidi="ar"/>
              </w:rPr>
            </w:pPr>
            <w:r>
              <w:rPr>
                <w:rStyle w:val="48"/>
                <w:rFonts w:hint="eastAsia" w:ascii="仿宋" w:hAnsi="仿宋" w:eastAsia="仿宋" w:cs="仿宋"/>
                <w:color w:val="auto"/>
                <w:spacing w:val="-4"/>
                <w:sz w:val="22"/>
                <w:szCs w:val="22"/>
                <w:highlight w:val="none"/>
                <w:lang w:val="en-US" w:eastAsia="zh-CN" w:bidi="ar"/>
              </w:rPr>
              <w:t xml:space="preserve">2.4.1  </w:t>
            </w:r>
          </w:p>
        </w:tc>
        <w:tc>
          <w:tcPr>
            <w:tcW w:w="2811" w:type="pct"/>
            <w:noWrap w:val="0"/>
            <w:vAlign w:val="center"/>
          </w:tcPr>
          <w:p w14:paraId="551D5AD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shd w:val="clear" w:color="auto" w:fill="auto"/>
                <w:lang w:val="en-US" w:eastAsia="zh-CN"/>
              </w:rPr>
            </w:pPr>
            <w:r>
              <w:rPr>
                <w:rFonts w:hint="eastAsia" w:ascii="仿宋" w:hAnsi="仿宋" w:eastAsia="仿宋" w:cs="仿宋"/>
                <w:i w:val="0"/>
                <w:iCs w:val="0"/>
                <w:color w:val="auto"/>
                <w:sz w:val="22"/>
                <w:szCs w:val="22"/>
                <w:highlight w:val="none"/>
                <w:u w:val="none"/>
                <w:lang w:val="en-US" w:eastAsia="zh-CN"/>
              </w:rPr>
              <w:t>应用信息化工具或产品开展常态化自查自纠工作成效显著，在中心组织的重要会议上进行经验交流或被中心推荐以案例形式推广应用的，每次按B1加分。</w:t>
            </w:r>
          </w:p>
        </w:tc>
        <w:tc>
          <w:tcPr>
            <w:tcW w:w="503" w:type="pct"/>
            <w:vMerge w:val="continue"/>
            <w:noWrap w:val="0"/>
            <w:vAlign w:val="center"/>
          </w:tcPr>
          <w:p w14:paraId="38AAB38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40A021C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061C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7" w:type="pct"/>
            <w:vMerge w:val="continue"/>
            <w:noWrap w:val="0"/>
            <w:vAlign w:val="center"/>
          </w:tcPr>
          <w:p w14:paraId="60A116B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739E46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EA26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5AF9FE6D">
            <w:pPr>
              <w:keepNext w:val="0"/>
              <w:keepLines w:val="0"/>
              <w:widowControl/>
              <w:suppressLineNumbers w:val="0"/>
              <w:jc w:val="center"/>
              <w:textAlignment w:val="center"/>
              <w:rPr>
                <w:rStyle w:val="48"/>
                <w:rFonts w:hint="eastAsia" w:ascii="仿宋" w:hAnsi="仿宋" w:eastAsia="仿宋" w:cs="仿宋"/>
                <w:color w:val="auto"/>
                <w:spacing w:val="-4"/>
                <w:sz w:val="22"/>
                <w:szCs w:val="22"/>
                <w:highlight w:val="none"/>
                <w:lang w:val="en-US" w:eastAsia="zh-CN" w:bidi="ar"/>
              </w:rPr>
            </w:pPr>
            <w:r>
              <w:rPr>
                <w:rStyle w:val="48"/>
                <w:rFonts w:hint="eastAsia" w:ascii="仿宋" w:hAnsi="仿宋" w:eastAsia="仿宋" w:cs="仿宋"/>
                <w:color w:val="auto"/>
                <w:spacing w:val="-4"/>
                <w:sz w:val="22"/>
                <w:szCs w:val="22"/>
                <w:highlight w:val="none"/>
                <w:lang w:val="en-US" w:eastAsia="zh-CN" w:bidi="ar"/>
              </w:rPr>
              <w:t>2.4.2</w:t>
            </w:r>
          </w:p>
        </w:tc>
        <w:tc>
          <w:tcPr>
            <w:tcW w:w="2811" w:type="pct"/>
            <w:noWrap w:val="0"/>
            <w:vAlign w:val="center"/>
          </w:tcPr>
          <w:p w14:paraId="6889D5E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shd w:val="clear" w:color="auto" w:fill="auto"/>
                <w:lang w:val="en-US" w:eastAsia="zh-CN"/>
              </w:rPr>
            </w:pPr>
            <w:r>
              <w:rPr>
                <w:rFonts w:hint="eastAsia" w:ascii="仿宋" w:hAnsi="仿宋" w:eastAsia="仿宋" w:cs="仿宋"/>
                <w:i w:val="0"/>
                <w:iCs w:val="0"/>
                <w:color w:val="auto"/>
                <w:sz w:val="22"/>
                <w:szCs w:val="22"/>
                <w:highlight w:val="none"/>
                <w:u w:val="none"/>
              </w:rPr>
              <w:t>在中心组织的创新、试点信息化项目中表现突出，贡献重要经验或成果的</w:t>
            </w: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每次按B2加分。</w:t>
            </w:r>
          </w:p>
        </w:tc>
        <w:tc>
          <w:tcPr>
            <w:tcW w:w="503" w:type="pct"/>
            <w:vMerge w:val="continue"/>
            <w:noWrap w:val="0"/>
            <w:vAlign w:val="center"/>
          </w:tcPr>
          <w:p w14:paraId="5931FE8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24D7E58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FE2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7" w:type="pct"/>
            <w:vMerge w:val="continue"/>
            <w:noWrap w:val="0"/>
            <w:vAlign w:val="center"/>
          </w:tcPr>
          <w:p w14:paraId="539DFA7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7681D17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FF1E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1B6727FA">
            <w:pPr>
              <w:keepNext w:val="0"/>
              <w:keepLines w:val="0"/>
              <w:widowControl/>
              <w:suppressLineNumbers w:val="0"/>
              <w:jc w:val="center"/>
              <w:textAlignment w:val="center"/>
              <w:rPr>
                <w:rStyle w:val="48"/>
                <w:rFonts w:hint="eastAsia" w:ascii="仿宋" w:hAnsi="仿宋" w:eastAsia="仿宋" w:cs="仿宋"/>
                <w:color w:val="auto"/>
                <w:spacing w:val="-4"/>
                <w:sz w:val="22"/>
                <w:szCs w:val="22"/>
                <w:highlight w:val="none"/>
                <w:lang w:val="en-US" w:eastAsia="zh-CN" w:bidi="ar"/>
              </w:rPr>
            </w:pPr>
            <w:r>
              <w:rPr>
                <w:rStyle w:val="48"/>
                <w:rFonts w:hint="eastAsia" w:ascii="仿宋" w:hAnsi="仿宋" w:eastAsia="仿宋" w:cs="仿宋"/>
                <w:color w:val="auto"/>
                <w:spacing w:val="-4"/>
                <w:sz w:val="22"/>
                <w:szCs w:val="22"/>
                <w:highlight w:val="none"/>
                <w:lang w:val="en-US" w:eastAsia="zh-CN" w:bidi="ar"/>
              </w:rPr>
              <w:t>2.4.3</w:t>
            </w:r>
          </w:p>
        </w:tc>
        <w:tc>
          <w:tcPr>
            <w:tcW w:w="2811" w:type="pct"/>
            <w:noWrap w:val="0"/>
            <w:vAlign w:val="center"/>
          </w:tcPr>
          <w:p w14:paraId="0FC6A53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shd w:val="clear" w:color="auto" w:fill="auto"/>
                <w:lang w:val="en-US" w:eastAsia="zh-CN"/>
              </w:rPr>
            </w:pPr>
            <w:r>
              <w:rPr>
                <w:rFonts w:hint="eastAsia" w:ascii="仿宋" w:hAnsi="仿宋" w:eastAsia="仿宋" w:cs="仿宋"/>
                <w:i w:val="0"/>
                <w:iCs w:val="0"/>
                <w:color w:val="auto"/>
                <w:spacing w:val="-4"/>
                <w:kern w:val="0"/>
                <w:sz w:val="22"/>
                <w:szCs w:val="22"/>
                <w:highlight w:val="none"/>
                <w:u w:val="none"/>
                <w:lang w:val="en-US" w:eastAsia="zh-CN" w:bidi="ar"/>
              </w:rPr>
              <w:t>提出合理化建议被中心采纳，有效优化现有信息系统功能或提升信息化设备稳定性的，</w:t>
            </w:r>
            <w:r>
              <w:rPr>
                <w:rFonts w:hint="eastAsia" w:ascii="仿宋" w:hAnsi="仿宋" w:eastAsia="仿宋" w:cs="仿宋"/>
                <w:i w:val="0"/>
                <w:iCs w:val="0"/>
                <w:color w:val="auto"/>
                <w:sz w:val="22"/>
                <w:szCs w:val="22"/>
                <w:highlight w:val="none"/>
                <w:u w:val="none"/>
                <w:lang w:val="en-US" w:eastAsia="zh-CN"/>
              </w:rPr>
              <w:t>每次按B1加分。</w:t>
            </w:r>
          </w:p>
        </w:tc>
        <w:tc>
          <w:tcPr>
            <w:tcW w:w="503" w:type="pct"/>
            <w:vMerge w:val="continue"/>
            <w:noWrap w:val="0"/>
            <w:vAlign w:val="center"/>
          </w:tcPr>
          <w:p w14:paraId="11EC6C7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1060E73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302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Merge w:val="restart"/>
            <w:noWrap w:val="0"/>
            <w:vAlign w:val="center"/>
          </w:tcPr>
          <w:p w14:paraId="77277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三、信访投诉     （7分）</w:t>
            </w:r>
          </w:p>
        </w:tc>
        <w:tc>
          <w:tcPr>
            <w:tcW w:w="361" w:type="pct"/>
            <w:vMerge w:val="restart"/>
            <w:noWrap w:val="0"/>
            <w:vAlign w:val="center"/>
          </w:tcPr>
          <w:p w14:paraId="5BA78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热线服务管理部门</w:t>
            </w:r>
          </w:p>
        </w:tc>
        <w:tc>
          <w:tcPr>
            <w:tcW w:w="364" w:type="pct"/>
            <w:noWrap w:val="0"/>
            <w:vAlign w:val="center"/>
          </w:tcPr>
          <w:p w14:paraId="22A46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3.1信访投诉总体要求    （1分）</w:t>
            </w:r>
          </w:p>
        </w:tc>
        <w:tc>
          <w:tcPr>
            <w:tcW w:w="353" w:type="pct"/>
            <w:noWrap w:val="0"/>
            <w:vAlign w:val="center"/>
          </w:tcPr>
          <w:p w14:paraId="3E730435">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3.1.1</w:t>
            </w:r>
          </w:p>
        </w:tc>
        <w:tc>
          <w:tcPr>
            <w:tcW w:w="2811" w:type="pct"/>
            <w:noWrap w:val="0"/>
            <w:vAlign w:val="center"/>
          </w:tcPr>
          <w:p w14:paraId="69229403">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未设置专人开展各类案件受理工作的，每次</w:t>
            </w:r>
            <w:r>
              <w:rPr>
                <w:rFonts w:hint="eastAsia" w:ascii="仿宋" w:hAnsi="仿宋" w:eastAsia="仿宋" w:cs="仿宋"/>
                <w:i w:val="0"/>
                <w:iCs w:val="0"/>
                <w:color w:val="auto"/>
                <w:sz w:val="22"/>
                <w:szCs w:val="22"/>
                <w:highlight w:val="none"/>
                <w:u w:val="none"/>
                <w:shd w:val="clear" w:color="auto" w:fill="auto"/>
                <w:lang w:val="en-US" w:eastAsia="zh-CN"/>
              </w:rPr>
              <w:t>按</w:t>
            </w:r>
            <w:r>
              <w:rPr>
                <w:rFonts w:hint="eastAsia" w:ascii="仿宋" w:hAnsi="仿宋" w:eastAsia="仿宋" w:cs="仿宋"/>
                <w:i w:val="0"/>
                <w:iCs w:val="0"/>
                <w:color w:val="auto"/>
                <w:spacing w:val="-4"/>
                <w:kern w:val="0"/>
                <w:sz w:val="22"/>
                <w:szCs w:val="22"/>
                <w:highlight w:val="none"/>
                <w:u w:val="none"/>
                <w:lang w:val="en-US" w:eastAsia="zh-CN" w:bidi="ar"/>
              </w:rPr>
              <w:t>A3+C3处罚；未遵循首问责任制、一次性告知制，造成来电人重复投诉的，每次按A2+C3处罚；受理工作中出现推诿扯皮或故意刁难的情况，造成来电人投诉且查实的，每次按A3+C3处罚。</w:t>
            </w:r>
          </w:p>
        </w:tc>
        <w:tc>
          <w:tcPr>
            <w:tcW w:w="503" w:type="pct"/>
            <w:vMerge w:val="restart"/>
            <w:noWrap w:val="0"/>
            <w:vAlign w:val="center"/>
          </w:tcPr>
          <w:p w14:paraId="34FA8734">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热线服务管理部门牵头，其余所有相关考核部门配合</w:t>
            </w:r>
          </w:p>
        </w:tc>
        <w:tc>
          <w:tcPr>
            <w:tcW w:w="268" w:type="pct"/>
            <w:noWrap w:val="0"/>
            <w:vAlign w:val="center"/>
          </w:tcPr>
          <w:p w14:paraId="2E50EF39">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5198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7" w:type="pct"/>
            <w:vMerge w:val="continue"/>
            <w:noWrap w:val="0"/>
            <w:vAlign w:val="center"/>
          </w:tcPr>
          <w:p w14:paraId="3479C0A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F00CE4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restart"/>
            <w:noWrap w:val="0"/>
            <w:vAlign w:val="center"/>
          </w:tcPr>
          <w:p w14:paraId="5D66007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3.2 确保信访投诉处置高效（2分）</w:t>
            </w:r>
          </w:p>
        </w:tc>
        <w:tc>
          <w:tcPr>
            <w:tcW w:w="353" w:type="pct"/>
            <w:noWrap w:val="0"/>
            <w:vAlign w:val="center"/>
          </w:tcPr>
          <w:p w14:paraId="6D478715">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3.2.1</w:t>
            </w:r>
          </w:p>
        </w:tc>
        <w:tc>
          <w:tcPr>
            <w:tcW w:w="2811" w:type="pct"/>
            <w:noWrap w:val="0"/>
            <w:vAlign w:val="center"/>
          </w:tcPr>
          <w:p w14:paraId="714A5AE9">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“12345”市长热线、“2201212”专线等信访投诉件未在规定时间内完成接单、退单的，每次按A2+B2处罚；未在规定时间内完成处理且反馈的，每次按A3+B3处罚。</w:t>
            </w:r>
          </w:p>
        </w:tc>
        <w:tc>
          <w:tcPr>
            <w:tcW w:w="503" w:type="pct"/>
            <w:vMerge w:val="continue"/>
            <w:noWrap w:val="0"/>
            <w:vAlign w:val="center"/>
          </w:tcPr>
          <w:p w14:paraId="430B411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p>
        </w:tc>
        <w:tc>
          <w:tcPr>
            <w:tcW w:w="268" w:type="pct"/>
            <w:vMerge w:val="restart"/>
            <w:noWrap w:val="0"/>
            <w:vAlign w:val="center"/>
          </w:tcPr>
          <w:p w14:paraId="0AE2875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160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7" w:type="pct"/>
            <w:vMerge w:val="continue"/>
            <w:noWrap w:val="0"/>
            <w:vAlign w:val="center"/>
          </w:tcPr>
          <w:p w14:paraId="475E09C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72BF315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1153EA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355DA964">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3.2.2</w:t>
            </w:r>
          </w:p>
        </w:tc>
        <w:tc>
          <w:tcPr>
            <w:tcW w:w="2811" w:type="pct"/>
            <w:noWrap w:val="0"/>
            <w:vAlign w:val="center"/>
          </w:tcPr>
          <w:p w14:paraId="351645C6">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数字城管“第三方数据评估”中出现特殊件的，每次按A2+B2处罚。</w:t>
            </w:r>
          </w:p>
        </w:tc>
        <w:tc>
          <w:tcPr>
            <w:tcW w:w="503" w:type="pct"/>
            <w:vMerge w:val="continue"/>
            <w:noWrap w:val="0"/>
            <w:vAlign w:val="center"/>
          </w:tcPr>
          <w:p w14:paraId="19E8A3B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4439A17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6D4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37" w:type="pct"/>
            <w:vMerge w:val="continue"/>
            <w:noWrap w:val="0"/>
            <w:vAlign w:val="center"/>
          </w:tcPr>
          <w:p w14:paraId="79DCFF0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1F7F62A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9C5C36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04D5A713">
            <w:pPr>
              <w:keepNext w:val="0"/>
              <w:keepLines w:val="0"/>
              <w:widowControl/>
              <w:suppressLineNumbers w:val="0"/>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3.2.3</w:t>
            </w:r>
          </w:p>
        </w:tc>
        <w:tc>
          <w:tcPr>
            <w:tcW w:w="2811" w:type="pct"/>
            <w:noWrap w:val="0"/>
            <w:vAlign w:val="center"/>
          </w:tcPr>
          <w:p w14:paraId="64C3B622">
            <w:pPr>
              <w:keepNext w:val="0"/>
              <w:keepLines w:val="0"/>
              <w:widowControl/>
              <w:suppressLineNumbers w:val="0"/>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因主观原因造成信访投诉件不满意，每件按A2+B2处罚；市通报的不满意件，每件按A3+C4处罚。</w:t>
            </w:r>
          </w:p>
        </w:tc>
        <w:tc>
          <w:tcPr>
            <w:tcW w:w="503" w:type="pct"/>
            <w:vMerge w:val="continue"/>
            <w:noWrap w:val="0"/>
            <w:vAlign w:val="center"/>
          </w:tcPr>
          <w:p w14:paraId="387C322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2895955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EE4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7" w:type="pct"/>
            <w:vMerge w:val="continue"/>
            <w:noWrap w:val="0"/>
            <w:vAlign w:val="center"/>
          </w:tcPr>
          <w:p w14:paraId="5D92A93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164D27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1A451D9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381D12F1">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3.2.4</w:t>
            </w:r>
          </w:p>
        </w:tc>
        <w:tc>
          <w:tcPr>
            <w:tcW w:w="2811" w:type="pct"/>
            <w:noWrap w:val="0"/>
            <w:vAlign w:val="center"/>
          </w:tcPr>
          <w:p w14:paraId="45C87032">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市容环卫中心采集平台中的采集件出现未处理件的，每出现一件，按A2+B2处罚。</w:t>
            </w:r>
          </w:p>
        </w:tc>
        <w:tc>
          <w:tcPr>
            <w:tcW w:w="503" w:type="pct"/>
            <w:vMerge w:val="continue"/>
            <w:noWrap w:val="0"/>
            <w:vAlign w:val="center"/>
          </w:tcPr>
          <w:p w14:paraId="75F3DBC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5900B96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9DE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37" w:type="pct"/>
            <w:vMerge w:val="continue"/>
            <w:noWrap w:val="0"/>
            <w:vAlign w:val="center"/>
          </w:tcPr>
          <w:p w14:paraId="51FC487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682A79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DE5629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1B454EBA">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3.2.5</w:t>
            </w:r>
          </w:p>
        </w:tc>
        <w:tc>
          <w:tcPr>
            <w:tcW w:w="2811" w:type="pct"/>
            <w:noWrap w:val="0"/>
            <w:vAlign w:val="center"/>
          </w:tcPr>
          <w:p w14:paraId="2D4E84A6">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未按规定时效，完成网络舆情、扬言件的调查反馈工作的，每次按A3+B3处罚。</w:t>
            </w:r>
          </w:p>
        </w:tc>
        <w:tc>
          <w:tcPr>
            <w:tcW w:w="503" w:type="pct"/>
            <w:vMerge w:val="continue"/>
            <w:noWrap w:val="0"/>
            <w:vAlign w:val="center"/>
          </w:tcPr>
          <w:p w14:paraId="2E17A65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4EBE62A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A9F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337" w:type="pct"/>
            <w:vMerge w:val="continue"/>
            <w:noWrap w:val="0"/>
            <w:vAlign w:val="center"/>
          </w:tcPr>
          <w:p w14:paraId="3F3D0A6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E61B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restart"/>
            <w:noWrap w:val="0"/>
            <w:vAlign w:val="center"/>
          </w:tcPr>
          <w:p w14:paraId="68C1A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3.3降低有责信访投诉概率、提升一次性化解率（4分）</w:t>
            </w:r>
          </w:p>
        </w:tc>
        <w:tc>
          <w:tcPr>
            <w:tcW w:w="353" w:type="pct"/>
            <w:noWrap w:val="0"/>
            <w:vAlign w:val="center"/>
          </w:tcPr>
          <w:p w14:paraId="6830BFF3">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Style w:val="50"/>
                <w:rFonts w:hint="eastAsia" w:ascii="仿宋" w:hAnsi="仿宋" w:eastAsia="仿宋" w:cs="仿宋"/>
                <w:color w:val="auto"/>
                <w:spacing w:val="-4"/>
                <w:sz w:val="22"/>
                <w:szCs w:val="22"/>
                <w:highlight w:val="none"/>
                <w:lang w:val="en-US" w:eastAsia="zh-CN" w:bidi="ar"/>
              </w:rPr>
              <w:t>3.3.1</w:t>
            </w:r>
          </w:p>
        </w:tc>
        <w:tc>
          <w:tcPr>
            <w:tcW w:w="2811" w:type="pct"/>
            <w:noWrap w:val="0"/>
            <w:vAlign w:val="center"/>
          </w:tcPr>
          <w:p w14:paraId="685CA7D5">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在“12345”市长热线、“2201212”专线中出现有责投诉的（职工权益保障类按照3.3.3、3.3.4执行），每次按A2+B2处罚。同一有责投诉事件整改不到位或整改后又出现投诉，或在重点推进工作、重大活动中出现有责信访投诉，以上处罚加倍实行，并累计倍数。</w:t>
            </w:r>
          </w:p>
        </w:tc>
        <w:tc>
          <w:tcPr>
            <w:tcW w:w="503" w:type="pct"/>
            <w:vMerge w:val="continue"/>
            <w:noWrap w:val="0"/>
            <w:vAlign w:val="center"/>
          </w:tcPr>
          <w:p w14:paraId="0CD4BCD9">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c>
          <w:tcPr>
            <w:tcW w:w="268" w:type="pct"/>
            <w:vMerge w:val="restart"/>
            <w:noWrap w:val="0"/>
            <w:vAlign w:val="center"/>
          </w:tcPr>
          <w:p w14:paraId="5E0F3AC0">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7087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7" w:type="pct"/>
            <w:vMerge w:val="continue"/>
            <w:noWrap w:val="0"/>
            <w:vAlign w:val="center"/>
          </w:tcPr>
          <w:p w14:paraId="4BE0A55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76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noWrap w:val="0"/>
            <w:vAlign w:val="center"/>
          </w:tcPr>
          <w:p w14:paraId="12947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p>
        </w:tc>
        <w:tc>
          <w:tcPr>
            <w:tcW w:w="353" w:type="pct"/>
            <w:noWrap w:val="0"/>
            <w:vAlign w:val="center"/>
          </w:tcPr>
          <w:p w14:paraId="18285C81">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Style w:val="49"/>
                <w:rFonts w:hint="eastAsia" w:ascii="仿宋" w:hAnsi="仿宋" w:eastAsia="仿宋" w:cs="仿宋"/>
                <w:color w:val="auto"/>
                <w:spacing w:val="-4"/>
                <w:sz w:val="22"/>
                <w:szCs w:val="22"/>
                <w:highlight w:val="none"/>
                <w:lang w:val="en-US" w:eastAsia="zh-CN" w:bidi="ar"/>
              </w:rPr>
              <w:t>3.3.2</w:t>
            </w:r>
          </w:p>
        </w:tc>
        <w:tc>
          <w:tcPr>
            <w:tcW w:w="2811" w:type="pct"/>
            <w:noWrap w:val="0"/>
            <w:vAlign w:val="center"/>
          </w:tcPr>
          <w:p w14:paraId="3683B65B">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因作业未达标、态度不佳、内部管理不到位等主观原因造成的未化解件，每出现一件按A2+B2处罚。</w:t>
            </w:r>
          </w:p>
        </w:tc>
        <w:tc>
          <w:tcPr>
            <w:tcW w:w="503" w:type="pct"/>
            <w:vMerge w:val="continue"/>
            <w:noWrap w:val="0"/>
            <w:vAlign w:val="center"/>
          </w:tcPr>
          <w:p w14:paraId="0238B441">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5FD50398">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5972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vMerge w:val="continue"/>
            <w:noWrap w:val="0"/>
            <w:vAlign w:val="center"/>
          </w:tcPr>
          <w:p w14:paraId="585C9D1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F0E1EB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2A319D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20229BAB">
            <w:pPr>
              <w:keepNext w:val="0"/>
              <w:keepLines w:val="0"/>
              <w:widowControl/>
              <w:suppressLineNumbers w:val="0"/>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3.3.3</w:t>
            </w:r>
          </w:p>
        </w:tc>
        <w:tc>
          <w:tcPr>
            <w:tcW w:w="2811" w:type="pct"/>
            <w:noWrap w:val="0"/>
            <w:vAlign w:val="center"/>
          </w:tcPr>
          <w:p w14:paraId="1912333B">
            <w:pPr>
              <w:keepNext w:val="0"/>
              <w:keepLines w:val="0"/>
              <w:widowControl/>
              <w:suppressLineNumbers w:val="0"/>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职工权益热线联络员接到职工投诉后未在16小时上报责任部门，每次按A2+B2处罚；未在40小时内完成处置，每次按A2+B2处罚；因劳资纠纷产生有责投诉，每件（按照投诉内容）按A3+B3处罚。因用工管理不当产生群体性聚集、罢工、上访等现象，且造成严重影响，每次按A3+C4处罚。</w:t>
            </w:r>
          </w:p>
        </w:tc>
        <w:tc>
          <w:tcPr>
            <w:tcW w:w="503" w:type="pct"/>
            <w:vMerge w:val="continue"/>
            <w:noWrap w:val="0"/>
            <w:vAlign w:val="center"/>
          </w:tcPr>
          <w:p w14:paraId="4BCADB44">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3E22E3B9">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auto"/>
                <w:sz w:val="22"/>
                <w:szCs w:val="22"/>
                <w:highlight w:val="none"/>
                <w:u w:val="none"/>
              </w:rPr>
            </w:pPr>
          </w:p>
        </w:tc>
      </w:tr>
      <w:tr w14:paraId="6BF2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37" w:type="pct"/>
            <w:vMerge w:val="restart"/>
            <w:noWrap w:val="0"/>
            <w:vAlign w:val="center"/>
          </w:tcPr>
          <w:p w14:paraId="2D725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四、安全生产及文明创建    （7分）</w:t>
            </w:r>
          </w:p>
        </w:tc>
        <w:tc>
          <w:tcPr>
            <w:tcW w:w="361" w:type="pct"/>
            <w:vMerge w:val="restart"/>
            <w:noWrap w:val="0"/>
            <w:vAlign w:val="center"/>
          </w:tcPr>
          <w:p w14:paraId="42D16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人事管理部门、</w:t>
            </w:r>
            <w:r>
              <w:rPr>
                <w:rFonts w:hint="eastAsia" w:ascii="仿宋" w:hAnsi="仿宋" w:eastAsia="仿宋" w:cs="仿宋"/>
                <w:i w:val="0"/>
                <w:iCs w:val="0"/>
                <w:color w:val="auto"/>
                <w:spacing w:val="-4"/>
                <w:kern w:val="0"/>
                <w:sz w:val="22"/>
                <w:szCs w:val="22"/>
                <w:highlight w:val="none"/>
                <w:u w:val="none"/>
                <w:lang w:val="en-US" w:eastAsia="zh-CN" w:bidi="ar"/>
              </w:rPr>
              <w:t>业务综合管理部门、巡查管理部门</w:t>
            </w:r>
          </w:p>
        </w:tc>
        <w:tc>
          <w:tcPr>
            <w:tcW w:w="364" w:type="pct"/>
            <w:vMerge w:val="restart"/>
            <w:noWrap w:val="0"/>
            <w:vAlign w:val="center"/>
          </w:tcPr>
          <w:p w14:paraId="5B88F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4.1安全生产   （2分）</w:t>
            </w:r>
          </w:p>
        </w:tc>
        <w:tc>
          <w:tcPr>
            <w:tcW w:w="353" w:type="pct"/>
            <w:noWrap w:val="0"/>
            <w:vAlign w:val="center"/>
          </w:tcPr>
          <w:p w14:paraId="3D008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4.1.1</w:t>
            </w:r>
          </w:p>
        </w:tc>
        <w:tc>
          <w:tcPr>
            <w:tcW w:w="2811" w:type="pct"/>
            <w:noWrap w:val="0"/>
            <w:vAlign w:val="center"/>
          </w:tcPr>
          <w:p w14:paraId="5BE404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发现安全生产隐患或事件，每次按A2处罚，若情节严重，每次按A3处罚；发生安全生产事故，每次按A4+B5处罚。发生伤亡事故达到中心安全生产应急预案较大事故及以上的情形，每次按A5+C5处罚。</w:t>
            </w:r>
          </w:p>
        </w:tc>
        <w:tc>
          <w:tcPr>
            <w:tcW w:w="503" w:type="pct"/>
            <w:vMerge w:val="restart"/>
            <w:noWrap w:val="0"/>
            <w:vAlign w:val="center"/>
          </w:tcPr>
          <w:p w14:paraId="4509DED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业务综合管理部门、巡查管理部门牵头，其余所有相关考核部门配合</w:t>
            </w:r>
          </w:p>
        </w:tc>
        <w:tc>
          <w:tcPr>
            <w:tcW w:w="268" w:type="pct"/>
            <w:vMerge w:val="restart"/>
            <w:noWrap w:val="0"/>
            <w:vAlign w:val="center"/>
          </w:tcPr>
          <w:p w14:paraId="5B3FF8E5">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lang w:eastAsia="zh-CN"/>
              </w:rPr>
            </w:pPr>
          </w:p>
        </w:tc>
      </w:tr>
      <w:tr w14:paraId="5EDA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7" w:type="pct"/>
            <w:vMerge w:val="continue"/>
            <w:noWrap w:val="0"/>
            <w:vAlign w:val="center"/>
          </w:tcPr>
          <w:p w14:paraId="33BEBAB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097F62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E4B289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46833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4.1.2</w:t>
            </w:r>
          </w:p>
        </w:tc>
        <w:tc>
          <w:tcPr>
            <w:tcW w:w="2811" w:type="pct"/>
            <w:noWrap w:val="0"/>
            <w:vAlign w:val="center"/>
          </w:tcPr>
          <w:p w14:paraId="5A52F0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作业单位未妥善保管中心设施设备，且未在规定时间内修复，每次按A3+B3处罚，另需按损坏物件原价赔付。</w:t>
            </w:r>
          </w:p>
        </w:tc>
        <w:tc>
          <w:tcPr>
            <w:tcW w:w="503" w:type="pct"/>
            <w:vMerge w:val="continue"/>
            <w:noWrap w:val="0"/>
            <w:vAlign w:val="center"/>
          </w:tcPr>
          <w:p w14:paraId="2A447B6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CC38B1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BD0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7" w:type="pct"/>
            <w:vMerge w:val="continue"/>
            <w:noWrap w:val="0"/>
            <w:vAlign w:val="center"/>
          </w:tcPr>
          <w:p w14:paraId="15F1250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1B1CB1D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8B5384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71546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4.1.3</w:t>
            </w:r>
          </w:p>
        </w:tc>
        <w:tc>
          <w:tcPr>
            <w:tcW w:w="2811" w:type="pct"/>
            <w:noWrap w:val="0"/>
            <w:vAlign w:val="center"/>
          </w:tcPr>
          <w:p w14:paraId="195E72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作业单位继续使用故障车辆作业，每次按A3+B2处罚。故障车辆检修后未报备即开展作业，每次按A2+B1处罚。</w:t>
            </w:r>
          </w:p>
        </w:tc>
        <w:tc>
          <w:tcPr>
            <w:tcW w:w="503" w:type="pct"/>
            <w:vMerge w:val="continue"/>
            <w:noWrap w:val="0"/>
            <w:vAlign w:val="center"/>
          </w:tcPr>
          <w:p w14:paraId="2DC592D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196DA44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E34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7" w:type="pct"/>
            <w:vMerge w:val="continue"/>
            <w:noWrap w:val="0"/>
            <w:vAlign w:val="center"/>
          </w:tcPr>
          <w:p w14:paraId="2AE475F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1805FD2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4ACC712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45861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4.1.4</w:t>
            </w:r>
          </w:p>
        </w:tc>
        <w:tc>
          <w:tcPr>
            <w:tcW w:w="2811" w:type="pct"/>
            <w:noWrap w:val="0"/>
            <w:vAlign w:val="center"/>
          </w:tcPr>
          <w:p w14:paraId="3A2E4E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作业单位未建立应急机制，每次按A4+C3处罚。未按应急机制响应或响应不力（含未按要求派遣车辆、人员），每次按A3+C2处罚，</w:t>
            </w:r>
            <w:r>
              <w:rPr>
                <w:rFonts w:hint="eastAsia" w:ascii="仿宋" w:hAnsi="仿宋" w:eastAsia="仿宋" w:cs="仿宋"/>
                <w:i w:val="0"/>
                <w:iCs w:val="0"/>
                <w:color w:val="auto"/>
                <w:spacing w:val="-4"/>
                <w:kern w:val="0"/>
                <w:sz w:val="22"/>
                <w:szCs w:val="22"/>
                <w:highlight w:val="none"/>
                <w:u w:val="none"/>
                <w:shd w:val="clear" w:color="auto" w:fill="auto"/>
                <w:lang w:val="en-US" w:eastAsia="zh-CN" w:bidi="ar"/>
              </w:rPr>
              <w:t>因此</w:t>
            </w:r>
            <w:r>
              <w:rPr>
                <w:rFonts w:hint="eastAsia" w:ascii="仿宋" w:hAnsi="仿宋" w:eastAsia="仿宋" w:cs="仿宋"/>
                <w:i w:val="0"/>
                <w:iCs w:val="0"/>
                <w:color w:val="auto"/>
                <w:spacing w:val="-4"/>
                <w:kern w:val="0"/>
                <w:sz w:val="22"/>
                <w:szCs w:val="22"/>
                <w:highlight w:val="none"/>
                <w:u w:val="none"/>
                <w:lang w:val="en-US" w:eastAsia="zh-CN" w:bidi="ar"/>
              </w:rPr>
              <w:t>造成恶劣影响的，每次按A5+C4处罚。</w:t>
            </w:r>
          </w:p>
        </w:tc>
        <w:tc>
          <w:tcPr>
            <w:tcW w:w="503" w:type="pct"/>
            <w:vMerge w:val="continue"/>
            <w:noWrap w:val="0"/>
            <w:vAlign w:val="center"/>
          </w:tcPr>
          <w:p w14:paraId="2174E5F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799CCC0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F4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37" w:type="pct"/>
            <w:vMerge w:val="continue"/>
            <w:noWrap w:val="0"/>
            <w:vAlign w:val="center"/>
          </w:tcPr>
          <w:p w14:paraId="4FF4F98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6C61D57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8D89DD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77294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4.1.5</w:t>
            </w:r>
          </w:p>
        </w:tc>
        <w:tc>
          <w:tcPr>
            <w:tcW w:w="2811" w:type="pct"/>
            <w:noWrap w:val="0"/>
            <w:vAlign w:val="center"/>
          </w:tcPr>
          <w:p w14:paraId="76F54A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rPr>
              <w:t>作业单位</w:t>
            </w:r>
            <w:r>
              <w:rPr>
                <w:rFonts w:hint="eastAsia" w:ascii="仿宋" w:hAnsi="仿宋" w:eastAsia="仿宋" w:cs="仿宋"/>
                <w:i w:val="0"/>
                <w:iCs w:val="0"/>
                <w:color w:val="auto"/>
                <w:sz w:val="22"/>
                <w:szCs w:val="22"/>
                <w:highlight w:val="none"/>
                <w:u w:val="none"/>
                <w:lang w:val="en-US" w:eastAsia="zh-CN"/>
              </w:rPr>
              <w:t>未</w:t>
            </w:r>
            <w:r>
              <w:rPr>
                <w:rFonts w:hint="eastAsia" w:ascii="仿宋" w:hAnsi="仿宋" w:eastAsia="仿宋" w:cs="仿宋"/>
                <w:i w:val="0"/>
                <w:iCs w:val="0"/>
                <w:color w:val="auto"/>
                <w:sz w:val="22"/>
                <w:szCs w:val="22"/>
                <w:highlight w:val="none"/>
                <w:u w:val="none"/>
              </w:rPr>
              <w:t>统一巡检工具</w:t>
            </w: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或未</w:t>
            </w:r>
            <w:r>
              <w:rPr>
                <w:rFonts w:hint="eastAsia" w:ascii="仿宋" w:hAnsi="仿宋" w:eastAsia="仿宋" w:cs="仿宋"/>
                <w:i w:val="0"/>
                <w:iCs w:val="0"/>
                <w:color w:val="auto"/>
                <w:sz w:val="22"/>
                <w:szCs w:val="22"/>
                <w:highlight w:val="none"/>
                <w:u w:val="none"/>
              </w:rPr>
              <w:t>按巡查部门要求规范使用</w:t>
            </w:r>
            <w:r>
              <w:rPr>
                <w:rFonts w:hint="eastAsia" w:ascii="仿宋" w:hAnsi="仿宋" w:eastAsia="仿宋" w:cs="仿宋"/>
                <w:i w:val="0"/>
                <w:iCs w:val="0"/>
                <w:color w:val="auto"/>
                <w:sz w:val="22"/>
                <w:szCs w:val="22"/>
                <w:highlight w:val="none"/>
                <w:u w:val="none"/>
                <w:lang w:val="en-US" w:eastAsia="zh-CN"/>
              </w:rPr>
              <w:t>的，</w:t>
            </w:r>
            <w:r>
              <w:rPr>
                <w:rFonts w:hint="eastAsia" w:ascii="仿宋" w:hAnsi="仿宋" w:eastAsia="仿宋" w:cs="仿宋"/>
                <w:i w:val="0"/>
                <w:iCs w:val="0"/>
                <w:color w:val="auto"/>
                <w:spacing w:val="-4"/>
                <w:kern w:val="0"/>
                <w:sz w:val="22"/>
                <w:szCs w:val="22"/>
                <w:highlight w:val="none"/>
                <w:u w:val="none"/>
                <w:lang w:val="en-US" w:eastAsia="zh-CN" w:bidi="ar"/>
              </w:rPr>
              <w:t>每次按A1+B1处罚。</w:t>
            </w:r>
          </w:p>
        </w:tc>
        <w:tc>
          <w:tcPr>
            <w:tcW w:w="503" w:type="pct"/>
            <w:vMerge w:val="continue"/>
            <w:noWrap w:val="0"/>
            <w:vAlign w:val="center"/>
          </w:tcPr>
          <w:p w14:paraId="41AB340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9EF1BC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07E0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37" w:type="pct"/>
            <w:vMerge w:val="continue"/>
            <w:noWrap w:val="0"/>
            <w:vAlign w:val="center"/>
          </w:tcPr>
          <w:p w14:paraId="74D8B6A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5502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restart"/>
            <w:noWrap w:val="0"/>
            <w:vAlign w:val="center"/>
          </w:tcPr>
          <w:p w14:paraId="5E91F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4.2文明作业   （3分）</w:t>
            </w:r>
          </w:p>
        </w:tc>
        <w:tc>
          <w:tcPr>
            <w:tcW w:w="353" w:type="pct"/>
            <w:noWrap w:val="0"/>
            <w:vAlign w:val="center"/>
          </w:tcPr>
          <w:p w14:paraId="3BDBA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4.2.1</w:t>
            </w:r>
          </w:p>
        </w:tc>
        <w:tc>
          <w:tcPr>
            <w:tcW w:w="2811" w:type="pct"/>
            <w:noWrap w:val="0"/>
            <w:vAlign w:val="center"/>
          </w:tcPr>
          <w:p w14:paraId="746E28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spacing w:val="-8"/>
                <w:sz w:val="22"/>
                <w:szCs w:val="22"/>
                <w:highlight w:val="none"/>
              </w:rPr>
              <w:t>作业人员未按要求规范</w:t>
            </w:r>
            <w:r>
              <w:rPr>
                <w:rFonts w:hint="eastAsia" w:ascii="仿宋" w:hAnsi="仿宋" w:eastAsia="仿宋" w:cs="仿宋"/>
                <w:color w:val="auto"/>
                <w:spacing w:val="-8"/>
                <w:sz w:val="22"/>
                <w:szCs w:val="22"/>
                <w:highlight w:val="none"/>
                <w:lang w:eastAsia="zh-CN"/>
              </w:rPr>
              <w:t>着装或</w:t>
            </w:r>
            <w:r>
              <w:rPr>
                <w:rFonts w:hint="eastAsia" w:ascii="仿宋" w:hAnsi="仿宋" w:eastAsia="仿宋" w:cs="仿宋"/>
                <w:spacing w:val="-8"/>
                <w:sz w:val="22"/>
                <w:szCs w:val="22"/>
                <w:highlight w:val="none"/>
              </w:rPr>
              <w:t>配备作业服务工具，或驾驶电动车未佩戴安</w:t>
            </w:r>
            <w:r>
              <w:rPr>
                <w:rFonts w:hint="eastAsia" w:ascii="仿宋" w:hAnsi="仿宋" w:eastAsia="仿宋" w:cs="仿宋"/>
                <w:spacing w:val="-9"/>
                <w:sz w:val="22"/>
                <w:szCs w:val="22"/>
                <w:highlight w:val="none"/>
              </w:rPr>
              <w:t>全头盔，每次按</w:t>
            </w:r>
            <w:r>
              <w:rPr>
                <w:rFonts w:hint="eastAsia" w:ascii="仿宋" w:hAnsi="仿宋" w:eastAsia="仿宋" w:cs="仿宋"/>
                <w:color w:val="auto"/>
                <w:spacing w:val="-5"/>
                <w:sz w:val="22"/>
                <w:szCs w:val="22"/>
                <w:highlight w:val="none"/>
              </w:rPr>
              <w:t>A1</w:t>
            </w:r>
            <w:r>
              <w:rPr>
                <w:rFonts w:hint="eastAsia" w:ascii="仿宋" w:hAnsi="仿宋" w:eastAsia="仿宋" w:cs="仿宋"/>
                <w:color w:val="auto"/>
                <w:spacing w:val="-5"/>
                <w:sz w:val="22"/>
                <w:szCs w:val="22"/>
                <w:highlight w:val="none"/>
                <w:lang w:val="en-US" w:eastAsia="zh-CN"/>
              </w:rPr>
              <w:t>+</w:t>
            </w:r>
            <w:r>
              <w:rPr>
                <w:rFonts w:hint="eastAsia" w:ascii="仿宋" w:hAnsi="仿宋" w:eastAsia="仿宋" w:cs="仿宋"/>
                <w:spacing w:val="-8"/>
                <w:sz w:val="22"/>
                <w:szCs w:val="22"/>
                <w:highlight w:val="none"/>
              </w:rPr>
              <w:t>B1</w:t>
            </w:r>
            <w:r>
              <w:rPr>
                <w:rFonts w:hint="eastAsia" w:ascii="仿宋" w:hAnsi="仿宋" w:eastAsia="仿宋" w:cs="仿宋"/>
                <w:spacing w:val="-48"/>
                <w:sz w:val="22"/>
                <w:szCs w:val="22"/>
                <w:highlight w:val="none"/>
              </w:rPr>
              <w:t xml:space="preserve"> </w:t>
            </w:r>
            <w:r>
              <w:rPr>
                <w:rFonts w:hint="eastAsia" w:ascii="仿宋" w:hAnsi="仿宋" w:eastAsia="仿宋" w:cs="仿宋"/>
                <w:spacing w:val="-8"/>
                <w:sz w:val="22"/>
                <w:szCs w:val="22"/>
                <w:highlight w:val="none"/>
              </w:rPr>
              <w:t>处罚。</w:t>
            </w:r>
          </w:p>
        </w:tc>
        <w:tc>
          <w:tcPr>
            <w:tcW w:w="503" w:type="pct"/>
            <w:vMerge w:val="continue"/>
            <w:noWrap w:val="0"/>
            <w:vAlign w:val="center"/>
          </w:tcPr>
          <w:p w14:paraId="161BE3C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restart"/>
            <w:noWrap w:val="0"/>
            <w:vAlign w:val="center"/>
          </w:tcPr>
          <w:p w14:paraId="40EF7387">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r>
      <w:tr w14:paraId="18C3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37" w:type="pct"/>
            <w:vMerge w:val="continue"/>
            <w:noWrap w:val="0"/>
            <w:vAlign w:val="center"/>
          </w:tcPr>
          <w:p w14:paraId="76652FD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4C02B3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22D373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51C8B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4.2.2</w:t>
            </w:r>
          </w:p>
        </w:tc>
        <w:tc>
          <w:tcPr>
            <w:tcW w:w="2811" w:type="pct"/>
            <w:noWrap w:val="0"/>
            <w:vAlign w:val="center"/>
          </w:tcPr>
          <w:p w14:paraId="4D0CDD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作业人员无故脱岗或从事工作以外的事，每次按A2+B2处罚。</w:t>
            </w:r>
          </w:p>
        </w:tc>
        <w:tc>
          <w:tcPr>
            <w:tcW w:w="503" w:type="pct"/>
            <w:vMerge w:val="continue"/>
            <w:noWrap w:val="0"/>
            <w:vAlign w:val="center"/>
          </w:tcPr>
          <w:p w14:paraId="0C88862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1543967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3CC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37" w:type="pct"/>
            <w:vMerge w:val="continue"/>
            <w:noWrap w:val="0"/>
            <w:vAlign w:val="center"/>
          </w:tcPr>
          <w:p w14:paraId="1433460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5452F8E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7229A1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4EB83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4.2.3</w:t>
            </w:r>
          </w:p>
        </w:tc>
        <w:tc>
          <w:tcPr>
            <w:tcW w:w="2811" w:type="pct"/>
            <w:noWrap w:val="0"/>
            <w:vAlign w:val="center"/>
          </w:tcPr>
          <w:p w14:paraId="492790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作业人员作业时与人发生冲突，经核实属于有责的，每次按A2+B2处罚。作业人员作业时存在闯红灯、爬栏杆、逆向行驶、随地便溺等不文明行为，每次按A1+B1处罚。</w:t>
            </w:r>
          </w:p>
        </w:tc>
        <w:tc>
          <w:tcPr>
            <w:tcW w:w="503" w:type="pct"/>
            <w:vMerge w:val="continue"/>
            <w:noWrap w:val="0"/>
            <w:vAlign w:val="center"/>
          </w:tcPr>
          <w:p w14:paraId="10C8AF4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5BD71CA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7E9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7" w:type="pct"/>
            <w:vMerge w:val="continue"/>
            <w:noWrap w:val="0"/>
            <w:vAlign w:val="center"/>
          </w:tcPr>
          <w:p w14:paraId="7F54758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6D59DC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41B0B57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3CEDDF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4.2.4</w:t>
            </w:r>
          </w:p>
        </w:tc>
        <w:tc>
          <w:tcPr>
            <w:tcW w:w="2811" w:type="pct"/>
            <w:noWrap w:val="0"/>
            <w:vAlign w:val="center"/>
          </w:tcPr>
          <w:p w14:paraId="1FCB1E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环卫作业车辆未做到配置到位和统一标识，或车身不整洁，或有破损，或未装贴反光警示条，或杂物外挂，每项每次按A1+B1处罚。环卫作业车辆作业时未密闭运输而出现抛洒或污水滴漏现象，每次按A2+B1处罚。</w:t>
            </w:r>
          </w:p>
        </w:tc>
        <w:tc>
          <w:tcPr>
            <w:tcW w:w="503" w:type="pct"/>
            <w:vMerge w:val="continue"/>
            <w:noWrap w:val="0"/>
            <w:vAlign w:val="center"/>
          </w:tcPr>
          <w:p w14:paraId="4008837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DDA48A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249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37" w:type="pct"/>
            <w:vMerge w:val="continue"/>
            <w:noWrap w:val="0"/>
            <w:vAlign w:val="center"/>
          </w:tcPr>
          <w:p w14:paraId="49D773A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3D4A0E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1991AB2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2CC62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4.2.5</w:t>
            </w:r>
          </w:p>
        </w:tc>
        <w:tc>
          <w:tcPr>
            <w:tcW w:w="2811" w:type="pct"/>
            <w:noWrap w:val="0"/>
            <w:vAlign w:val="center"/>
          </w:tcPr>
          <w:p w14:paraId="6E2F98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环卫作业车辆作业时未遵守交规或未按照中心要求作业，每次按A3+B3处罚，造成不良影响情况严重的按A5+B3处罚。</w:t>
            </w:r>
          </w:p>
        </w:tc>
        <w:tc>
          <w:tcPr>
            <w:tcW w:w="503" w:type="pct"/>
            <w:vMerge w:val="continue"/>
            <w:noWrap w:val="0"/>
            <w:vAlign w:val="center"/>
          </w:tcPr>
          <w:p w14:paraId="71872FC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584C985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8F1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37" w:type="pct"/>
            <w:vMerge w:val="continue"/>
            <w:noWrap w:val="0"/>
            <w:vAlign w:val="center"/>
          </w:tcPr>
          <w:p w14:paraId="42E4150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DD53AF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2584E74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26B96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4.2.6</w:t>
            </w:r>
          </w:p>
        </w:tc>
        <w:tc>
          <w:tcPr>
            <w:tcW w:w="2811" w:type="pct"/>
            <w:noWrap w:val="0"/>
            <w:vAlign w:val="center"/>
          </w:tcPr>
          <w:p w14:paraId="39CBBB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车辆未按中心要求，落实避高峰作业，每次按A3+B2处罚；因未避高峰作业受到媒体或市级领导批评，每次按A4+B3处罚；环卫作业车辆应急任务或外围人车流量较小的路段有作业需求时未向巡查管理部门报批的，每次按A2+B1处罚</w:t>
            </w:r>
          </w:p>
        </w:tc>
        <w:tc>
          <w:tcPr>
            <w:tcW w:w="503" w:type="pct"/>
            <w:vMerge w:val="continue"/>
            <w:noWrap w:val="0"/>
            <w:vAlign w:val="center"/>
          </w:tcPr>
          <w:p w14:paraId="2BECA16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5A59A86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6EA4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37" w:type="pct"/>
            <w:vMerge w:val="continue"/>
            <w:noWrap w:val="0"/>
            <w:vAlign w:val="center"/>
          </w:tcPr>
          <w:p w14:paraId="287F868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556BB4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4C1055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4B501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4.2.7</w:t>
            </w:r>
          </w:p>
        </w:tc>
        <w:tc>
          <w:tcPr>
            <w:tcW w:w="2811" w:type="pct"/>
            <w:noWrap w:val="0"/>
            <w:vAlign w:val="center"/>
          </w:tcPr>
          <w:p w14:paraId="4B2B78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环卫作业车辆不按规定开警灯或鸣报信号，或在管制期间扰民，或未采取适当的避让措施造成扰民，</w:t>
            </w:r>
            <w:r>
              <w:rPr>
                <w:rFonts w:hint="eastAsia" w:ascii="仿宋" w:hAnsi="仿宋" w:eastAsia="仿宋" w:cs="仿宋"/>
                <w:color w:val="auto"/>
                <w:spacing w:val="-4"/>
                <w:kern w:val="0"/>
                <w:sz w:val="22"/>
                <w:szCs w:val="22"/>
                <w:highlight w:val="none"/>
                <w:lang w:bidi="ar"/>
              </w:rPr>
              <w:t>每项</w:t>
            </w:r>
            <w:r>
              <w:rPr>
                <w:rFonts w:hint="eastAsia" w:ascii="仿宋" w:hAnsi="仿宋" w:eastAsia="仿宋" w:cs="仿宋"/>
                <w:color w:val="auto"/>
                <w:spacing w:val="-4"/>
                <w:kern w:val="0"/>
                <w:sz w:val="22"/>
                <w:szCs w:val="22"/>
                <w:highlight w:val="none"/>
                <w:lang w:val="en-US" w:eastAsia="zh-CN" w:bidi="ar"/>
              </w:rPr>
              <w:t>每次</w:t>
            </w:r>
            <w:r>
              <w:rPr>
                <w:rFonts w:hint="eastAsia" w:ascii="仿宋" w:hAnsi="仿宋" w:eastAsia="仿宋" w:cs="仿宋"/>
                <w:i w:val="0"/>
                <w:iCs w:val="0"/>
                <w:color w:val="auto"/>
                <w:spacing w:val="-4"/>
                <w:kern w:val="0"/>
                <w:sz w:val="22"/>
                <w:szCs w:val="22"/>
                <w:highlight w:val="none"/>
                <w:u w:val="none"/>
                <w:lang w:val="en-US" w:eastAsia="zh-CN" w:bidi="ar"/>
              </w:rPr>
              <w:t>按A1+B1处罚。</w:t>
            </w:r>
          </w:p>
        </w:tc>
        <w:tc>
          <w:tcPr>
            <w:tcW w:w="503" w:type="pct"/>
            <w:vMerge w:val="continue"/>
            <w:noWrap w:val="0"/>
            <w:vAlign w:val="center"/>
          </w:tcPr>
          <w:p w14:paraId="416D37A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6C7FAFD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DF2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37" w:type="pct"/>
            <w:vMerge w:val="continue"/>
            <w:noWrap w:val="0"/>
            <w:vAlign w:val="center"/>
          </w:tcPr>
          <w:p w14:paraId="5ACF8CB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684C89F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115843C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1A55B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4.2.8</w:t>
            </w:r>
          </w:p>
        </w:tc>
        <w:tc>
          <w:tcPr>
            <w:tcW w:w="2811" w:type="pct"/>
            <w:noWrap w:val="0"/>
            <w:vAlign w:val="center"/>
          </w:tcPr>
          <w:p w14:paraId="73A552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进场站车辆的随车人员在场站内及周边随地乱扔垃圾，每次按A1+B1处罚。随地便溺，每次按A3+B2处罚。</w:t>
            </w:r>
          </w:p>
        </w:tc>
        <w:tc>
          <w:tcPr>
            <w:tcW w:w="503" w:type="pct"/>
            <w:vMerge w:val="continue"/>
            <w:noWrap w:val="0"/>
            <w:vAlign w:val="center"/>
          </w:tcPr>
          <w:p w14:paraId="25622FF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1BE4AE3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E48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552082E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62A2E36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5867886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55BEE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4.2.10</w:t>
            </w:r>
          </w:p>
        </w:tc>
        <w:tc>
          <w:tcPr>
            <w:tcW w:w="2811" w:type="pct"/>
            <w:noWrap w:val="0"/>
            <w:vAlign w:val="center"/>
          </w:tcPr>
          <w:p w14:paraId="1F5F23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环卫作业用水未按照环卫作业加水点相关规定执行，每次按A1+B1处罚。</w:t>
            </w:r>
          </w:p>
        </w:tc>
        <w:tc>
          <w:tcPr>
            <w:tcW w:w="503" w:type="pct"/>
            <w:vMerge w:val="continue"/>
            <w:noWrap w:val="0"/>
            <w:vAlign w:val="center"/>
          </w:tcPr>
          <w:p w14:paraId="64B8925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7BFE693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58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3435EEE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193369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restart"/>
            <w:noWrap w:val="0"/>
            <w:vAlign w:val="center"/>
          </w:tcPr>
          <w:p w14:paraId="67C5C34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4.3.文明管理（2分）</w:t>
            </w:r>
          </w:p>
        </w:tc>
        <w:tc>
          <w:tcPr>
            <w:tcW w:w="353" w:type="pct"/>
            <w:noWrap w:val="0"/>
            <w:vAlign w:val="center"/>
          </w:tcPr>
          <w:p w14:paraId="385F5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4.3.1</w:t>
            </w:r>
          </w:p>
        </w:tc>
        <w:tc>
          <w:tcPr>
            <w:tcW w:w="2811" w:type="pct"/>
            <w:noWrap w:val="0"/>
            <w:vAlign w:val="center"/>
          </w:tcPr>
          <w:p w14:paraId="67FECE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未在规定时间制定年度文明作业实施方案的，每次按B2处罚。</w:t>
            </w:r>
          </w:p>
        </w:tc>
        <w:tc>
          <w:tcPr>
            <w:tcW w:w="503" w:type="pct"/>
            <w:vMerge w:val="restart"/>
            <w:noWrap w:val="0"/>
            <w:vAlign w:val="center"/>
          </w:tcPr>
          <w:p w14:paraId="2E795F1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人事管理部门</w:t>
            </w:r>
          </w:p>
        </w:tc>
        <w:tc>
          <w:tcPr>
            <w:tcW w:w="268" w:type="pct"/>
            <w:noWrap w:val="0"/>
            <w:vAlign w:val="center"/>
          </w:tcPr>
          <w:p w14:paraId="6A3E02B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15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6E0F7FB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36C6228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74B728E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4A3FB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4.3.2</w:t>
            </w:r>
          </w:p>
        </w:tc>
        <w:tc>
          <w:tcPr>
            <w:tcW w:w="2811" w:type="pct"/>
            <w:noWrap w:val="0"/>
            <w:vAlign w:val="center"/>
          </w:tcPr>
          <w:p w14:paraId="6AB837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未在规定时间签订文明管理责任书的，每次按B2处罚。</w:t>
            </w:r>
          </w:p>
        </w:tc>
        <w:tc>
          <w:tcPr>
            <w:tcW w:w="503" w:type="pct"/>
            <w:vMerge w:val="continue"/>
            <w:noWrap w:val="0"/>
            <w:vAlign w:val="center"/>
          </w:tcPr>
          <w:p w14:paraId="174775A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466CDA1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AE1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1E95DD3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6F9DF5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1C4CBB9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75010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4.3.3</w:t>
            </w:r>
          </w:p>
        </w:tc>
        <w:tc>
          <w:tcPr>
            <w:tcW w:w="2811" w:type="pct"/>
            <w:noWrap w:val="0"/>
            <w:vAlign w:val="center"/>
          </w:tcPr>
          <w:p w14:paraId="0C6FB7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未定期召开文明管理专题会议，每次按A3+B2处罚；每年组织管理层文明管理培训及员工培训少于规定次数的，每次按A4+B3处罚。</w:t>
            </w:r>
          </w:p>
        </w:tc>
        <w:tc>
          <w:tcPr>
            <w:tcW w:w="503" w:type="pct"/>
            <w:vMerge w:val="continue"/>
            <w:noWrap w:val="0"/>
            <w:vAlign w:val="center"/>
          </w:tcPr>
          <w:p w14:paraId="351C0A2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7F83C9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E32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5758B04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F0C4A5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0D4082B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264A5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4.3.4</w:t>
            </w:r>
          </w:p>
        </w:tc>
        <w:tc>
          <w:tcPr>
            <w:tcW w:w="2811" w:type="pct"/>
            <w:noWrap w:val="0"/>
            <w:vAlign w:val="center"/>
          </w:tcPr>
          <w:p w14:paraId="78F13E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因管理粗暴引发员工投诉或舆情事件的，每次按A5+B3处罚。</w:t>
            </w:r>
          </w:p>
        </w:tc>
        <w:tc>
          <w:tcPr>
            <w:tcW w:w="503" w:type="pct"/>
            <w:vMerge w:val="continue"/>
            <w:noWrap w:val="0"/>
            <w:vAlign w:val="center"/>
          </w:tcPr>
          <w:p w14:paraId="5236510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3683D7C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ED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vMerge w:val="restart"/>
            <w:noWrap w:val="0"/>
            <w:vAlign w:val="center"/>
          </w:tcPr>
          <w:p w14:paraId="29569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五、职工保障及费用缴纳     （8分）</w:t>
            </w:r>
          </w:p>
        </w:tc>
        <w:tc>
          <w:tcPr>
            <w:tcW w:w="361" w:type="pct"/>
            <w:vMerge w:val="restart"/>
            <w:noWrap w:val="0"/>
            <w:vAlign w:val="center"/>
          </w:tcPr>
          <w:p w14:paraId="15B2F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人事管理部门、财务管理部门、项目牵头管理部门</w:t>
            </w:r>
          </w:p>
        </w:tc>
        <w:tc>
          <w:tcPr>
            <w:tcW w:w="364" w:type="pct"/>
            <w:vMerge w:val="restart"/>
            <w:noWrap w:val="0"/>
            <w:vAlign w:val="center"/>
          </w:tcPr>
          <w:p w14:paraId="741EA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5.1人员管理    （2分）</w:t>
            </w:r>
          </w:p>
        </w:tc>
        <w:tc>
          <w:tcPr>
            <w:tcW w:w="353" w:type="pct"/>
            <w:vMerge w:val="restart"/>
            <w:noWrap w:val="0"/>
            <w:vAlign w:val="center"/>
          </w:tcPr>
          <w:p w14:paraId="62E98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5.1.1</w:t>
            </w:r>
          </w:p>
        </w:tc>
        <w:tc>
          <w:tcPr>
            <w:tcW w:w="2811" w:type="pct"/>
            <w:noWrap w:val="0"/>
            <w:vAlign w:val="center"/>
          </w:tcPr>
          <w:p w14:paraId="7A76E6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未经批准变更项目负责人，每次按A5处罚。未经批准变更其他管理人员，每次按A4处罚。</w:t>
            </w:r>
          </w:p>
        </w:tc>
        <w:tc>
          <w:tcPr>
            <w:tcW w:w="503" w:type="pct"/>
            <w:vMerge w:val="restart"/>
            <w:noWrap w:val="0"/>
            <w:vAlign w:val="center"/>
          </w:tcPr>
          <w:p w14:paraId="259A75F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项目牵头管理部门</w:t>
            </w:r>
          </w:p>
        </w:tc>
        <w:tc>
          <w:tcPr>
            <w:tcW w:w="268" w:type="pct"/>
            <w:noWrap w:val="0"/>
            <w:vAlign w:val="center"/>
          </w:tcPr>
          <w:p w14:paraId="07AF294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0110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continue"/>
            <w:noWrap w:val="0"/>
            <w:vAlign w:val="center"/>
          </w:tcPr>
          <w:p w14:paraId="4FCFF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022F1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5835C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5EB3B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2F001D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项目相关人员未在规定时间内到场响应，每次按B2处罚。</w:t>
            </w:r>
          </w:p>
        </w:tc>
        <w:tc>
          <w:tcPr>
            <w:tcW w:w="503" w:type="pct"/>
            <w:vMerge w:val="continue"/>
            <w:noWrap w:val="0"/>
            <w:vAlign w:val="center"/>
          </w:tcPr>
          <w:p w14:paraId="64814DF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p>
        </w:tc>
        <w:tc>
          <w:tcPr>
            <w:tcW w:w="268" w:type="pct"/>
            <w:noWrap w:val="0"/>
            <w:vAlign w:val="center"/>
          </w:tcPr>
          <w:p w14:paraId="35D29FE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p>
        </w:tc>
      </w:tr>
      <w:tr w14:paraId="43B6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7" w:type="pct"/>
            <w:vMerge w:val="continue"/>
            <w:noWrap w:val="0"/>
            <w:vAlign w:val="center"/>
          </w:tcPr>
          <w:p w14:paraId="4C080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680B0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71A8D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restart"/>
            <w:noWrap w:val="0"/>
            <w:vAlign w:val="center"/>
          </w:tcPr>
          <w:p w14:paraId="2E55B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5.1.2</w:t>
            </w:r>
          </w:p>
        </w:tc>
        <w:tc>
          <w:tcPr>
            <w:tcW w:w="2811" w:type="pct"/>
            <w:noWrap w:val="0"/>
            <w:vAlign w:val="center"/>
          </w:tcPr>
          <w:p w14:paraId="59563D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未经批准变更安全管理、人事管理、热线处理、信息监管等管理人员，每次按A4+B2处罚。</w:t>
            </w:r>
          </w:p>
        </w:tc>
        <w:tc>
          <w:tcPr>
            <w:tcW w:w="503" w:type="pct"/>
            <w:vMerge w:val="restart"/>
            <w:noWrap w:val="0"/>
            <w:vAlign w:val="center"/>
          </w:tcPr>
          <w:p w14:paraId="164A5B3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人事管理部门</w:t>
            </w:r>
          </w:p>
        </w:tc>
        <w:tc>
          <w:tcPr>
            <w:tcW w:w="268" w:type="pct"/>
            <w:noWrap w:val="0"/>
            <w:vAlign w:val="center"/>
          </w:tcPr>
          <w:p w14:paraId="29225CD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CA1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5B8AD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4ACB5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1F493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2B0E9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0C540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未按照要求对新入职人员提供入职体检或入职培训的，每人每次按B1处罚。开展业务技能提升、安全生产和权益保障等方面的培训、阶段性考核测试每少一次，按B1处罚。</w:t>
            </w:r>
          </w:p>
        </w:tc>
        <w:tc>
          <w:tcPr>
            <w:tcW w:w="503" w:type="pct"/>
            <w:vMerge w:val="continue"/>
            <w:noWrap w:val="0"/>
            <w:vAlign w:val="center"/>
          </w:tcPr>
          <w:p w14:paraId="48C84D3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3B315A4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0AB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37" w:type="pct"/>
            <w:vMerge w:val="continue"/>
            <w:noWrap w:val="0"/>
            <w:vAlign w:val="center"/>
          </w:tcPr>
          <w:p w14:paraId="3287F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19A2A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453FE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47ADC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547B09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人员到位率不得低于经巡查管理部门核准的项目人员配置方案的人员配置数，每低1%，按B1处罚。人员到岗率不得低于90%，每低1%，按B1处罚。社会保险和公积金参缴率应按招标文件中的要求执行，参缴率每低1%，按B1处罚。</w:t>
            </w:r>
          </w:p>
        </w:tc>
        <w:tc>
          <w:tcPr>
            <w:tcW w:w="503" w:type="pct"/>
            <w:vMerge w:val="continue"/>
            <w:noWrap w:val="0"/>
            <w:vAlign w:val="center"/>
          </w:tcPr>
          <w:p w14:paraId="68017F4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5418B97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39A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7" w:type="pct"/>
            <w:vMerge w:val="continue"/>
            <w:noWrap w:val="0"/>
            <w:vAlign w:val="center"/>
          </w:tcPr>
          <w:p w14:paraId="1D6E0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53191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3C280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5DA93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28B284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发现虚增人员等数据造假行为，视情节严重程度，每次按(A3-A5)+(B3-B5)处罚。</w:t>
            </w:r>
          </w:p>
        </w:tc>
        <w:tc>
          <w:tcPr>
            <w:tcW w:w="503" w:type="pct"/>
            <w:vMerge w:val="continue"/>
            <w:noWrap w:val="0"/>
            <w:vAlign w:val="center"/>
          </w:tcPr>
          <w:p w14:paraId="64351BA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66BB6DD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824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7" w:type="pct"/>
            <w:vMerge w:val="continue"/>
            <w:noWrap w:val="0"/>
            <w:vAlign w:val="center"/>
          </w:tcPr>
          <w:p w14:paraId="7ABDB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59542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65B39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52EBE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79CC04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职工花名册、人事报表等格式、内容不按要求提交的，每次按B1处罚；职工花名册、人事报表等出现错误的，每次按B2处罚，经中心责令要求整改后，仍不按要求执行或仍有错误的，每次按B3处罚。未按规定时间提交的，每延迟一天，按A1+B1处罚，超过五天及以上，按A2+B2处罚。</w:t>
            </w:r>
          </w:p>
        </w:tc>
        <w:tc>
          <w:tcPr>
            <w:tcW w:w="503" w:type="pct"/>
            <w:vMerge w:val="continue"/>
            <w:noWrap w:val="0"/>
            <w:vAlign w:val="center"/>
          </w:tcPr>
          <w:p w14:paraId="02D2D7A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066B3D1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66D1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1EAFE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32356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restart"/>
            <w:noWrap w:val="0"/>
            <w:vAlign w:val="center"/>
          </w:tcPr>
          <w:p w14:paraId="5D814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5.2权益保障   （4分）</w:t>
            </w:r>
          </w:p>
        </w:tc>
        <w:tc>
          <w:tcPr>
            <w:tcW w:w="353" w:type="pct"/>
            <w:vMerge w:val="restart"/>
            <w:noWrap w:val="0"/>
            <w:vAlign w:val="center"/>
          </w:tcPr>
          <w:p w14:paraId="41876F4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5.2.1</w:t>
            </w:r>
          </w:p>
        </w:tc>
        <w:tc>
          <w:tcPr>
            <w:tcW w:w="2811" w:type="pct"/>
            <w:noWrap w:val="0"/>
            <w:vAlign w:val="center"/>
          </w:tcPr>
          <w:p w14:paraId="1F94BC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发现职工收入待遇低于政府政策文件或招标要求，中心有权责令环卫服务作业单位按规定补发到位，每人次按A5+B2处罚；发现职工收入待遇未按要求及时发放的，每人次按A4+B2处罚，经中心责令仍未整改到位，每延迟一天每人次按B1档，并按A3处罚。</w:t>
            </w:r>
          </w:p>
        </w:tc>
        <w:tc>
          <w:tcPr>
            <w:tcW w:w="503" w:type="pct"/>
            <w:vMerge w:val="restart"/>
            <w:noWrap w:val="0"/>
            <w:vAlign w:val="center"/>
          </w:tcPr>
          <w:p w14:paraId="4CC2F04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人事管理部门</w:t>
            </w:r>
          </w:p>
        </w:tc>
        <w:tc>
          <w:tcPr>
            <w:tcW w:w="268" w:type="pct"/>
            <w:noWrap w:val="0"/>
            <w:vAlign w:val="center"/>
          </w:tcPr>
          <w:p w14:paraId="5DF0159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7A3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3ED39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530AE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2FB33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1CF22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2E79FD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意外保险和工伤保险（或雇主险）未按招标要求执行，每人次按A2+B1处罚。</w:t>
            </w:r>
          </w:p>
        </w:tc>
        <w:tc>
          <w:tcPr>
            <w:tcW w:w="503" w:type="pct"/>
            <w:vMerge w:val="continue"/>
            <w:noWrap w:val="0"/>
            <w:vAlign w:val="center"/>
          </w:tcPr>
          <w:p w14:paraId="06BF082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220E284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12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37" w:type="pct"/>
            <w:vMerge w:val="continue"/>
            <w:noWrap w:val="0"/>
            <w:vAlign w:val="center"/>
          </w:tcPr>
          <w:p w14:paraId="0A2C6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4BC93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5B782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39A81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63BB0B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作业单位未及时响应夏季避高温作业要求，及时发放夏季防暑用品、落实困难职工关爱等工作的，每次按A1处罚。</w:t>
            </w:r>
          </w:p>
        </w:tc>
        <w:tc>
          <w:tcPr>
            <w:tcW w:w="503" w:type="pct"/>
            <w:vMerge w:val="continue"/>
            <w:noWrap w:val="0"/>
            <w:vAlign w:val="center"/>
          </w:tcPr>
          <w:p w14:paraId="15A9938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4EEB2AD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0B1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1955D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1F201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2ACB2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54ADE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5.2.2</w:t>
            </w:r>
          </w:p>
        </w:tc>
        <w:tc>
          <w:tcPr>
            <w:tcW w:w="2811" w:type="pct"/>
            <w:noWrap w:val="0"/>
            <w:vAlign w:val="center"/>
          </w:tcPr>
          <w:p w14:paraId="1D2099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作业单位未积极按照中心要求建立环卫工人工资监管专户的，每次按A3+C2处罚；未在合同签订之日起30个工作日内开立专用账户或未按时与采购单位、开户银行签订资金管理三方协议，每次按A5+B2处罚；未在规定时间内将经环卫工人本人签字确认的工资支付表等审核后的相关资料报送开户银行，每次按A3+C2处罚。</w:t>
            </w:r>
          </w:p>
        </w:tc>
        <w:tc>
          <w:tcPr>
            <w:tcW w:w="503" w:type="pct"/>
            <w:noWrap w:val="0"/>
            <w:vAlign w:val="center"/>
          </w:tcPr>
          <w:p w14:paraId="20182F0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人事管理部门牵头，财务管理部门配合</w:t>
            </w:r>
          </w:p>
        </w:tc>
        <w:tc>
          <w:tcPr>
            <w:tcW w:w="268" w:type="pct"/>
            <w:noWrap w:val="0"/>
            <w:vAlign w:val="center"/>
          </w:tcPr>
          <w:p w14:paraId="0D100C3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21C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2745A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4DF00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38AEB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20EFB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5.2.3</w:t>
            </w:r>
          </w:p>
        </w:tc>
        <w:tc>
          <w:tcPr>
            <w:tcW w:w="2811" w:type="pct"/>
            <w:noWrap w:val="0"/>
            <w:vAlign w:val="center"/>
          </w:tcPr>
          <w:p w14:paraId="0425FE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每人每月加班时间不得超过36小时，每超过一个小时，每人次按A1处罚。</w:t>
            </w:r>
          </w:p>
        </w:tc>
        <w:tc>
          <w:tcPr>
            <w:tcW w:w="503" w:type="pct"/>
            <w:vMerge w:val="restart"/>
            <w:noWrap w:val="0"/>
            <w:vAlign w:val="center"/>
          </w:tcPr>
          <w:p w14:paraId="4632346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人事管理部门</w:t>
            </w:r>
          </w:p>
        </w:tc>
        <w:tc>
          <w:tcPr>
            <w:tcW w:w="268" w:type="pct"/>
            <w:noWrap w:val="0"/>
            <w:vAlign w:val="center"/>
          </w:tcPr>
          <w:p w14:paraId="4505418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656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4675F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01B29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71B19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restart"/>
            <w:noWrap w:val="0"/>
            <w:vAlign w:val="center"/>
          </w:tcPr>
          <w:p w14:paraId="6BA24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5.2.4</w:t>
            </w:r>
          </w:p>
        </w:tc>
        <w:tc>
          <w:tcPr>
            <w:tcW w:w="2811" w:type="pct"/>
            <w:noWrap w:val="0"/>
            <w:vAlign w:val="center"/>
          </w:tcPr>
          <w:p w14:paraId="22525C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上报报表不按要求提供的，每次按B1处罚；人员到位和工资发放情况与上报报表不符，按差错，每人次按A1+B1处罚。经人事管理部门核对发放表、银行对账单与实际人员到位情况不符，按差错，每人次按A1+B1处罚,电话核对工资发放情况与实际不符，按差错，每人次按A1+B1处罚,由环卫工人反映工资发放有异，经核实确认，按差错，每人次按A2+B2处罚。</w:t>
            </w:r>
          </w:p>
        </w:tc>
        <w:tc>
          <w:tcPr>
            <w:tcW w:w="503" w:type="pct"/>
            <w:vMerge w:val="continue"/>
            <w:noWrap w:val="0"/>
            <w:vAlign w:val="center"/>
          </w:tcPr>
          <w:p w14:paraId="4E8A56B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68" w:type="pct"/>
            <w:noWrap w:val="0"/>
            <w:vAlign w:val="center"/>
          </w:tcPr>
          <w:p w14:paraId="54F3AC6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71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6473A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5C4899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6A265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6FC33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64583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工资表未签字及加盖作业单位公章的，每次按B1处罚；银行对账单未加盖公章的，每次按B1处罚；工资表、银行对账单等未按固定时间上交的，每次按B1处罚。</w:t>
            </w:r>
          </w:p>
        </w:tc>
        <w:tc>
          <w:tcPr>
            <w:tcW w:w="503" w:type="pct"/>
            <w:vMerge w:val="continue"/>
            <w:noWrap w:val="0"/>
            <w:vAlign w:val="center"/>
          </w:tcPr>
          <w:p w14:paraId="05BDB4D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68" w:type="pct"/>
            <w:noWrap w:val="0"/>
            <w:vAlign w:val="center"/>
          </w:tcPr>
          <w:p w14:paraId="3D7514A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9D9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51938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2A5C3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3ED2A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399B6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5.2.5</w:t>
            </w:r>
          </w:p>
        </w:tc>
        <w:tc>
          <w:tcPr>
            <w:tcW w:w="2811" w:type="pct"/>
            <w:noWrap w:val="0"/>
            <w:vAlign w:val="center"/>
          </w:tcPr>
          <w:p w14:paraId="74EB1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作业单位未按要求及时响应环卫权益保障工作的，按A2+B2处罚，作业单位制定的权益保障内容未落实，每次按B1处罚，经中心要求整改后未落实，每次按C2处罚。对环卫工人权益保障工作积极响应并取得良好效果的，每次按C2加分。</w:t>
            </w:r>
          </w:p>
        </w:tc>
        <w:tc>
          <w:tcPr>
            <w:tcW w:w="503" w:type="pct"/>
            <w:vMerge w:val="continue"/>
            <w:noWrap w:val="0"/>
            <w:vAlign w:val="center"/>
          </w:tcPr>
          <w:p w14:paraId="3BA6410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68" w:type="pct"/>
            <w:noWrap w:val="0"/>
            <w:vAlign w:val="center"/>
          </w:tcPr>
          <w:p w14:paraId="511E17D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DB0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67C42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70E34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72CDB9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539A2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5.2.6</w:t>
            </w:r>
          </w:p>
        </w:tc>
        <w:tc>
          <w:tcPr>
            <w:tcW w:w="2811" w:type="pct"/>
            <w:noWrap w:val="0"/>
            <w:vAlign w:val="center"/>
          </w:tcPr>
          <w:p w14:paraId="20539A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未按照中心要求制定环卫工人权益保障方案的，按B3处罚；未建立环卫工人奖励机制或推行环卫工人权益保障创新做法缓慢，每次按A2+B2处罚。未定期上报经验做法的，按B1处罚。</w:t>
            </w:r>
          </w:p>
        </w:tc>
        <w:tc>
          <w:tcPr>
            <w:tcW w:w="503" w:type="pct"/>
            <w:vMerge w:val="continue"/>
            <w:noWrap w:val="0"/>
            <w:vAlign w:val="center"/>
          </w:tcPr>
          <w:p w14:paraId="780BE97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68" w:type="pct"/>
            <w:noWrap w:val="0"/>
            <w:vAlign w:val="center"/>
          </w:tcPr>
          <w:p w14:paraId="64CB671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6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 w:type="pct"/>
            <w:vMerge w:val="continue"/>
            <w:noWrap w:val="0"/>
            <w:vAlign w:val="center"/>
          </w:tcPr>
          <w:p w14:paraId="36BC7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6E232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75485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7DD0F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5.2.7</w:t>
            </w:r>
          </w:p>
        </w:tc>
        <w:tc>
          <w:tcPr>
            <w:tcW w:w="2811" w:type="pct"/>
            <w:noWrap w:val="0"/>
            <w:vAlign w:val="center"/>
          </w:tcPr>
          <w:p w14:paraId="0FA782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作业单位未积极处理单位内部职工投诉、信访等情况，每次按B1处罚。相关人员管理及权益保障内容未做好台账整理的，每次按B1处罚。</w:t>
            </w:r>
          </w:p>
        </w:tc>
        <w:tc>
          <w:tcPr>
            <w:tcW w:w="503" w:type="pct"/>
            <w:vMerge w:val="continue"/>
            <w:noWrap w:val="0"/>
            <w:vAlign w:val="center"/>
          </w:tcPr>
          <w:p w14:paraId="5F79A2A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68" w:type="pct"/>
            <w:noWrap w:val="0"/>
            <w:vAlign w:val="center"/>
          </w:tcPr>
          <w:p w14:paraId="23459D2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19AA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37" w:type="pct"/>
            <w:vMerge w:val="continue"/>
            <w:noWrap w:val="0"/>
            <w:vAlign w:val="center"/>
          </w:tcPr>
          <w:p w14:paraId="24F14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2CA64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restart"/>
            <w:noWrap w:val="0"/>
            <w:vAlign w:val="center"/>
          </w:tcPr>
          <w:p w14:paraId="6C768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5.3罚款缴纳、审计、检查问题（2分）</w:t>
            </w:r>
          </w:p>
          <w:p w14:paraId="17B34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78FDE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5.3.1</w:t>
            </w:r>
          </w:p>
        </w:tc>
        <w:tc>
          <w:tcPr>
            <w:tcW w:w="2811" w:type="pct"/>
            <w:noWrap w:val="0"/>
            <w:vAlign w:val="center"/>
          </w:tcPr>
          <w:p w14:paraId="126E8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未按时缴纳罚款，每次按B1处罚。连续2次发生，按A2+B1处罚。</w:t>
            </w:r>
          </w:p>
        </w:tc>
        <w:tc>
          <w:tcPr>
            <w:tcW w:w="503" w:type="pct"/>
            <w:vMerge w:val="restart"/>
            <w:noWrap w:val="0"/>
            <w:vAlign w:val="center"/>
          </w:tcPr>
          <w:p w14:paraId="46CA918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p>
          <w:p w14:paraId="4A43B16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财务管理部门</w:t>
            </w:r>
          </w:p>
          <w:p w14:paraId="1141F2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7B96A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470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37" w:type="pct"/>
            <w:vMerge w:val="continue"/>
            <w:noWrap w:val="0"/>
            <w:vAlign w:val="center"/>
          </w:tcPr>
          <w:p w14:paraId="0F45F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15DCD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088D9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0C421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5.3.2</w:t>
            </w:r>
          </w:p>
        </w:tc>
        <w:tc>
          <w:tcPr>
            <w:tcW w:w="2811" w:type="pct"/>
            <w:noWrap w:val="0"/>
            <w:vAlign w:val="center"/>
          </w:tcPr>
          <w:p w14:paraId="129601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缴纳罚款的金额存在差异，每次按B1处罚。连续2次发生，按A2+B1处罚。</w:t>
            </w:r>
          </w:p>
        </w:tc>
        <w:tc>
          <w:tcPr>
            <w:tcW w:w="503" w:type="pct"/>
            <w:vMerge w:val="continue"/>
            <w:noWrap w:val="0"/>
            <w:vAlign w:val="center"/>
          </w:tcPr>
          <w:p w14:paraId="46B0F83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3D91942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D53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37" w:type="pct"/>
            <w:vMerge w:val="continue"/>
            <w:noWrap w:val="0"/>
            <w:vAlign w:val="center"/>
          </w:tcPr>
          <w:p w14:paraId="1D314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4570C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6EDCD2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restart"/>
            <w:noWrap w:val="0"/>
            <w:vAlign w:val="center"/>
          </w:tcPr>
          <w:p w14:paraId="1AD2B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5.3.3</w:t>
            </w:r>
          </w:p>
          <w:p w14:paraId="2F051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5.3.4</w:t>
            </w:r>
          </w:p>
        </w:tc>
        <w:tc>
          <w:tcPr>
            <w:tcW w:w="2811" w:type="pct"/>
            <w:noWrap w:val="0"/>
            <w:vAlign w:val="center"/>
          </w:tcPr>
          <w:p w14:paraId="55BA2C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未能规范提供招投标资料、未能按照合同履行情况规范做好台账资料的，每次按A1+B1处罚。</w:t>
            </w:r>
          </w:p>
        </w:tc>
        <w:tc>
          <w:tcPr>
            <w:tcW w:w="503" w:type="pct"/>
            <w:vMerge w:val="restart"/>
            <w:noWrap w:val="0"/>
            <w:vAlign w:val="center"/>
          </w:tcPr>
          <w:p w14:paraId="0B72253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财务管理部门牵头，审计管理部门配合</w:t>
            </w:r>
          </w:p>
        </w:tc>
        <w:tc>
          <w:tcPr>
            <w:tcW w:w="268" w:type="pct"/>
            <w:noWrap w:val="0"/>
            <w:vAlign w:val="center"/>
          </w:tcPr>
          <w:p w14:paraId="2D31AD3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44B6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37" w:type="pct"/>
            <w:vMerge w:val="continue"/>
            <w:noWrap w:val="0"/>
            <w:vAlign w:val="center"/>
          </w:tcPr>
          <w:p w14:paraId="60056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1" w:type="pct"/>
            <w:vMerge w:val="continue"/>
            <w:noWrap w:val="0"/>
            <w:vAlign w:val="center"/>
          </w:tcPr>
          <w:p w14:paraId="25FEC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FF0000"/>
                <w:spacing w:val="-4"/>
                <w:kern w:val="0"/>
                <w:sz w:val="22"/>
                <w:szCs w:val="22"/>
                <w:highlight w:val="none"/>
                <w:u w:val="none"/>
                <w:lang w:val="en-US" w:eastAsia="zh-CN" w:bidi="ar"/>
              </w:rPr>
            </w:pPr>
          </w:p>
        </w:tc>
        <w:tc>
          <w:tcPr>
            <w:tcW w:w="364" w:type="pct"/>
            <w:vMerge w:val="continue"/>
            <w:noWrap w:val="0"/>
            <w:vAlign w:val="center"/>
          </w:tcPr>
          <w:p w14:paraId="6E315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vMerge w:val="continue"/>
            <w:noWrap w:val="0"/>
            <w:vAlign w:val="center"/>
          </w:tcPr>
          <w:p w14:paraId="0965C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2811" w:type="pct"/>
            <w:noWrap w:val="0"/>
            <w:vAlign w:val="center"/>
          </w:tcPr>
          <w:p w14:paraId="574CA8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若因企业提供资料不正确，导致中心在内外部审计、巡察等检查中出现审计、检查问题的，每次按A2+B2处罚；若情节严重的，每次按A3+B3处罚； 若在同一招标期内，同一问题或相似问题出现，被第2次内外部审计、检查、巡察发现，或同一招标期内，同一企业出现2次审计、检查问题，按A5+B5处罚。</w:t>
            </w:r>
          </w:p>
        </w:tc>
        <w:tc>
          <w:tcPr>
            <w:tcW w:w="503" w:type="pct"/>
            <w:vMerge w:val="continue"/>
            <w:noWrap w:val="0"/>
            <w:vAlign w:val="center"/>
          </w:tcPr>
          <w:p w14:paraId="5FF01D7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pacing w:val="-4"/>
                <w:kern w:val="2"/>
                <w:sz w:val="22"/>
                <w:szCs w:val="22"/>
                <w:highlight w:val="none"/>
                <w:u w:val="none"/>
                <w:lang w:val="en-US" w:eastAsia="zh-CN" w:bidi="ar-SA"/>
              </w:rPr>
            </w:pPr>
          </w:p>
        </w:tc>
        <w:tc>
          <w:tcPr>
            <w:tcW w:w="268" w:type="pct"/>
            <w:noWrap w:val="0"/>
            <w:vAlign w:val="center"/>
          </w:tcPr>
          <w:p w14:paraId="378170D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2422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37" w:type="pct"/>
            <w:noWrap w:val="0"/>
            <w:vAlign w:val="center"/>
          </w:tcPr>
          <w:p w14:paraId="44050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六、生活垃圾分类作业（5分）</w:t>
            </w:r>
          </w:p>
        </w:tc>
        <w:tc>
          <w:tcPr>
            <w:tcW w:w="361" w:type="pct"/>
            <w:noWrap w:val="0"/>
            <w:vAlign w:val="center"/>
          </w:tcPr>
          <w:p w14:paraId="052BF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分类管理部门</w:t>
            </w:r>
          </w:p>
        </w:tc>
        <w:tc>
          <w:tcPr>
            <w:tcW w:w="364" w:type="pct"/>
            <w:noWrap w:val="0"/>
            <w:vAlign w:val="center"/>
          </w:tcPr>
          <w:p w14:paraId="6F4D8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6.1生活垃圾分类总体要求（5分）</w:t>
            </w:r>
          </w:p>
        </w:tc>
        <w:tc>
          <w:tcPr>
            <w:tcW w:w="353" w:type="pct"/>
            <w:noWrap w:val="0"/>
            <w:vAlign w:val="center"/>
          </w:tcPr>
          <w:p w14:paraId="65820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6.1.1</w:t>
            </w:r>
          </w:p>
        </w:tc>
        <w:tc>
          <w:tcPr>
            <w:tcW w:w="2811" w:type="pct"/>
            <w:noWrap w:val="0"/>
            <w:vAlign w:val="center"/>
          </w:tcPr>
          <w:p w14:paraId="2B7F5A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凡发现违反《浙江省生活垃圾管理条例》和《城镇生活垃圾分类标准》（DB33/T1166-2019）等相关法律、政策要求的违规作业,每次按A5处罚。</w:t>
            </w:r>
          </w:p>
        </w:tc>
        <w:tc>
          <w:tcPr>
            <w:tcW w:w="503" w:type="pct"/>
            <w:noWrap w:val="0"/>
            <w:vAlign w:val="center"/>
          </w:tcPr>
          <w:p w14:paraId="7064BD1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分类管理部门</w:t>
            </w:r>
          </w:p>
        </w:tc>
        <w:tc>
          <w:tcPr>
            <w:tcW w:w="268" w:type="pct"/>
            <w:noWrap w:val="0"/>
            <w:vAlign w:val="center"/>
          </w:tcPr>
          <w:p w14:paraId="159F892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DF1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37" w:type="pct"/>
            <w:vMerge w:val="restart"/>
            <w:noWrap w:val="0"/>
            <w:vAlign w:val="center"/>
          </w:tcPr>
          <w:p w14:paraId="7AA0F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七、方案报表、宣传信息报送    （6分）</w:t>
            </w:r>
          </w:p>
        </w:tc>
        <w:tc>
          <w:tcPr>
            <w:tcW w:w="361" w:type="pct"/>
            <w:vMerge w:val="restart"/>
            <w:noWrap w:val="0"/>
            <w:vAlign w:val="center"/>
          </w:tcPr>
          <w:p w14:paraId="3C1A9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项目牵头管理部门、行政管理部门</w:t>
            </w:r>
          </w:p>
        </w:tc>
        <w:tc>
          <w:tcPr>
            <w:tcW w:w="364" w:type="pct"/>
            <w:vMerge w:val="restart"/>
            <w:noWrap w:val="0"/>
            <w:vAlign w:val="center"/>
          </w:tcPr>
          <w:p w14:paraId="4A47EC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7.1 方案报表报送（3分）</w:t>
            </w:r>
          </w:p>
        </w:tc>
        <w:tc>
          <w:tcPr>
            <w:tcW w:w="353" w:type="pct"/>
            <w:noWrap w:val="0"/>
            <w:vAlign w:val="center"/>
          </w:tcPr>
          <w:p w14:paraId="5E9F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7.1.1</w:t>
            </w:r>
          </w:p>
        </w:tc>
        <w:tc>
          <w:tcPr>
            <w:tcW w:w="2811" w:type="pct"/>
            <w:noWrap w:val="0"/>
            <w:vAlign w:val="center"/>
          </w:tcPr>
          <w:p w14:paraId="4BA2BD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未按要求制定环卫作业方案、规章制度、应急预案等，</w:t>
            </w:r>
            <w:r>
              <w:rPr>
                <w:rFonts w:hint="eastAsia" w:ascii="仿宋" w:hAnsi="仿宋" w:eastAsia="仿宋" w:cs="仿宋"/>
                <w:color w:val="auto"/>
                <w:spacing w:val="-4"/>
                <w:kern w:val="0"/>
                <w:sz w:val="22"/>
                <w:szCs w:val="22"/>
                <w:highlight w:val="none"/>
                <w:lang w:val="en-US" w:eastAsia="zh-CN" w:bidi="ar"/>
              </w:rPr>
              <w:t>每次按</w:t>
            </w:r>
            <w:r>
              <w:rPr>
                <w:rFonts w:hint="eastAsia" w:ascii="仿宋" w:hAnsi="仿宋" w:eastAsia="仿宋" w:cs="仿宋"/>
                <w:color w:val="auto"/>
                <w:spacing w:val="-4"/>
                <w:kern w:val="0"/>
                <w:sz w:val="22"/>
                <w:szCs w:val="22"/>
                <w:highlight w:val="none"/>
                <w:lang w:bidi="ar"/>
              </w:rPr>
              <w:t>B</w:t>
            </w:r>
            <w:r>
              <w:rPr>
                <w:rFonts w:hint="eastAsia" w:ascii="仿宋" w:hAnsi="仿宋" w:eastAsia="仿宋" w:cs="仿宋"/>
                <w:color w:val="auto"/>
                <w:spacing w:val="-4"/>
                <w:kern w:val="0"/>
                <w:sz w:val="22"/>
                <w:szCs w:val="22"/>
                <w:highlight w:val="none"/>
                <w:lang w:val="en-US" w:eastAsia="zh-CN" w:bidi="ar"/>
              </w:rPr>
              <w:t>1处罚</w:t>
            </w:r>
            <w:r>
              <w:rPr>
                <w:rFonts w:hint="eastAsia" w:ascii="仿宋" w:hAnsi="仿宋" w:eastAsia="仿宋" w:cs="仿宋"/>
                <w:i w:val="0"/>
                <w:iCs w:val="0"/>
                <w:color w:val="auto"/>
                <w:spacing w:val="-4"/>
                <w:kern w:val="0"/>
                <w:sz w:val="22"/>
                <w:szCs w:val="22"/>
                <w:highlight w:val="none"/>
                <w:u w:val="none"/>
                <w:lang w:val="en-US" w:eastAsia="zh-CN" w:bidi="ar"/>
              </w:rPr>
              <w:t>；未在规定时间内报送，</w:t>
            </w:r>
            <w:r>
              <w:rPr>
                <w:rFonts w:hint="eastAsia" w:ascii="仿宋" w:hAnsi="仿宋" w:eastAsia="仿宋" w:cs="仿宋"/>
                <w:color w:val="auto"/>
                <w:spacing w:val="-4"/>
                <w:kern w:val="0"/>
                <w:sz w:val="22"/>
                <w:szCs w:val="22"/>
                <w:highlight w:val="none"/>
                <w:lang w:val="en-US" w:eastAsia="zh-CN" w:bidi="ar"/>
              </w:rPr>
              <w:t>每次按</w:t>
            </w:r>
            <w:r>
              <w:rPr>
                <w:rFonts w:hint="eastAsia" w:ascii="仿宋" w:hAnsi="仿宋" w:eastAsia="仿宋" w:cs="仿宋"/>
                <w:color w:val="auto"/>
                <w:spacing w:val="-4"/>
                <w:kern w:val="0"/>
                <w:sz w:val="22"/>
                <w:szCs w:val="22"/>
                <w:highlight w:val="none"/>
                <w:lang w:bidi="ar"/>
              </w:rPr>
              <w:t>B</w:t>
            </w:r>
            <w:r>
              <w:rPr>
                <w:rFonts w:hint="eastAsia" w:ascii="仿宋" w:hAnsi="仿宋" w:eastAsia="仿宋" w:cs="仿宋"/>
                <w:color w:val="auto"/>
                <w:spacing w:val="-4"/>
                <w:kern w:val="0"/>
                <w:sz w:val="22"/>
                <w:szCs w:val="22"/>
                <w:highlight w:val="none"/>
                <w:lang w:val="en-US" w:eastAsia="zh-CN" w:bidi="ar"/>
              </w:rPr>
              <w:t>1处罚</w:t>
            </w:r>
            <w:r>
              <w:rPr>
                <w:rFonts w:hint="eastAsia" w:ascii="仿宋" w:hAnsi="仿宋" w:eastAsia="仿宋" w:cs="仿宋"/>
                <w:color w:val="auto"/>
                <w:spacing w:val="-4"/>
                <w:kern w:val="0"/>
                <w:sz w:val="22"/>
                <w:szCs w:val="22"/>
                <w:highlight w:val="none"/>
                <w:lang w:eastAsia="zh-CN" w:bidi="ar"/>
              </w:rPr>
              <w:t>。</w:t>
            </w:r>
          </w:p>
        </w:tc>
        <w:tc>
          <w:tcPr>
            <w:tcW w:w="503" w:type="pct"/>
            <w:vMerge w:val="restart"/>
            <w:noWrap w:val="0"/>
            <w:vAlign w:val="center"/>
          </w:tcPr>
          <w:p w14:paraId="56D62AB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项目牵头管理部门牵头，其余所有相关考核部门配合</w:t>
            </w:r>
          </w:p>
        </w:tc>
        <w:tc>
          <w:tcPr>
            <w:tcW w:w="268" w:type="pct"/>
            <w:vMerge w:val="restart"/>
            <w:noWrap w:val="0"/>
            <w:vAlign w:val="center"/>
          </w:tcPr>
          <w:p w14:paraId="01A5FDD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69DD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Merge w:val="continue"/>
            <w:noWrap w:val="0"/>
            <w:vAlign w:val="center"/>
          </w:tcPr>
          <w:p w14:paraId="265AB48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4991E9A8">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1E85DC55">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iCs w:val="0"/>
                <w:color w:val="auto"/>
                <w:sz w:val="22"/>
                <w:szCs w:val="22"/>
                <w:highlight w:val="none"/>
                <w:u w:val="none"/>
              </w:rPr>
            </w:pPr>
          </w:p>
        </w:tc>
        <w:tc>
          <w:tcPr>
            <w:tcW w:w="353" w:type="pct"/>
            <w:noWrap w:val="0"/>
            <w:vAlign w:val="center"/>
          </w:tcPr>
          <w:p w14:paraId="1D061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7.1.2</w:t>
            </w:r>
          </w:p>
        </w:tc>
        <w:tc>
          <w:tcPr>
            <w:tcW w:w="2811" w:type="pct"/>
            <w:noWrap w:val="0"/>
            <w:vAlign w:val="center"/>
          </w:tcPr>
          <w:p w14:paraId="045B76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未按要求上报各类业务数据报表，</w:t>
            </w:r>
            <w:r>
              <w:rPr>
                <w:rFonts w:hint="eastAsia" w:ascii="仿宋" w:hAnsi="仿宋" w:eastAsia="仿宋" w:cs="仿宋"/>
                <w:color w:val="auto"/>
                <w:spacing w:val="-4"/>
                <w:kern w:val="0"/>
                <w:sz w:val="22"/>
                <w:szCs w:val="22"/>
                <w:highlight w:val="none"/>
                <w:lang w:val="en-US" w:eastAsia="zh-CN" w:bidi="ar"/>
              </w:rPr>
              <w:t>每次按</w:t>
            </w:r>
            <w:r>
              <w:rPr>
                <w:rFonts w:hint="eastAsia" w:ascii="仿宋" w:hAnsi="仿宋" w:eastAsia="仿宋" w:cs="仿宋"/>
                <w:color w:val="auto"/>
                <w:spacing w:val="-4"/>
                <w:kern w:val="0"/>
                <w:sz w:val="22"/>
                <w:szCs w:val="22"/>
                <w:highlight w:val="none"/>
                <w:lang w:bidi="ar"/>
              </w:rPr>
              <w:t>B</w:t>
            </w:r>
            <w:r>
              <w:rPr>
                <w:rFonts w:hint="eastAsia" w:ascii="仿宋" w:hAnsi="仿宋" w:eastAsia="仿宋" w:cs="仿宋"/>
                <w:color w:val="auto"/>
                <w:spacing w:val="-4"/>
                <w:kern w:val="0"/>
                <w:sz w:val="22"/>
                <w:szCs w:val="22"/>
                <w:highlight w:val="none"/>
                <w:lang w:val="en-US" w:eastAsia="zh-CN" w:bidi="ar"/>
              </w:rPr>
              <w:t>1处罚</w:t>
            </w:r>
            <w:r>
              <w:rPr>
                <w:rFonts w:hint="eastAsia" w:ascii="仿宋" w:hAnsi="仿宋" w:eastAsia="仿宋" w:cs="仿宋"/>
                <w:i w:val="0"/>
                <w:iCs w:val="0"/>
                <w:color w:val="auto"/>
                <w:spacing w:val="-4"/>
                <w:kern w:val="0"/>
                <w:sz w:val="22"/>
                <w:szCs w:val="22"/>
                <w:highlight w:val="none"/>
                <w:u w:val="none"/>
                <w:lang w:val="en-US" w:eastAsia="zh-CN" w:bidi="ar"/>
              </w:rPr>
              <w:t>。发现数据不准确，弄虚作假，</w:t>
            </w:r>
            <w:r>
              <w:rPr>
                <w:rFonts w:hint="eastAsia" w:ascii="仿宋" w:hAnsi="仿宋" w:eastAsia="仿宋" w:cs="仿宋"/>
                <w:color w:val="auto"/>
                <w:spacing w:val="-4"/>
                <w:kern w:val="0"/>
                <w:sz w:val="22"/>
                <w:szCs w:val="22"/>
                <w:highlight w:val="none"/>
                <w:lang w:val="en-US" w:eastAsia="zh-CN" w:bidi="ar"/>
              </w:rPr>
              <w:t>每次</w:t>
            </w:r>
            <w:r>
              <w:rPr>
                <w:rFonts w:hint="eastAsia" w:ascii="仿宋" w:hAnsi="仿宋" w:eastAsia="仿宋" w:cs="仿宋"/>
                <w:color w:val="auto"/>
                <w:spacing w:val="-4"/>
                <w:kern w:val="0"/>
                <w:sz w:val="22"/>
                <w:szCs w:val="22"/>
                <w:highlight w:val="none"/>
                <w:lang w:bidi="ar"/>
              </w:rPr>
              <w:t>按A</w:t>
            </w:r>
            <w:r>
              <w:rPr>
                <w:rFonts w:hint="eastAsia" w:ascii="仿宋" w:hAnsi="仿宋" w:eastAsia="仿宋" w:cs="仿宋"/>
                <w:color w:val="auto"/>
                <w:spacing w:val="-4"/>
                <w:kern w:val="0"/>
                <w:sz w:val="22"/>
                <w:szCs w:val="22"/>
                <w:highlight w:val="none"/>
                <w:lang w:val="en-US" w:eastAsia="zh-CN" w:bidi="ar"/>
              </w:rPr>
              <w:t>3</w:t>
            </w:r>
            <w:r>
              <w:rPr>
                <w:rFonts w:hint="eastAsia" w:ascii="仿宋" w:hAnsi="仿宋" w:eastAsia="仿宋" w:cs="仿宋"/>
                <w:color w:val="auto"/>
                <w:spacing w:val="-4"/>
                <w:kern w:val="0"/>
                <w:sz w:val="22"/>
                <w:szCs w:val="22"/>
                <w:highlight w:val="none"/>
                <w:lang w:bidi="ar"/>
              </w:rPr>
              <w:t>+B</w:t>
            </w:r>
            <w:r>
              <w:rPr>
                <w:rFonts w:hint="eastAsia" w:ascii="仿宋" w:hAnsi="仿宋" w:eastAsia="仿宋" w:cs="仿宋"/>
                <w:color w:val="auto"/>
                <w:spacing w:val="-4"/>
                <w:kern w:val="0"/>
                <w:sz w:val="22"/>
                <w:szCs w:val="22"/>
                <w:highlight w:val="none"/>
                <w:lang w:val="en-US" w:eastAsia="zh-CN" w:bidi="ar"/>
              </w:rPr>
              <w:t>2</w:t>
            </w:r>
            <w:r>
              <w:rPr>
                <w:rFonts w:hint="eastAsia" w:ascii="仿宋" w:hAnsi="仿宋" w:eastAsia="仿宋" w:cs="仿宋"/>
                <w:color w:val="auto"/>
                <w:spacing w:val="-4"/>
                <w:kern w:val="0"/>
                <w:sz w:val="22"/>
                <w:szCs w:val="22"/>
                <w:highlight w:val="none"/>
                <w:lang w:bidi="ar"/>
              </w:rPr>
              <w:t>处罚</w:t>
            </w:r>
            <w:r>
              <w:rPr>
                <w:rFonts w:hint="eastAsia" w:ascii="仿宋" w:hAnsi="仿宋" w:eastAsia="仿宋" w:cs="仿宋"/>
                <w:color w:val="auto"/>
                <w:spacing w:val="-4"/>
                <w:kern w:val="0"/>
                <w:sz w:val="22"/>
                <w:szCs w:val="22"/>
                <w:highlight w:val="none"/>
                <w:lang w:eastAsia="zh-CN" w:bidi="ar"/>
              </w:rPr>
              <w:t>。</w:t>
            </w:r>
          </w:p>
        </w:tc>
        <w:tc>
          <w:tcPr>
            <w:tcW w:w="503" w:type="pct"/>
            <w:vMerge w:val="continue"/>
            <w:noWrap w:val="0"/>
            <w:vAlign w:val="center"/>
          </w:tcPr>
          <w:p w14:paraId="1888634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0CCCB4F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73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37" w:type="pct"/>
            <w:vMerge w:val="continue"/>
            <w:noWrap w:val="0"/>
            <w:vAlign w:val="center"/>
          </w:tcPr>
          <w:p w14:paraId="6E62AAC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B59A6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restart"/>
            <w:noWrap w:val="0"/>
            <w:vAlign w:val="center"/>
          </w:tcPr>
          <w:p w14:paraId="7E349A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7.2宣传信息报送（3分）</w:t>
            </w:r>
          </w:p>
        </w:tc>
        <w:tc>
          <w:tcPr>
            <w:tcW w:w="353" w:type="pct"/>
            <w:noWrap w:val="0"/>
            <w:vAlign w:val="center"/>
          </w:tcPr>
          <w:p w14:paraId="1D92F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7.2.1</w:t>
            </w:r>
          </w:p>
        </w:tc>
        <w:tc>
          <w:tcPr>
            <w:tcW w:w="2811" w:type="pct"/>
            <w:noWrap w:val="0"/>
            <w:vAlign w:val="center"/>
          </w:tcPr>
          <w:p w14:paraId="26EFBE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2"/>
                <w:sz w:val="22"/>
                <w:szCs w:val="22"/>
                <w:highlight w:val="none"/>
                <w:u w:val="none"/>
                <w:lang w:val="en-US" w:eastAsia="zh-CN" w:bidi="ar-SA"/>
              </w:rPr>
            </w:pPr>
            <w:r>
              <w:rPr>
                <w:rFonts w:hint="eastAsia" w:ascii="仿宋" w:hAnsi="仿宋" w:eastAsia="仿宋" w:cs="仿宋"/>
                <w:i w:val="0"/>
                <w:iCs w:val="0"/>
                <w:color w:val="auto"/>
                <w:spacing w:val="-4"/>
                <w:kern w:val="0"/>
                <w:sz w:val="22"/>
                <w:szCs w:val="22"/>
                <w:highlight w:val="none"/>
                <w:u w:val="none"/>
                <w:lang w:val="en-US" w:eastAsia="zh-CN" w:bidi="ar"/>
              </w:rPr>
              <w:t>结合日常信息报送时效，质量、宣传配合度等情况排名并差异化赋分，具体赋分方式按照当年《市市容环卫中心信息宣传工作考核方案》执行；未按要求上报宣传信息，每次 B1 处罚；连续3个月未上报，在原扣分基础上，按A2 处罚。</w:t>
            </w:r>
          </w:p>
        </w:tc>
        <w:tc>
          <w:tcPr>
            <w:tcW w:w="503" w:type="pct"/>
            <w:vMerge w:val="restart"/>
            <w:noWrap w:val="0"/>
            <w:vAlign w:val="center"/>
          </w:tcPr>
          <w:p w14:paraId="351B182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行政管理部门</w:t>
            </w:r>
          </w:p>
        </w:tc>
        <w:tc>
          <w:tcPr>
            <w:tcW w:w="268" w:type="pct"/>
            <w:noWrap w:val="0"/>
            <w:vAlign w:val="center"/>
          </w:tcPr>
          <w:p w14:paraId="19F7FB6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AB0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 w:type="pct"/>
            <w:vMerge w:val="continue"/>
            <w:noWrap w:val="0"/>
            <w:vAlign w:val="center"/>
          </w:tcPr>
          <w:p w14:paraId="192BF7E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04BF66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noWrap w:val="0"/>
            <w:vAlign w:val="center"/>
          </w:tcPr>
          <w:p w14:paraId="60F9C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03ED7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7.2.2</w:t>
            </w:r>
          </w:p>
        </w:tc>
        <w:tc>
          <w:tcPr>
            <w:tcW w:w="2811" w:type="pct"/>
            <w:noWrap w:val="0"/>
            <w:vAlign w:val="center"/>
          </w:tcPr>
          <w:p w14:paraId="7903B3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未经行政管理部门审核或经审核不达标仍擅自发布并出现错误的，每次按B1扣分，因错误造成社会反面影响的，每次按B2扣分。</w:t>
            </w:r>
          </w:p>
        </w:tc>
        <w:tc>
          <w:tcPr>
            <w:tcW w:w="503" w:type="pct"/>
            <w:vMerge w:val="continue"/>
            <w:noWrap w:val="0"/>
            <w:vAlign w:val="center"/>
          </w:tcPr>
          <w:p w14:paraId="3D54042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76800CC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20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37" w:type="pct"/>
            <w:vMerge w:val="continue"/>
            <w:noWrap w:val="0"/>
            <w:vAlign w:val="center"/>
          </w:tcPr>
          <w:p w14:paraId="75C3429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665F2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continue"/>
            <w:noWrap w:val="0"/>
            <w:vAlign w:val="center"/>
          </w:tcPr>
          <w:p w14:paraId="23D1BD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53" w:type="pct"/>
            <w:noWrap w:val="0"/>
            <w:vAlign w:val="center"/>
          </w:tcPr>
          <w:p w14:paraId="21DC4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7.2.3</w:t>
            </w:r>
          </w:p>
        </w:tc>
        <w:tc>
          <w:tcPr>
            <w:tcW w:w="2811" w:type="pct"/>
            <w:noWrap w:val="0"/>
            <w:vAlign w:val="center"/>
          </w:tcPr>
          <w:p w14:paraId="6A8AD9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优秀事迹（指相关业务成果、创新亮点、社会服务等方面在主流媒体进行重点报道）被市级新闻媒体（主流媒体）宣传报道的，每次按B1加分；被省级及以上新闻媒体（主流媒体）宣传报道的，每次按B2加分；其中主流媒体指湖州日报、浙江日报、人民日报等主流纸媒，同等级网站电子媒体按50%计分，同一优秀事迹被多次报道的，按最高等级赋分1次。未经行政管理部门审核或由行政管理部门审核不达标但发出的宣传稿件不予赋分。</w:t>
            </w:r>
          </w:p>
        </w:tc>
        <w:tc>
          <w:tcPr>
            <w:tcW w:w="503" w:type="pct"/>
            <w:vMerge w:val="continue"/>
            <w:noWrap w:val="0"/>
            <w:vAlign w:val="center"/>
          </w:tcPr>
          <w:p w14:paraId="059F077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6EA9292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03A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7" w:type="pct"/>
            <w:vMerge w:val="restart"/>
            <w:noWrap w:val="0"/>
            <w:vAlign w:val="center"/>
          </w:tcPr>
          <w:p w14:paraId="622B7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八、加减分项</w:t>
            </w:r>
          </w:p>
        </w:tc>
        <w:tc>
          <w:tcPr>
            <w:tcW w:w="361" w:type="pct"/>
            <w:vMerge w:val="restart"/>
            <w:noWrap w:val="0"/>
            <w:vAlign w:val="center"/>
          </w:tcPr>
          <w:p w14:paraId="01E76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dstrike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项目牵头管理部门、行政管理部门</w:t>
            </w:r>
          </w:p>
        </w:tc>
        <w:tc>
          <w:tcPr>
            <w:tcW w:w="364" w:type="pct"/>
            <w:vMerge w:val="restart"/>
            <w:noWrap w:val="0"/>
            <w:vAlign w:val="center"/>
          </w:tcPr>
          <w:p w14:paraId="2D8B7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加分项（最高累计5分）</w:t>
            </w:r>
          </w:p>
        </w:tc>
        <w:tc>
          <w:tcPr>
            <w:tcW w:w="353" w:type="pct"/>
            <w:noWrap w:val="0"/>
            <w:vAlign w:val="center"/>
          </w:tcPr>
          <w:p w14:paraId="71DCD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val="0"/>
                <w:dstrike w:val="0"/>
                <w:color w:val="auto"/>
                <w:spacing w:val="-4"/>
                <w:kern w:val="0"/>
                <w:sz w:val="22"/>
                <w:szCs w:val="22"/>
                <w:highlight w:val="none"/>
                <w:u w:val="none"/>
                <w:lang w:val="en-US" w:eastAsia="zh-CN" w:bidi="ar"/>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p w14:paraId="1E5B7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dstrike w:val="0"/>
                <w:color w:val="auto"/>
                <w:sz w:val="22"/>
                <w:szCs w:val="22"/>
                <w:highlight w:val="none"/>
                <w:u w:val="none"/>
                <w:lang w:val="en-US"/>
              </w:rPr>
            </w:pPr>
          </w:p>
        </w:tc>
        <w:tc>
          <w:tcPr>
            <w:tcW w:w="2811" w:type="pct"/>
            <w:noWrap w:val="0"/>
            <w:vAlign w:val="center"/>
          </w:tcPr>
          <w:p w14:paraId="19105C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服务工作获中心领导表扬，每次按0.3加分。获区县级党委政府、部门（含主要领导、分管领导）表扬表彰，每次按0.5加分。获市级党委政府、部门（含主要领导、分管领导）表扬表彰，每次按1加分。获省级党委政府、部门（含主要领导、分管领导）表扬表彰，每次按2加分。</w:t>
            </w:r>
          </w:p>
        </w:tc>
        <w:tc>
          <w:tcPr>
            <w:tcW w:w="503" w:type="pct"/>
            <w:vMerge w:val="restart"/>
            <w:noWrap w:val="0"/>
            <w:vAlign w:val="center"/>
          </w:tcPr>
          <w:p w14:paraId="62F7E79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pacing w:val="-4"/>
                <w:kern w:val="0"/>
                <w:sz w:val="22"/>
                <w:szCs w:val="22"/>
                <w:highlight w:val="none"/>
                <w:u w:val="none"/>
                <w:lang w:val="en-US" w:eastAsia="zh-CN" w:bidi="ar"/>
              </w:rPr>
              <w:t>项目牵头管理部门牵头，其余所有相关考核部门配合</w:t>
            </w:r>
          </w:p>
        </w:tc>
        <w:tc>
          <w:tcPr>
            <w:tcW w:w="268" w:type="pct"/>
            <w:vMerge w:val="restart"/>
            <w:noWrap w:val="0"/>
            <w:vAlign w:val="center"/>
          </w:tcPr>
          <w:p w14:paraId="0543838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597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37" w:type="pct"/>
            <w:vMerge w:val="continue"/>
            <w:noWrap w:val="0"/>
            <w:vAlign w:val="center"/>
          </w:tcPr>
          <w:p w14:paraId="7C34CB3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105553B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2236454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2D63D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dstrike w:val="0"/>
                <w:color w:val="auto"/>
                <w:sz w:val="22"/>
                <w:szCs w:val="22"/>
                <w:highlight w:val="none"/>
                <w:u w:val="none"/>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tc>
        <w:tc>
          <w:tcPr>
            <w:tcW w:w="2811" w:type="pct"/>
            <w:noWrap w:val="0"/>
            <w:vAlign w:val="center"/>
          </w:tcPr>
          <w:p w14:paraId="004167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先进经验被中心复制推广，每次按0.1加分。被市级行业主管部门或行业协会复制推广，每次按0.3加分。被省级及以上行业主管部门或行业协会复制推广，每次按0.5加分。</w:t>
            </w:r>
          </w:p>
        </w:tc>
        <w:tc>
          <w:tcPr>
            <w:tcW w:w="503" w:type="pct"/>
            <w:vMerge w:val="continue"/>
            <w:noWrap w:val="0"/>
            <w:vAlign w:val="center"/>
          </w:tcPr>
          <w:p w14:paraId="3935558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noWrap w:val="0"/>
            <w:vAlign w:val="center"/>
          </w:tcPr>
          <w:p w14:paraId="4FE53FC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30BD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7" w:type="pct"/>
            <w:vMerge w:val="continue"/>
            <w:noWrap w:val="0"/>
            <w:vAlign w:val="center"/>
          </w:tcPr>
          <w:p w14:paraId="5DF8EF2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333B105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4ED876E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noWrap w:val="0"/>
            <w:vAlign w:val="center"/>
          </w:tcPr>
          <w:p w14:paraId="11FD6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val="0"/>
                <w:dstrike w:val="0"/>
                <w:color w:val="auto"/>
                <w:spacing w:val="-4"/>
                <w:kern w:val="0"/>
                <w:sz w:val="22"/>
                <w:szCs w:val="22"/>
                <w:highlight w:val="none"/>
                <w:u w:val="none"/>
                <w:lang w:val="en-US" w:eastAsia="zh-CN" w:bidi="ar"/>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tc>
        <w:tc>
          <w:tcPr>
            <w:tcW w:w="2811" w:type="pct"/>
            <w:noWrap w:val="0"/>
            <w:vAlign w:val="center"/>
          </w:tcPr>
          <w:p w14:paraId="65EA9B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环卫作业服务项目月度考核等次为优秀，年度考核时每次按0.1加分。月度考核得分92分以上的，年度考核时每次按0.3加分，月度考核得分95分以上，年度考核时每次按0.5加分。</w:t>
            </w:r>
          </w:p>
        </w:tc>
        <w:tc>
          <w:tcPr>
            <w:tcW w:w="503" w:type="pct"/>
            <w:vMerge w:val="continue"/>
            <w:noWrap w:val="0"/>
            <w:vAlign w:val="center"/>
          </w:tcPr>
          <w:p w14:paraId="6DA980A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noWrap w:val="0"/>
            <w:vAlign w:val="center"/>
          </w:tcPr>
          <w:p w14:paraId="6962E7F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55B8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37" w:type="pct"/>
            <w:vMerge w:val="continue"/>
            <w:noWrap w:val="0"/>
            <w:vAlign w:val="center"/>
          </w:tcPr>
          <w:p w14:paraId="177C1E9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28863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pacing w:val="-4"/>
                <w:kern w:val="0"/>
                <w:sz w:val="22"/>
                <w:szCs w:val="22"/>
                <w:highlight w:val="none"/>
                <w:u w:val="none"/>
                <w:lang w:val="en-US" w:eastAsia="zh-CN" w:bidi="ar"/>
              </w:rPr>
            </w:pPr>
          </w:p>
        </w:tc>
        <w:tc>
          <w:tcPr>
            <w:tcW w:w="364" w:type="pct"/>
            <w:vMerge w:val="restart"/>
            <w:noWrap w:val="0"/>
            <w:vAlign w:val="center"/>
          </w:tcPr>
          <w:p w14:paraId="6DAAF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扣分项（不受限制）</w:t>
            </w:r>
          </w:p>
        </w:tc>
        <w:tc>
          <w:tcPr>
            <w:tcW w:w="353" w:type="pct"/>
            <w:noWrap w:val="0"/>
            <w:vAlign w:val="center"/>
          </w:tcPr>
          <w:p w14:paraId="7915F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dstrike w:val="0"/>
                <w:color w:val="auto"/>
                <w:sz w:val="22"/>
                <w:szCs w:val="22"/>
                <w:highlight w:val="none"/>
                <w:u w:val="none"/>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tc>
        <w:tc>
          <w:tcPr>
            <w:tcW w:w="2811" w:type="pct"/>
            <w:noWrap w:val="0"/>
            <w:vAlign w:val="center"/>
          </w:tcPr>
          <w:p w14:paraId="6C0F3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环卫作业服务工作遭到中心领导批评，每次按0.3扣分。遭到区县级党委政府、部门（含主要领导、分管领导）批评，每次按0.5扣分。遭到市级党委政府、部门（含主要领导、分管领导）批评，每次按1扣分。遭到省级党委政府、部门（含主要领导、分管领导）批评，每次按2扣分。</w:t>
            </w:r>
          </w:p>
        </w:tc>
        <w:tc>
          <w:tcPr>
            <w:tcW w:w="503" w:type="pct"/>
            <w:vMerge w:val="continue"/>
            <w:noWrap w:val="0"/>
            <w:vAlign w:val="center"/>
          </w:tcPr>
          <w:p w14:paraId="4408262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restart"/>
            <w:noWrap w:val="0"/>
            <w:vAlign w:val="center"/>
          </w:tcPr>
          <w:p w14:paraId="4A37B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1E5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7" w:type="pct"/>
            <w:vMerge w:val="continue"/>
            <w:noWrap w:val="0"/>
            <w:vAlign w:val="center"/>
          </w:tcPr>
          <w:p w14:paraId="18725C9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noWrap w:val="0"/>
            <w:vAlign w:val="center"/>
          </w:tcPr>
          <w:p w14:paraId="7D25758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noWrap w:val="0"/>
            <w:vAlign w:val="center"/>
          </w:tcPr>
          <w:p w14:paraId="318C851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tcBorders>
              <w:bottom w:val="single" w:color="auto" w:sz="4" w:space="0"/>
            </w:tcBorders>
            <w:noWrap w:val="0"/>
            <w:vAlign w:val="center"/>
          </w:tcPr>
          <w:p w14:paraId="685EBA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dstrike w:val="0"/>
                <w:color w:val="auto"/>
                <w:sz w:val="22"/>
                <w:szCs w:val="22"/>
                <w:highlight w:val="none"/>
                <w:u w:val="none"/>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tc>
        <w:tc>
          <w:tcPr>
            <w:tcW w:w="2811" w:type="pct"/>
            <w:tcBorders>
              <w:bottom w:val="single" w:color="auto" w:sz="4" w:space="0"/>
            </w:tcBorders>
            <w:noWrap w:val="0"/>
            <w:vAlign w:val="center"/>
          </w:tcPr>
          <w:p w14:paraId="297E17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pacing w:val="-4"/>
                <w:kern w:val="0"/>
                <w:sz w:val="22"/>
                <w:szCs w:val="22"/>
                <w:highlight w:val="none"/>
                <w:u w:val="none"/>
                <w:lang w:val="en-US" w:eastAsia="zh-CN" w:bidi="ar"/>
              </w:rPr>
              <w:t>因环卫作业服务工作不到位，被局公众号点名、曝光，每次按0.1扣分。被市级新闻媒体点名、曝光，每次按0.3扣分。被省级及以上新闻媒体点名、曝光，每次按0.5扣分。</w:t>
            </w:r>
          </w:p>
        </w:tc>
        <w:tc>
          <w:tcPr>
            <w:tcW w:w="503" w:type="pct"/>
            <w:vMerge w:val="continue"/>
            <w:tcBorders>
              <w:bottom w:val="single" w:color="auto" w:sz="4" w:space="0"/>
            </w:tcBorders>
            <w:noWrap w:val="0"/>
            <w:vAlign w:val="center"/>
          </w:tcPr>
          <w:p w14:paraId="3B76B32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vMerge w:val="continue"/>
            <w:tcBorders>
              <w:bottom w:val="single" w:color="auto" w:sz="4" w:space="0"/>
            </w:tcBorders>
            <w:noWrap w:val="0"/>
            <w:vAlign w:val="center"/>
          </w:tcPr>
          <w:p w14:paraId="2B59C47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7487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7" w:type="pct"/>
            <w:vMerge w:val="continue"/>
            <w:tcBorders>
              <w:bottom w:val="single" w:color="auto" w:sz="4" w:space="0"/>
            </w:tcBorders>
            <w:noWrap w:val="0"/>
            <w:vAlign w:val="center"/>
          </w:tcPr>
          <w:p w14:paraId="243A037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1" w:type="pct"/>
            <w:vMerge w:val="continue"/>
            <w:tcBorders>
              <w:bottom w:val="single" w:color="auto" w:sz="4" w:space="0"/>
            </w:tcBorders>
            <w:noWrap w:val="0"/>
            <w:vAlign w:val="center"/>
          </w:tcPr>
          <w:p w14:paraId="01F7A0A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64" w:type="pct"/>
            <w:vMerge w:val="continue"/>
            <w:tcBorders>
              <w:bottom w:val="single" w:color="auto" w:sz="4" w:space="0"/>
            </w:tcBorders>
            <w:noWrap w:val="0"/>
            <w:vAlign w:val="center"/>
          </w:tcPr>
          <w:p w14:paraId="31B2DCB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353" w:type="pct"/>
            <w:tcBorders>
              <w:bottom w:val="single" w:color="auto" w:sz="4" w:space="0"/>
            </w:tcBorders>
            <w:noWrap w:val="0"/>
            <w:vAlign w:val="center"/>
          </w:tcPr>
          <w:p w14:paraId="218F3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trike w:val="0"/>
                <w:dstrike w:val="0"/>
                <w:color w:val="auto"/>
                <w:spacing w:val="-4"/>
                <w:kern w:val="0"/>
                <w:sz w:val="22"/>
                <w:szCs w:val="22"/>
                <w:highlight w:val="none"/>
                <w:u w:val="none"/>
                <w:lang w:val="en-US" w:eastAsia="zh-CN" w:bidi="ar"/>
              </w:rPr>
            </w:pPr>
            <w:r>
              <w:rPr>
                <w:rFonts w:hint="eastAsia" w:ascii="仿宋" w:hAnsi="仿宋" w:eastAsia="仿宋" w:cs="仿宋"/>
                <w:i w:val="0"/>
                <w:iCs w:val="0"/>
                <w:strike w:val="0"/>
                <w:dstrike w:val="0"/>
                <w:color w:val="auto"/>
                <w:spacing w:val="-4"/>
                <w:kern w:val="0"/>
                <w:sz w:val="22"/>
                <w:szCs w:val="22"/>
                <w:highlight w:val="none"/>
                <w:u w:val="none"/>
                <w:lang w:val="en-US" w:eastAsia="zh-CN" w:bidi="ar"/>
              </w:rPr>
              <w:t>/</w:t>
            </w:r>
          </w:p>
        </w:tc>
        <w:tc>
          <w:tcPr>
            <w:tcW w:w="2811" w:type="pct"/>
            <w:tcBorders>
              <w:bottom w:val="single" w:color="auto" w:sz="4" w:space="0"/>
            </w:tcBorders>
            <w:noWrap w:val="0"/>
            <w:vAlign w:val="center"/>
          </w:tcPr>
          <w:p w14:paraId="723D24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auto"/>
                <w:spacing w:val="-4"/>
                <w:kern w:val="0"/>
                <w:sz w:val="22"/>
                <w:szCs w:val="22"/>
                <w:highlight w:val="none"/>
                <w:u w:val="none"/>
                <w:lang w:val="en-US" w:eastAsia="zh-CN" w:bidi="ar"/>
              </w:rPr>
            </w:pPr>
            <w:r>
              <w:rPr>
                <w:rFonts w:hint="eastAsia" w:ascii="仿宋" w:hAnsi="仿宋" w:eastAsia="仿宋" w:cs="仿宋"/>
                <w:i w:val="0"/>
                <w:iCs w:val="0"/>
                <w:color w:val="auto"/>
                <w:spacing w:val="-4"/>
                <w:kern w:val="0"/>
                <w:sz w:val="22"/>
                <w:szCs w:val="22"/>
                <w:highlight w:val="none"/>
                <w:u w:val="none"/>
                <w:lang w:val="en-US" w:eastAsia="zh-CN" w:bidi="ar"/>
              </w:rPr>
              <w:t>环卫作业服务项目月度考核等次为不合格，年度考核时每次按0.3扣分。</w:t>
            </w:r>
          </w:p>
        </w:tc>
        <w:tc>
          <w:tcPr>
            <w:tcW w:w="503" w:type="pct"/>
            <w:tcBorders>
              <w:bottom w:val="single" w:color="auto" w:sz="4" w:space="0"/>
            </w:tcBorders>
            <w:noWrap w:val="0"/>
            <w:vAlign w:val="center"/>
          </w:tcPr>
          <w:p w14:paraId="4522476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c>
          <w:tcPr>
            <w:tcW w:w="268" w:type="pct"/>
            <w:tcBorders>
              <w:bottom w:val="single" w:color="auto" w:sz="4" w:space="0"/>
            </w:tcBorders>
            <w:noWrap w:val="0"/>
            <w:vAlign w:val="center"/>
          </w:tcPr>
          <w:p w14:paraId="4859A09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highlight w:val="none"/>
                <w:u w:val="none"/>
              </w:rPr>
            </w:pPr>
          </w:p>
        </w:tc>
      </w:tr>
      <w:tr w14:paraId="6BD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7"/>
            <w:tcBorders>
              <w:top w:val="single" w:color="auto" w:sz="4" w:space="0"/>
              <w:left w:val="nil"/>
              <w:bottom w:val="nil"/>
              <w:right w:val="nil"/>
            </w:tcBorders>
            <w:noWrap w:val="0"/>
            <w:vAlign w:val="center"/>
          </w:tcPr>
          <w:p w14:paraId="57FC6796">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b/>
                <w:bCs/>
                <w:i w:val="0"/>
                <w:iCs w:val="0"/>
                <w:color w:val="auto"/>
                <w:spacing w:val="-4"/>
                <w:kern w:val="2"/>
                <w:sz w:val="22"/>
                <w:szCs w:val="22"/>
                <w:highlight w:val="none"/>
                <w:u w:val="none"/>
                <w:lang w:val="en-US" w:eastAsia="zh-CN" w:bidi="ar-SA"/>
              </w:rPr>
            </w:pPr>
            <w:r>
              <w:rPr>
                <w:rFonts w:hint="eastAsia" w:ascii="仿宋" w:hAnsi="仿宋" w:eastAsia="仿宋" w:cs="仿宋"/>
                <w:b w:val="0"/>
                <w:bCs w:val="0"/>
                <w:i w:val="0"/>
                <w:iCs w:val="0"/>
                <w:color w:val="auto"/>
                <w:sz w:val="22"/>
                <w:szCs w:val="22"/>
                <w:highlight w:val="none"/>
                <w:u w:val="none"/>
                <w:lang w:val="en-US" w:eastAsia="zh-CN"/>
              </w:rPr>
              <w:t>注：本项目考核方式采用“各项目专用细则（三选一）+通用细则”组合形式。</w:t>
            </w:r>
          </w:p>
        </w:tc>
      </w:tr>
    </w:tbl>
    <w:p w14:paraId="19E8F63A">
      <w:pPr>
        <w:spacing w:line="540" w:lineRule="exact"/>
        <w:ind w:right="420" w:rightChars="200" w:firstLine="0" w:firstLineChars="0"/>
        <w:rPr>
          <w:rFonts w:hint="eastAsia" w:ascii="仿宋" w:hAnsi="仿宋" w:eastAsia="仿宋" w:cs="仿宋"/>
          <w:color w:val="auto"/>
          <w:highlight w:val="none"/>
        </w:rPr>
      </w:pPr>
    </w:p>
    <w:sectPr>
      <w:pgSz w:w="16838" w:h="11906" w:orient="landscape"/>
      <w:pgMar w:top="1247" w:right="1134" w:bottom="1247" w:left="1032"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0F01">
    <w:pPr>
      <w:pStyle w:val="17"/>
      <w:ind w:right="360"/>
      <w:jc w:val="center"/>
      <w:rPr>
        <w:rFonts w:hint="eastAsia" w:ascii="仿宋" w:hAnsi="仿宋" w:eastAsia="仿宋" w:cs="仿宋"/>
        <w:sz w:val="21"/>
        <w:szCs w:val="21"/>
        <w:lang w:eastAsia="zh-CN"/>
      </w:rPr>
    </w:pPr>
    <w:r>
      <w:rPr>
        <w:rFonts w:hint="eastAsia" w:ascii="仿宋" w:hAnsi="仿宋" w:eastAsia="仿宋" w:cs="仿宋"/>
        <w:sz w:val="21"/>
        <w:szCs w:val="21"/>
        <w:u w:val="single"/>
        <w:shd w:val="pct10" w:color="auto" w:fill="FFFFFF"/>
      </w:rPr>
      <w:t xml:space="preserve">湖州市仁皇工程咨询有限公司             </w:t>
    </w:r>
    <w:r>
      <w:rPr>
        <w:rFonts w:hint="eastAsia" w:ascii="仿宋" w:hAnsi="仿宋" w:eastAsia="仿宋" w:cs="仿宋"/>
        <w:sz w:val="21"/>
        <w:szCs w:val="21"/>
        <w:u w:val="single"/>
        <w:shd w:val="pct10" w:color="auto" w:fill="FFFFFF"/>
        <w:lang w:val="en-US" w:eastAsia="zh-CN"/>
      </w:rPr>
      <w:t xml:space="preserve">      </w:t>
    </w:r>
    <w:r>
      <w:rPr>
        <w:rFonts w:hint="eastAsia" w:ascii="仿宋" w:hAnsi="仿宋" w:eastAsia="仿宋" w:cs="仿宋"/>
        <w:sz w:val="21"/>
        <w:szCs w:val="21"/>
        <w:u w:val="single"/>
        <w:shd w:val="pct10" w:color="auto" w:fill="FFFFFF"/>
      </w:rPr>
      <w:t xml:space="preserve">              </w:t>
    </w:r>
    <w:r>
      <w:rPr>
        <w:rFonts w:hint="eastAsia" w:ascii="仿宋" w:hAnsi="仿宋" w:eastAsia="仿宋" w:cs="仿宋"/>
        <w:sz w:val="21"/>
        <w:szCs w:val="21"/>
        <w:u w:val="single"/>
        <w:shd w:val="pct10" w:color="auto" w:fill="FFFFFF"/>
        <w:lang w:eastAsia="zh-CN"/>
      </w:rPr>
      <w:t>15968175942</w:t>
    </w:r>
  </w:p>
  <w:p w14:paraId="42D7CEA8">
    <w:pPr>
      <w:pStyle w:val="17"/>
      <w:jc w:val="center"/>
      <w:rPr>
        <w:rFonts w:ascii="仿宋" w:hAnsi="仿宋" w:eastAsia="仿宋" w:cs="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434B5">
                          <w:pPr>
                            <w:pStyle w:val="17"/>
                            <w:jc w:val="cente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lang w:val="zh-CN"/>
                            </w:rPr>
                            <w:t>-</w:t>
                          </w:r>
                          <w:r>
                            <w:rPr>
                              <w:rFonts w:ascii="仿宋" w:hAnsi="仿宋" w:eastAsia="仿宋" w:cs="仿宋"/>
                              <w:sz w:val="21"/>
                              <w:szCs w:val="21"/>
                            </w:rPr>
                            <w:t xml:space="preserve"> 9 -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1434B5">
                    <w:pPr>
                      <w:pStyle w:val="17"/>
                      <w:jc w:val="cente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lang w:val="zh-CN"/>
                      </w:rPr>
                      <w:t>-</w:t>
                    </w:r>
                    <w:r>
                      <w:rPr>
                        <w:rFonts w:ascii="仿宋" w:hAnsi="仿宋" w:eastAsia="仿宋" w:cs="仿宋"/>
                        <w:sz w:val="21"/>
                        <w:szCs w:val="21"/>
                      </w:rPr>
                      <w:t xml:space="preserve"> 9 -</w:t>
                    </w:r>
                    <w:r>
                      <w:rPr>
                        <w:rFonts w:hint="eastAsia" w:ascii="仿宋" w:hAnsi="仿宋" w:eastAsia="仿宋" w:cs="仿宋"/>
                        <w:sz w:val="21"/>
                        <w:szCs w:val="21"/>
                      </w:rPr>
                      <w:fldChar w:fldCharType="end"/>
                    </w:r>
                  </w:p>
                </w:txbxContent>
              </v:textbox>
            </v:shape>
          </w:pict>
        </mc:Fallback>
      </mc:AlternateContent>
    </w:r>
  </w:p>
  <w:p w14:paraId="5490249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CE73">
    <w:pPr>
      <w:pStyle w:val="17"/>
      <w:ind w:right="360"/>
      <w:jc w:val="center"/>
      <w:rPr>
        <w:rFonts w:hint="eastAsia" w:ascii="仿宋" w:hAnsi="仿宋" w:eastAsia="仿宋" w:cs="仿宋"/>
        <w:sz w:val="21"/>
        <w:szCs w:val="21"/>
        <w:lang w:eastAsia="zh-CN"/>
      </w:rPr>
    </w:pPr>
    <w:r>
      <w:rPr>
        <w:rFonts w:hint="eastAsia" w:ascii="仿宋" w:hAnsi="仿宋" w:eastAsia="仿宋" w:cs="仿宋"/>
        <w:sz w:val="21"/>
        <w:szCs w:val="21"/>
        <w:u w:val="single"/>
        <w:shd w:val="pct10" w:color="auto" w:fill="FFFFFF"/>
      </w:rPr>
      <w:t xml:space="preserve">湖州市仁皇工程咨询有限公司             </w:t>
    </w:r>
    <w:r>
      <w:rPr>
        <w:rFonts w:hint="eastAsia" w:ascii="仿宋" w:hAnsi="仿宋" w:eastAsia="仿宋" w:cs="仿宋"/>
        <w:sz w:val="21"/>
        <w:szCs w:val="21"/>
        <w:u w:val="single"/>
        <w:shd w:val="pct10" w:color="auto" w:fill="FFFFFF"/>
        <w:lang w:val="en-US" w:eastAsia="zh-CN"/>
      </w:rPr>
      <w:t xml:space="preserve">      </w:t>
    </w:r>
    <w:r>
      <w:rPr>
        <w:rFonts w:hint="eastAsia" w:ascii="仿宋" w:hAnsi="仿宋" w:eastAsia="仿宋" w:cs="仿宋"/>
        <w:sz w:val="21"/>
        <w:szCs w:val="21"/>
        <w:u w:val="single"/>
        <w:shd w:val="pct10" w:color="auto" w:fill="FFFFFF"/>
      </w:rPr>
      <w:t xml:space="preserve">              </w:t>
    </w:r>
    <w:r>
      <w:rPr>
        <w:rFonts w:hint="eastAsia" w:ascii="仿宋" w:hAnsi="仿宋" w:eastAsia="仿宋" w:cs="仿宋"/>
        <w:sz w:val="21"/>
        <w:szCs w:val="21"/>
        <w:u w:val="single"/>
        <w:shd w:val="pct10" w:color="auto" w:fill="FFFFFF"/>
        <w:lang w:eastAsia="zh-CN"/>
      </w:rPr>
      <w:t>15968175942</w:t>
    </w:r>
  </w:p>
  <w:p w14:paraId="12AE0262">
    <w:pPr>
      <w:pStyle w:val="17"/>
      <w:jc w:val="center"/>
      <w:rPr>
        <w:rFonts w:ascii="仿宋" w:hAnsi="仿宋" w:eastAsia="仿宋" w:cs="仿宋"/>
        <w:sz w:val="21"/>
        <w:szCs w:val="21"/>
      </w:rPr>
    </w:pPr>
  </w:p>
  <w:p w14:paraId="42078D6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2AAE">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97E2">
    <w:pPr>
      <w:pStyle w:val="17"/>
      <w:jc w:val="both"/>
      <w:rPr>
        <w:rFonts w:ascii="仿宋" w:hAnsi="仿宋" w:eastAsia="仿宋" w:cs="仿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2DDA">
                          <w:pPr>
                            <w:pStyle w:val="17"/>
                            <w:jc w:val="cente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lang w:val="zh-CN"/>
                            </w:rPr>
                            <w:t>-</w:t>
                          </w:r>
                          <w:r>
                            <w:rPr>
                              <w:rFonts w:ascii="仿宋" w:hAnsi="仿宋" w:eastAsia="仿宋" w:cs="仿宋"/>
                              <w:sz w:val="21"/>
                              <w:szCs w:val="21"/>
                            </w:rPr>
                            <w:t xml:space="preserve"> 9 -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152DDA">
                    <w:pPr>
                      <w:pStyle w:val="17"/>
                      <w:jc w:val="cente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lang w:val="zh-CN"/>
                      </w:rPr>
                      <w:t>-</w:t>
                    </w:r>
                    <w:r>
                      <w:rPr>
                        <w:rFonts w:ascii="仿宋" w:hAnsi="仿宋" w:eastAsia="仿宋" w:cs="仿宋"/>
                        <w:sz w:val="21"/>
                        <w:szCs w:val="21"/>
                      </w:rPr>
                      <w:t xml:space="preserve"> 9 -</w:t>
                    </w:r>
                    <w:r>
                      <w:rPr>
                        <w:rFonts w:hint="eastAsia" w:ascii="仿宋" w:hAnsi="仿宋" w:eastAsia="仿宋" w:cs="仿宋"/>
                        <w:sz w:val="21"/>
                        <w:szCs w:val="21"/>
                      </w:rPr>
                      <w:fldChar w:fldCharType="end"/>
                    </w:r>
                  </w:p>
                </w:txbxContent>
              </v:textbox>
            </v:shape>
          </w:pict>
        </mc:Fallback>
      </mc:AlternateContent>
    </w:r>
  </w:p>
  <w:p w14:paraId="3471D0DE">
    <w:pPr>
      <w:pStyle w:val="17"/>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6605">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0135">
    <w:pPr>
      <w:pStyle w:val="17"/>
      <w:spacing w:line="440" w:lineRule="exact"/>
      <w:ind w:firstLine="210" w:firstLineChars="100"/>
      <w:rPr>
        <w:rFonts w:hint="eastAsia" w:ascii="仿宋" w:hAnsi="仿宋" w:eastAsia="仿宋" w:cs="仿宋"/>
        <w:sz w:val="21"/>
        <w:szCs w:val="21"/>
      </w:rPr>
    </w:pPr>
    <w:r>
      <w:rPr>
        <w:rFonts w:hint="eastAsia" w:ascii="仿宋" w:hAnsi="仿宋" w:eastAsia="仿宋" w:cs="仿宋"/>
        <w:sz w:val="21"/>
        <w:szCs w:val="21"/>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E97A12">
                          <w:pPr>
                            <w:pStyle w:val="17"/>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4E97A12">
                    <w:pPr>
                      <w:pStyle w:val="17"/>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ascii="仿宋" w:hAnsi="仿宋" w:eastAsia="仿宋" w:cs="仿宋"/>
        <w:sz w:val="21"/>
        <w:szCs w:val="21"/>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0417B01">
                          <w:pPr>
                            <w:pStyle w:val="1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10417B01">
                    <w:pPr>
                      <w:pStyle w:val="17"/>
                      <w:rPr>
                        <w:rFonts w:hint="eastAsia"/>
                      </w:rPr>
                    </w:pPr>
                  </w:p>
                </w:txbxContent>
              </v:textbox>
            </v:shape>
          </w:pict>
        </mc:Fallback>
      </mc:AlternateContent>
    </w:r>
    <w:r>
      <w:rPr>
        <w:rFonts w:hint="eastAsia" w:ascii="仿宋" w:hAnsi="仿宋" w:eastAsia="仿宋" w:cs="仿宋"/>
        <w:sz w:val="21"/>
        <w:szCs w:val="21"/>
        <w:lang w:val="en-US" w:eastAsia="zh-CN"/>
      </w:rPr>
      <w:t>湖州市仁皇工程咨询有限公司</w:t>
    </w:r>
    <w:r>
      <w:rPr>
        <w:rFonts w:hint="eastAsia" w:ascii="仿宋" w:hAnsi="仿宋" w:eastAsia="仿宋" w:cs="仿宋"/>
        <w:sz w:val="21"/>
        <w:szCs w:val="21"/>
      </w:rPr>
      <w:t xml:space="preserve">                           </w:t>
    </w:r>
    <w:r>
      <w:rPr>
        <w:rFonts w:hint="eastAsia" w:ascii="仿宋" w:hAnsi="仿宋" w:eastAsia="仿宋" w:cs="仿宋"/>
        <w:sz w:val="21"/>
        <w:szCs w:val="21"/>
        <w:lang w:eastAsia="zh-CN"/>
      </w:rPr>
      <w:t xml:space="preserve">            </w:t>
    </w:r>
    <w:r>
      <w:rPr>
        <w:rFonts w:hint="eastAsia" w:ascii="仿宋" w:hAnsi="仿宋" w:eastAsia="仿宋" w:cs="仿宋"/>
        <w:sz w:val="21"/>
        <w:szCs w:val="21"/>
      </w:rPr>
      <w:t>电话：</w:t>
    </w:r>
    <w:r>
      <w:rPr>
        <w:rFonts w:hint="eastAsia" w:ascii="仿宋" w:hAnsi="仿宋" w:eastAsia="仿宋" w:cs="仿宋"/>
        <w:sz w:val="21"/>
        <w:szCs w:val="21"/>
        <w:lang w:eastAsia="zh-CN"/>
      </w:rPr>
      <w:t>15968175942</w:t>
    </w:r>
    <w:r>
      <w:rPr>
        <w:rFonts w:hint="eastAsia" w:ascii="仿宋" w:hAnsi="仿宋" w:eastAsia="仿宋" w:cs="仿宋"/>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A9D40">
    <w:pPr>
      <w:pStyle w:val="17"/>
      <w:spacing w:line="440" w:lineRule="exact"/>
      <w:ind w:firstLine="210" w:firstLineChars="100"/>
      <w:rPr>
        <w:rFonts w:hint="eastAsia" w:ascii="仿宋" w:hAnsi="仿宋" w:eastAsia="仿宋" w:cs="仿宋"/>
        <w:sz w:val="21"/>
        <w:szCs w:val="21"/>
      </w:rPr>
    </w:pPr>
    <w:r>
      <w:rPr>
        <w:rFonts w:hint="eastAsia" w:ascii="仿宋" w:hAnsi="仿宋" w:eastAsia="仿宋" w:cs="仿宋"/>
        <w:sz w:val="21"/>
        <w:szCs w:val="21"/>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4F807">
                          <w:pPr>
                            <w:pStyle w:val="17"/>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06E4F807">
                    <w:pPr>
                      <w:pStyle w:val="17"/>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ascii="仿宋" w:hAnsi="仿宋" w:eastAsia="仿宋" w:cs="仿宋"/>
        <w:sz w:val="21"/>
        <w:szCs w:val="21"/>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38AFBDF">
                          <w:pPr>
                            <w:pStyle w:val="1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1JAOIzgEAAJcDAAAOAAAAAAAAAAEAIAAAAB8BAABkcnMv&#10;ZTJvRG9jLnhtbFBLBQYAAAAABgAGAFkBAABfBQAAAAA=&#10;">
              <v:fill on="f" focussize="0,0"/>
              <v:stroke on="f"/>
              <v:imagedata o:title=""/>
              <o:lock v:ext="edit" aspectratio="f"/>
              <v:textbox inset="0mm,0mm,0mm,0mm" style="mso-fit-shape-to-text:t;">
                <w:txbxContent>
                  <w:p w14:paraId="438AFBDF">
                    <w:pPr>
                      <w:pStyle w:val="17"/>
                      <w:rPr>
                        <w:rFonts w:hint="eastAsia"/>
                      </w:rPr>
                    </w:pPr>
                  </w:p>
                </w:txbxContent>
              </v:textbox>
            </v:shape>
          </w:pict>
        </mc:Fallback>
      </mc:AlternateContent>
    </w:r>
    <w:r>
      <w:rPr>
        <w:rFonts w:hint="eastAsia" w:ascii="仿宋" w:hAnsi="仿宋" w:eastAsia="仿宋" w:cs="仿宋"/>
        <w:sz w:val="21"/>
        <w:szCs w:val="21"/>
        <w:lang w:val="en-US" w:eastAsia="zh-CN"/>
      </w:rPr>
      <w:t>湖州市仁皇工程咨询有限公司</w:t>
    </w:r>
    <w:r>
      <w:rPr>
        <w:rFonts w:hint="eastAsia" w:ascii="仿宋" w:hAnsi="仿宋" w:eastAsia="仿宋" w:cs="仿宋"/>
        <w:sz w:val="21"/>
        <w:szCs w:val="21"/>
      </w:rPr>
      <w:t xml:space="preserve">                           </w:t>
    </w:r>
    <w:r>
      <w:rPr>
        <w:rFonts w:hint="eastAsia" w:ascii="仿宋" w:hAnsi="仿宋" w:eastAsia="仿宋" w:cs="仿宋"/>
        <w:sz w:val="21"/>
        <w:szCs w:val="21"/>
        <w:lang w:eastAsia="zh-CN"/>
      </w:rPr>
      <w:t xml:space="preserve">            </w:t>
    </w:r>
    <w:r>
      <w:rPr>
        <w:rFonts w:hint="eastAsia" w:ascii="仿宋" w:hAnsi="仿宋" w:eastAsia="仿宋" w:cs="仿宋"/>
        <w:sz w:val="21"/>
        <w:szCs w:val="21"/>
      </w:rPr>
      <w:t>电话：</w:t>
    </w:r>
    <w:r>
      <w:rPr>
        <w:rFonts w:hint="eastAsia" w:ascii="仿宋" w:hAnsi="仿宋" w:eastAsia="仿宋" w:cs="仿宋"/>
        <w:sz w:val="21"/>
        <w:szCs w:val="21"/>
        <w:lang w:eastAsia="zh-CN"/>
      </w:rPr>
      <w:t>15968175942</w:t>
    </w:r>
    <w:r>
      <w:rPr>
        <w:rFonts w:hint="eastAsia" w:ascii="仿宋" w:hAnsi="仿宋" w:eastAsia="仿宋" w:cs="仿宋"/>
        <w:sz w:val="21"/>
        <w:szCs w:val="21"/>
      </w:rPr>
      <w:t xml:space="preserve">    </w:t>
    </w:r>
  </w:p>
  <w:p w14:paraId="07B70A1E">
    <w:pPr>
      <w:pStyle w:val="17"/>
      <w:rPr>
        <w:rFonts w:hint="default"/>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4148">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A1554">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61A155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F201">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31DD3C">
                          <w:pPr>
                            <w:pStyle w:val="17"/>
                            <w:rPr>
                              <w:rFonts w:hint="default" w:eastAsia="仿宋_GB2312"/>
                              <w:lang w:val="en-US" w:eastAsia="zh-CN"/>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531DD3C">
                    <w:pPr>
                      <w:pStyle w:val="17"/>
                      <w:rPr>
                        <w:rFonts w:hint="default" w:eastAsia="仿宋_GB2312"/>
                        <w:lang w:val="en-US"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6E328F96">
      <w:pPr>
        <w:pStyle w:val="20"/>
        <w:snapToGrid w:val="0"/>
        <w:rPr>
          <w:rFonts w:hint="eastAsia" w:ascii="仿宋" w:hAnsi="仿宋" w:eastAsia="仿宋" w:cs="仿宋"/>
          <w:sz w:val="21"/>
          <w:szCs w:val="32"/>
          <w:highlight w:val="none"/>
          <w:lang w:val="en-US" w:eastAsia="zh-CN"/>
        </w:rPr>
      </w:pPr>
      <w:r>
        <w:rPr>
          <w:rStyle w:val="32"/>
          <w:rFonts w:hint="eastAsia" w:ascii="仿宋" w:hAnsi="仿宋" w:eastAsia="仿宋" w:cs="仿宋"/>
          <w:sz w:val="21"/>
          <w:szCs w:val="32"/>
          <w:highlight w:val="none"/>
        </w:rPr>
        <w:t>[</w:t>
      </w:r>
      <w:r>
        <w:rPr>
          <w:rStyle w:val="32"/>
          <w:rFonts w:hint="eastAsia" w:ascii="仿宋" w:hAnsi="仿宋" w:eastAsia="仿宋" w:cs="仿宋"/>
          <w:sz w:val="21"/>
          <w:szCs w:val="32"/>
          <w:highlight w:val="none"/>
        </w:rPr>
        <w:footnoteRef/>
      </w:r>
      <w:r>
        <w:rPr>
          <w:rStyle w:val="32"/>
          <w:rFonts w:hint="eastAsia" w:ascii="仿宋" w:hAnsi="仿宋" w:eastAsia="仿宋" w:cs="仿宋"/>
          <w:sz w:val="21"/>
          <w:szCs w:val="32"/>
          <w:highlight w:val="none"/>
        </w:rPr>
        <w:t>]</w:t>
      </w:r>
      <w:r>
        <w:rPr>
          <w:rFonts w:hint="eastAsia" w:ascii="仿宋" w:hAnsi="仿宋" w:eastAsia="仿宋" w:cs="仿宋"/>
          <w:sz w:val="21"/>
          <w:szCs w:val="32"/>
          <w:highlight w:val="none"/>
        </w:rPr>
        <w:t xml:space="preserve"> </w:t>
      </w:r>
      <w:r>
        <w:rPr>
          <w:rFonts w:hint="eastAsia" w:ascii="仿宋" w:hAnsi="仿宋" w:eastAsia="仿宋" w:cs="仿宋"/>
          <w:sz w:val="21"/>
          <w:szCs w:val="32"/>
          <w:highlight w:val="none"/>
          <w:lang w:val="en-US" w:eastAsia="zh-CN"/>
        </w:rPr>
        <w:t>数据偏差率=系统收运点位（主体）重量-现场收运点位（主体）净重/现场收运点位（主体）净重</w:t>
      </w:r>
    </w:p>
  </w:footnote>
  <w:footnote w:id="1">
    <w:p w14:paraId="5671FB19">
      <w:pPr>
        <w:pStyle w:val="20"/>
        <w:snapToGrid w:val="0"/>
        <w:rPr>
          <w:rFonts w:hint="eastAsia" w:ascii="仿宋" w:hAnsi="仿宋" w:eastAsia="仿宋" w:cs="仿宋"/>
          <w:color w:val="auto"/>
          <w:sz w:val="21"/>
          <w:szCs w:val="32"/>
          <w:highlight w:val="none"/>
          <w:lang w:val="en-US" w:eastAsia="zh-CN"/>
        </w:rPr>
      </w:pPr>
      <w:r>
        <w:rPr>
          <w:rStyle w:val="32"/>
          <w:rFonts w:hint="eastAsia" w:ascii="仿宋" w:hAnsi="仿宋" w:eastAsia="仿宋" w:cs="仿宋"/>
          <w:color w:val="auto"/>
          <w:sz w:val="21"/>
          <w:szCs w:val="32"/>
          <w:highlight w:val="none"/>
        </w:rPr>
        <w:t>[</w:t>
      </w:r>
      <w:r>
        <w:rPr>
          <w:rStyle w:val="32"/>
          <w:rFonts w:hint="eastAsia" w:ascii="仿宋" w:hAnsi="仿宋" w:eastAsia="仿宋" w:cs="仿宋"/>
          <w:color w:val="auto"/>
          <w:sz w:val="21"/>
          <w:szCs w:val="32"/>
          <w:highlight w:val="none"/>
        </w:rPr>
        <w:footnoteRef/>
      </w:r>
      <w:r>
        <w:rPr>
          <w:rStyle w:val="32"/>
          <w:rFonts w:hint="eastAsia" w:ascii="仿宋" w:hAnsi="仿宋" w:eastAsia="仿宋" w:cs="仿宋"/>
          <w:color w:val="auto"/>
          <w:sz w:val="21"/>
          <w:szCs w:val="32"/>
          <w:highlight w:val="none"/>
        </w:rPr>
        <w:t>]</w:t>
      </w:r>
      <w:r>
        <w:rPr>
          <w:rFonts w:hint="eastAsia" w:ascii="仿宋" w:hAnsi="仿宋" w:eastAsia="仿宋" w:cs="仿宋"/>
          <w:color w:val="auto"/>
          <w:sz w:val="21"/>
          <w:szCs w:val="32"/>
          <w:highlight w:val="none"/>
        </w:rPr>
        <w:t xml:space="preserve"> </w:t>
      </w:r>
      <w:r>
        <w:rPr>
          <w:rFonts w:hint="eastAsia" w:ascii="仿宋" w:hAnsi="仿宋" w:eastAsia="仿宋" w:cs="仿宋"/>
          <w:color w:val="auto"/>
          <w:sz w:val="21"/>
          <w:szCs w:val="32"/>
          <w:highlight w:val="none"/>
          <w:lang w:val="en-US" w:eastAsia="zh-CN"/>
        </w:rPr>
        <w:t>一般问题是指影响单一车辆/点位/人员/路段、非核心功能</w:t>
      </w:r>
    </w:p>
  </w:footnote>
  <w:footnote w:id="2">
    <w:p w14:paraId="51FEED25">
      <w:pPr>
        <w:pStyle w:val="20"/>
        <w:snapToGrid w:val="0"/>
        <w:rPr>
          <w:rFonts w:hint="eastAsia" w:ascii="仿宋" w:hAnsi="仿宋" w:eastAsia="仿宋" w:cs="仿宋"/>
          <w:color w:val="FF0000"/>
          <w:sz w:val="21"/>
          <w:szCs w:val="32"/>
          <w:highlight w:val="none"/>
          <w:lang w:val="en-US" w:eastAsia="zh-CN"/>
        </w:rPr>
      </w:pPr>
      <w:r>
        <w:rPr>
          <w:rStyle w:val="32"/>
          <w:rFonts w:hint="eastAsia" w:ascii="仿宋" w:hAnsi="仿宋" w:eastAsia="仿宋" w:cs="仿宋"/>
          <w:color w:val="auto"/>
          <w:sz w:val="21"/>
          <w:szCs w:val="32"/>
          <w:highlight w:val="none"/>
        </w:rPr>
        <w:t>[</w:t>
      </w:r>
      <w:r>
        <w:rPr>
          <w:rStyle w:val="32"/>
          <w:rFonts w:hint="eastAsia" w:ascii="仿宋" w:hAnsi="仿宋" w:eastAsia="仿宋" w:cs="仿宋"/>
          <w:color w:val="auto"/>
          <w:sz w:val="21"/>
          <w:szCs w:val="32"/>
          <w:highlight w:val="none"/>
        </w:rPr>
        <w:footnoteRef/>
      </w:r>
      <w:r>
        <w:rPr>
          <w:rStyle w:val="32"/>
          <w:rFonts w:hint="eastAsia" w:ascii="仿宋" w:hAnsi="仿宋" w:eastAsia="仿宋" w:cs="仿宋"/>
          <w:color w:val="auto"/>
          <w:sz w:val="21"/>
          <w:szCs w:val="32"/>
          <w:highlight w:val="none"/>
        </w:rPr>
        <w:t>]</w:t>
      </w:r>
      <w:r>
        <w:rPr>
          <w:rFonts w:hint="eastAsia" w:ascii="仿宋" w:hAnsi="仿宋" w:eastAsia="仿宋" w:cs="仿宋"/>
          <w:color w:val="auto"/>
          <w:sz w:val="21"/>
          <w:szCs w:val="32"/>
          <w:highlight w:val="none"/>
        </w:rPr>
        <w:t xml:space="preserve"> </w:t>
      </w:r>
      <w:r>
        <w:rPr>
          <w:rFonts w:hint="eastAsia" w:ascii="仿宋" w:hAnsi="仿宋" w:eastAsia="仿宋" w:cs="仿宋"/>
          <w:color w:val="auto"/>
          <w:sz w:val="21"/>
          <w:szCs w:val="32"/>
          <w:highlight w:val="none"/>
          <w:lang w:val="en-US" w:eastAsia="zh-CN"/>
        </w:rPr>
        <w:t>重大问题指影响区域作业、核心功能、数据大面积异常的</w:t>
      </w:r>
    </w:p>
  </w:footnote>
  <w:footnote w:id="3">
    <w:p w14:paraId="3545A3B7">
      <w:pPr>
        <w:pStyle w:val="20"/>
        <w:snapToGrid w:val="0"/>
        <w:rPr>
          <w:rFonts w:hint="eastAsia" w:ascii="仿宋" w:hAnsi="仿宋" w:eastAsia="仿宋" w:cs="仿宋"/>
          <w:sz w:val="21"/>
          <w:szCs w:val="32"/>
          <w:lang w:val="en-US" w:eastAsia="zh-CN"/>
        </w:rPr>
      </w:pPr>
      <w:r>
        <w:rPr>
          <w:rStyle w:val="32"/>
          <w:rFonts w:hint="eastAsia" w:ascii="仿宋" w:hAnsi="仿宋" w:eastAsia="仿宋" w:cs="仿宋"/>
          <w:sz w:val="21"/>
          <w:szCs w:val="32"/>
        </w:rPr>
        <w:t>[</w:t>
      </w:r>
      <w:r>
        <w:rPr>
          <w:rStyle w:val="32"/>
          <w:rFonts w:hint="eastAsia" w:ascii="仿宋" w:hAnsi="仿宋" w:eastAsia="仿宋" w:cs="仿宋"/>
          <w:sz w:val="21"/>
          <w:szCs w:val="32"/>
        </w:rPr>
        <w:footnoteRef/>
      </w:r>
      <w:r>
        <w:rPr>
          <w:rStyle w:val="32"/>
          <w:rFonts w:hint="eastAsia" w:ascii="仿宋" w:hAnsi="仿宋" w:eastAsia="仿宋" w:cs="仿宋"/>
          <w:sz w:val="21"/>
          <w:szCs w:val="32"/>
        </w:rPr>
        <w:t>]</w:t>
      </w:r>
      <w:r>
        <w:rPr>
          <w:rFonts w:hint="eastAsia" w:ascii="仿宋" w:hAnsi="仿宋" w:eastAsia="仿宋" w:cs="仿宋"/>
          <w:sz w:val="21"/>
          <w:szCs w:val="32"/>
        </w:rPr>
        <w:t xml:space="preserve"> </w:t>
      </w:r>
      <w:r>
        <w:rPr>
          <w:rFonts w:hint="eastAsia" w:ascii="仿宋" w:hAnsi="仿宋" w:eastAsia="仿宋" w:cs="仿宋"/>
          <w:sz w:val="21"/>
          <w:szCs w:val="32"/>
          <w:lang w:val="en-US" w:eastAsia="zh-CN"/>
        </w:rPr>
        <w:t>信息系统月活跃率=当月实际登录次数/当月天数</w:t>
      </w:r>
    </w:p>
  </w:footnote>
  <w:footnote w:id="4">
    <w:p w14:paraId="71B5A7D6">
      <w:pPr>
        <w:pStyle w:val="20"/>
        <w:snapToGrid w:val="0"/>
        <w:rPr>
          <w:rFonts w:hint="eastAsia" w:ascii="仿宋" w:hAnsi="仿宋" w:eastAsia="仿宋" w:cs="仿宋"/>
          <w:sz w:val="21"/>
          <w:szCs w:val="32"/>
        </w:rPr>
      </w:pPr>
      <w:r>
        <w:rPr>
          <w:rStyle w:val="32"/>
          <w:rFonts w:hint="eastAsia" w:ascii="仿宋" w:hAnsi="仿宋" w:eastAsia="仿宋" w:cs="仿宋"/>
          <w:sz w:val="21"/>
          <w:szCs w:val="32"/>
        </w:rPr>
        <w:t>[</w:t>
      </w:r>
      <w:r>
        <w:rPr>
          <w:rStyle w:val="32"/>
          <w:rFonts w:hint="eastAsia" w:ascii="仿宋" w:hAnsi="仿宋" w:eastAsia="仿宋" w:cs="仿宋"/>
          <w:sz w:val="21"/>
          <w:szCs w:val="32"/>
        </w:rPr>
        <w:footnoteRef/>
      </w:r>
      <w:r>
        <w:rPr>
          <w:rStyle w:val="32"/>
          <w:rFonts w:hint="eastAsia" w:ascii="仿宋" w:hAnsi="仿宋" w:eastAsia="仿宋" w:cs="仿宋"/>
          <w:sz w:val="21"/>
          <w:szCs w:val="32"/>
        </w:rPr>
        <w:t>]</w:t>
      </w:r>
      <w:r>
        <w:rPr>
          <w:rFonts w:hint="eastAsia" w:ascii="仿宋" w:hAnsi="仿宋" w:eastAsia="仿宋" w:cs="仿宋"/>
          <w:sz w:val="21"/>
          <w:szCs w:val="32"/>
        </w:rPr>
        <w:t xml:space="preserve"> </w:t>
      </w:r>
      <w:r>
        <w:rPr>
          <w:rFonts w:hint="eastAsia" w:ascii="仿宋" w:hAnsi="仿宋" w:eastAsia="仿宋" w:cs="仿宋"/>
          <w:sz w:val="21"/>
          <w:szCs w:val="32"/>
          <w:lang w:val="en-US" w:eastAsia="zh-CN"/>
        </w:rPr>
        <w:t>首问责任制：首位受理的工作人员即为首问负责人，对投诉件跟踪处理结果并做好记录</w:t>
      </w:r>
    </w:p>
  </w:footnote>
  <w:footnote w:id="5">
    <w:p w14:paraId="4FA0FE64">
      <w:pPr>
        <w:pStyle w:val="20"/>
        <w:snapToGrid w:val="0"/>
        <w:rPr>
          <w:rFonts w:hint="eastAsia" w:ascii="仿宋" w:hAnsi="仿宋" w:eastAsia="仿宋" w:cs="仿宋"/>
          <w:sz w:val="21"/>
          <w:szCs w:val="32"/>
        </w:rPr>
      </w:pPr>
      <w:r>
        <w:rPr>
          <w:rStyle w:val="32"/>
          <w:rFonts w:hint="eastAsia" w:ascii="仿宋" w:hAnsi="仿宋" w:eastAsia="仿宋" w:cs="仿宋"/>
          <w:sz w:val="21"/>
          <w:szCs w:val="32"/>
        </w:rPr>
        <w:t>[</w:t>
      </w:r>
      <w:r>
        <w:rPr>
          <w:rStyle w:val="32"/>
          <w:rFonts w:hint="eastAsia" w:ascii="仿宋" w:hAnsi="仿宋" w:eastAsia="仿宋" w:cs="仿宋"/>
          <w:sz w:val="21"/>
          <w:szCs w:val="32"/>
        </w:rPr>
        <w:footnoteRef/>
      </w:r>
      <w:r>
        <w:rPr>
          <w:rStyle w:val="32"/>
          <w:rFonts w:hint="eastAsia" w:ascii="仿宋" w:hAnsi="仿宋" w:eastAsia="仿宋" w:cs="仿宋"/>
          <w:sz w:val="21"/>
          <w:szCs w:val="32"/>
        </w:rPr>
        <w:t>]</w:t>
      </w:r>
      <w:r>
        <w:rPr>
          <w:rFonts w:hint="eastAsia" w:ascii="仿宋" w:hAnsi="仿宋" w:eastAsia="仿宋" w:cs="仿宋"/>
          <w:sz w:val="21"/>
          <w:szCs w:val="32"/>
        </w:rPr>
        <w:t xml:space="preserve"> 一次性告知制：所有工作人员对来电人咨询的内容做到一次性将事项的全部内容、办理要求、办理程序、办理时限、办理所需材料等告知来电人，减少来电人重复咨询。</w:t>
      </w:r>
    </w:p>
  </w:footnote>
  <w:footnote w:id="6">
    <w:p w14:paraId="46239828">
      <w:pPr>
        <w:pStyle w:val="20"/>
        <w:snapToGrid w:val="0"/>
        <w:rPr>
          <w:rFonts w:hint="eastAsia" w:ascii="仿宋" w:hAnsi="仿宋" w:eastAsia="仿宋" w:cs="仿宋"/>
          <w:sz w:val="21"/>
          <w:szCs w:val="32"/>
        </w:rPr>
      </w:pPr>
      <w:r>
        <w:rPr>
          <w:rStyle w:val="32"/>
          <w:rFonts w:hint="eastAsia" w:ascii="仿宋" w:hAnsi="仿宋" w:eastAsia="仿宋" w:cs="仿宋"/>
          <w:sz w:val="21"/>
          <w:szCs w:val="32"/>
        </w:rPr>
        <w:t>[</w:t>
      </w:r>
      <w:r>
        <w:rPr>
          <w:rStyle w:val="32"/>
          <w:rFonts w:hint="eastAsia" w:ascii="仿宋" w:hAnsi="仿宋" w:eastAsia="仿宋" w:cs="仿宋"/>
          <w:sz w:val="21"/>
          <w:szCs w:val="32"/>
        </w:rPr>
        <w:footnoteRef/>
      </w:r>
      <w:r>
        <w:rPr>
          <w:rStyle w:val="32"/>
          <w:rFonts w:hint="eastAsia" w:ascii="仿宋" w:hAnsi="仿宋" w:eastAsia="仿宋" w:cs="仿宋"/>
          <w:sz w:val="21"/>
          <w:szCs w:val="32"/>
        </w:rPr>
        <w:t>]</w:t>
      </w:r>
      <w:r>
        <w:rPr>
          <w:rFonts w:hint="eastAsia" w:ascii="仿宋" w:hAnsi="仿宋" w:eastAsia="仿宋" w:cs="仿宋"/>
          <w:sz w:val="21"/>
          <w:szCs w:val="32"/>
        </w:rPr>
        <w:t xml:space="preserve"> </w:t>
      </w:r>
      <w:r>
        <w:rPr>
          <w:rFonts w:hint="eastAsia" w:ascii="仿宋" w:hAnsi="仿宋" w:eastAsia="仿宋" w:cs="仿宋"/>
          <w:sz w:val="21"/>
          <w:szCs w:val="32"/>
          <w:lang w:val="en-US" w:eastAsia="zh-CN"/>
        </w:rPr>
        <w:t xml:space="preserve"> 避</w:t>
      </w:r>
      <w:r>
        <w:rPr>
          <w:rFonts w:hint="eastAsia" w:ascii="仿宋" w:hAnsi="仿宋" w:eastAsia="仿宋" w:cs="仿宋"/>
          <w:color w:val="auto"/>
          <w:sz w:val="21"/>
          <w:szCs w:val="32"/>
          <w:lang w:val="en-US" w:eastAsia="zh-CN"/>
        </w:rPr>
        <w:t>高峰：</w:t>
      </w:r>
      <w:r>
        <w:rPr>
          <w:rFonts w:hint="eastAsia" w:ascii="仿宋" w:hAnsi="仿宋" w:eastAsia="仿宋" w:cs="仿宋"/>
          <w:color w:val="auto"/>
          <w:sz w:val="21"/>
          <w:szCs w:val="32"/>
          <w:highlight w:val="none"/>
          <w:lang w:val="en-US" w:eastAsia="zh-CN"/>
        </w:rPr>
        <w:t>环卫作业车辆7:00-9:00、16:30-19:00严禁作业，特殊情况按中心批准时间和路线执行。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B115">
    <w:pPr>
      <w:pStyle w:val="18"/>
      <w:ind w:firstLine="210" w:firstLineChars="100"/>
      <w:jc w:val="left"/>
      <w:rPr>
        <w:rFonts w:ascii="仿宋" w:hAnsi="仿宋" w:eastAsia="仿宋" w:cs="仿宋"/>
        <w:sz w:val="21"/>
        <w:szCs w:val="21"/>
      </w:rPr>
    </w:pPr>
    <w:r>
      <w:rPr>
        <w:rFonts w:hint="eastAsia" w:ascii="仿宋" w:hAnsi="仿宋" w:eastAsia="仿宋" w:cs="仿宋"/>
        <w:color w:val="000000"/>
        <w:sz w:val="21"/>
        <w:szCs w:val="21"/>
        <w:lang w:eastAsia="zh-CN"/>
      </w:rPr>
      <w:t xml:space="preserve">垃圾清运设施辅助管理服务项目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竞争性磋商</w:t>
    </w:r>
    <w:r>
      <w:rPr>
        <w:rFonts w:hint="eastAsia" w:ascii="仿宋" w:hAnsi="仿宋" w:eastAsia="仿宋" w:cs="仿宋"/>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C52A">
    <w:pPr>
      <w:adjustRightInd w:val="0"/>
      <w:snapToGrid w:val="0"/>
      <w:spacing w:line="440" w:lineRule="exact"/>
      <w:ind w:firstLine="210" w:firstLineChars="100"/>
      <w:rPr>
        <w:rFonts w:hint="eastAsia" w:ascii="宋体" w:hAnsi="宋体" w:cs="宋体"/>
        <w:szCs w:val="21"/>
      </w:rPr>
    </w:pPr>
    <w:r>
      <w:rPr>
        <w:rFonts w:hint="eastAsia" w:ascii="宋体" w:hAnsi="宋体" w:cs="宋体"/>
        <w:kern w:val="0"/>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4D67">
    <w:pPr>
      <w:pStyle w:val="18"/>
      <w:pBdr>
        <w:bottom w:val="none" w:color="auto" w:sz="0" w:space="1"/>
      </w:pBdr>
      <w:jc w:val="left"/>
      <w:rPr>
        <w:rFonts w:ascii="仿宋" w:hAnsi="仿宋" w:eastAsia="仿宋" w:cs="仿宋"/>
        <w:sz w:val="21"/>
        <w:szCs w:val="21"/>
      </w:rPr>
    </w:pPr>
    <w:r>
      <w:rPr>
        <w:rFonts w:hint="eastAsia" w:ascii="仿宋" w:hAnsi="仿宋" w:eastAsia="仿宋"/>
        <w:szCs w:val="21"/>
      </w:rPr>
      <w:t xml:space="preserve"> </w:t>
    </w:r>
  </w:p>
  <w:p w14:paraId="07166170">
    <w:pPr>
      <w:widowControl/>
      <w:pBdr>
        <w:bottom w:val="none" w:color="auto" w:sz="0" w:space="0"/>
      </w:pBdr>
      <w:spacing w:line="660" w:lineRule="exact"/>
      <w:rPr>
        <w:rFonts w:ascii="仿宋" w:hAnsi="仿宋" w:eastAsia="仿宋"/>
        <w:szCs w:val="21"/>
      </w:rPr>
    </w:pPr>
    <w:r>
      <w:rPr>
        <w:rFonts w:hint="eastAsia" w:ascii="仿宋" w:hAnsi="仿宋" w:eastAsia="仿宋"/>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8A15">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82AF">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F1145"/>
    <w:multiLevelType w:val="multilevel"/>
    <w:tmpl w:val="177F1145"/>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D6CBD2"/>
    <w:multiLevelType w:val="singleLevel"/>
    <w:tmpl w:val="18D6CBD2"/>
    <w:lvl w:ilvl="0" w:tentative="0">
      <w:start w:val="2"/>
      <w:numFmt w:val="decimal"/>
      <w:suff w:val="nothing"/>
      <w:lvlText w:val="%1、"/>
      <w:lvlJc w:val="left"/>
    </w:lvl>
  </w:abstractNum>
  <w:abstractNum w:abstractNumId="2">
    <w:nsid w:val="1AE74E1C"/>
    <w:multiLevelType w:val="multilevel"/>
    <w:tmpl w:val="1AE74E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DMzMDAyZjFlMGI2MTZiMGQ5MWJjODRkNjMyYTMifQ=="/>
  </w:docVars>
  <w:rsids>
    <w:rsidRoot w:val="00000000"/>
    <w:rsid w:val="00097F54"/>
    <w:rsid w:val="00C21A19"/>
    <w:rsid w:val="00DD2CF6"/>
    <w:rsid w:val="0136417B"/>
    <w:rsid w:val="01861103"/>
    <w:rsid w:val="01A51B6F"/>
    <w:rsid w:val="01C4065D"/>
    <w:rsid w:val="02973924"/>
    <w:rsid w:val="02A1245A"/>
    <w:rsid w:val="02AB02CA"/>
    <w:rsid w:val="02C44BAF"/>
    <w:rsid w:val="033C3934"/>
    <w:rsid w:val="03D16869"/>
    <w:rsid w:val="042B2A2D"/>
    <w:rsid w:val="04832181"/>
    <w:rsid w:val="04870AFC"/>
    <w:rsid w:val="04E77EA4"/>
    <w:rsid w:val="052460FB"/>
    <w:rsid w:val="05A4454E"/>
    <w:rsid w:val="06BB3CE5"/>
    <w:rsid w:val="06DB3B2F"/>
    <w:rsid w:val="070B26EF"/>
    <w:rsid w:val="072478F4"/>
    <w:rsid w:val="074D0B7C"/>
    <w:rsid w:val="0771579B"/>
    <w:rsid w:val="0793490E"/>
    <w:rsid w:val="07AD2313"/>
    <w:rsid w:val="082D0FEC"/>
    <w:rsid w:val="088F5575"/>
    <w:rsid w:val="08B03E69"/>
    <w:rsid w:val="0904563C"/>
    <w:rsid w:val="0A337547"/>
    <w:rsid w:val="0A7D4828"/>
    <w:rsid w:val="0A7E3AF3"/>
    <w:rsid w:val="0A9915BA"/>
    <w:rsid w:val="0AA20464"/>
    <w:rsid w:val="0AB06A35"/>
    <w:rsid w:val="0ACB306F"/>
    <w:rsid w:val="0AD61A85"/>
    <w:rsid w:val="0B01169F"/>
    <w:rsid w:val="0B1008C8"/>
    <w:rsid w:val="0B4F7C07"/>
    <w:rsid w:val="0B5A7049"/>
    <w:rsid w:val="0B64718D"/>
    <w:rsid w:val="0B6E767D"/>
    <w:rsid w:val="0BBC4053"/>
    <w:rsid w:val="0BEB24AE"/>
    <w:rsid w:val="0C07111F"/>
    <w:rsid w:val="0C3969CD"/>
    <w:rsid w:val="0CFC185B"/>
    <w:rsid w:val="0D690623"/>
    <w:rsid w:val="0D702397"/>
    <w:rsid w:val="0DA341AF"/>
    <w:rsid w:val="0DBE3412"/>
    <w:rsid w:val="0DF3026D"/>
    <w:rsid w:val="0E137E11"/>
    <w:rsid w:val="0E4512A2"/>
    <w:rsid w:val="0E5728E3"/>
    <w:rsid w:val="0FD101F7"/>
    <w:rsid w:val="10CB7231"/>
    <w:rsid w:val="10F5757C"/>
    <w:rsid w:val="112D373E"/>
    <w:rsid w:val="114F6F8F"/>
    <w:rsid w:val="11617E2F"/>
    <w:rsid w:val="12961D9C"/>
    <w:rsid w:val="12A72D69"/>
    <w:rsid w:val="12CD0AA7"/>
    <w:rsid w:val="1335758E"/>
    <w:rsid w:val="14086097"/>
    <w:rsid w:val="1430271A"/>
    <w:rsid w:val="14981F8C"/>
    <w:rsid w:val="150B2849"/>
    <w:rsid w:val="15887DFB"/>
    <w:rsid w:val="15ED5270"/>
    <w:rsid w:val="162C3563"/>
    <w:rsid w:val="16443A9D"/>
    <w:rsid w:val="169478A1"/>
    <w:rsid w:val="16F2564D"/>
    <w:rsid w:val="1740285C"/>
    <w:rsid w:val="17D04EDC"/>
    <w:rsid w:val="17EB2569"/>
    <w:rsid w:val="17F4515B"/>
    <w:rsid w:val="184F6DD5"/>
    <w:rsid w:val="18801768"/>
    <w:rsid w:val="1971342F"/>
    <w:rsid w:val="198561A2"/>
    <w:rsid w:val="1990646A"/>
    <w:rsid w:val="19944C5E"/>
    <w:rsid w:val="1A104A39"/>
    <w:rsid w:val="1ABB2247"/>
    <w:rsid w:val="1B4F4DFB"/>
    <w:rsid w:val="1B804BE7"/>
    <w:rsid w:val="1BAA4748"/>
    <w:rsid w:val="1BE877C1"/>
    <w:rsid w:val="1C1A0C21"/>
    <w:rsid w:val="1C481316"/>
    <w:rsid w:val="1E2A322D"/>
    <w:rsid w:val="1E6565A2"/>
    <w:rsid w:val="1E8735E1"/>
    <w:rsid w:val="1EEA2AA6"/>
    <w:rsid w:val="1EF6339E"/>
    <w:rsid w:val="1F1D65AD"/>
    <w:rsid w:val="1F2418C4"/>
    <w:rsid w:val="1F4F55EA"/>
    <w:rsid w:val="1F505D79"/>
    <w:rsid w:val="1FAA6A65"/>
    <w:rsid w:val="203023E8"/>
    <w:rsid w:val="20922CB7"/>
    <w:rsid w:val="20A53B59"/>
    <w:rsid w:val="217F7727"/>
    <w:rsid w:val="21AA2868"/>
    <w:rsid w:val="223643DF"/>
    <w:rsid w:val="224A2BFB"/>
    <w:rsid w:val="2281728D"/>
    <w:rsid w:val="228A2AFC"/>
    <w:rsid w:val="232D20FA"/>
    <w:rsid w:val="235972A7"/>
    <w:rsid w:val="237F7C33"/>
    <w:rsid w:val="23D1105D"/>
    <w:rsid w:val="23DC7C87"/>
    <w:rsid w:val="23F6221A"/>
    <w:rsid w:val="243D34FA"/>
    <w:rsid w:val="24714D1D"/>
    <w:rsid w:val="24A21A72"/>
    <w:rsid w:val="24E87D94"/>
    <w:rsid w:val="24F363FF"/>
    <w:rsid w:val="25302054"/>
    <w:rsid w:val="25414148"/>
    <w:rsid w:val="25A039DA"/>
    <w:rsid w:val="26800229"/>
    <w:rsid w:val="26885B79"/>
    <w:rsid w:val="268D73AC"/>
    <w:rsid w:val="270333F6"/>
    <w:rsid w:val="2830745C"/>
    <w:rsid w:val="284D302B"/>
    <w:rsid w:val="285C5FDB"/>
    <w:rsid w:val="289831A1"/>
    <w:rsid w:val="28DE3252"/>
    <w:rsid w:val="291034CC"/>
    <w:rsid w:val="29591D17"/>
    <w:rsid w:val="296341BC"/>
    <w:rsid w:val="29B13146"/>
    <w:rsid w:val="29B8498C"/>
    <w:rsid w:val="29BD4DA1"/>
    <w:rsid w:val="2A384496"/>
    <w:rsid w:val="2A492A2D"/>
    <w:rsid w:val="2A652F92"/>
    <w:rsid w:val="2AC07052"/>
    <w:rsid w:val="2AE9491C"/>
    <w:rsid w:val="2B0214BD"/>
    <w:rsid w:val="2B190124"/>
    <w:rsid w:val="2B1A51CC"/>
    <w:rsid w:val="2BA2201D"/>
    <w:rsid w:val="2BEC28A4"/>
    <w:rsid w:val="2C190120"/>
    <w:rsid w:val="2C1D7AAB"/>
    <w:rsid w:val="2CAA6070"/>
    <w:rsid w:val="2CBB6D5D"/>
    <w:rsid w:val="2CC444C4"/>
    <w:rsid w:val="2CD16541"/>
    <w:rsid w:val="2DEE4968"/>
    <w:rsid w:val="2E2020E1"/>
    <w:rsid w:val="2E8A2E93"/>
    <w:rsid w:val="2EAB2B9C"/>
    <w:rsid w:val="2EE87A66"/>
    <w:rsid w:val="2EF02C89"/>
    <w:rsid w:val="2EF8624D"/>
    <w:rsid w:val="2EFB6551"/>
    <w:rsid w:val="2F6A7BFA"/>
    <w:rsid w:val="2F874141"/>
    <w:rsid w:val="2F9916DA"/>
    <w:rsid w:val="2F9D65AC"/>
    <w:rsid w:val="2F9E6908"/>
    <w:rsid w:val="2FB24A78"/>
    <w:rsid w:val="301123E0"/>
    <w:rsid w:val="305D7B83"/>
    <w:rsid w:val="308253DB"/>
    <w:rsid w:val="312421EC"/>
    <w:rsid w:val="31256015"/>
    <w:rsid w:val="31300690"/>
    <w:rsid w:val="31482F68"/>
    <w:rsid w:val="31552F9F"/>
    <w:rsid w:val="31CC6AA5"/>
    <w:rsid w:val="31EE5A9D"/>
    <w:rsid w:val="324124D0"/>
    <w:rsid w:val="324F3728"/>
    <w:rsid w:val="327F0285"/>
    <w:rsid w:val="32A004DC"/>
    <w:rsid w:val="33013677"/>
    <w:rsid w:val="333B3FD9"/>
    <w:rsid w:val="33DE722D"/>
    <w:rsid w:val="340547AC"/>
    <w:rsid w:val="34510395"/>
    <w:rsid w:val="34C47655"/>
    <w:rsid w:val="34F15104"/>
    <w:rsid w:val="357A11D7"/>
    <w:rsid w:val="358D4A67"/>
    <w:rsid w:val="36265B84"/>
    <w:rsid w:val="365D6B2F"/>
    <w:rsid w:val="36A71B58"/>
    <w:rsid w:val="36D35A1E"/>
    <w:rsid w:val="36EE5669"/>
    <w:rsid w:val="37441298"/>
    <w:rsid w:val="37725351"/>
    <w:rsid w:val="37F407D6"/>
    <w:rsid w:val="381A2417"/>
    <w:rsid w:val="387664FA"/>
    <w:rsid w:val="38DD2C74"/>
    <w:rsid w:val="39792026"/>
    <w:rsid w:val="39F64DC7"/>
    <w:rsid w:val="3A0B34EA"/>
    <w:rsid w:val="3A3A3B2A"/>
    <w:rsid w:val="3A3C23F3"/>
    <w:rsid w:val="3A4C711F"/>
    <w:rsid w:val="3AB601AC"/>
    <w:rsid w:val="3AC3008A"/>
    <w:rsid w:val="3B3910A0"/>
    <w:rsid w:val="3B45726A"/>
    <w:rsid w:val="3B646736"/>
    <w:rsid w:val="3B933A7E"/>
    <w:rsid w:val="3C3209F8"/>
    <w:rsid w:val="3C4C4553"/>
    <w:rsid w:val="3D053ED7"/>
    <w:rsid w:val="3D5D60A8"/>
    <w:rsid w:val="3DC201B3"/>
    <w:rsid w:val="3DC924E9"/>
    <w:rsid w:val="3DDD597E"/>
    <w:rsid w:val="3DF71617"/>
    <w:rsid w:val="3DF83E33"/>
    <w:rsid w:val="3DFE4168"/>
    <w:rsid w:val="3E296541"/>
    <w:rsid w:val="3E4264D5"/>
    <w:rsid w:val="3F42139D"/>
    <w:rsid w:val="3F5600D8"/>
    <w:rsid w:val="3F7C6483"/>
    <w:rsid w:val="3F9B083E"/>
    <w:rsid w:val="403C65F0"/>
    <w:rsid w:val="40ED2B91"/>
    <w:rsid w:val="40F44C97"/>
    <w:rsid w:val="413127D1"/>
    <w:rsid w:val="41654AEA"/>
    <w:rsid w:val="418706FC"/>
    <w:rsid w:val="42192802"/>
    <w:rsid w:val="42D9110E"/>
    <w:rsid w:val="435E5276"/>
    <w:rsid w:val="44502383"/>
    <w:rsid w:val="446F79BD"/>
    <w:rsid w:val="44D07F90"/>
    <w:rsid w:val="44FA40A4"/>
    <w:rsid w:val="450C40CC"/>
    <w:rsid w:val="45747CD1"/>
    <w:rsid w:val="459E7E64"/>
    <w:rsid w:val="46361BC8"/>
    <w:rsid w:val="464B3AF8"/>
    <w:rsid w:val="466B05FB"/>
    <w:rsid w:val="46D75965"/>
    <w:rsid w:val="47077224"/>
    <w:rsid w:val="470775A3"/>
    <w:rsid w:val="4780267D"/>
    <w:rsid w:val="480C5D35"/>
    <w:rsid w:val="483C27C0"/>
    <w:rsid w:val="483D1C62"/>
    <w:rsid w:val="486B1FD7"/>
    <w:rsid w:val="495A21F7"/>
    <w:rsid w:val="49790DC9"/>
    <w:rsid w:val="4A1C197E"/>
    <w:rsid w:val="4A3A492A"/>
    <w:rsid w:val="4A7370AE"/>
    <w:rsid w:val="4A8065F0"/>
    <w:rsid w:val="4AA51B80"/>
    <w:rsid w:val="4ABE1678"/>
    <w:rsid w:val="4B1D60B4"/>
    <w:rsid w:val="4B47726B"/>
    <w:rsid w:val="4B8E261C"/>
    <w:rsid w:val="4BB74194"/>
    <w:rsid w:val="4BB900ED"/>
    <w:rsid w:val="4BD56A4B"/>
    <w:rsid w:val="4BF60E13"/>
    <w:rsid w:val="4CBE3646"/>
    <w:rsid w:val="4D060757"/>
    <w:rsid w:val="4D490D09"/>
    <w:rsid w:val="4D75782C"/>
    <w:rsid w:val="4D903117"/>
    <w:rsid w:val="4DB73B3A"/>
    <w:rsid w:val="4DE414E3"/>
    <w:rsid w:val="4E094FEC"/>
    <w:rsid w:val="4E0B4E03"/>
    <w:rsid w:val="4E213FB1"/>
    <w:rsid w:val="4E2F2707"/>
    <w:rsid w:val="4E526418"/>
    <w:rsid w:val="4F0E0B39"/>
    <w:rsid w:val="4F1373BE"/>
    <w:rsid w:val="4F5C3E56"/>
    <w:rsid w:val="4FA36F0E"/>
    <w:rsid w:val="507765E7"/>
    <w:rsid w:val="51156FCD"/>
    <w:rsid w:val="51854FC2"/>
    <w:rsid w:val="52103846"/>
    <w:rsid w:val="524D4E26"/>
    <w:rsid w:val="528462EE"/>
    <w:rsid w:val="52DF5181"/>
    <w:rsid w:val="53090C02"/>
    <w:rsid w:val="532F71C7"/>
    <w:rsid w:val="53BE1E6A"/>
    <w:rsid w:val="540F676C"/>
    <w:rsid w:val="54713EB1"/>
    <w:rsid w:val="54A35CBB"/>
    <w:rsid w:val="54D32A41"/>
    <w:rsid w:val="54E619EE"/>
    <w:rsid w:val="54FB30C3"/>
    <w:rsid w:val="55145A25"/>
    <w:rsid w:val="552B174F"/>
    <w:rsid w:val="55300FE7"/>
    <w:rsid w:val="559E74DC"/>
    <w:rsid w:val="55BC415D"/>
    <w:rsid w:val="55F25770"/>
    <w:rsid w:val="563145F7"/>
    <w:rsid w:val="563F557F"/>
    <w:rsid w:val="56DF15AE"/>
    <w:rsid w:val="57862D68"/>
    <w:rsid w:val="57F62CC3"/>
    <w:rsid w:val="582000AA"/>
    <w:rsid w:val="583E0CB1"/>
    <w:rsid w:val="585322D1"/>
    <w:rsid w:val="5871327B"/>
    <w:rsid w:val="58991383"/>
    <w:rsid w:val="58D03A3A"/>
    <w:rsid w:val="59AF0A45"/>
    <w:rsid w:val="59DC2372"/>
    <w:rsid w:val="5A577137"/>
    <w:rsid w:val="5A717B36"/>
    <w:rsid w:val="5A87548E"/>
    <w:rsid w:val="5AAF38CC"/>
    <w:rsid w:val="5AE31B30"/>
    <w:rsid w:val="5B386973"/>
    <w:rsid w:val="5B5B7E08"/>
    <w:rsid w:val="5B8307E8"/>
    <w:rsid w:val="5C3A5362"/>
    <w:rsid w:val="5D2C4E0C"/>
    <w:rsid w:val="5D7F13FC"/>
    <w:rsid w:val="5D9826FA"/>
    <w:rsid w:val="5E0C2B58"/>
    <w:rsid w:val="5E2F1776"/>
    <w:rsid w:val="5F0B5CAE"/>
    <w:rsid w:val="5F3527CC"/>
    <w:rsid w:val="5F5C1802"/>
    <w:rsid w:val="5F641286"/>
    <w:rsid w:val="5FEE72CA"/>
    <w:rsid w:val="5FF40044"/>
    <w:rsid w:val="60786190"/>
    <w:rsid w:val="611575D5"/>
    <w:rsid w:val="61273D49"/>
    <w:rsid w:val="613025C6"/>
    <w:rsid w:val="618A73AA"/>
    <w:rsid w:val="61E27004"/>
    <w:rsid w:val="620B4C69"/>
    <w:rsid w:val="627A696C"/>
    <w:rsid w:val="62C47861"/>
    <w:rsid w:val="634367E8"/>
    <w:rsid w:val="6389642D"/>
    <w:rsid w:val="63C57B95"/>
    <w:rsid w:val="645D3FD0"/>
    <w:rsid w:val="646101DA"/>
    <w:rsid w:val="65235F13"/>
    <w:rsid w:val="65A73E55"/>
    <w:rsid w:val="65FF2430"/>
    <w:rsid w:val="6625007A"/>
    <w:rsid w:val="663D502D"/>
    <w:rsid w:val="66E52CB4"/>
    <w:rsid w:val="66F652E5"/>
    <w:rsid w:val="67211A33"/>
    <w:rsid w:val="673749DB"/>
    <w:rsid w:val="674C3ED2"/>
    <w:rsid w:val="67562CB8"/>
    <w:rsid w:val="677A1D46"/>
    <w:rsid w:val="678E066A"/>
    <w:rsid w:val="67A41D49"/>
    <w:rsid w:val="68141B8B"/>
    <w:rsid w:val="684A5B95"/>
    <w:rsid w:val="6850601E"/>
    <w:rsid w:val="68985E07"/>
    <w:rsid w:val="694C6837"/>
    <w:rsid w:val="69AB16BB"/>
    <w:rsid w:val="6A6E1414"/>
    <w:rsid w:val="6A70682E"/>
    <w:rsid w:val="6A9002F6"/>
    <w:rsid w:val="6ACE0985"/>
    <w:rsid w:val="6AD4435E"/>
    <w:rsid w:val="6AF814A5"/>
    <w:rsid w:val="6B6C2B09"/>
    <w:rsid w:val="6B847B97"/>
    <w:rsid w:val="6BA82C30"/>
    <w:rsid w:val="6C0F4DDF"/>
    <w:rsid w:val="6C2E4B41"/>
    <w:rsid w:val="6C555D7A"/>
    <w:rsid w:val="6CC41357"/>
    <w:rsid w:val="6CF13D2F"/>
    <w:rsid w:val="6CFB4EA3"/>
    <w:rsid w:val="6D085B26"/>
    <w:rsid w:val="6D3558E2"/>
    <w:rsid w:val="6D99465B"/>
    <w:rsid w:val="6DD5685C"/>
    <w:rsid w:val="6DE94229"/>
    <w:rsid w:val="6E14753F"/>
    <w:rsid w:val="6E37145A"/>
    <w:rsid w:val="6E645FA5"/>
    <w:rsid w:val="6E97376B"/>
    <w:rsid w:val="6F273D72"/>
    <w:rsid w:val="6F3C17D1"/>
    <w:rsid w:val="6F6C40D6"/>
    <w:rsid w:val="6FE75F47"/>
    <w:rsid w:val="70A96034"/>
    <w:rsid w:val="71804DBF"/>
    <w:rsid w:val="719109F9"/>
    <w:rsid w:val="71B75B64"/>
    <w:rsid w:val="71C829EA"/>
    <w:rsid w:val="71F826B3"/>
    <w:rsid w:val="72125E71"/>
    <w:rsid w:val="72515C8C"/>
    <w:rsid w:val="72A868A9"/>
    <w:rsid w:val="72E24852"/>
    <w:rsid w:val="741014EF"/>
    <w:rsid w:val="74330669"/>
    <w:rsid w:val="74852ECC"/>
    <w:rsid w:val="74A44223"/>
    <w:rsid w:val="74A67F54"/>
    <w:rsid w:val="74EA0A4B"/>
    <w:rsid w:val="75130EA2"/>
    <w:rsid w:val="7586788F"/>
    <w:rsid w:val="75994D03"/>
    <w:rsid w:val="75D65B55"/>
    <w:rsid w:val="762E66A5"/>
    <w:rsid w:val="76704D20"/>
    <w:rsid w:val="767A3CDC"/>
    <w:rsid w:val="77043D25"/>
    <w:rsid w:val="772036FB"/>
    <w:rsid w:val="772438E8"/>
    <w:rsid w:val="779D52B1"/>
    <w:rsid w:val="786E05AB"/>
    <w:rsid w:val="78706C3D"/>
    <w:rsid w:val="78783575"/>
    <w:rsid w:val="78AC021E"/>
    <w:rsid w:val="78E63D42"/>
    <w:rsid w:val="794C38BE"/>
    <w:rsid w:val="79605C34"/>
    <w:rsid w:val="79C4103C"/>
    <w:rsid w:val="7A130CBA"/>
    <w:rsid w:val="7A7D5833"/>
    <w:rsid w:val="7B1138F9"/>
    <w:rsid w:val="7B13622C"/>
    <w:rsid w:val="7B642CC8"/>
    <w:rsid w:val="7BCD04CA"/>
    <w:rsid w:val="7C3B5BFB"/>
    <w:rsid w:val="7CC01B5A"/>
    <w:rsid w:val="7D246948"/>
    <w:rsid w:val="7D41467E"/>
    <w:rsid w:val="7DAA0ADC"/>
    <w:rsid w:val="7DB23A4C"/>
    <w:rsid w:val="7E0C7AC0"/>
    <w:rsid w:val="7EC148B6"/>
    <w:rsid w:val="7F0F3592"/>
    <w:rsid w:val="7F101451"/>
    <w:rsid w:val="7F183F9E"/>
    <w:rsid w:val="7F896EDB"/>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qFormat/>
    <w:uiPriority w:val="0"/>
    <w:pPr>
      <w:tabs>
        <w:tab w:val="left" w:pos="709"/>
      </w:tabs>
      <w:autoSpaceDE w:val="0"/>
      <w:autoSpaceDN w:val="0"/>
      <w:adjustRightInd w:val="0"/>
      <w:spacing w:line="300" w:lineRule="auto"/>
      <w:ind w:left="709" w:hanging="709"/>
      <w:textAlignment w:val="baseline"/>
      <w:outlineLvl w:val="2"/>
    </w:pPr>
    <w:rPr>
      <w:rFonts w:ascii="黑体" w:eastAsia="黑体"/>
      <w:b/>
      <w:color w:val="000000"/>
      <w:kern w:val="0"/>
      <w:sz w:val="28"/>
      <w:szCs w:val="20"/>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caption"/>
    <w:basedOn w:val="1"/>
    <w:next w:val="1"/>
    <w:qFormat/>
    <w:uiPriority w:val="0"/>
    <w:rPr>
      <w:rFonts w:ascii="Arial" w:hAnsi="Arial" w:eastAsia="黑体"/>
      <w:sz w:val="20"/>
      <w:szCs w:val="20"/>
    </w:rPr>
  </w:style>
  <w:style w:type="paragraph" w:styleId="7">
    <w:name w:val="Document Map"/>
    <w:basedOn w:val="1"/>
    <w:qFormat/>
    <w:uiPriority w:val="0"/>
    <w:pPr>
      <w:shd w:val="clear" w:color="auto" w:fill="000080"/>
    </w:pPr>
    <w:rPr>
      <w:rFonts w:ascii="宋体" w:hAnsi="宋体"/>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jc w:val="left"/>
    </w:pPr>
  </w:style>
  <w:style w:type="paragraph" w:styleId="10">
    <w:name w:val="Body Text"/>
    <w:basedOn w:val="1"/>
    <w:next w:val="11"/>
    <w:qFormat/>
    <w:uiPriority w:val="0"/>
    <w:rPr>
      <w:rFonts w:ascii="宋体" w:hAnsi="宋体"/>
      <w:sz w:val="28"/>
    </w:rPr>
  </w:style>
  <w:style w:type="paragraph" w:styleId="11">
    <w:name w:val="Body Text First Indent"/>
    <w:basedOn w:val="10"/>
    <w:next w:val="12"/>
    <w:qFormat/>
    <w:uiPriority w:val="0"/>
    <w:pPr>
      <w:spacing w:line="312" w:lineRule="auto"/>
      <w:ind w:firstLine="420"/>
    </w:pPr>
  </w:style>
  <w:style w:type="paragraph" w:styleId="12">
    <w:name w:val="toc 6"/>
    <w:basedOn w:val="1"/>
    <w:next w:val="1"/>
    <w:qFormat/>
    <w:uiPriority w:val="0"/>
    <w:pPr>
      <w:ind w:left="2100" w:leftChars="1000"/>
    </w:pPr>
  </w:style>
  <w:style w:type="paragraph" w:styleId="13">
    <w:name w:val="Body Text Indent"/>
    <w:basedOn w:val="1"/>
    <w:next w:val="1"/>
    <w:qFormat/>
    <w:uiPriority w:val="0"/>
    <w:pPr>
      <w:spacing w:line="360" w:lineRule="auto"/>
      <w:ind w:firstLine="600" w:firstLineChars="200"/>
    </w:pPr>
    <w:rPr>
      <w:rFonts w:ascii="仿宋_GB2312" w:hAnsi="宋体" w:eastAsia="仿宋_GB2312"/>
      <w:sz w:val="30"/>
    </w:rPr>
  </w:style>
  <w:style w:type="paragraph" w:styleId="14">
    <w:name w:val="Block Text"/>
    <w:basedOn w:val="1"/>
    <w:qFormat/>
    <w:uiPriority w:val="99"/>
    <w:pPr>
      <w:adjustRightInd w:val="0"/>
      <w:ind w:left="420" w:right="33"/>
      <w:textAlignment w:val="baseline"/>
    </w:pPr>
    <w:rPr>
      <w:sz w:val="24"/>
    </w:rPr>
  </w:style>
  <w:style w:type="paragraph" w:styleId="15">
    <w:name w:val="Plain Text"/>
    <w:basedOn w:val="1"/>
    <w:qFormat/>
    <w:uiPriority w:val="0"/>
    <w:pPr>
      <w:spacing w:beforeLines="50" w:afterLines="50" w:line="400" w:lineRule="exact"/>
    </w:pPr>
    <w:rPr>
      <w:rFonts w:ascii="宋体" w:hAnsi="Courier New"/>
      <w:sz w:val="24"/>
    </w:rPr>
  </w:style>
  <w:style w:type="paragraph" w:styleId="16">
    <w:name w:val="toc 8"/>
    <w:basedOn w:val="1"/>
    <w:next w:val="1"/>
    <w:unhideWhenUsed/>
    <w:qFormat/>
    <w:uiPriority w:val="39"/>
    <w:pPr>
      <w:widowControl/>
      <w:spacing w:line="360" w:lineRule="auto"/>
      <w:ind w:left="1960" w:firstLine="200" w:firstLineChars="200"/>
      <w:jc w:val="left"/>
    </w:pPr>
    <w:rPr>
      <w:rFonts w:ascii="Calibri" w:hAnsi="Calibri" w:cs="Calibri"/>
      <w:kern w:val="0"/>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宋体"/>
      <w:kern w:val="0"/>
      <w:sz w:val="18"/>
      <w:szCs w:val="20"/>
    </w:rPr>
  </w:style>
  <w:style w:type="paragraph" w:styleId="19">
    <w:name w:val="toc 1"/>
    <w:basedOn w:val="1"/>
    <w:next w:val="1"/>
    <w:qFormat/>
    <w:uiPriority w:val="39"/>
    <w:pPr>
      <w:tabs>
        <w:tab w:val="right" w:leader="dot" w:pos="8494"/>
      </w:tabs>
    </w:pPr>
    <w:rPr>
      <w:rFonts w:ascii="宋体" w:hAnsi="宋体"/>
      <w:sz w:val="32"/>
    </w:rPr>
  </w:style>
  <w:style w:type="paragraph" w:styleId="20">
    <w:name w:val="footnote text"/>
    <w:basedOn w:val="1"/>
    <w:qFormat/>
    <w:uiPriority w:val="0"/>
    <w:pPr>
      <w:snapToGrid w:val="0"/>
      <w:jc w:val="left"/>
    </w:pPr>
    <w:rPr>
      <w:sz w:val="18"/>
    </w:rPr>
  </w:style>
  <w:style w:type="paragraph" w:styleId="21">
    <w:name w:val="Body Text Indent 3"/>
    <w:basedOn w:val="1"/>
    <w:qFormat/>
    <w:uiPriority w:val="99"/>
    <w:pPr>
      <w:spacing w:line="500" w:lineRule="atLeast"/>
      <w:ind w:firstLine="720" w:firstLineChars="300"/>
    </w:pPr>
    <w:rPr>
      <w:rFonts w:ascii="Times New Roman" w:hAnsi="Times New Roman"/>
      <w:sz w:val="24"/>
    </w:rPr>
  </w:style>
  <w:style w:type="paragraph" w:styleId="22">
    <w:name w:val="toc 2"/>
    <w:basedOn w:val="1"/>
    <w:next w:val="1"/>
    <w:qFormat/>
    <w:uiPriority w:val="39"/>
    <w:pPr>
      <w:ind w:left="420" w:leftChars="200"/>
    </w:pPr>
    <w:rPr>
      <w:szCs w:val="20"/>
    </w:rPr>
  </w:style>
  <w:style w:type="paragraph" w:styleId="23">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24">
    <w:name w:val="Body Text First Indent 2"/>
    <w:basedOn w:val="13"/>
    <w:next w:val="25"/>
    <w:qFormat/>
    <w:uiPriority w:val="99"/>
    <w:pPr>
      <w:tabs>
        <w:tab w:val="left" w:pos="0"/>
        <w:tab w:val="left" w:pos="993"/>
        <w:tab w:val="left" w:pos="1134"/>
      </w:tabs>
      <w:spacing w:after="120" w:line="240" w:lineRule="auto"/>
      <w:ind w:left="420" w:leftChars="200" w:firstLine="420"/>
    </w:pPr>
    <w:rPr>
      <w:sz w:val="21"/>
      <w:szCs w:val="21"/>
    </w:rPr>
  </w:style>
  <w:style w:type="paragraph" w:customStyle="1" w:styleId="25">
    <w:name w:val="文章正文"/>
    <w:basedOn w:val="1"/>
    <w:qFormat/>
    <w:uiPriority w:val="0"/>
    <w:pPr>
      <w:spacing w:line="360" w:lineRule="auto"/>
      <w:ind w:firstLine="200" w:firstLineChars="200"/>
    </w:pPr>
    <w:rPr>
      <w:sz w:val="24"/>
    </w:r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99"/>
    <w:rPr>
      <w:color w:val="1F1F1F"/>
      <w:u w:val="none"/>
    </w:rPr>
  </w:style>
  <w:style w:type="character" w:styleId="31">
    <w:name w:val="annotation reference"/>
    <w:basedOn w:val="27"/>
    <w:qFormat/>
    <w:uiPriority w:val="0"/>
    <w:rPr>
      <w:sz w:val="21"/>
      <w:szCs w:val="21"/>
    </w:rPr>
  </w:style>
  <w:style w:type="character" w:styleId="32">
    <w:name w:val="footnote reference"/>
    <w:basedOn w:val="27"/>
    <w:qFormat/>
    <w:uiPriority w:val="0"/>
    <w:rPr>
      <w:vertAlign w:val="superscript"/>
    </w:rPr>
  </w:style>
  <w:style w:type="paragraph" w:customStyle="1" w:styleId="33">
    <w:name w:val="正文1"/>
    <w:basedOn w:val="7"/>
    <w:next w:val="1"/>
    <w:qFormat/>
    <w:uiPriority w:val="0"/>
    <w:pPr>
      <w:spacing w:before="240" w:beforeLines="0" w:line="460" w:lineRule="exact"/>
    </w:pPr>
    <w:rPr>
      <w:rFonts w:ascii="仿宋_GB2312" w:hAnsi="宋体" w:eastAsia="仿宋_GB2312"/>
      <w:b/>
      <w:sz w:val="28"/>
      <w:szCs w:val="28"/>
    </w:rPr>
  </w:style>
  <w:style w:type="paragraph" w:customStyle="1" w:styleId="34">
    <w:name w:val="章正文"/>
    <w:basedOn w:val="1"/>
    <w:qFormat/>
    <w:uiPriority w:val="0"/>
    <w:pPr>
      <w:spacing w:before="156" w:beforeLines="50" w:after="120" w:line="300" w:lineRule="auto"/>
      <w:ind w:firstLine="480"/>
    </w:pPr>
    <w:rPr>
      <w:rFonts w:ascii="Helvetica" w:hAnsi="Helvetica"/>
      <w:kern w:val="0"/>
      <w:sz w:val="24"/>
      <w:szCs w:val="24"/>
    </w:rPr>
  </w:style>
  <w:style w:type="paragraph" w:customStyle="1" w:styleId="35">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BodyText1I2"/>
    <w:basedOn w:val="38"/>
    <w:qFormat/>
    <w:uiPriority w:val="0"/>
    <w:pPr>
      <w:tabs>
        <w:tab w:val="left" w:pos="720"/>
        <w:tab w:val="left" w:pos="1260"/>
        <w:tab w:val="left" w:pos="2160"/>
        <w:tab w:val="left" w:pos="2880"/>
        <w:tab w:val="left" w:pos="3600"/>
        <w:tab w:val="left" w:pos="4320"/>
        <w:tab w:val="left" w:pos="5040"/>
        <w:tab w:val="left" w:pos="5760"/>
      </w:tabs>
      <w:ind w:firstLine="210"/>
    </w:pPr>
    <w:rPr>
      <w:szCs w:val="24"/>
    </w:rPr>
  </w:style>
  <w:style w:type="paragraph" w:customStyle="1" w:styleId="38">
    <w:name w:val="BodyTextIndent"/>
    <w:basedOn w:val="1"/>
    <w:qFormat/>
    <w:uiPriority w:val="0"/>
    <w:pPr>
      <w:widowControl/>
      <w:tabs>
        <w:tab w:val="left" w:pos="720"/>
        <w:tab w:val="left" w:pos="1260"/>
        <w:tab w:val="left" w:pos="2160"/>
        <w:tab w:val="left" w:pos="2880"/>
        <w:tab w:val="left" w:pos="3600"/>
        <w:tab w:val="left" w:pos="4320"/>
        <w:tab w:val="left" w:pos="5040"/>
        <w:tab w:val="left" w:pos="5760"/>
      </w:tabs>
      <w:spacing w:line="360" w:lineRule="auto"/>
      <w:ind w:right="25" w:rightChars="12" w:firstLine="720" w:firstLineChars="300"/>
      <w:jc w:val="left"/>
      <w:textAlignment w:val="baseline"/>
    </w:pPr>
    <w:rPr>
      <w:rFonts w:ascii="宋体"/>
      <w:color w:val="000000"/>
      <w:kern w:val="0"/>
      <w:sz w:val="24"/>
      <w:szCs w:val="20"/>
    </w:rPr>
  </w:style>
  <w:style w:type="paragraph" w:customStyle="1" w:styleId="39">
    <w:name w:val="Table Paragraph"/>
    <w:basedOn w:val="1"/>
    <w:qFormat/>
    <w:uiPriority w:val="1"/>
  </w:style>
  <w:style w:type="paragraph" w:styleId="40">
    <w:name w:val="List Paragraph"/>
    <w:basedOn w:val="1"/>
    <w:qFormat/>
    <w:uiPriority w:val="0"/>
    <w:pPr>
      <w:ind w:firstLine="420" w:firstLineChars="200"/>
    </w:pPr>
  </w:style>
  <w:style w:type="paragraph" w:customStyle="1" w:styleId="41">
    <w:name w:val="正文段"/>
    <w:basedOn w:val="1"/>
    <w:qFormat/>
    <w:uiPriority w:val="0"/>
    <w:pPr>
      <w:widowControl/>
      <w:snapToGrid w:val="0"/>
      <w:spacing w:afterLines="50"/>
      <w:ind w:firstLine="200" w:firstLineChars="200"/>
    </w:pPr>
    <w:rPr>
      <w:kern w:val="0"/>
      <w:sz w:val="24"/>
      <w:szCs w:val="20"/>
    </w:rPr>
  </w:style>
  <w:style w:type="paragraph" w:customStyle="1" w:styleId="42">
    <w:name w:val="BodyText1I"/>
    <w:basedOn w:val="43"/>
    <w:qFormat/>
    <w:uiPriority w:val="0"/>
    <w:pPr>
      <w:tabs>
        <w:tab w:val="left" w:pos="3380"/>
      </w:tabs>
      <w:ind w:firstLine="420" w:firstLineChars="100"/>
    </w:pPr>
    <w:rPr>
      <w:rFonts w:ascii="宋体" w:hAnsi="宋体"/>
      <w:sz w:val="28"/>
      <w:szCs w:val="28"/>
    </w:rPr>
  </w:style>
  <w:style w:type="paragraph" w:customStyle="1" w:styleId="43">
    <w:name w:val="BodyText"/>
    <w:basedOn w:val="1"/>
    <w:qFormat/>
    <w:uiPriority w:val="0"/>
    <w:pPr>
      <w:tabs>
        <w:tab w:val="left" w:pos="3380"/>
      </w:tabs>
      <w:jc w:val="center"/>
      <w:textAlignment w:val="baseline"/>
    </w:pPr>
    <w:rPr>
      <w:rFonts w:ascii="Times New Roman" w:cs="Times New Roman"/>
      <w:b/>
      <w:bCs/>
      <w:spacing w:val="-20"/>
      <w:kern w:val="0"/>
      <w:sz w:val="36"/>
      <w:szCs w:val="24"/>
    </w:rPr>
  </w:style>
  <w:style w:type="paragraph" w:customStyle="1" w:styleId="44">
    <w:name w:val="[Normal]"/>
    <w:qFormat/>
    <w:uiPriority w:val="0"/>
    <w:rPr>
      <w:rFonts w:ascii="宋体" w:hAnsi="宋体" w:eastAsia="宋体" w:cs="Times New Roman"/>
      <w:sz w:val="24"/>
      <w:szCs w:val="22"/>
      <w:lang w:val="zh-CN" w:eastAsia="zh-CN" w:bidi="ar-SA"/>
    </w:rPr>
  </w:style>
  <w:style w:type="character" w:customStyle="1" w:styleId="45">
    <w:name w:val="font41"/>
    <w:basedOn w:val="27"/>
    <w:qFormat/>
    <w:uiPriority w:val="0"/>
    <w:rPr>
      <w:rFonts w:hint="eastAsia" w:ascii="宋体" w:hAnsi="宋体" w:eastAsia="宋体" w:cs="宋体"/>
      <w:color w:val="000000"/>
      <w:sz w:val="20"/>
      <w:szCs w:val="20"/>
      <w:u w:val="none"/>
    </w:rPr>
  </w:style>
  <w:style w:type="paragraph" w:customStyle="1" w:styleId="46">
    <w:name w:val="首行缩进"/>
    <w:basedOn w:val="1"/>
    <w:qFormat/>
    <w:uiPriority w:val="0"/>
    <w:pPr>
      <w:ind w:firstLine="480" w:firstLineChars="200"/>
    </w:pPr>
    <w:rPr>
      <w:lang w:val="zh-CN"/>
    </w:rPr>
  </w:style>
  <w:style w:type="paragraph" w:customStyle="1" w:styleId="47">
    <w:name w:val="Body Text First Indent1"/>
    <w:basedOn w:val="10"/>
    <w:qFormat/>
    <w:uiPriority w:val="0"/>
    <w:pPr>
      <w:ind w:firstLine="420" w:firstLineChars="100"/>
      <w:jc w:val="center"/>
    </w:pPr>
    <w:rPr>
      <w:rFonts w:ascii="Times New Roman" w:eastAsia="宋体"/>
      <w:szCs w:val="24"/>
    </w:rPr>
  </w:style>
  <w:style w:type="character" w:customStyle="1" w:styleId="48">
    <w:name w:val="font01"/>
    <w:basedOn w:val="27"/>
    <w:qFormat/>
    <w:uiPriority w:val="0"/>
    <w:rPr>
      <w:rFonts w:hint="eastAsia" w:ascii="宋体" w:hAnsi="宋体" w:eastAsia="宋体" w:cs="宋体"/>
      <w:color w:val="000000"/>
      <w:sz w:val="22"/>
      <w:szCs w:val="22"/>
      <w:u w:val="none"/>
    </w:rPr>
  </w:style>
  <w:style w:type="character" w:customStyle="1" w:styleId="49">
    <w:name w:val="font21"/>
    <w:basedOn w:val="27"/>
    <w:qFormat/>
    <w:uiPriority w:val="0"/>
    <w:rPr>
      <w:rFonts w:hint="eastAsia" w:ascii="宋体" w:hAnsi="宋体" w:eastAsia="宋体" w:cs="宋体"/>
      <w:color w:val="FF0000"/>
      <w:sz w:val="22"/>
      <w:szCs w:val="22"/>
      <w:u w:val="none"/>
    </w:rPr>
  </w:style>
  <w:style w:type="character" w:customStyle="1" w:styleId="50">
    <w:name w:val="font31"/>
    <w:basedOn w:val="2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header" Target="header4.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24980</Words>
  <Characters>26549</Characters>
  <Lines>0</Lines>
  <Paragraphs>0</Paragraphs>
  <TotalTime>19</TotalTime>
  <ScaleCrop>false</ScaleCrop>
  <LinksUpToDate>false</LinksUpToDate>
  <CharactersWithSpaces>27908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2021-05-17T02:32:00Z</dcterms:created>
  <dc:creator>Administrator.PC-20160716QTOZ</dc:creator>
  <cp:lastModifiedBy>Administrator</cp:lastModifiedBy>
  <cp:lastPrinted>2024-04-24T01:19:00Z</cp:lastPrinted>
  <dcterms:modified xsi:type="dcterms:W3CDTF">2025-09-26T09:07:21Z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93A62CE626CC43B29C61A9C390E717B1_13</vt:lpwstr>
  </property>
  <property fmtid="{D5CDD505-2E9C-101B-9397-08002B2CF9AE}" pid="4" name="KSOSaveFontToCloudKey">
    <vt:lpwstr>240195731_btnclosed</vt:lpwstr>
  </property>
  <property fmtid="{D5CDD505-2E9C-101B-9397-08002B2CF9AE}" pid="5" name="KSOTemplateDocerSaveRecord">
    <vt:lpwstr>eyJoZGlkIjoiMmNiZDMzMDAyZjFlMGI2MTZiMGQ5MWJjODRkNjMyYTMiLCJ1c2VySWQiOiIyNDAxOTU3MzEifQ==</vt:lpwstr>
  </property>
</Properties>
</file>