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31D46">
      <w:pPr>
        <w:ind w:firstLine="881"/>
        <w:rPr>
          <w:rFonts w:hint="eastAsia" w:ascii="华文中宋" w:hAnsi="华文中宋" w:eastAsia="华文中宋" w:cs="华文中宋"/>
          <w:b/>
          <w:spacing w:val="20"/>
          <w:sz w:val="40"/>
          <w:szCs w:val="40"/>
        </w:rPr>
      </w:pPr>
    </w:p>
    <w:p w14:paraId="2C652638">
      <w:pPr>
        <w:ind w:firstLine="881"/>
        <w:rPr>
          <w:rFonts w:hint="eastAsia" w:ascii="华文中宋" w:hAnsi="华文中宋" w:eastAsia="华文中宋" w:cs="华文中宋"/>
          <w:b/>
          <w:spacing w:val="20"/>
          <w:sz w:val="40"/>
          <w:szCs w:val="40"/>
        </w:rPr>
      </w:pPr>
    </w:p>
    <w:p w14:paraId="268FAC96">
      <w:pPr>
        <w:jc w:val="center"/>
        <w:rPr>
          <w:rFonts w:hint="eastAsia" w:ascii="华文中宋" w:hAnsi="华文中宋" w:eastAsia="华文中宋" w:cs="华文中宋"/>
          <w:b/>
          <w:spacing w:val="20"/>
          <w:sz w:val="44"/>
          <w:szCs w:val="44"/>
          <w:lang w:eastAsia="zh-CN"/>
        </w:rPr>
      </w:pPr>
      <w:r>
        <w:rPr>
          <w:rFonts w:hint="eastAsia" w:ascii="华文中宋" w:hAnsi="华文中宋" w:eastAsia="华文中宋" w:cs="华文中宋"/>
          <w:b/>
          <w:spacing w:val="20"/>
          <w:sz w:val="44"/>
          <w:szCs w:val="44"/>
          <w:lang w:eastAsia="zh-CN"/>
        </w:rPr>
        <w:t>乡宁县消防救援大队购置消防救援个人</w:t>
      </w:r>
    </w:p>
    <w:p w14:paraId="5D508AC7">
      <w:pPr>
        <w:jc w:val="center"/>
        <w:rPr>
          <w:rFonts w:hint="eastAsia" w:ascii="华文中宋" w:hAnsi="华文中宋" w:eastAsia="华文中宋" w:cs="华文中宋"/>
          <w:b/>
          <w:spacing w:val="20"/>
          <w:sz w:val="44"/>
          <w:szCs w:val="44"/>
        </w:rPr>
      </w:pPr>
      <w:r>
        <w:rPr>
          <w:rFonts w:hint="eastAsia" w:ascii="华文中宋" w:hAnsi="华文中宋" w:eastAsia="华文中宋" w:cs="华文中宋"/>
          <w:b/>
          <w:spacing w:val="20"/>
          <w:sz w:val="44"/>
          <w:szCs w:val="44"/>
          <w:lang w:eastAsia="zh-CN"/>
        </w:rPr>
        <w:t>防护装备项目</w:t>
      </w:r>
    </w:p>
    <w:p w14:paraId="22A3F72B">
      <w:pPr>
        <w:ind w:firstLine="260"/>
        <w:jc w:val="center"/>
        <w:rPr>
          <w:rFonts w:hint="eastAsia" w:ascii="华文中宋" w:hAnsi="华文中宋" w:eastAsia="华文中宋" w:cs="华文中宋"/>
          <w:b/>
          <w:bCs/>
          <w:sz w:val="13"/>
          <w:szCs w:val="13"/>
        </w:rPr>
      </w:pPr>
    </w:p>
    <w:p w14:paraId="26A9DDAF">
      <w:pPr>
        <w:jc w:val="center"/>
        <w:rPr>
          <w:rFonts w:hint="eastAsia" w:ascii="华文中宋" w:hAnsi="华文中宋" w:eastAsia="华文中宋" w:cs="华文中宋"/>
          <w:b/>
          <w:spacing w:val="20"/>
          <w:sz w:val="32"/>
          <w:szCs w:val="32"/>
          <w:lang w:eastAsia="zh-CN"/>
        </w:rPr>
      </w:pPr>
      <w:bookmarkStart w:id="0" w:name="_Toc9212"/>
      <w:bookmarkStart w:id="1" w:name="_Toc23686"/>
      <w:r>
        <w:rPr>
          <w:rFonts w:hint="eastAsia" w:ascii="华文中宋" w:hAnsi="华文中宋" w:eastAsia="华文中宋" w:cs="华文中宋"/>
          <w:b/>
          <w:spacing w:val="20"/>
          <w:sz w:val="32"/>
          <w:szCs w:val="32"/>
        </w:rPr>
        <w:t>项目编号：</w:t>
      </w:r>
      <w:bookmarkEnd w:id="0"/>
      <w:bookmarkEnd w:id="1"/>
      <w:r>
        <w:rPr>
          <w:rFonts w:hint="eastAsia" w:ascii="华文中宋" w:hAnsi="华文中宋" w:eastAsia="华文中宋" w:cs="华文中宋"/>
          <w:b/>
          <w:spacing w:val="20"/>
          <w:sz w:val="32"/>
          <w:szCs w:val="32"/>
          <w:highlight w:val="none"/>
          <w:lang w:eastAsia="zh-CN"/>
        </w:rPr>
        <w:t>1410292025AGK00136</w:t>
      </w:r>
    </w:p>
    <w:p w14:paraId="49C4B971">
      <w:pPr>
        <w:pStyle w:val="21"/>
        <w:ind w:firstLine="1121"/>
        <w:jc w:val="center"/>
        <w:rPr>
          <w:rFonts w:hint="eastAsia" w:ascii="华文中宋" w:hAnsi="华文中宋" w:eastAsia="华文中宋" w:cs="华文中宋"/>
          <w:b/>
          <w:spacing w:val="20"/>
          <w:sz w:val="52"/>
          <w:szCs w:val="52"/>
          <w:u w:val="double"/>
        </w:rPr>
      </w:pPr>
    </w:p>
    <w:p w14:paraId="7D4C96C8">
      <w:pPr>
        <w:rPr>
          <w:rFonts w:hint="eastAsia" w:ascii="华文中宋" w:hAnsi="华文中宋" w:eastAsia="华文中宋" w:cs="华文中宋"/>
        </w:rPr>
      </w:pPr>
      <w:bookmarkStart w:id="2" w:name="_Toc6764"/>
      <w:bookmarkStart w:id="3" w:name="_Toc18279"/>
      <w:bookmarkStart w:id="4" w:name="_Toc16345"/>
    </w:p>
    <w:p w14:paraId="433F98C7">
      <w:pPr>
        <w:pStyle w:val="11"/>
        <w:rPr>
          <w:rFonts w:hint="eastAsia" w:ascii="华文中宋" w:hAnsi="华文中宋" w:eastAsia="华文中宋" w:cs="华文中宋"/>
        </w:rPr>
      </w:pPr>
    </w:p>
    <w:p w14:paraId="73237098">
      <w:pPr>
        <w:rPr>
          <w:rFonts w:hint="eastAsia" w:ascii="华文中宋" w:hAnsi="华文中宋" w:eastAsia="华文中宋" w:cs="华文中宋"/>
        </w:rPr>
      </w:pPr>
    </w:p>
    <w:p w14:paraId="2D663A6D">
      <w:pPr>
        <w:rPr>
          <w:rFonts w:hint="eastAsia" w:ascii="华文中宋" w:hAnsi="华文中宋" w:eastAsia="华文中宋" w:cs="华文中宋"/>
        </w:rPr>
      </w:pPr>
    </w:p>
    <w:p w14:paraId="639606EE">
      <w:pPr>
        <w:rPr>
          <w:rFonts w:hint="eastAsia" w:ascii="华文中宋" w:hAnsi="华文中宋" w:eastAsia="华文中宋" w:cs="华文中宋"/>
        </w:rPr>
      </w:pPr>
    </w:p>
    <w:p w14:paraId="2336B39E">
      <w:pPr>
        <w:spacing w:line="1200" w:lineRule="exact"/>
        <w:jc w:val="center"/>
        <w:outlineLvl w:val="0"/>
        <w:rPr>
          <w:rFonts w:hint="eastAsia" w:ascii="华文中宋" w:hAnsi="华文中宋" w:eastAsia="华文中宋" w:cs="华文中宋"/>
          <w:b/>
          <w:bCs/>
          <w:sz w:val="32"/>
          <w:szCs w:val="40"/>
        </w:rPr>
      </w:pPr>
      <w:r>
        <w:rPr>
          <w:rFonts w:hint="eastAsia" w:ascii="华文中宋" w:hAnsi="华文中宋" w:eastAsia="华文中宋" w:cs="华文中宋"/>
          <w:b/>
          <w:spacing w:val="20"/>
          <w:sz w:val="96"/>
          <w:szCs w:val="96"/>
        </w:rPr>
        <w:t>招</w:t>
      </w:r>
      <w:bookmarkEnd w:id="2"/>
      <w:bookmarkEnd w:id="3"/>
      <w:bookmarkEnd w:id="4"/>
      <w:bookmarkStart w:id="5" w:name="_Toc13357"/>
      <w:bookmarkStart w:id="6" w:name="_Toc28246"/>
      <w:bookmarkStart w:id="7" w:name="_Toc8359"/>
      <w:r>
        <w:rPr>
          <w:rFonts w:hint="eastAsia" w:ascii="华文中宋" w:hAnsi="华文中宋" w:eastAsia="华文中宋" w:cs="华文中宋"/>
          <w:b/>
          <w:spacing w:val="20"/>
          <w:sz w:val="96"/>
          <w:szCs w:val="96"/>
        </w:rPr>
        <w:t>标</w:t>
      </w:r>
      <w:bookmarkEnd w:id="5"/>
      <w:bookmarkEnd w:id="6"/>
      <w:bookmarkEnd w:id="7"/>
      <w:bookmarkStart w:id="8" w:name="_Toc30973"/>
      <w:bookmarkStart w:id="9" w:name="_Toc14775"/>
      <w:bookmarkStart w:id="10" w:name="_Toc18038"/>
      <w:r>
        <w:rPr>
          <w:rFonts w:hint="eastAsia" w:ascii="华文中宋" w:hAnsi="华文中宋" w:eastAsia="华文中宋" w:cs="华文中宋"/>
          <w:b/>
          <w:spacing w:val="20"/>
          <w:sz w:val="96"/>
          <w:szCs w:val="96"/>
        </w:rPr>
        <w:t>文</w:t>
      </w:r>
      <w:bookmarkEnd w:id="8"/>
      <w:bookmarkEnd w:id="9"/>
      <w:bookmarkEnd w:id="10"/>
      <w:bookmarkStart w:id="11" w:name="_Toc29289"/>
      <w:bookmarkStart w:id="12" w:name="_Toc25464"/>
      <w:bookmarkStart w:id="13" w:name="_Toc30699"/>
      <w:r>
        <w:rPr>
          <w:rFonts w:hint="eastAsia" w:ascii="华文中宋" w:hAnsi="华文中宋" w:eastAsia="华文中宋" w:cs="华文中宋"/>
          <w:b/>
          <w:spacing w:val="20"/>
          <w:sz w:val="96"/>
          <w:szCs w:val="96"/>
        </w:rPr>
        <w:t>件</w:t>
      </w:r>
      <w:bookmarkEnd w:id="11"/>
      <w:bookmarkEnd w:id="12"/>
      <w:bookmarkEnd w:id="13"/>
    </w:p>
    <w:p w14:paraId="270FA7DF">
      <w:pPr>
        <w:spacing w:line="700" w:lineRule="exact"/>
        <w:ind w:firstLine="721"/>
        <w:rPr>
          <w:rFonts w:hint="eastAsia" w:ascii="华文中宋" w:hAnsi="华文中宋" w:eastAsia="华文中宋" w:cs="华文中宋"/>
          <w:b/>
          <w:bCs/>
          <w:sz w:val="36"/>
          <w:szCs w:val="36"/>
        </w:rPr>
      </w:pPr>
    </w:p>
    <w:p w14:paraId="1EF4FDF8">
      <w:pPr>
        <w:spacing w:line="600" w:lineRule="exact"/>
        <w:ind w:firstLine="601"/>
        <w:rPr>
          <w:rFonts w:hint="eastAsia" w:ascii="华文中宋" w:hAnsi="华文中宋" w:eastAsia="华文中宋" w:cs="华文中宋"/>
          <w:b/>
          <w:bCs/>
          <w:sz w:val="30"/>
          <w:szCs w:val="30"/>
        </w:rPr>
      </w:pPr>
    </w:p>
    <w:p w14:paraId="76C0FF0E">
      <w:pPr>
        <w:pStyle w:val="27"/>
        <w:ind w:firstLine="602"/>
        <w:rPr>
          <w:rFonts w:hint="eastAsia" w:ascii="华文中宋" w:hAnsi="华文中宋" w:eastAsia="华文中宋" w:cs="华文中宋"/>
          <w:b/>
          <w:bCs/>
          <w:sz w:val="30"/>
          <w:szCs w:val="30"/>
        </w:rPr>
      </w:pPr>
    </w:p>
    <w:p w14:paraId="594B810B">
      <w:pPr>
        <w:ind w:firstLine="601"/>
        <w:rPr>
          <w:rFonts w:hint="eastAsia" w:ascii="华文中宋" w:hAnsi="华文中宋" w:eastAsia="华文中宋" w:cs="华文中宋"/>
          <w:b/>
          <w:bCs/>
          <w:sz w:val="30"/>
          <w:szCs w:val="30"/>
        </w:rPr>
      </w:pPr>
    </w:p>
    <w:p w14:paraId="30736CF8">
      <w:pPr>
        <w:pStyle w:val="70"/>
        <w:ind w:firstLine="601"/>
        <w:rPr>
          <w:rFonts w:hint="eastAsia" w:ascii="华文中宋" w:hAnsi="华文中宋" w:eastAsia="华文中宋" w:cs="华文中宋"/>
          <w:b/>
          <w:bCs/>
          <w:sz w:val="30"/>
          <w:szCs w:val="30"/>
        </w:rPr>
      </w:pPr>
    </w:p>
    <w:p w14:paraId="7039B0CC">
      <w:pPr>
        <w:spacing w:line="600" w:lineRule="auto"/>
        <w:ind w:firstLine="641"/>
        <w:jc w:val="center"/>
        <w:rPr>
          <w:rFonts w:hint="eastAsia" w:ascii="华文中宋" w:hAnsi="华文中宋" w:eastAsia="华文中宋" w:cs="华文中宋"/>
          <w:b/>
          <w:bCs/>
          <w:sz w:val="32"/>
          <w:szCs w:val="32"/>
        </w:rPr>
      </w:pPr>
      <w:bookmarkStart w:id="14" w:name="_Toc14283"/>
      <w:bookmarkStart w:id="15" w:name="_Toc15043"/>
      <w:bookmarkStart w:id="16" w:name="_Toc26436"/>
      <w:r>
        <w:rPr>
          <w:rFonts w:hint="eastAsia" w:ascii="华文中宋" w:hAnsi="华文中宋" w:eastAsia="华文中宋" w:cs="华文中宋"/>
          <w:b/>
          <w:bCs/>
          <w:sz w:val="32"/>
          <w:szCs w:val="32"/>
        </w:rPr>
        <w:t xml:space="preserve">采 购 人: </w:t>
      </w:r>
      <w:bookmarkEnd w:id="14"/>
      <w:bookmarkEnd w:id="15"/>
      <w:bookmarkEnd w:id="16"/>
      <w:bookmarkStart w:id="17" w:name="_Toc27908"/>
      <w:bookmarkStart w:id="18" w:name="_Toc7568"/>
      <w:bookmarkStart w:id="19" w:name="_Toc1015"/>
      <w:r>
        <w:rPr>
          <w:rFonts w:hint="eastAsia" w:ascii="华文中宋" w:hAnsi="华文中宋" w:eastAsia="华文中宋" w:cs="华文中宋"/>
          <w:b/>
          <w:bCs/>
          <w:sz w:val="32"/>
          <w:szCs w:val="32"/>
          <w:lang w:eastAsia="zh-CN"/>
        </w:rPr>
        <w:t>乡宁县应急管理局</w:t>
      </w:r>
    </w:p>
    <w:p w14:paraId="350B6728">
      <w:pPr>
        <w:spacing w:line="600" w:lineRule="auto"/>
        <w:ind w:firstLine="641"/>
        <w:jc w:val="center"/>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rPr>
        <w:t xml:space="preserve">代理机构: </w:t>
      </w:r>
      <w:bookmarkEnd w:id="17"/>
      <w:bookmarkEnd w:id="18"/>
      <w:bookmarkEnd w:id="19"/>
      <w:r>
        <w:rPr>
          <w:rFonts w:hint="eastAsia" w:ascii="华文中宋" w:hAnsi="华文中宋" w:eastAsia="华文中宋" w:cs="华文中宋"/>
          <w:b/>
          <w:bCs/>
          <w:sz w:val="32"/>
          <w:szCs w:val="32"/>
          <w:lang w:eastAsia="zh-CN"/>
        </w:rPr>
        <w:t>山西鑫泰合工程项目管理有限公司</w:t>
      </w:r>
    </w:p>
    <w:p w14:paraId="3F7C222C">
      <w:pPr>
        <w:spacing w:line="600" w:lineRule="auto"/>
        <w:ind w:firstLine="641"/>
        <w:jc w:val="center"/>
        <w:rPr>
          <w:rFonts w:hint="eastAsia" w:ascii="华文中宋" w:hAnsi="华文中宋" w:eastAsia="华文中宋" w:cs="华文中宋"/>
          <w:b/>
          <w:bCs/>
          <w:sz w:val="32"/>
          <w:szCs w:val="32"/>
        </w:rPr>
      </w:pPr>
      <w:bookmarkStart w:id="20" w:name="_Toc30937"/>
      <w:bookmarkStart w:id="21" w:name="_Toc8821"/>
      <w:bookmarkStart w:id="22" w:name="_Toc9986"/>
      <w:r>
        <w:rPr>
          <w:rFonts w:hint="eastAsia" w:ascii="华文中宋" w:hAnsi="华文中宋" w:eastAsia="华文中宋" w:cs="华文中宋"/>
          <w:b/>
          <w:bCs/>
          <w:sz w:val="32"/>
          <w:szCs w:val="32"/>
        </w:rPr>
        <w:t>二〇二</w:t>
      </w:r>
      <w:r>
        <w:rPr>
          <w:rFonts w:hint="eastAsia" w:ascii="华文中宋" w:hAnsi="华文中宋" w:eastAsia="华文中宋" w:cs="华文中宋"/>
          <w:b/>
          <w:bCs/>
          <w:sz w:val="32"/>
          <w:szCs w:val="32"/>
          <w:lang w:val="en-US" w:eastAsia="zh-CN"/>
        </w:rPr>
        <w:t>五</w:t>
      </w:r>
      <w:r>
        <w:rPr>
          <w:rFonts w:hint="eastAsia" w:ascii="华文中宋" w:hAnsi="华文中宋" w:eastAsia="华文中宋" w:cs="华文中宋"/>
          <w:b/>
          <w:bCs/>
          <w:sz w:val="32"/>
          <w:szCs w:val="32"/>
        </w:rPr>
        <w:t>年</w:t>
      </w:r>
      <w:r>
        <w:rPr>
          <w:rFonts w:hint="eastAsia" w:ascii="华文中宋" w:hAnsi="华文中宋" w:eastAsia="华文中宋" w:cs="华文中宋"/>
          <w:b/>
          <w:bCs/>
          <w:sz w:val="32"/>
          <w:szCs w:val="32"/>
          <w:lang w:val="en-US" w:eastAsia="zh-CN"/>
        </w:rPr>
        <w:t>七</w:t>
      </w:r>
      <w:r>
        <w:rPr>
          <w:rFonts w:hint="eastAsia" w:ascii="华文中宋" w:hAnsi="华文中宋" w:eastAsia="华文中宋" w:cs="华文中宋"/>
          <w:b/>
          <w:bCs/>
          <w:sz w:val="32"/>
          <w:szCs w:val="32"/>
        </w:rPr>
        <w:t>月</w:t>
      </w:r>
      <w:bookmarkEnd w:id="20"/>
      <w:bookmarkEnd w:id="21"/>
      <w:bookmarkEnd w:id="22"/>
    </w:p>
    <w:p w14:paraId="0070EC86">
      <w:pPr>
        <w:tabs>
          <w:tab w:val="left" w:pos="2070"/>
          <w:tab w:val="center" w:pos="4365"/>
        </w:tabs>
        <w:snapToGrid w:val="0"/>
        <w:ind w:firstLine="640"/>
        <w:jc w:val="center"/>
        <w:rPr>
          <w:rFonts w:hint="eastAsia" w:ascii="华文中宋" w:hAnsi="华文中宋" w:eastAsia="华文中宋" w:cs="华文中宋"/>
          <w:sz w:val="32"/>
          <w:szCs w:val="32"/>
        </w:rPr>
        <w:sectPr>
          <w:headerReference r:id="rId3" w:type="default"/>
          <w:pgSz w:w="11906" w:h="16838"/>
          <w:pgMar w:top="1134" w:right="1361" w:bottom="1021" w:left="1531" w:header="851" w:footer="992" w:gutter="0"/>
          <w:pgNumType w:start="1"/>
          <w:cols w:space="425" w:num="1"/>
          <w:docGrid w:type="lines" w:linePitch="312" w:charSpace="0"/>
        </w:sectPr>
      </w:pPr>
    </w:p>
    <w:p w14:paraId="393390B7">
      <w:pPr>
        <w:tabs>
          <w:tab w:val="left" w:pos="2070"/>
          <w:tab w:val="center" w:pos="4365"/>
        </w:tabs>
        <w:snapToGrid w:val="0"/>
        <w:spacing w:line="360" w:lineRule="auto"/>
        <w:jc w:val="both"/>
        <w:rPr>
          <w:rFonts w:hint="eastAsia" w:ascii="华文中宋" w:hAnsi="华文中宋" w:eastAsia="华文中宋" w:cs="华文中宋"/>
          <w:b/>
          <w:sz w:val="28"/>
          <w:szCs w:val="28"/>
        </w:rPr>
      </w:pPr>
    </w:p>
    <w:p w14:paraId="687A0CD6">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3D1754DD">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0884FA88">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68647E30">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2AB74AB7">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7A38B60A">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6D546E07">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28528537">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291175E7">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3F154BEA">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29F8528E">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15FC4828">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4E9ECEC4">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78715D05">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36641511">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656D1551">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75605225">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p>
    <w:p w14:paraId="0653FC00">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sectPr>
          <w:headerReference r:id="rId4" w:type="default"/>
          <w:footerReference r:id="rId5" w:type="default"/>
          <w:pgSz w:w="11906" w:h="16838"/>
          <w:pgMar w:top="1134" w:right="1361" w:bottom="1021" w:left="1531" w:header="851" w:footer="992" w:gutter="0"/>
          <w:pgNumType w:start="1"/>
          <w:cols w:space="425" w:num="1"/>
          <w:docGrid w:type="lines" w:linePitch="312" w:charSpace="0"/>
        </w:sectPr>
      </w:pPr>
    </w:p>
    <w:p w14:paraId="540D7309">
      <w:pPr>
        <w:tabs>
          <w:tab w:val="left" w:pos="2070"/>
          <w:tab w:val="center" w:pos="4365"/>
        </w:tabs>
        <w:snapToGrid w:val="0"/>
        <w:spacing w:line="360" w:lineRule="auto"/>
        <w:ind w:firstLine="561"/>
        <w:jc w:val="center"/>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目      录</w:t>
      </w:r>
    </w:p>
    <w:p w14:paraId="79A9FE22">
      <w:pPr>
        <w:pStyle w:val="21"/>
        <w:ind w:firstLine="360"/>
        <w:rPr>
          <w:rFonts w:hint="eastAsia" w:ascii="华文中宋" w:hAnsi="华文中宋" w:eastAsia="华文中宋" w:cs="华文中宋"/>
        </w:rPr>
      </w:pPr>
    </w:p>
    <w:p w14:paraId="4A497432">
      <w:pPr>
        <w:pStyle w:val="23"/>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sz w:val="24"/>
        </w:rPr>
        <w:fldChar w:fldCharType="begin"/>
      </w:r>
      <w:r>
        <w:rPr>
          <w:rFonts w:hint="eastAsia" w:ascii="华文中宋" w:hAnsi="华文中宋" w:eastAsia="华文中宋" w:cs="华文中宋"/>
          <w:sz w:val="24"/>
        </w:rPr>
        <w:instrText xml:space="preserve">TOC \o "1-3" \n  \h \u </w:instrText>
      </w:r>
      <w:r>
        <w:rPr>
          <w:rFonts w:hint="eastAsia" w:ascii="华文中宋" w:hAnsi="华文中宋" w:eastAsia="华文中宋" w:cs="华文中宋"/>
          <w:sz w:val="24"/>
        </w:rPr>
        <w:fldChar w:fldCharType="separate"/>
      </w: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"_Toc14475" </w:instrText>
      </w:r>
      <w:r>
        <w:rPr>
          <w:rFonts w:hint="eastAsia" w:ascii="华文中宋" w:hAnsi="华文中宋" w:eastAsia="华文中宋" w:cs="华文中宋"/>
        </w:rPr>
        <w:fldChar w:fldCharType="separate"/>
      </w:r>
      <w:r>
        <w:rPr>
          <w:rFonts w:hint="eastAsia" w:ascii="华文中宋" w:hAnsi="华文中宋" w:eastAsia="华文中宋" w:cs="华文中宋"/>
          <w:spacing w:val="20"/>
          <w:sz w:val="24"/>
        </w:rPr>
        <w:t>第一部分  招标</w:t>
      </w:r>
      <w:r>
        <w:rPr>
          <w:rFonts w:hint="eastAsia" w:ascii="华文中宋" w:hAnsi="华文中宋" w:eastAsia="华文中宋" w:cs="华文中宋"/>
          <w:spacing w:val="20"/>
          <w:sz w:val="24"/>
        </w:rPr>
        <w:fldChar w:fldCharType="end"/>
      </w:r>
      <w:r>
        <w:rPr>
          <w:rFonts w:hint="eastAsia" w:ascii="华文中宋" w:hAnsi="华文中宋" w:eastAsia="华文中宋" w:cs="华文中宋"/>
          <w:spacing w:val="20"/>
          <w:sz w:val="24"/>
        </w:rPr>
        <w:t>公告</w:t>
      </w:r>
    </w:p>
    <w:p w14:paraId="170D92D0">
      <w:pPr>
        <w:pStyle w:val="23"/>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"_Toc23292" </w:instrText>
      </w:r>
      <w:r>
        <w:rPr>
          <w:rFonts w:hint="eastAsia" w:ascii="华文中宋" w:hAnsi="华文中宋" w:eastAsia="华文中宋" w:cs="华文中宋"/>
        </w:rPr>
        <w:fldChar w:fldCharType="separate"/>
      </w:r>
      <w:r>
        <w:rPr>
          <w:rFonts w:hint="eastAsia" w:ascii="华文中宋" w:hAnsi="华文中宋" w:eastAsia="华文中宋" w:cs="华文中宋"/>
          <w:spacing w:val="20"/>
          <w:sz w:val="24"/>
        </w:rPr>
        <w:t>第二部分  投标人须知前附表</w:t>
      </w:r>
      <w:r>
        <w:rPr>
          <w:rFonts w:hint="eastAsia" w:ascii="华文中宋" w:hAnsi="华文中宋" w:eastAsia="华文中宋" w:cs="华文中宋"/>
          <w:spacing w:val="20"/>
          <w:sz w:val="24"/>
        </w:rPr>
        <w:fldChar w:fldCharType="end"/>
      </w:r>
    </w:p>
    <w:p w14:paraId="34612C03">
      <w:pPr>
        <w:pStyle w:val="23"/>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"_Toc24310" </w:instrText>
      </w:r>
      <w:r>
        <w:rPr>
          <w:rFonts w:hint="eastAsia" w:ascii="华文中宋" w:hAnsi="华文中宋" w:eastAsia="华文中宋" w:cs="华文中宋"/>
        </w:rPr>
        <w:fldChar w:fldCharType="separate"/>
      </w:r>
      <w:r>
        <w:rPr>
          <w:rFonts w:hint="eastAsia" w:ascii="华文中宋" w:hAnsi="华文中宋" w:eastAsia="华文中宋" w:cs="华文中宋"/>
          <w:spacing w:val="20"/>
          <w:sz w:val="24"/>
        </w:rPr>
        <w:t>第三部分  投标人须知</w:t>
      </w:r>
      <w:r>
        <w:rPr>
          <w:rFonts w:hint="eastAsia" w:ascii="华文中宋" w:hAnsi="华文中宋" w:eastAsia="华文中宋" w:cs="华文中宋"/>
          <w:spacing w:val="20"/>
          <w:sz w:val="24"/>
        </w:rPr>
        <w:fldChar w:fldCharType="end"/>
      </w:r>
    </w:p>
    <w:p w14:paraId="0385C6DE">
      <w:pPr>
        <w:pStyle w:val="24"/>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"_Toc25539"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一、 总则</w:t>
      </w:r>
      <w:r>
        <w:rPr>
          <w:rFonts w:hint="eastAsia" w:ascii="华文中宋" w:hAnsi="华文中宋" w:eastAsia="华文中宋" w:cs="华文中宋"/>
          <w:sz w:val="24"/>
        </w:rPr>
        <w:fldChar w:fldCharType="end"/>
      </w:r>
    </w:p>
    <w:p w14:paraId="49667D00">
      <w:pPr>
        <w:pStyle w:val="24"/>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"_Toc25807"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二、招标文件</w:t>
      </w:r>
      <w:r>
        <w:rPr>
          <w:rFonts w:hint="eastAsia" w:ascii="华文中宋" w:hAnsi="华文中宋" w:eastAsia="华文中宋" w:cs="华文中宋"/>
          <w:sz w:val="24"/>
        </w:rPr>
        <w:fldChar w:fldCharType="end"/>
      </w:r>
    </w:p>
    <w:p w14:paraId="3A089379">
      <w:pPr>
        <w:pStyle w:val="24"/>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"_Toc20870"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三、投标文件</w:t>
      </w:r>
      <w:r>
        <w:rPr>
          <w:rFonts w:hint="eastAsia" w:ascii="华文中宋" w:hAnsi="华文中宋" w:eastAsia="华文中宋" w:cs="华文中宋"/>
          <w:sz w:val="24"/>
        </w:rPr>
        <w:fldChar w:fldCharType="end"/>
      </w:r>
    </w:p>
    <w:p w14:paraId="5F974407">
      <w:pPr>
        <w:pStyle w:val="24"/>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"_Toc8511"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四、投标文件的递交</w:t>
      </w:r>
      <w:r>
        <w:rPr>
          <w:rFonts w:hint="eastAsia" w:ascii="华文中宋" w:hAnsi="华文中宋" w:eastAsia="华文中宋" w:cs="华文中宋"/>
          <w:sz w:val="24"/>
        </w:rPr>
        <w:fldChar w:fldCharType="end"/>
      </w:r>
    </w:p>
    <w:p w14:paraId="213EF714">
      <w:pPr>
        <w:pStyle w:val="24"/>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"_Toc36"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五、开标</w:t>
      </w:r>
      <w:r>
        <w:rPr>
          <w:rFonts w:hint="eastAsia" w:ascii="华文中宋" w:hAnsi="华文中宋" w:eastAsia="华文中宋" w:cs="华文中宋"/>
          <w:sz w:val="24"/>
        </w:rPr>
        <w:fldChar w:fldCharType="end"/>
      </w:r>
    </w:p>
    <w:p w14:paraId="4CB43690">
      <w:pPr>
        <w:pStyle w:val="24"/>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"_Toc2615"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六、评标程序和要求</w:t>
      </w:r>
      <w:r>
        <w:rPr>
          <w:rFonts w:hint="eastAsia" w:ascii="华文中宋" w:hAnsi="华文中宋" w:eastAsia="华文中宋" w:cs="华文中宋"/>
          <w:sz w:val="24"/>
        </w:rPr>
        <w:fldChar w:fldCharType="end"/>
      </w:r>
    </w:p>
    <w:p w14:paraId="3E1EEF0C">
      <w:pPr>
        <w:pStyle w:val="24"/>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"_Toc1257"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七、签订合同</w:t>
      </w:r>
      <w:r>
        <w:rPr>
          <w:rFonts w:hint="eastAsia" w:ascii="华文中宋" w:hAnsi="华文中宋" w:eastAsia="华文中宋" w:cs="华文中宋"/>
          <w:sz w:val="24"/>
        </w:rPr>
        <w:fldChar w:fldCharType="end"/>
      </w:r>
    </w:p>
    <w:p w14:paraId="0B70C240">
      <w:pPr>
        <w:pStyle w:val="24"/>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"_Toc25217"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八、服务费</w:t>
      </w:r>
      <w:r>
        <w:rPr>
          <w:rFonts w:hint="eastAsia" w:ascii="华文中宋" w:hAnsi="华文中宋" w:eastAsia="华文中宋" w:cs="华文中宋"/>
          <w:sz w:val="24"/>
        </w:rPr>
        <w:fldChar w:fldCharType="end"/>
      </w:r>
    </w:p>
    <w:p w14:paraId="1E49795E">
      <w:pPr>
        <w:pStyle w:val="24"/>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"_Toc22366"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九、保密和披露</w:t>
      </w:r>
      <w:r>
        <w:rPr>
          <w:rFonts w:hint="eastAsia" w:ascii="华文中宋" w:hAnsi="华文中宋" w:eastAsia="华文中宋" w:cs="华文中宋"/>
          <w:sz w:val="24"/>
        </w:rPr>
        <w:fldChar w:fldCharType="end"/>
      </w:r>
    </w:p>
    <w:p w14:paraId="7020DF21">
      <w:pPr>
        <w:pStyle w:val="24"/>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"_Toc11204" </w:instrText>
      </w:r>
      <w:r>
        <w:rPr>
          <w:rFonts w:hint="eastAsia" w:ascii="华文中宋" w:hAnsi="华文中宋" w:eastAsia="华文中宋" w:cs="华文中宋"/>
        </w:rPr>
        <w:fldChar w:fldCharType="separate"/>
      </w:r>
      <w:r>
        <w:rPr>
          <w:rFonts w:hint="eastAsia" w:ascii="华文中宋" w:hAnsi="华文中宋" w:eastAsia="华文中宋" w:cs="华文中宋"/>
          <w:sz w:val="24"/>
        </w:rPr>
        <w:t>十、询问和质疑</w:t>
      </w:r>
      <w:r>
        <w:rPr>
          <w:rFonts w:hint="eastAsia" w:ascii="华文中宋" w:hAnsi="华文中宋" w:eastAsia="华文中宋" w:cs="华文中宋"/>
          <w:sz w:val="24"/>
        </w:rPr>
        <w:fldChar w:fldCharType="end"/>
      </w:r>
    </w:p>
    <w:p w14:paraId="4A7786E6">
      <w:pPr>
        <w:pStyle w:val="23"/>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"_Toc16843" </w:instrText>
      </w:r>
      <w:r>
        <w:rPr>
          <w:rFonts w:hint="eastAsia" w:ascii="华文中宋" w:hAnsi="华文中宋" w:eastAsia="华文中宋" w:cs="华文中宋"/>
        </w:rPr>
        <w:fldChar w:fldCharType="separate"/>
      </w:r>
      <w:r>
        <w:rPr>
          <w:rFonts w:hint="eastAsia" w:ascii="华文中宋" w:hAnsi="华文中宋" w:eastAsia="华文中宋" w:cs="华文中宋"/>
          <w:spacing w:val="20"/>
          <w:sz w:val="24"/>
        </w:rPr>
        <w:t>第四部分  商务、技术要求</w:t>
      </w:r>
      <w:r>
        <w:rPr>
          <w:rFonts w:hint="eastAsia" w:ascii="华文中宋" w:hAnsi="华文中宋" w:eastAsia="华文中宋" w:cs="华文中宋"/>
          <w:spacing w:val="20"/>
          <w:sz w:val="24"/>
        </w:rPr>
        <w:fldChar w:fldCharType="end"/>
      </w:r>
    </w:p>
    <w:p w14:paraId="39916B16">
      <w:pPr>
        <w:pStyle w:val="23"/>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"_Toc383" </w:instrText>
      </w:r>
      <w:r>
        <w:rPr>
          <w:rFonts w:hint="eastAsia" w:ascii="华文中宋" w:hAnsi="华文中宋" w:eastAsia="华文中宋" w:cs="华文中宋"/>
        </w:rPr>
        <w:fldChar w:fldCharType="separate"/>
      </w:r>
      <w:r>
        <w:rPr>
          <w:rFonts w:hint="eastAsia" w:ascii="华文中宋" w:hAnsi="华文中宋" w:eastAsia="华文中宋" w:cs="华文中宋"/>
          <w:spacing w:val="20"/>
          <w:sz w:val="24"/>
        </w:rPr>
        <w:t>第五部分  资格审查内容及标准</w:t>
      </w:r>
      <w:r>
        <w:rPr>
          <w:rFonts w:hint="eastAsia" w:ascii="华文中宋" w:hAnsi="华文中宋" w:eastAsia="华文中宋" w:cs="华文中宋"/>
          <w:spacing w:val="20"/>
          <w:sz w:val="24"/>
        </w:rPr>
        <w:fldChar w:fldCharType="end"/>
      </w:r>
    </w:p>
    <w:p w14:paraId="365B027A">
      <w:pPr>
        <w:pStyle w:val="23"/>
        <w:tabs>
          <w:tab w:val="right" w:pos="9014"/>
        </w:tabs>
        <w:spacing w:line="520" w:lineRule="exact"/>
        <w:rPr>
          <w:rFonts w:hint="eastAsia" w:ascii="华文中宋" w:hAnsi="华文中宋" w:eastAsia="华文中宋" w:cs="华文中宋"/>
          <w:spacing w:val="20"/>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"_Toc19132" </w:instrText>
      </w:r>
      <w:r>
        <w:rPr>
          <w:rFonts w:hint="eastAsia" w:ascii="华文中宋" w:hAnsi="华文中宋" w:eastAsia="华文中宋" w:cs="华文中宋"/>
        </w:rPr>
        <w:fldChar w:fldCharType="separate"/>
      </w:r>
      <w:r>
        <w:rPr>
          <w:rFonts w:hint="eastAsia" w:ascii="华文中宋" w:hAnsi="华文中宋" w:eastAsia="华文中宋" w:cs="华文中宋"/>
          <w:spacing w:val="20"/>
          <w:sz w:val="24"/>
        </w:rPr>
        <w:t>第六部分  评标标准和评标方法</w:t>
      </w:r>
      <w:r>
        <w:rPr>
          <w:rFonts w:hint="eastAsia" w:ascii="华文中宋" w:hAnsi="华文中宋" w:eastAsia="华文中宋" w:cs="华文中宋"/>
          <w:spacing w:val="20"/>
          <w:sz w:val="24"/>
        </w:rPr>
        <w:fldChar w:fldCharType="end"/>
      </w:r>
    </w:p>
    <w:p w14:paraId="2350E1AD">
      <w:pPr>
        <w:spacing w:line="520" w:lineRule="exact"/>
        <w:rPr>
          <w:rFonts w:hint="eastAsia" w:ascii="华文中宋" w:hAnsi="华文中宋" w:eastAsia="华文中宋" w:cs="华文中宋"/>
        </w:rPr>
      </w:pPr>
      <w:r>
        <w:rPr>
          <w:rFonts w:hint="eastAsia" w:ascii="华文中宋" w:hAnsi="华文中宋" w:eastAsia="华文中宋" w:cs="华文中宋"/>
          <w:spacing w:val="20"/>
          <w:sz w:val="24"/>
        </w:rPr>
        <w:t>第七部分  合同文本</w:t>
      </w:r>
    </w:p>
    <w:p w14:paraId="3AB4381D">
      <w:pPr>
        <w:pStyle w:val="23"/>
        <w:tabs>
          <w:tab w:val="right" w:pos="9014"/>
        </w:tabs>
        <w:spacing w:line="520" w:lineRule="exact"/>
        <w:rPr>
          <w:rFonts w:hint="eastAsia" w:ascii="华文中宋" w:hAnsi="华文中宋" w:eastAsia="华文中宋" w:cs="华文中宋"/>
          <w:sz w:val="24"/>
        </w:rPr>
      </w:pPr>
      <w:r>
        <w:rPr>
          <w:rFonts w:hint="eastAsia" w:ascii="华文中宋" w:hAnsi="华文中宋" w:eastAsia="华文中宋" w:cs="华文中宋"/>
        </w:rPr>
        <w:fldChar w:fldCharType="begin"/>
      </w:r>
      <w:r>
        <w:rPr>
          <w:rFonts w:hint="eastAsia" w:ascii="华文中宋" w:hAnsi="华文中宋" w:eastAsia="华文中宋" w:cs="华文中宋"/>
        </w:rPr>
        <w:instrText xml:space="preserve"> HYPERLINK \l "_Toc27881" </w:instrText>
      </w:r>
      <w:r>
        <w:rPr>
          <w:rFonts w:hint="eastAsia" w:ascii="华文中宋" w:hAnsi="华文中宋" w:eastAsia="华文中宋" w:cs="华文中宋"/>
        </w:rPr>
        <w:fldChar w:fldCharType="separate"/>
      </w:r>
      <w:r>
        <w:rPr>
          <w:rFonts w:hint="eastAsia" w:ascii="华文中宋" w:hAnsi="华文中宋" w:eastAsia="华文中宋" w:cs="华文中宋"/>
          <w:spacing w:val="20"/>
          <w:kern w:val="44"/>
          <w:sz w:val="24"/>
        </w:rPr>
        <w:t>第八部分  投标文件内容要求及格式</w:t>
      </w:r>
      <w:r>
        <w:rPr>
          <w:rFonts w:hint="eastAsia" w:ascii="华文中宋" w:hAnsi="华文中宋" w:eastAsia="华文中宋" w:cs="华文中宋"/>
          <w:spacing w:val="20"/>
          <w:kern w:val="44"/>
          <w:sz w:val="24"/>
        </w:rPr>
        <w:fldChar w:fldCharType="end"/>
      </w:r>
    </w:p>
    <w:p w14:paraId="5FC1B170">
      <w:pPr>
        <w:spacing w:line="520" w:lineRule="exact"/>
        <w:jc w:val="distribute"/>
        <w:rPr>
          <w:rFonts w:hint="eastAsia" w:ascii="华文中宋" w:hAnsi="华文中宋" w:eastAsia="华文中宋" w:cs="华文中宋"/>
          <w:sz w:val="24"/>
        </w:rPr>
        <w:sectPr>
          <w:footerReference r:id="rId6" w:type="default"/>
          <w:pgSz w:w="11906" w:h="16838"/>
          <w:pgMar w:top="1134" w:right="1361" w:bottom="1021" w:left="1531" w:header="851" w:footer="992" w:gutter="0"/>
          <w:pgNumType w:start="1"/>
          <w:cols w:space="425" w:num="1"/>
          <w:docGrid w:type="lines" w:linePitch="312" w:charSpace="0"/>
        </w:sectPr>
      </w:pPr>
      <w:r>
        <w:rPr>
          <w:rFonts w:hint="eastAsia" w:ascii="华文中宋" w:hAnsi="华文中宋" w:eastAsia="华文中宋" w:cs="华文中宋"/>
          <w:sz w:val="24"/>
        </w:rPr>
        <w:fldChar w:fldCharType="end"/>
      </w:r>
    </w:p>
    <w:p w14:paraId="0696FA8C">
      <w:pPr>
        <w:pStyle w:val="49"/>
        <w:numPr>
          <w:ilvl w:val="0"/>
          <w:numId w:val="0"/>
        </w:numPr>
        <w:snapToGrid w:val="0"/>
        <w:spacing w:before="0" w:after="0" w:line="360" w:lineRule="auto"/>
        <w:rPr>
          <w:rFonts w:hint="eastAsia" w:ascii="华文中宋" w:hAnsi="华文中宋" w:eastAsia="华文中宋" w:cs="华文中宋"/>
          <w:spacing w:val="20"/>
          <w:sz w:val="15"/>
          <w:szCs w:val="15"/>
        </w:rPr>
      </w:pPr>
      <w:bookmarkStart w:id="23" w:name="_Toc26881688"/>
      <w:bookmarkStart w:id="24" w:name="_Toc352761927"/>
      <w:bookmarkStart w:id="25" w:name="_Toc424378682"/>
    </w:p>
    <w:p w14:paraId="453D910B">
      <w:pPr>
        <w:pStyle w:val="49"/>
        <w:numPr>
          <w:ilvl w:val="0"/>
          <w:numId w:val="2"/>
        </w:numPr>
        <w:snapToGrid w:val="0"/>
        <w:spacing w:before="0" w:after="0" w:line="360" w:lineRule="auto"/>
        <w:ind w:firstLine="641"/>
        <w:rPr>
          <w:rFonts w:hint="eastAsia" w:ascii="华文中宋" w:hAnsi="华文中宋" w:eastAsia="华文中宋" w:cs="华文中宋"/>
          <w:spacing w:val="20"/>
          <w:szCs w:val="28"/>
        </w:rPr>
      </w:pPr>
      <w:bookmarkStart w:id="26" w:name="_Toc7296"/>
      <w:bookmarkStart w:id="27" w:name="_Toc30040"/>
      <w:bookmarkStart w:id="28" w:name="_Toc14475"/>
      <w:r>
        <w:rPr>
          <w:rFonts w:hint="eastAsia" w:ascii="华文中宋" w:hAnsi="华文中宋" w:eastAsia="华文中宋" w:cs="华文中宋"/>
          <w:spacing w:val="20"/>
          <w:szCs w:val="28"/>
        </w:rPr>
        <w:t xml:space="preserve"> </w:t>
      </w:r>
      <w:bookmarkEnd w:id="23"/>
      <w:bookmarkEnd w:id="24"/>
      <w:bookmarkEnd w:id="25"/>
      <w:bookmarkEnd w:id="26"/>
      <w:bookmarkEnd w:id="27"/>
      <w:bookmarkEnd w:id="28"/>
      <w:r>
        <w:rPr>
          <w:rFonts w:hint="eastAsia" w:ascii="华文中宋" w:hAnsi="华文中宋" w:eastAsia="华文中宋" w:cs="华文中宋"/>
          <w:spacing w:val="20"/>
          <w:szCs w:val="28"/>
        </w:rPr>
        <w:t>招标公告</w:t>
      </w:r>
    </w:p>
    <w:p w14:paraId="56007548">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项目概况</w:t>
      </w:r>
    </w:p>
    <w:p w14:paraId="509545E2">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lang w:eastAsia="zh-CN"/>
        </w:rPr>
        <w:t>乡宁县消防救援大队购置消防救援个人防护装备项目</w:t>
      </w:r>
      <w:r>
        <w:rPr>
          <w:rFonts w:hint="eastAsia" w:ascii="华文中宋" w:hAnsi="华文中宋" w:eastAsia="华文中宋" w:cs="华文中宋"/>
          <w:sz w:val="24"/>
        </w:rPr>
        <w:t>的潜在供应商应在山西省政府采购网线上获取采购文件，并于2</w:t>
      </w:r>
      <w:r>
        <w:rPr>
          <w:rFonts w:hint="eastAsia" w:ascii="华文中宋" w:hAnsi="华文中宋" w:eastAsia="华文中宋" w:cs="华文中宋"/>
          <w:sz w:val="24"/>
          <w:highlight w:val="none"/>
        </w:rPr>
        <w:t>02</w:t>
      </w:r>
      <w:r>
        <w:rPr>
          <w:rFonts w:hint="eastAsia" w:ascii="华文中宋" w:hAnsi="华文中宋" w:eastAsia="华文中宋" w:cs="华文中宋"/>
          <w:sz w:val="24"/>
          <w:highlight w:val="none"/>
          <w:lang w:val="en-US" w:eastAsia="zh-CN"/>
        </w:rPr>
        <w:t>5</w:t>
      </w:r>
      <w:r>
        <w:rPr>
          <w:rFonts w:hint="eastAsia" w:ascii="华文中宋" w:hAnsi="华文中宋" w:eastAsia="华文中宋" w:cs="华文中宋"/>
          <w:sz w:val="24"/>
          <w:highlight w:val="none"/>
        </w:rPr>
        <w:t>年</w:t>
      </w:r>
      <w:r>
        <w:rPr>
          <w:rFonts w:hint="eastAsia" w:ascii="华文中宋" w:hAnsi="华文中宋" w:eastAsia="华文中宋" w:cs="华文中宋"/>
          <w:sz w:val="24"/>
          <w:highlight w:val="none"/>
          <w:lang w:val="en-US" w:eastAsia="zh-CN"/>
        </w:rPr>
        <w:t>8</w:t>
      </w:r>
      <w:r>
        <w:rPr>
          <w:rFonts w:hint="eastAsia" w:ascii="华文中宋" w:hAnsi="华文中宋" w:eastAsia="华文中宋" w:cs="华文中宋"/>
          <w:sz w:val="24"/>
          <w:highlight w:val="none"/>
        </w:rPr>
        <w:t>月</w:t>
      </w:r>
      <w:r>
        <w:rPr>
          <w:rFonts w:hint="eastAsia" w:ascii="华文中宋" w:hAnsi="华文中宋" w:eastAsia="华文中宋" w:cs="华文中宋"/>
          <w:sz w:val="24"/>
          <w:highlight w:val="none"/>
          <w:lang w:val="en-US" w:eastAsia="zh-CN"/>
        </w:rPr>
        <w:t>11</w:t>
      </w:r>
      <w:r>
        <w:rPr>
          <w:rFonts w:hint="eastAsia" w:ascii="华文中宋" w:hAnsi="华文中宋" w:eastAsia="华文中宋" w:cs="华文中宋"/>
          <w:sz w:val="24"/>
          <w:highlight w:val="none"/>
        </w:rPr>
        <w:t>日</w:t>
      </w:r>
      <w:r>
        <w:rPr>
          <w:rFonts w:hint="eastAsia" w:ascii="华文中宋" w:hAnsi="华文中宋" w:eastAsia="华文中宋" w:cs="华文中宋"/>
          <w:sz w:val="24"/>
          <w:highlight w:val="none"/>
          <w:lang w:val="en-US" w:eastAsia="zh-CN"/>
        </w:rPr>
        <w:t>15</w:t>
      </w:r>
      <w:r>
        <w:rPr>
          <w:rFonts w:hint="eastAsia" w:ascii="华文中宋" w:hAnsi="华文中宋" w:eastAsia="华文中宋" w:cs="华文中宋"/>
          <w:sz w:val="24"/>
          <w:highlight w:val="none"/>
        </w:rPr>
        <w:t>时00分</w:t>
      </w:r>
      <w:r>
        <w:rPr>
          <w:rFonts w:hint="eastAsia" w:ascii="华文中宋" w:hAnsi="华文中宋" w:eastAsia="华文中宋" w:cs="华文中宋"/>
          <w:bCs/>
          <w:sz w:val="24"/>
          <w:highlight w:val="none"/>
        </w:rPr>
        <w:t>（</w:t>
      </w:r>
      <w:r>
        <w:rPr>
          <w:rFonts w:hint="eastAsia" w:ascii="华文中宋" w:hAnsi="华文中宋" w:eastAsia="华文中宋" w:cs="华文中宋"/>
          <w:bCs/>
          <w:sz w:val="24"/>
        </w:rPr>
        <w:t>北京时间）前提交响应文件</w:t>
      </w:r>
      <w:r>
        <w:rPr>
          <w:rFonts w:hint="eastAsia" w:ascii="华文中宋" w:hAnsi="华文中宋" w:eastAsia="华文中宋" w:cs="华文中宋"/>
          <w:sz w:val="24"/>
        </w:rPr>
        <w:t>。</w:t>
      </w:r>
    </w:p>
    <w:p w14:paraId="1815AF82">
      <w:pPr>
        <w:snapToGrid w:val="0"/>
        <w:spacing w:line="460" w:lineRule="exact"/>
        <w:rPr>
          <w:rFonts w:hint="eastAsia" w:ascii="华文中宋" w:hAnsi="华文中宋" w:eastAsia="华文中宋" w:cs="华文中宋"/>
          <w:b/>
          <w:bCs/>
          <w:sz w:val="24"/>
        </w:rPr>
      </w:pPr>
      <w:r>
        <w:rPr>
          <w:rFonts w:hint="eastAsia" w:ascii="华文中宋" w:hAnsi="华文中宋" w:eastAsia="华文中宋" w:cs="华文中宋"/>
          <w:b/>
          <w:bCs/>
          <w:sz w:val="24"/>
        </w:rPr>
        <w:t>一、项目基本情况</w:t>
      </w:r>
    </w:p>
    <w:p w14:paraId="3B0A45AD">
      <w:pPr>
        <w:snapToGrid w:val="0"/>
        <w:spacing w:line="460" w:lineRule="exact"/>
        <w:ind w:firstLine="480" w:firstLineChars="200"/>
        <w:rPr>
          <w:rFonts w:hint="eastAsia" w:ascii="华文中宋" w:hAnsi="华文中宋" w:eastAsia="华文中宋" w:cs="华文中宋"/>
          <w:sz w:val="24"/>
          <w:highlight w:val="yellow"/>
          <w:lang w:eastAsia="zh-CN"/>
        </w:rPr>
      </w:pPr>
      <w:r>
        <w:rPr>
          <w:rFonts w:hint="eastAsia" w:ascii="华文中宋" w:hAnsi="华文中宋" w:eastAsia="华文中宋" w:cs="华文中宋"/>
          <w:sz w:val="24"/>
        </w:rPr>
        <w:t>项目编号：</w:t>
      </w:r>
      <w:r>
        <w:rPr>
          <w:rFonts w:hint="eastAsia" w:ascii="华文中宋" w:hAnsi="华文中宋" w:eastAsia="华文中宋" w:cs="华文中宋"/>
          <w:sz w:val="24"/>
          <w:highlight w:val="none"/>
          <w:lang w:eastAsia="zh-CN"/>
        </w:rPr>
        <w:t>1410292025AGK00136</w:t>
      </w:r>
    </w:p>
    <w:p w14:paraId="1E7E7F86">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项目名称：</w:t>
      </w:r>
      <w:r>
        <w:rPr>
          <w:rFonts w:hint="eastAsia" w:ascii="华文中宋" w:hAnsi="华文中宋" w:eastAsia="华文中宋" w:cs="华文中宋"/>
          <w:sz w:val="24"/>
          <w:lang w:eastAsia="zh-CN"/>
        </w:rPr>
        <w:t>乡宁县消防救援大队购置消防救援个人防护装备项目</w:t>
      </w:r>
    </w:p>
    <w:p w14:paraId="3B2E0AB0">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采购方式：公开招标</w:t>
      </w:r>
    </w:p>
    <w:p w14:paraId="33D46BF3">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最高限</w:t>
      </w:r>
      <w:r>
        <w:rPr>
          <w:rFonts w:hint="eastAsia" w:ascii="华文中宋" w:hAnsi="华文中宋" w:eastAsia="华文中宋" w:cs="华文中宋"/>
          <w:sz w:val="24"/>
          <w:highlight w:val="none"/>
        </w:rPr>
        <w:t>价：</w:t>
      </w:r>
      <w:r>
        <w:rPr>
          <w:rFonts w:hint="eastAsia" w:ascii="华文中宋" w:hAnsi="华文中宋" w:eastAsia="华文中宋" w:cs="华文中宋"/>
          <w:sz w:val="24"/>
          <w:highlight w:val="none"/>
          <w:lang w:eastAsia="zh-CN"/>
        </w:rPr>
        <w:t>940201</w:t>
      </w:r>
      <w:r>
        <w:rPr>
          <w:rFonts w:hint="eastAsia" w:ascii="华文中宋" w:hAnsi="华文中宋" w:eastAsia="华文中宋" w:cs="华文中宋"/>
          <w:sz w:val="24"/>
          <w:highlight w:val="none"/>
        </w:rPr>
        <w:t>元</w:t>
      </w:r>
    </w:p>
    <w:p w14:paraId="206E6828">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采购需求：</w:t>
      </w:r>
      <w:r>
        <w:rPr>
          <w:rFonts w:hint="eastAsia" w:ascii="华文中宋" w:hAnsi="华文中宋" w:eastAsia="华文中宋" w:cs="华文中宋"/>
          <w:sz w:val="24"/>
          <w:lang w:eastAsia="zh-CN"/>
        </w:rPr>
        <w:t>乡宁县消防救援大队购置消防救援个人防护装备项目</w:t>
      </w:r>
      <w:r>
        <w:rPr>
          <w:rFonts w:hint="eastAsia" w:ascii="华文中宋" w:hAnsi="华文中宋" w:eastAsia="华文中宋" w:cs="华文中宋"/>
          <w:sz w:val="24"/>
        </w:rPr>
        <w:t>，具体内容详见招标文件。</w:t>
      </w:r>
    </w:p>
    <w:p w14:paraId="441D3167">
      <w:pPr>
        <w:snapToGrid w:val="0"/>
        <w:spacing w:line="460" w:lineRule="exact"/>
        <w:ind w:firstLine="480" w:firstLineChars="200"/>
        <w:rPr>
          <w:rFonts w:hint="eastAsia" w:ascii="华文中宋" w:hAnsi="华文中宋" w:eastAsia="华文中宋" w:cs="华文中宋"/>
          <w:sz w:val="24"/>
          <w:highlight w:val="none"/>
        </w:rPr>
      </w:pPr>
      <w:r>
        <w:rPr>
          <w:rFonts w:hint="eastAsia" w:ascii="华文中宋" w:hAnsi="华文中宋" w:eastAsia="华文中宋" w:cs="华文中宋"/>
          <w:sz w:val="24"/>
          <w:highlight w:val="none"/>
        </w:rPr>
        <w:t>交货期：</w:t>
      </w:r>
      <w:r>
        <w:rPr>
          <w:rFonts w:hint="eastAsia" w:ascii="华文中宋" w:hAnsi="华文中宋" w:eastAsia="华文中宋" w:cs="华文中宋"/>
          <w:color w:val="auto"/>
          <w:sz w:val="24"/>
          <w:szCs w:val="24"/>
          <w:highlight w:val="none"/>
        </w:rPr>
        <w:t>签订合同后</w:t>
      </w:r>
      <w:r>
        <w:rPr>
          <w:rFonts w:hint="eastAsia" w:ascii="华文中宋" w:hAnsi="华文中宋" w:eastAsia="华文中宋" w:cs="华文中宋"/>
          <w:color w:val="auto"/>
          <w:sz w:val="24"/>
          <w:szCs w:val="24"/>
          <w:highlight w:val="none"/>
          <w:lang w:val="en-US" w:eastAsia="zh-CN"/>
        </w:rPr>
        <w:t>10天</w:t>
      </w:r>
    </w:p>
    <w:p w14:paraId="3B1EFA73">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本项目不接受联合体。</w:t>
      </w:r>
    </w:p>
    <w:p w14:paraId="7969CACE">
      <w:pPr>
        <w:snapToGrid w:val="0"/>
        <w:spacing w:line="460" w:lineRule="exact"/>
        <w:rPr>
          <w:rFonts w:hint="eastAsia" w:ascii="华文中宋" w:hAnsi="华文中宋" w:eastAsia="华文中宋" w:cs="华文中宋"/>
          <w:b/>
          <w:bCs/>
          <w:sz w:val="24"/>
        </w:rPr>
      </w:pPr>
      <w:r>
        <w:rPr>
          <w:rFonts w:hint="eastAsia" w:ascii="华文中宋" w:hAnsi="华文中宋" w:eastAsia="华文中宋" w:cs="华文中宋"/>
          <w:b/>
          <w:bCs/>
          <w:sz w:val="24"/>
        </w:rPr>
        <w:t>二、申请人的资格要求：</w:t>
      </w:r>
    </w:p>
    <w:p w14:paraId="797ACC88">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2.2满足《中华人民共和国政府采购法》第二十二条规定；</w:t>
      </w:r>
    </w:p>
    <w:p w14:paraId="025F4B0F">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2.3落实政府采购政策需满足的资格要求：</w:t>
      </w:r>
      <w:r>
        <w:rPr>
          <w:rFonts w:hint="eastAsia" w:ascii="华文中宋" w:hAnsi="华文中宋" w:eastAsia="华文中宋" w:cs="华文中宋"/>
          <w:sz w:val="24"/>
          <w:lang w:val="en-US" w:eastAsia="zh-CN"/>
        </w:rPr>
        <w:t>专门面向中小企业</w:t>
      </w:r>
      <w:r>
        <w:rPr>
          <w:rFonts w:hint="eastAsia" w:ascii="华文中宋" w:hAnsi="华文中宋" w:eastAsia="华文中宋" w:cs="华文中宋"/>
          <w:sz w:val="24"/>
        </w:rPr>
        <w:t>；</w:t>
      </w:r>
    </w:p>
    <w:p w14:paraId="2F44DAA4">
      <w:pPr>
        <w:snapToGrid w:val="0"/>
        <w:spacing w:line="460" w:lineRule="exact"/>
        <w:ind w:firstLine="480" w:firstLineChars="200"/>
        <w:rPr>
          <w:rFonts w:hint="eastAsia" w:ascii="华文中宋" w:hAnsi="华文中宋" w:eastAsia="华文中宋" w:cs="华文中宋"/>
          <w:color w:val="auto"/>
          <w:sz w:val="24"/>
        </w:rPr>
      </w:pPr>
      <w:r>
        <w:rPr>
          <w:rFonts w:hint="eastAsia" w:ascii="华文中宋" w:hAnsi="华文中宋" w:eastAsia="华文中宋" w:cs="华文中宋"/>
          <w:sz w:val="24"/>
        </w:rPr>
        <w:t>2.4本项目的特定资格要</w:t>
      </w:r>
      <w:r>
        <w:rPr>
          <w:rFonts w:hint="eastAsia" w:ascii="华文中宋" w:hAnsi="华文中宋" w:eastAsia="华文中宋" w:cs="华文中宋"/>
          <w:color w:val="auto"/>
          <w:sz w:val="24"/>
        </w:rPr>
        <w:t>求：</w:t>
      </w:r>
      <w:r>
        <w:rPr>
          <w:rFonts w:hint="eastAsia" w:ascii="华文中宋" w:hAnsi="华文中宋" w:eastAsia="华文中宋" w:cs="华文中宋"/>
          <w:color w:val="auto"/>
          <w:sz w:val="24"/>
          <w:lang w:val="en-US" w:eastAsia="zh-CN"/>
        </w:rPr>
        <w:t>无</w:t>
      </w:r>
      <w:r>
        <w:rPr>
          <w:rFonts w:hint="eastAsia" w:ascii="华文中宋" w:hAnsi="华文中宋" w:eastAsia="华文中宋" w:cs="华文中宋"/>
          <w:color w:val="auto"/>
          <w:sz w:val="24"/>
        </w:rPr>
        <w:t>；</w:t>
      </w:r>
    </w:p>
    <w:p w14:paraId="2E618217">
      <w:pPr>
        <w:snapToGrid w:val="0"/>
        <w:spacing w:line="460" w:lineRule="exact"/>
        <w:rPr>
          <w:rFonts w:hint="eastAsia" w:ascii="华文中宋" w:hAnsi="华文中宋" w:eastAsia="华文中宋" w:cs="华文中宋"/>
          <w:b/>
          <w:bCs/>
          <w:sz w:val="24"/>
          <w:highlight w:val="none"/>
        </w:rPr>
      </w:pPr>
      <w:r>
        <w:rPr>
          <w:rFonts w:hint="eastAsia" w:ascii="华文中宋" w:hAnsi="华文中宋" w:eastAsia="华文中宋" w:cs="华文中宋"/>
          <w:b/>
          <w:bCs/>
          <w:sz w:val="24"/>
        </w:rPr>
        <w:t>三、获取招标文件</w:t>
      </w:r>
    </w:p>
    <w:p w14:paraId="5F95689C">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highlight w:val="none"/>
        </w:rPr>
        <w:t>时间：202</w:t>
      </w:r>
      <w:r>
        <w:rPr>
          <w:rFonts w:hint="eastAsia" w:ascii="华文中宋" w:hAnsi="华文中宋" w:eastAsia="华文中宋" w:cs="华文中宋"/>
          <w:sz w:val="24"/>
          <w:highlight w:val="none"/>
          <w:lang w:val="en-US" w:eastAsia="zh-CN"/>
        </w:rPr>
        <w:t>5</w:t>
      </w:r>
      <w:r>
        <w:rPr>
          <w:rFonts w:hint="eastAsia" w:ascii="华文中宋" w:hAnsi="华文中宋" w:eastAsia="华文中宋" w:cs="华文中宋"/>
          <w:sz w:val="24"/>
          <w:highlight w:val="none"/>
        </w:rPr>
        <w:t>年</w:t>
      </w:r>
      <w:r>
        <w:rPr>
          <w:rFonts w:hint="eastAsia" w:ascii="华文中宋" w:hAnsi="华文中宋" w:eastAsia="华文中宋" w:cs="华文中宋"/>
          <w:sz w:val="24"/>
          <w:highlight w:val="none"/>
          <w:lang w:val="en-US" w:eastAsia="zh-CN"/>
        </w:rPr>
        <w:t>7</w:t>
      </w:r>
      <w:r>
        <w:rPr>
          <w:rFonts w:hint="eastAsia" w:ascii="华文中宋" w:hAnsi="华文中宋" w:eastAsia="华文中宋" w:cs="华文中宋"/>
          <w:sz w:val="24"/>
          <w:highlight w:val="none"/>
        </w:rPr>
        <w:t>月</w:t>
      </w:r>
      <w:r>
        <w:rPr>
          <w:rFonts w:hint="eastAsia" w:ascii="华文中宋" w:hAnsi="华文中宋" w:eastAsia="华文中宋" w:cs="华文中宋"/>
          <w:sz w:val="24"/>
          <w:highlight w:val="none"/>
          <w:lang w:val="en-US" w:eastAsia="zh-CN"/>
        </w:rPr>
        <w:t>21</w:t>
      </w:r>
      <w:r>
        <w:rPr>
          <w:rFonts w:hint="eastAsia" w:ascii="华文中宋" w:hAnsi="华文中宋" w:eastAsia="华文中宋" w:cs="华文中宋"/>
          <w:sz w:val="24"/>
          <w:highlight w:val="none"/>
        </w:rPr>
        <w:t>日至202</w:t>
      </w:r>
      <w:r>
        <w:rPr>
          <w:rFonts w:hint="eastAsia" w:ascii="华文中宋" w:hAnsi="华文中宋" w:eastAsia="华文中宋" w:cs="华文中宋"/>
          <w:sz w:val="24"/>
          <w:highlight w:val="none"/>
          <w:lang w:val="en-US" w:eastAsia="zh-CN"/>
        </w:rPr>
        <w:t>5</w:t>
      </w:r>
      <w:r>
        <w:rPr>
          <w:rFonts w:hint="eastAsia" w:ascii="华文中宋" w:hAnsi="华文中宋" w:eastAsia="华文中宋" w:cs="华文中宋"/>
          <w:sz w:val="24"/>
          <w:highlight w:val="none"/>
        </w:rPr>
        <w:t>年</w:t>
      </w:r>
      <w:r>
        <w:rPr>
          <w:rFonts w:hint="eastAsia" w:ascii="华文中宋" w:hAnsi="华文中宋" w:eastAsia="华文中宋" w:cs="华文中宋"/>
          <w:sz w:val="24"/>
          <w:highlight w:val="none"/>
          <w:lang w:val="en-US" w:eastAsia="zh-CN"/>
        </w:rPr>
        <w:t>7</w:t>
      </w:r>
      <w:r>
        <w:rPr>
          <w:rFonts w:hint="eastAsia" w:ascii="华文中宋" w:hAnsi="华文中宋" w:eastAsia="华文中宋" w:cs="华文中宋"/>
          <w:sz w:val="24"/>
          <w:highlight w:val="none"/>
        </w:rPr>
        <w:t>月</w:t>
      </w:r>
      <w:r>
        <w:rPr>
          <w:rFonts w:hint="eastAsia" w:ascii="华文中宋" w:hAnsi="华文中宋" w:eastAsia="华文中宋" w:cs="华文中宋"/>
          <w:sz w:val="24"/>
          <w:highlight w:val="none"/>
          <w:lang w:val="en-US" w:eastAsia="zh-CN"/>
        </w:rPr>
        <w:t>25</w:t>
      </w:r>
      <w:r>
        <w:rPr>
          <w:rFonts w:hint="eastAsia" w:ascii="华文中宋" w:hAnsi="华文中宋" w:eastAsia="华文中宋" w:cs="华文中宋"/>
          <w:sz w:val="24"/>
          <w:highlight w:val="none"/>
        </w:rPr>
        <w:t>日，每天上</w:t>
      </w:r>
      <w:r>
        <w:rPr>
          <w:rFonts w:hint="eastAsia" w:ascii="华文中宋" w:hAnsi="华文中宋" w:eastAsia="华文中宋" w:cs="华文中宋"/>
          <w:sz w:val="24"/>
        </w:rPr>
        <w:t>午00：00至12：00，下午12：00至23：59（北京时间，法定节假日除外）；</w:t>
      </w:r>
    </w:p>
    <w:p w14:paraId="4644E056">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地点：山西政府采购平台线上获取招标文件；</w:t>
      </w:r>
    </w:p>
    <w:p w14:paraId="1195EF7D">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方式：只允许在线获取；</w:t>
      </w:r>
    </w:p>
    <w:p w14:paraId="114561A0">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售价：0元。</w:t>
      </w:r>
    </w:p>
    <w:p w14:paraId="431C50DC">
      <w:pPr>
        <w:snapToGrid w:val="0"/>
        <w:spacing w:line="460" w:lineRule="exact"/>
        <w:rPr>
          <w:rFonts w:hint="eastAsia" w:ascii="华文中宋" w:hAnsi="华文中宋" w:eastAsia="华文中宋" w:cs="华文中宋"/>
          <w:b/>
          <w:bCs/>
          <w:sz w:val="24"/>
        </w:rPr>
      </w:pPr>
      <w:r>
        <w:rPr>
          <w:rFonts w:hint="eastAsia" w:ascii="华文中宋" w:hAnsi="华文中宋" w:eastAsia="华文中宋" w:cs="华文中宋"/>
          <w:b/>
          <w:bCs/>
          <w:sz w:val="24"/>
        </w:rPr>
        <w:t>四、投标文件提交</w:t>
      </w:r>
    </w:p>
    <w:p w14:paraId="38FF4D3A">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1、电子投标文件递交截止时间和地点</w:t>
      </w:r>
    </w:p>
    <w:p w14:paraId="335703F1">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递交截止时间：2</w:t>
      </w:r>
      <w:r>
        <w:rPr>
          <w:rFonts w:hint="eastAsia" w:ascii="华文中宋" w:hAnsi="华文中宋" w:eastAsia="华文中宋" w:cs="华文中宋"/>
          <w:sz w:val="24"/>
          <w:highlight w:val="none"/>
        </w:rPr>
        <w:t>02</w:t>
      </w:r>
      <w:r>
        <w:rPr>
          <w:rFonts w:hint="eastAsia" w:ascii="华文中宋" w:hAnsi="华文中宋" w:eastAsia="华文中宋" w:cs="华文中宋"/>
          <w:sz w:val="24"/>
          <w:highlight w:val="none"/>
          <w:lang w:val="en-US" w:eastAsia="zh-CN"/>
        </w:rPr>
        <w:t>5</w:t>
      </w:r>
      <w:r>
        <w:rPr>
          <w:rFonts w:hint="eastAsia" w:ascii="华文中宋" w:hAnsi="华文中宋" w:eastAsia="华文中宋" w:cs="华文中宋"/>
          <w:sz w:val="24"/>
          <w:highlight w:val="none"/>
        </w:rPr>
        <w:t>年</w:t>
      </w:r>
      <w:r>
        <w:rPr>
          <w:rFonts w:hint="eastAsia" w:ascii="华文中宋" w:hAnsi="华文中宋" w:eastAsia="华文中宋" w:cs="华文中宋"/>
          <w:sz w:val="24"/>
          <w:highlight w:val="none"/>
          <w:lang w:val="en-US" w:eastAsia="zh-CN"/>
        </w:rPr>
        <w:t>8</w:t>
      </w:r>
      <w:r>
        <w:rPr>
          <w:rFonts w:hint="eastAsia" w:ascii="华文中宋" w:hAnsi="华文中宋" w:eastAsia="华文中宋" w:cs="华文中宋"/>
          <w:sz w:val="24"/>
          <w:highlight w:val="none"/>
        </w:rPr>
        <w:t>月</w:t>
      </w:r>
      <w:r>
        <w:rPr>
          <w:rFonts w:hint="eastAsia" w:ascii="华文中宋" w:hAnsi="华文中宋" w:eastAsia="华文中宋" w:cs="华文中宋"/>
          <w:sz w:val="24"/>
          <w:highlight w:val="none"/>
          <w:lang w:val="en-US" w:eastAsia="zh-CN"/>
        </w:rPr>
        <w:t>11</w:t>
      </w:r>
      <w:r>
        <w:rPr>
          <w:rFonts w:hint="eastAsia" w:ascii="华文中宋" w:hAnsi="华文中宋" w:eastAsia="华文中宋" w:cs="华文中宋"/>
          <w:sz w:val="24"/>
          <w:highlight w:val="none"/>
        </w:rPr>
        <w:t>日</w:t>
      </w:r>
      <w:r>
        <w:rPr>
          <w:rFonts w:hint="eastAsia" w:ascii="华文中宋" w:hAnsi="华文中宋" w:eastAsia="华文中宋" w:cs="华文中宋"/>
          <w:sz w:val="24"/>
          <w:highlight w:val="none"/>
          <w:lang w:val="en-US" w:eastAsia="zh-CN"/>
        </w:rPr>
        <w:t>15</w:t>
      </w:r>
      <w:r>
        <w:rPr>
          <w:rFonts w:hint="eastAsia" w:ascii="华文中宋" w:hAnsi="华文中宋" w:eastAsia="华文中宋" w:cs="华文中宋"/>
          <w:sz w:val="24"/>
          <w:highlight w:val="none"/>
        </w:rPr>
        <w:t>时00分</w:t>
      </w:r>
    </w:p>
    <w:p w14:paraId="1B34F4BF">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2、递交地点：山西政府采购网云平台http://www.ccgp-shanxi.gov.cn/</w:t>
      </w:r>
    </w:p>
    <w:p w14:paraId="574244D1">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供应商应在截止时间前未完成上传的，视为撤回响应文件。</w:t>
      </w:r>
    </w:p>
    <w:p w14:paraId="2C9FBFBB">
      <w:pPr>
        <w:snapToGrid w:val="0"/>
        <w:spacing w:line="460" w:lineRule="exact"/>
        <w:rPr>
          <w:rFonts w:hint="eastAsia" w:ascii="华文中宋" w:hAnsi="华文中宋" w:eastAsia="华文中宋" w:cs="华文中宋"/>
          <w:b/>
          <w:bCs/>
          <w:sz w:val="24"/>
        </w:rPr>
      </w:pPr>
      <w:r>
        <w:rPr>
          <w:rFonts w:hint="eastAsia" w:ascii="华文中宋" w:hAnsi="华文中宋" w:eastAsia="华文中宋" w:cs="华文中宋"/>
          <w:b/>
          <w:bCs/>
          <w:sz w:val="24"/>
        </w:rPr>
        <w:t>五、开启</w:t>
      </w:r>
    </w:p>
    <w:p w14:paraId="42C27C87">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时间：2</w:t>
      </w:r>
      <w:r>
        <w:rPr>
          <w:rFonts w:hint="eastAsia" w:ascii="华文中宋" w:hAnsi="华文中宋" w:eastAsia="华文中宋" w:cs="华文中宋"/>
          <w:sz w:val="24"/>
          <w:highlight w:val="none"/>
        </w:rPr>
        <w:t>02</w:t>
      </w:r>
      <w:r>
        <w:rPr>
          <w:rFonts w:hint="eastAsia" w:ascii="华文中宋" w:hAnsi="华文中宋" w:eastAsia="华文中宋" w:cs="华文中宋"/>
          <w:sz w:val="24"/>
          <w:highlight w:val="none"/>
          <w:lang w:val="en-US" w:eastAsia="zh-CN"/>
        </w:rPr>
        <w:t>5</w:t>
      </w:r>
      <w:r>
        <w:rPr>
          <w:rFonts w:hint="eastAsia" w:ascii="华文中宋" w:hAnsi="华文中宋" w:eastAsia="华文中宋" w:cs="华文中宋"/>
          <w:sz w:val="24"/>
          <w:highlight w:val="none"/>
        </w:rPr>
        <w:t>年</w:t>
      </w:r>
      <w:r>
        <w:rPr>
          <w:rFonts w:hint="eastAsia" w:ascii="华文中宋" w:hAnsi="华文中宋" w:eastAsia="华文中宋" w:cs="华文中宋"/>
          <w:sz w:val="24"/>
          <w:highlight w:val="none"/>
          <w:lang w:val="en-US" w:eastAsia="zh-CN"/>
        </w:rPr>
        <w:t>8</w:t>
      </w:r>
      <w:r>
        <w:rPr>
          <w:rFonts w:hint="eastAsia" w:ascii="华文中宋" w:hAnsi="华文中宋" w:eastAsia="华文中宋" w:cs="华文中宋"/>
          <w:sz w:val="24"/>
          <w:highlight w:val="none"/>
        </w:rPr>
        <w:t>月</w:t>
      </w:r>
      <w:r>
        <w:rPr>
          <w:rFonts w:hint="eastAsia" w:ascii="华文中宋" w:hAnsi="华文中宋" w:eastAsia="华文中宋" w:cs="华文中宋"/>
          <w:sz w:val="24"/>
          <w:highlight w:val="none"/>
          <w:lang w:val="en-US" w:eastAsia="zh-CN"/>
        </w:rPr>
        <w:t>11</w:t>
      </w:r>
      <w:r>
        <w:rPr>
          <w:rFonts w:hint="eastAsia" w:ascii="华文中宋" w:hAnsi="华文中宋" w:eastAsia="华文中宋" w:cs="华文中宋"/>
          <w:sz w:val="24"/>
          <w:highlight w:val="none"/>
        </w:rPr>
        <w:t>日</w:t>
      </w:r>
      <w:r>
        <w:rPr>
          <w:rFonts w:hint="eastAsia" w:ascii="华文中宋" w:hAnsi="华文中宋" w:eastAsia="华文中宋" w:cs="华文中宋"/>
          <w:sz w:val="24"/>
          <w:highlight w:val="none"/>
          <w:lang w:val="en-US" w:eastAsia="zh-CN"/>
        </w:rPr>
        <w:t>15</w:t>
      </w:r>
      <w:r>
        <w:rPr>
          <w:rFonts w:hint="eastAsia" w:ascii="华文中宋" w:hAnsi="华文中宋" w:eastAsia="华文中宋" w:cs="华文中宋"/>
          <w:sz w:val="24"/>
          <w:highlight w:val="none"/>
        </w:rPr>
        <w:t>时00分</w:t>
      </w:r>
      <w:r>
        <w:rPr>
          <w:rFonts w:hint="eastAsia" w:ascii="华文中宋" w:hAnsi="华文中宋" w:eastAsia="华文中宋" w:cs="华文中宋"/>
          <w:sz w:val="24"/>
        </w:rPr>
        <w:t>（北京时间）</w:t>
      </w:r>
    </w:p>
    <w:p w14:paraId="726FD0DA">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地点：山西政府采购网云平台http://www.ccgp-shanxi.gov.cn/。</w:t>
      </w:r>
    </w:p>
    <w:p w14:paraId="12E58E2F">
      <w:pPr>
        <w:snapToGrid w:val="0"/>
        <w:spacing w:line="460" w:lineRule="exact"/>
        <w:rPr>
          <w:rFonts w:hint="eastAsia" w:ascii="华文中宋" w:hAnsi="华文中宋" w:eastAsia="华文中宋" w:cs="华文中宋"/>
          <w:b/>
          <w:bCs/>
          <w:sz w:val="24"/>
        </w:rPr>
      </w:pPr>
      <w:r>
        <w:rPr>
          <w:rFonts w:hint="eastAsia" w:ascii="华文中宋" w:hAnsi="华文中宋" w:eastAsia="华文中宋" w:cs="华文中宋"/>
          <w:b/>
          <w:bCs/>
          <w:sz w:val="24"/>
        </w:rPr>
        <w:t>六、公告期限</w:t>
      </w:r>
    </w:p>
    <w:p w14:paraId="432DEC52">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自本公告发布之日起5个工作日。</w:t>
      </w:r>
    </w:p>
    <w:p w14:paraId="7181C4A7">
      <w:pPr>
        <w:snapToGrid w:val="0"/>
        <w:spacing w:line="460" w:lineRule="exact"/>
        <w:rPr>
          <w:rFonts w:hint="eastAsia" w:ascii="华文中宋" w:hAnsi="华文中宋" w:eastAsia="华文中宋" w:cs="华文中宋"/>
          <w:b/>
          <w:bCs/>
          <w:sz w:val="24"/>
        </w:rPr>
      </w:pPr>
      <w:r>
        <w:rPr>
          <w:rFonts w:hint="eastAsia" w:ascii="华文中宋" w:hAnsi="华文中宋" w:eastAsia="华文中宋" w:cs="华文中宋"/>
          <w:b/>
          <w:bCs/>
          <w:sz w:val="24"/>
        </w:rPr>
        <w:t>七、其他补充事宜</w:t>
      </w:r>
    </w:p>
    <w:p w14:paraId="3165322B">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1、针对本招标项目的质疑需一次性提出，多次提出将不予受理。</w:t>
      </w:r>
    </w:p>
    <w:p w14:paraId="22B4D71C">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2、本次招标公告在《山西省政府采购信息平台》上发布。</w:t>
      </w:r>
    </w:p>
    <w:p w14:paraId="64CEB78F">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3、各市场参与主体应通过交易平台关注澄清公告、变更公告、终止公告等有关公告，此类公告不再书面进行通知。各市场参与主体因自身原因未关注到此公告并造成损失的，责任自负。</w:t>
      </w:r>
    </w:p>
    <w:p w14:paraId="017072F2">
      <w:pPr>
        <w:snapToGrid w:val="0"/>
        <w:spacing w:line="460" w:lineRule="exact"/>
        <w:rPr>
          <w:rFonts w:hint="eastAsia" w:ascii="华文中宋" w:hAnsi="华文中宋" w:eastAsia="华文中宋" w:cs="华文中宋"/>
          <w:b/>
          <w:bCs/>
          <w:sz w:val="24"/>
        </w:rPr>
      </w:pPr>
      <w:r>
        <w:rPr>
          <w:rFonts w:hint="eastAsia" w:ascii="华文中宋" w:hAnsi="华文中宋" w:eastAsia="华文中宋" w:cs="华文中宋"/>
          <w:b/>
          <w:bCs/>
          <w:sz w:val="24"/>
        </w:rPr>
        <w:t>八、凡对本次采购提出询问，请按以下方式联系。</w:t>
      </w:r>
    </w:p>
    <w:p w14:paraId="2CFE7B20">
      <w:pPr>
        <w:snapToGrid w:val="0"/>
        <w:spacing w:line="460" w:lineRule="exact"/>
        <w:ind w:firstLine="480" w:firstLineChars="200"/>
        <w:rPr>
          <w:rFonts w:hint="eastAsia" w:ascii="华文中宋" w:hAnsi="华文中宋" w:eastAsia="华文中宋" w:cs="华文中宋"/>
          <w:sz w:val="24"/>
        </w:rPr>
      </w:pPr>
      <w:bookmarkStart w:id="29" w:name="_Toc35393637"/>
      <w:bookmarkStart w:id="30" w:name="_Toc28359096"/>
      <w:bookmarkStart w:id="31" w:name="_Toc28359019"/>
      <w:bookmarkStart w:id="32" w:name="_Toc35393806"/>
      <w:r>
        <w:rPr>
          <w:rFonts w:hint="eastAsia" w:ascii="华文中宋" w:hAnsi="华文中宋" w:eastAsia="华文中宋" w:cs="华文中宋"/>
          <w:sz w:val="24"/>
        </w:rPr>
        <w:t>1.采购人信息</w:t>
      </w:r>
      <w:bookmarkEnd w:id="29"/>
      <w:bookmarkEnd w:id="30"/>
      <w:bookmarkEnd w:id="31"/>
      <w:bookmarkEnd w:id="32"/>
    </w:p>
    <w:p w14:paraId="4C2E9F0A">
      <w:pPr>
        <w:snapToGrid w:val="0"/>
        <w:spacing w:line="460" w:lineRule="exact"/>
        <w:ind w:firstLine="480" w:firstLineChars="200"/>
        <w:rPr>
          <w:rFonts w:hint="default" w:ascii="华文中宋" w:hAnsi="华文中宋" w:eastAsia="华文中宋" w:cs="华文中宋"/>
          <w:sz w:val="24"/>
          <w:lang w:val="en-US" w:eastAsia="zh-CN"/>
        </w:rPr>
      </w:pPr>
      <w:r>
        <w:rPr>
          <w:rFonts w:hint="default" w:ascii="华文中宋" w:hAnsi="华文中宋" w:eastAsia="华文中宋" w:cs="华文中宋"/>
          <w:sz w:val="24"/>
          <w:lang w:val="en-US" w:eastAsia="zh-CN"/>
        </w:rPr>
        <w:t>名    称：乡宁县应急管理局</w:t>
      </w:r>
    </w:p>
    <w:p w14:paraId="13407A0A">
      <w:pPr>
        <w:snapToGrid w:val="0"/>
        <w:spacing w:line="460" w:lineRule="exact"/>
        <w:ind w:firstLine="480" w:firstLineChars="200"/>
        <w:rPr>
          <w:rFonts w:hint="default" w:ascii="华文中宋" w:hAnsi="华文中宋" w:eastAsia="华文中宋" w:cs="华文中宋"/>
          <w:sz w:val="24"/>
          <w:lang w:val="en-US" w:eastAsia="zh-CN"/>
        </w:rPr>
      </w:pPr>
      <w:r>
        <w:rPr>
          <w:rFonts w:hint="default" w:ascii="华文中宋" w:hAnsi="华文中宋" w:eastAsia="华文中宋" w:cs="华文中宋"/>
          <w:sz w:val="24"/>
          <w:lang w:val="en-US" w:eastAsia="zh-CN"/>
        </w:rPr>
        <w:t xml:space="preserve">联 系 人：闫毅明              </w:t>
      </w:r>
    </w:p>
    <w:p w14:paraId="21121972">
      <w:pPr>
        <w:snapToGrid w:val="0"/>
        <w:spacing w:line="460" w:lineRule="exact"/>
        <w:ind w:firstLine="480" w:firstLineChars="200"/>
        <w:rPr>
          <w:rFonts w:hint="default" w:ascii="华文中宋" w:hAnsi="华文中宋" w:eastAsia="华文中宋" w:cs="华文中宋"/>
          <w:sz w:val="24"/>
          <w:lang w:val="en-US" w:eastAsia="zh-CN"/>
        </w:rPr>
      </w:pPr>
      <w:r>
        <w:rPr>
          <w:rFonts w:hint="default" w:ascii="华文中宋" w:hAnsi="华文中宋" w:eastAsia="华文中宋" w:cs="华文中宋"/>
          <w:sz w:val="24"/>
          <w:lang w:val="en-US" w:eastAsia="zh-CN"/>
        </w:rPr>
        <w:t>电    话：13593548118</w:t>
      </w:r>
    </w:p>
    <w:p w14:paraId="1D35BDBD">
      <w:pPr>
        <w:snapToGrid w:val="0"/>
        <w:spacing w:line="460" w:lineRule="exact"/>
        <w:ind w:firstLine="480" w:firstLineChars="200"/>
        <w:rPr>
          <w:rFonts w:hint="eastAsia" w:ascii="华文中宋" w:hAnsi="华文中宋" w:eastAsia="华文中宋" w:cs="华文中宋"/>
          <w:sz w:val="24"/>
        </w:rPr>
      </w:pPr>
      <w:bookmarkStart w:id="33" w:name="_Toc28359097"/>
      <w:bookmarkStart w:id="34" w:name="_Toc35393807"/>
      <w:bookmarkStart w:id="35" w:name="_Toc28359020"/>
      <w:bookmarkStart w:id="36" w:name="_Toc35393638"/>
      <w:r>
        <w:rPr>
          <w:rFonts w:hint="eastAsia" w:ascii="华文中宋" w:hAnsi="华文中宋" w:eastAsia="华文中宋" w:cs="华文中宋"/>
          <w:sz w:val="24"/>
        </w:rPr>
        <w:t>2.采购代理机构信息</w:t>
      </w:r>
      <w:bookmarkEnd w:id="33"/>
      <w:bookmarkEnd w:id="34"/>
      <w:bookmarkEnd w:id="35"/>
      <w:bookmarkEnd w:id="36"/>
    </w:p>
    <w:p w14:paraId="49B88D9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华文中宋" w:hAnsi="华文中宋" w:eastAsia="华文中宋" w:cs="华文中宋"/>
          <w:color w:val="auto"/>
          <w:sz w:val="24"/>
          <w:lang w:eastAsia="zh-CN"/>
        </w:rPr>
      </w:pPr>
      <w:r>
        <w:rPr>
          <w:rFonts w:hint="eastAsia" w:ascii="华文中宋" w:hAnsi="华文中宋" w:eastAsia="华文中宋" w:cs="华文中宋"/>
          <w:color w:val="auto"/>
          <w:sz w:val="24"/>
        </w:rPr>
        <w:t>名    称：</w:t>
      </w:r>
      <w:r>
        <w:rPr>
          <w:rFonts w:hint="eastAsia" w:ascii="华文中宋" w:hAnsi="华文中宋" w:eastAsia="华文中宋" w:cs="华文中宋"/>
          <w:color w:val="auto"/>
          <w:sz w:val="24"/>
          <w:lang w:eastAsia="zh-CN"/>
        </w:rPr>
        <w:t>山西鑫泰合工程项目管理有限公司</w:t>
      </w:r>
    </w:p>
    <w:p w14:paraId="3523BDF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华文中宋" w:hAnsi="华文中宋" w:eastAsia="华文中宋" w:cs="华文中宋"/>
          <w:color w:val="auto"/>
          <w:sz w:val="24"/>
        </w:rPr>
      </w:pPr>
      <w:r>
        <w:rPr>
          <w:rFonts w:hint="eastAsia" w:ascii="华文中宋" w:hAnsi="华文中宋" w:eastAsia="华文中宋" w:cs="华文中宋"/>
          <w:color w:val="auto"/>
          <w:sz w:val="24"/>
        </w:rPr>
        <w:t>联 系 人：</w:t>
      </w:r>
      <w:r>
        <w:rPr>
          <w:rFonts w:hint="eastAsia" w:ascii="华文中宋" w:hAnsi="华文中宋" w:eastAsia="华文中宋" w:cs="华文中宋"/>
          <w:color w:val="auto"/>
          <w:sz w:val="24"/>
          <w:lang w:val="en-US" w:eastAsia="zh-CN"/>
        </w:rPr>
        <w:t>刘先生</w:t>
      </w:r>
      <w:r>
        <w:rPr>
          <w:rFonts w:hint="eastAsia" w:ascii="华文中宋" w:hAnsi="华文中宋" w:eastAsia="华文中宋" w:cs="华文中宋"/>
          <w:color w:val="auto"/>
          <w:sz w:val="24"/>
        </w:rPr>
        <w:t xml:space="preserve"> </w:t>
      </w:r>
    </w:p>
    <w:p w14:paraId="0C8F52D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华文中宋" w:hAnsi="华文中宋" w:eastAsia="华文中宋" w:cs="华文中宋"/>
          <w:color w:val="auto"/>
          <w:sz w:val="24"/>
          <w:lang w:val="en-US" w:eastAsia="zh-CN"/>
        </w:rPr>
      </w:pPr>
      <w:r>
        <w:rPr>
          <w:rFonts w:hint="eastAsia" w:ascii="华文中宋" w:hAnsi="华文中宋" w:eastAsia="华文中宋" w:cs="华文中宋"/>
          <w:color w:val="auto"/>
          <w:sz w:val="24"/>
          <w:lang w:val="en-US" w:eastAsia="zh-CN"/>
        </w:rPr>
        <w:t>地    址：临汾市尧都区迎宾大道平阳国际写字楼C座10层1008室</w:t>
      </w:r>
    </w:p>
    <w:p w14:paraId="5C0CD14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华文中宋" w:hAnsi="华文中宋" w:eastAsia="华文中宋" w:cs="华文中宋"/>
          <w:color w:val="auto"/>
          <w:sz w:val="24"/>
          <w:lang w:val="en-US"/>
        </w:rPr>
      </w:pPr>
      <w:r>
        <w:rPr>
          <w:rFonts w:hint="eastAsia" w:ascii="华文中宋" w:hAnsi="华文中宋" w:eastAsia="华文中宋" w:cs="华文中宋"/>
          <w:color w:val="auto"/>
          <w:sz w:val="24"/>
        </w:rPr>
        <w:t>电    话：</w:t>
      </w:r>
      <w:r>
        <w:rPr>
          <w:rFonts w:hint="eastAsia" w:ascii="华文中宋" w:hAnsi="华文中宋" w:eastAsia="华文中宋" w:cs="华文中宋"/>
          <w:color w:val="auto"/>
          <w:sz w:val="24"/>
          <w:lang w:val="en-US" w:eastAsia="zh-CN"/>
        </w:rPr>
        <w:t>0357-8899097</w:t>
      </w:r>
    </w:p>
    <w:p w14:paraId="5B9B86CA">
      <w:pPr>
        <w:snapToGrid w:val="0"/>
        <w:spacing w:line="46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　　　</w:t>
      </w:r>
    </w:p>
    <w:p w14:paraId="16743724">
      <w:pPr>
        <w:snapToGrid w:val="0"/>
        <w:spacing w:line="360" w:lineRule="auto"/>
        <w:ind w:firstLine="641"/>
        <w:jc w:val="center"/>
        <w:rPr>
          <w:rFonts w:hint="eastAsia" w:ascii="华文中宋" w:hAnsi="华文中宋" w:eastAsia="华文中宋" w:cs="华文中宋"/>
          <w:b/>
          <w:bCs/>
          <w:spacing w:val="20"/>
          <w:sz w:val="28"/>
          <w:szCs w:val="28"/>
        </w:rPr>
      </w:pPr>
      <w:bookmarkStart w:id="37" w:name="_Toc26881689"/>
      <w:bookmarkStart w:id="38" w:name="_Toc352761928"/>
      <w:bookmarkStart w:id="39" w:name="_Toc6248"/>
      <w:bookmarkStart w:id="40" w:name="_Toc27273"/>
      <w:bookmarkStart w:id="41" w:name="_Toc424378683"/>
      <w:bookmarkStart w:id="42" w:name="_Toc23292"/>
    </w:p>
    <w:p w14:paraId="62971C7D">
      <w:pPr>
        <w:pStyle w:val="12"/>
        <w:ind w:firstLine="641"/>
        <w:rPr>
          <w:rFonts w:hint="eastAsia" w:ascii="华文中宋" w:hAnsi="华文中宋" w:eastAsia="华文中宋" w:cs="华文中宋"/>
          <w:b/>
          <w:bCs/>
          <w:spacing w:val="20"/>
          <w:sz w:val="28"/>
          <w:szCs w:val="28"/>
        </w:rPr>
      </w:pPr>
    </w:p>
    <w:p w14:paraId="5595009F">
      <w:pPr>
        <w:pStyle w:val="12"/>
        <w:ind w:firstLine="641"/>
        <w:rPr>
          <w:rFonts w:hint="eastAsia" w:ascii="华文中宋" w:hAnsi="华文中宋" w:eastAsia="华文中宋" w:cs="华文中宋"/>
          <w:b/>
          <w:bCs/>
          <w:spacing w:val="20"/>
          <w:sz w:val="28"/>
          <w:szCs w:val="28"/>
        </w:rPr>
      </w:pPr>
    </w:p>
    <w:p w14:paraId="6AB6563D">
      <w:pPr>
        <w:pStyle w:val="12"/>
        <w:ind w:firstLine="641"/>
        <w:rPr>
          <w:rFonts w:hint="eastAsia" w:ascii="华文中宋" w:hAnsi="华文中宋" w:eastAsia="华文中宋" w:cs="华文中宋"/>
          <w:b/>
          <w:bCs/>
          <w:spacing w:val="20"/>
          <w:sz w:val="28"/>
          <w:szCs w:val="28"/>
        </w:rPr>
      </w:pPr>
    </w:p>
    <w:p w14:paraId="523E3E53">
      <w:pPr>
        <w:pStyle w:val="12"/>
        <w:ind w:firstLine="641"/>
        <w:rPr>
          <w:rFonts w:hint="eastAsia" w:ascii="华文中宋" w:hAnsi="华文中宋" w:eastAsia="华文中宋" w:cs="华文中宋"/>
          <w:b/>
          <w:bCs/>
          <w:spacing w:val="20"/>
          <w:sz w:val="28"/>
          <w:szCs w:val="28"/>
        </w:rPr>
      </w:pPr>
    </w:p>
    <w:p w14:paraId="2162B876">
      <w:pPr>
        <w:pStyle w:val="12"/>
        <w:ind w:left="0" w:leftChars="0" w:firstLine="0" w:firstLineChars="0"/>
        <w:rPr>
          <w:rFonts w:hint="eastAsia" w:ascii="华文中宋" w:hAnsi="华文中宋" w:eastAsia="华文中宋" w:cs="华文中宋"/>
          <w:b/>
          <w:bCs/>
          <w:spacing w:val="20"/>
          <w:sz w:val="28"/>
          <w:szCs w:val="28"/>
        </w:rPr>
      </w:pPr>
    </w:p>
    <w:p w14:paraId="0D635CEF">
      <w:pPr>
        <w:pStyle w:val="12"/>
        <w:ind w:left="0" w:leftChars="0" w:firstLine="0" w:firstLineChars="0"/>
        <w:rPr>
          <w:rFonts w:hint="eastAsia" w:ascii="华文中宋" w:hAnsi="华文中宋" w:eastAsia="华文中宋" w:cs="华文中宋"/>
          <w:b/>
          <w:bCs/>
          <w:spacing w:val="20"/>
          <w:sz w:val="28"/>
          <w:szCs w:val="28"/>
        </w:rPr>
      </w:pPr>
    </w:p>
    <w:p w14:paraId="241C8865">
      <w:pPr>
        <w:snapToGrid w:val="0"/>
        <w:spacing w:line="360" w:lineRule="auto"/>
        <w:ind w:firstLine="641"/>
        <w:jc w:val="center"/>
        <w:rPr>
          <w:rFonts w:hint="eastAsia" w:ascii="华文中宋" w:hAnsi="华文中宋" w:eastAsia="华文中宋" w:cs="华文中宋"/>
          <w:b/>
          <w:bCs/>
          <w:sz w:val="28"/>
          <w:szCs w:val="28"/>
        </w:rPr>
      </w:pPr>
      <w:r>
        <w:rPr>
          <w:rFonts w:hint="eastAsia" w:ascii="华文中宋" w:hAnsi="华文中宋" w:eastAsia="华文中宋" w:cs="华文中宋"/>
          <w:b/>
          <w:bCs/>
          <w:spacing w:val="20"/>
          <w:sz w:val="28"/>
          <w:szCs w:val="28"/>
        </w:rPr>
        <w:t>第二部分  投标人须知前附表</w:t>
      </w:r>
      <w:bookmarkEnd w:id="37"/>
      <w:bookmarkEnd w:id="38"/>
      <w:bookmarkEnd w:id="39"/>
      <w:bookmarkEnd w:id="40"/>
      <w:bookmarkEnd w:id="41"/>
      <w:bookmarkEnd w:id="42"/>
    </w:p>
    <w:tbl>
      <w:tblPr>
        <w:tblStyle w:val="28"/>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820"/>
        <w:gridCol w:w="7137"/>
      </w:tblGrid>
      <w:tr w14:paraId="1049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8" w:type="pct"/>
            <w:vAlign w:val="center"/>
          </w:tcPr>
          <w:p w14:paraId="32408D75">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序号</w:t>
            </w:r>
          </w:p>
        </w:tc>
        <w:tc>
          <w:tcPr>
            <w:tcW w:w="947" w:type="pct"/>
            <w:vAlign w:val="center"/>
          </w:tcPr>
          <w:p w14:paraId="433CD859">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内  容</w:t>
            </w:r>
          </w:p>
        </w:tc>
        <w:tc>
          <w:tcPr>
            <w:tcW w:w="3713" w:type="pct"/>
            <w:shd w:val="clear" w:color="auto" w:fill="auto"/>
            <w:vAlign w:val="center"/>
          </w:tcPr>
          <w:p w14:paraId="69B8E65E">
            <w:pPr>
              <w:pStyle w:val="19"/>
              <w:snapToGrid w:val="0"/>
              <w:jc w:val="center"/>
              <w:rPr>
                <w:rFonts w:hint="eastAsia" w:ascii="华文中宋" w:hAnsi="华文中宋" w:eastAsia="华文中宋" w:cs="华文中宋"/>
                <w:b/>
              </w:rPr>
            </w:pPr>
            <w:r>
              <w:rPr>
                <w:rFonts w:hint="eastAsia" w:ascii="华文中宋" w:hAnsi="华文中宋" w:eastAsia="华文中宋" w:cs="华文中宋"/>
                <w:b/>
                <w:kern w:val="0"/>
              </w:rPr>
              <w:t>说明与要求</w:t>
            </w:r>
          </w:p>
        </w:tc>
      </w:tr>
      <w:tr w14:paraId="0F8B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338" w:type="pct"/>
            <w:vAlign w:val="center"/>
          </w:tcPr>
          <w:p w14:paraId="573ECEC4">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1</w:t>
            </w:r>
          </w:p>
        </w:tc>
        <w:tc>
          <w:tcPr>
            <w:tcW w:w="947" w:type="pct"/>
            <w:vAlign w:val="center"/>
          </w:tcPr>
          <w:p w14:paraId="4C2C0845">
            <w:pPr>
              <w:pStyle w:val="51"/>
              <w:tabs>
                <w:tab w:val="clear" w:pos="2880"/>
              </w:tabs>
              <w:snapToGrid w:val="0"/>
              <w:ind w:left="0" w:firstLine="420" w:firstLineChars="20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rPr>
              <w:t>投标人应</w:t>
            </w:r>
          </w:p>
          <w:p w14:paraId="6D9828D1">
            <w:pPr>
              <w:pStyle w:val="51"/>
              <w:tabs>
                <w:tab w:val="clear" w:pos="2880"/>
              </w:tabs>
              <w:snapToGrid w:val="0"/>
              <w:ind w:left="0" w:firstLine="105" w:firstLineChars="5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rPr>
              <w:t>具备的资格要求</w:t>
            </w:r>
          </w:p>
        </w:tc>
        <w:tc>
          <w:tcPr>
            <w:tcW w:w="3713" w:type="pct"/>
            <w:shd w:val="clear" w:color="auto" w:fill="auto"/>
            <w:vAlign w:val="center"/>
          </w:tcPr>
          <w:p w14:paraId="5E1ECE5B">
            <w:pPr>
              <w:jc w:val="left"/>
              <w:rPr>
                <w:rFonts w:hint="eastAsia" w:ascii="华文中宋" w:hAnsi="华文中宋" w:eastAsia="华文中宋" w:cs="华文中宋"/>
                <w:szCs w:val="21"/>
              </w:rPr>
            </w:pPr>
            <w:r>
              <w:rPr>
                <w:rFonts w:hint="eastAsia" w:ascii="华文中宋" w:hAnsi="华文中宋" w:eastAsia="华文中宋" w:cs="华文中宋"/>
                <w:szCs w:val="21"/>
              </w:rPr>
              <w:t>1、具备政府采购法第二十二条第一款规定的条件；</w:t>
            </w:r>
          </w:p>
          <w:p w14:paraId="776821B5">
            <w:pPr>
              <w:jc w:val="left"/>
              <w:rPr>
                <w:rFonts w:hint="eastAsia" w:ascii="华文中宋" w:hAnsi="华文中宋" w:eastAsia="华文中宋" w:cs="华文中宋"/>
                <w:szCs w:val="21"/>
              </w:rPr>
            </w:pPr>
            <w:r>
              <w:rPr>
                <w:rFonts w:hint="eastAsia" w:ascii="华文中宋" w:hAnsi="华文中宋" w:eastAsia="华文中宋" w:cs="华文中宋"/>
                <w:szCs w:val="21"/>
              </w:rPr>
              <w:t>2、本包是否接受联合体投标：否</w:t>
            </w:r>
          </w:p>
          <w:p w14:paraId="0E3FCF32">
            <w:pPr>
              <w:jc w:val="left"/>
              <w:rPr>
                <w:rFonts w:hint="eastAsia" w:ascii="华文中宋" w:hAnsi="华文中宋" w:eastAsia="华文中宋" w:cs="华文中宋"/>
                <w:szCs w:val="21"/>
              </w:rPr>
            </w:pPr>
            <w:r>
              <w:rPr>
                <w:rFonts w:hint="eastAsia" w:ascii="华文中宋" w:hAnsi="华文中宋" w:eastAsia="华文中宋" w:cs="华文中宋"/>
                <w:szCs w:val="21"/>
              </w:rPr>
              <w:t>3、本包是否接受代理商投标：是</w:t>
            </w:r>
          </w:p>
          <w:p w14:paraId="1F383871">
            <w:pPr>
              <w:jc w:val="left"/>
              <w:rPr>
                <w:rFonts w:hint="eastAsia" w:ascii="华文中宋" w:hAnsi="华文中宋" w:eastAsia="华文中宋" w:cs="华文中宋"/>
                <w:bCs/>
                <w:szCs w:val="21"/>
              </w:rPr>
            </w:pPr>
            <w:r>
              <w:rPr>
                <w:rFonts w:hint="eastAsia" w:ascii="华文中宋" w:hAnsi="华文中宋" w:eastAsia="华文中宋" w:cs="华文中宋"/>
                <w:szCs w:val="21"/>
              </w:rPr>
              <w:t>4、本包所需的其他特定资格条件：</w:t>
            </w:r>
            <w:r>
              <w:rPr>
                <w:rFonts w:hint="eastAsia" w:ascii="华文中宋" w:hAnsi="华文中宋" w:eastAsia="华文中宋" w:cs="华文中宋"/>
                <w:szCs w:val="21"/>
                <w:lang w:val="en-US" w:eastAsia="zh-CN"/>
              </w:rPr>
              <w:t>无</w:t>
            </w:r>
            <w:r>
              <w:rPr>
                <w:rFonts w:hint="eastAsia" w:ascii="华文中宋" w:hAnsi="华文中宋" w:eastAsia="华文中宋" w:cs="华文中宋"/>
                <w:szCs w:val="21"/>
              </w:rPr>
              <w:t>。</w:t>
            </w:r>
          </w:p>
        </w:tc>
      </w:tr>
      <w:tr w14:paraId="2332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38" w:type="pct"/>
            <w:vAlign w:val="center"/>
          </w:tcPr>
          <w:p w14:paraId="49313476">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2</w:t>
            </w:r>
          </w:p>
        </w:tc>
        <w:tc>
          <w:tcPr>
            <w:tcW w:w="947" w:type="pct"/>
            <w:vAlign w:val="center"/>
          </w:tcPr>
          <w:p w14:paraId="0FC985A8">
            <w:pPr>
              <w:snapToGrid w:val="0"/>
              <w:rPr>
                <w:rFonts w:hint="eastAsia" w:ascii="华文中宋" w:hAnsi="华文中宋" w:eastAsia="华文中宋" w:cs="华文中宋"/>
                <w:b/>
                <w:szCs w:val="21"/>
              </w:rPr>
            </w:pPr>
            <w:r>
              <w:rPr>
                <w:rFonts w:hint="eastAsia" w:ascii="华文中宋" w:hAnsi="华文中宋" w:eastAsia="华文中宋" w:cs="华文中宋"/>
                <w:b/>
                <w:szCs w:val="21"/>
              </w:rPr>
              <w:t>投标文件（纸质）份数</w:t>
            </w:r>
          </w:p>
        </w:tc>
        <w:tc>
          <w:tcPr>
            <w:tcW w:w="3713" w:type="pct"/>
            <w:shd w:val="clear" w:color="auto" w:fill="auto"/>
            <w:vAlign w:val="center"/>
          </w:tcPr>
          <w:p w14:paraId="4F24699D">
            <w:pPr>
              <w:jc w:val="left"/>
              <w:rPr>
                <w:rFonts w:hint="eastAsia" w:ascii="华文中宋" w:hAnsi="华文中宋" w:eastAsia="华文中宋" w:cs="华文中宋"/>
                <w:szCs w:val="21"/>
              </w:rPr>
            </w:pPr>
            <w:r>
              <w:rPr>
                <w:rFonts w:hint="eastAsia" w:ascii="华文中宋" w:hAnsi="华文中宋" w:eastAsia="华文中宋" w:cs="华文中宋"/>
                <w:szCs w:val="21"/>
              </w:rPr>
              <w:t>无需递交纸质文件</w:t>
            </w:r>
          </w:p>
        </w:tc>
      </w:tr>
      <w:tr w14:paraId="55C6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8" w:type="pct"/>
            <w:vAlign w:val="center"/>
          </w:tcPr>
          <w:p w14:paraId="3A99819A">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3</w:t>
            </w:r>
          </w:p>
        </w:tc>
        <w:tc>
          <w:tcPr>
            <w:tcW w:w="947" w:type="pct"/>
            <w:vAlign w:val="center"/>
          </w:tcPr>
          <w:p w14:paraId="523DB2CA">
            <w:pPr>
              <w:snapToGrid w:val="0"/>
              <w:ind w:firstLine="105" w:firstLineChars="50"/>
              <w:jc w:val="center"/>
              <w:rPr>
                <w:rFonts w:hint="eastAsia" w:ascii="华文中宋" w:hAnsi="华文中宋" w:eastAsia="华文中宋" w:cs="华文中宋"/>
                <w:b/>
                <w:szCs w:val="21"/>
              </w:rPr>
            </w:pPr>
            <w:r>
              <w:rPr>
                <w:rFonts w:hint="eastAsia" w:ascii="华文中宋" w:hAnsi="华文中宋" w:eastAsia="华文中宋" w:cs="华文中宋"/>
                <w:b/>
                <w:szCs w:val="21"/>
              </w:rPr>
              <w:t>投标文件</w:t>
            </w:r>
          </w:p>
          <w:p w14:paraId="2B270863">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（资格证明文件）</w:t>
            </w:r>
          </w:p>
        </w:tc>
        <w:tc>
          <w:tcPr>
            <w:tcW w:w="3713" w:type="pct"/>
            <w:shd w:val="clear" w:color="auto" w:fill="auto"/>
            <w:vAlign w:val="center"/>
          </w:tcPr>
          <w:p w14:paraId="31DC99DE">
            <w:pPr>
              <w:ind w:left="315" w:hanging="315" w:hangingChars="150"/>
              <w:jc w:val="left"/>
              <w:rPr>
                <w:rFonts w:hint="eastAsia" w:ascii="华文中宋" w:hAnsi="华文中宋" w:eastAsia="华文中宋" w:cs="华文中宋"/>
                <w:szCs w:val="21"/>
              </w:rPr>
            </w:pPr>
            <w:r>
              <w:rPr>
                <w:rFonts w:hint="eastAsia" w:ascii="华文中宋" w:hAnsi="华文中宋" w:eastAsia="华文中宋" w:cs="华文中宋"/>
                <w:b/>
                <w:szCs w:val="21"/>
              </w:rPr>
              <w:t>1、投标人代表的证明</w:t>
            </w:r>
          </w:p>
          <w:p w14:paraId="7CD618E9">
            <w:pPr>
              <w:jc w:val="left"/>
              <w:rPr>
                <w:rFonts w:hint="eastAsia" w:ascii="华文中宋" w:hAnsi="华文中宋" w:eastAsia="华文中宋" w:cs="华文中宋"/>
                <w:szCs w:val="21"/>
              </w:rPr>
            </w:pPr>
            <w:r>
              <w:rPr>
                <w:rFonts w:hint="eastAsia" w:ascii="华文中宋" w:hAnsi="华文中宋" w:eastAsia="华文中宋" w:cs="华文中宋"/>
                <w:szCs w:val="21"/>
              </w:rPr>
              <w:t>（1）法定代表人（负责人）参加投标的，提供“法定代表人（负责人）证明书”</w:t>
            </w:r>
          </w:p>
          <w:p w14:paraId="47C9ED36">
            <w:pPr>
              <w:jc w:val="left"/>
              <w:rPr>
                <w:rFonts w:hint="eastAsia" w:ascii="华文中宋" w:hAnsi="华文中宋" w:eastAsia="华文中宋" w:cs="华文中宋"/>
                <w:szCs w:val="21"/>
              </w:rPr>
            </w:pPr>
            <w:r>
              <w:rPr>
                <w:rFonts w:hint="eastAsia" w:ascii="华文中宋" w:hAnsi="华文中宋" w:eastAsia="华文中宋" w:cs="华文中宋"/>
                <w:szCs w:val="21"/>
              </w:rPr>
              <w:t xml:space="preserve">（2）委托代理人参加投标的，提供“法定代表人（负责人）授权委托书” </w:t>
            </w:r>
          </w:p>
          <w:p w14:paraId="67E55E9F">
            <w:pPr>
              <w:jc w:val="left"/>
              <w:rPr>
                <w:rFonts w:hint="eastAsia" w:ascii="华文中宋" w:hAnsi="华文中宋" w:eastAsia="华文中宋" w:cs="华文中宋"/>
                <w:szCs w:val="21"/>
              </w:rPr>
            </w:pPr>
            <w:r>
              <w:rPr>
                <w:rFonts w:hint="eastAsia" w:ascii="华文中宋" w:hAnsi="华文中宋" w:eastAsia="华文中宋" w:cs="华文中宋"/>
                <w:szCs w:val="21"/>
              </w:rPr>
              <w:t>（3）自然人参加投标的，提供个人身份证明扫描件</w:t>
            </w:r>
          </w:p>
          <w:p w14:paraId="6B8CA8B0">
            <w:pPr>
              <w:ind w:left="315" w:leftChars="150"/>
              <w:jc w:val="left"/>
              <w:rPr>
                <w:rFonts w:hint="eastAsia" w:ascii="华文中宋" w:hAnsi="华文中宋" w:eastAsia="华文中宋" w:cs="华文中宋"/>
                <w:szCs w:val="21"/>
              </w:rPr>
            </w:pPr>
            <w:r>
              <w:rPr>
                <w:rFonts w:hint="eastAsia" w:ascii="华文中宋" w:hAnsi="华文中宋" w:eastAsia="华文中宋" w:cs="华文中宋"/>
                <w:szCs w:val="21"/>
              </w:rPr>
              <w:t xml:space="preserve">（ 格式见第八部分） </w:t>
            </w:r>
          </w:p>
          <w:p w14:paraId="17FE567A">
            <w:pPr>
              <w:jc w:val="left"/>
              <w:rPr>
                <w:rFonts w:hint="eastAsia" w:ascii="华文中宋" w:hAnsi="华文中宋" w:eastAsia="华文中宋" w:cs="华文中宋"/>
                <w:b/>
                <w:szCs w:val="21"/>
              </w:rPr>
            </w:pPr>
            <w:r>
              <w:rPr>
                <w:rFonts w:hint="eastAsia" w:ascii="华文中宋" w:hAnsi="华文中宋" w:eastAsia="华文中宋" w:cs="华文中宋"/>
                <w:b/>
                <w:szCs w:val="21"/>
              </w:rPr>
              <w:t xml:space="preserve">2、投标函 </w:t>
            </w:r>
          </w:p>
          <w:p w14:paraId="72426E15">
            <w:pPr>
              <w:jc w:val="left"/>
              <w:rPr>
                <w:rFonts w:hint="eastAsia" w:ascii="华文中宋" w:hAnsi="华文中宋" w:eastAsia="华文中宋" w:cs="华文中宋"/>
                <w:b/>
                <w:bCs/>
                <w:szCs w:val="21"/>
              </w:rPr>
            </w:pPr>
            <w:r>
              <w:rPr>
                <w:rFonts w:hint="eastAsia" w:ascii="华文中宋" w:hAnsi="华文中宋" w:eastAsia="华文中宋" w:cs="华文中宋"/>
                <w:b/>
                <w:bCs/>
                <w:szCs w:val="21"/>
              </w:rPr>
              <w:t>3、具有履行合同所必需的设备和专业技术能力</w:t>
            </w:r>
          </w:p>
          <w:p w14:paraId="60318BED">
            <w:pPr>
              <w:jc w:val="left"/>
              <w:rPr>
                <w:rFonts w:hint="eastAsia" w:ascii="华文中宋" w:hAnsi="华文中宋" w:eastAsia="华文中宋" w:cs="华文中宋"/>
                <w:szCs w:val="21"/>
              </w:rPr>
            </w:pPr>
            <w:r>
              <w:rPr>
                <w:rFonts w:hint="eastAsia" w:ascii="华文中宋" w:hAnsi="华文中宋" w:eastAsia="华文中宋" w:cs="华文中宋"/>
                <w:szCs w:val="21"/>
              </w:rPr>
              <w:t>提供供应商信用承诺书。（格式见第八部分）</w:t>
            </w:r>
          </w:p>
          <w:p w14:paraId="75D26390">
            <w:pPr>
              <w:jc w:val="left"/>
              <w:rPr>
                <w:rFonts w:hint="eastAsia" w:ascii="华文中宋" w:hAnsi="华文中宋" w:eastAsia="华文中宋" w:cs="华文中宋"/>
                <w:b/>
                <w:bCs/>
                <w:szCs w:val="21"/>
              </w:rPr>
            </w:pPr>
            <w:r>
              <w:rPr>
                <w:rFonts w:hint="eastAsia" w:ascii="华文中宋" w:hAnsi="华文中宋" w:eastAsia="华文中宋" w:cs="华文中宋"/>
                <w:b/>
                <w:bCs/>
                <w:szCs w:val="21"/>
              </w:rPr>
              <w:t>4、具有良好的商业信营和健全的财务会计制度</w:t>
            </w:r>
          </w:p>
          <w:p w14:paraId="2917D35C">
            <w:pPr>
              <w:jc w:val="left"/>
              <w:rPr>
                <w:rFonts w:hint="eastAsia" w:ascii="华文中宋" w:hAnsi="华文中宋" w:eastAsia="华文中宋" w:cs="华文中宋"/>
                <w:szCs w:val="21"/>
              </w:rPr>
            </w:pPr>
            <w:r>
              <w:rPr>
                <w:rFonts w:hint="eastAsia" w:ascii="华文中宋" w:hAnsi="华文中宋" w:eastAsia="华文中宋" w:cs="华文中宋"/>
                <w:szCs w:val="21"/>
              </w:rPr>
              <w:t>提供供应商信用承诺书。（格式见第八部分）</w:t>
            </w:r>
          </w:p>
          <w:p w14:paraId="7171727F">
            <w:pPr>
              <w:jc w:val="left"/>
              <w:rPr>
                <w:rFonts w:hint="eastAsia" w:ascii="华文中宋" w:hAnsi="华文中宋" w:eastAsia="华文中宋" w:cs="华文中宋"/>
                <w:b/>
                <w:bCs/>
                <w:szCs w:val="21"/>
              </w:rPr>
            </w:pPr>
            <w:r>
              <w:rPr>
                <w:rFonts w:hint="eastAsia" w:ascii="华文中宋" w:hAnsi="华文中宋" w:eastAsia="华文中宋" w:cs="华文中宋"/>
                <w:b/>
                <w:bCs/>
                <w:szCs w:val="21"/>
              </w:rPr>
              <w:t>5、有依法缴纳税收和社会保障资金的良好记录</w:t>
            </w:r>
          </w:p>
          <w:p w14:paraId="1748B1C3">
            <w:pPr>
              <w:jc w:val="left"/>
              <w:rPr>
                <w:rFonts w:hint="eastAsia" w:ascii="华文中宋" w:hAnsi="华文中宋" w:eastAsia="华文中宋" w:cs="华文中宋"/>
                <w:szCs w:val="21"/>
              </w:rPr>
            </w:pPr>
            <w:r>
              <w:rPr>
                <w:rFonts w:hint="eastAsia" w:ascii="华文中宋" w:hAnsi="华文中宋" w:eastAsia="华文中宋" w:cs="华文中宋"/>
                <w:szCs w:val="21"/>
              </w:rPr>
              <w:t>提供供应商信用承诺书。（格式见第八部分）</w:t>
            </w:r>
          </w:p>
          <w:p w14:paraId="1673FF73">
            <w:pPr>
              <w:jc w:val="left"/>
              <w:rPr>
                <w:rFonts w:hint="eastAsia" w:ascii="华文中宋" w:hAnsi="华文中宋" w:eastAsia="华文中宋" w:cs="华文中宋"/>
                <w:b/>
                <w:bCs/>
                <w:szCs w:val="21"/>
              </w:rPr>
            </w:pPr>
            <w:r>
              <w:rPr>
                <w:rFonts w:hint="eastAsia" w:ascii="华文中宋" w:hAnsi="华文中宋" w:eastAsia="华文中宋" w:cs="华文中宋"/>
                <w:b/>
                <w:bCs/>
                <w:szCs w:val="21"/>
              </w:rPr>
              <w:t>6、参加政府采购活动前三年，在经营活动中没有重大违法记录</w:t>
            </w:r>
          </w:p>
          <w:p w14:paraId="125134B5">
            <w:pPr>
              <w:jc w:val="left"/>
              <w:rPr>
                <w:rFonts w:hint="eastAsia" w:ascii="华文中宋" w:hAnsi="华文中宋" w:eastAsia="华文中宋" w:cs="华文中宋"/>
                <w:szCs w:val="21"/>
              </w:rPr>
            </w:pPr>
            <w:r>
              <w:rPr>
                <w:rFonts w:hint="eastAsia" w:ascii="华文中宋" w:hAnsi="华文中宋" w:eastAsia="华文中宋" w:cs="华文中宋"/>
                <w:szCs w:val="21"/>
              </w:rPr>
              <w:t>提供供应商信用承诺书。（格式见第八部分）</w:t>
            </w:r>
          </w:p>
          <w:p w14:paraId="75F348D6">
            <w:pPr>
              <w:jc w:val="left"/>
              <w:rPr>
                <w:rFonts w:hint="eastAsia" w:ascii="华文中宋" w:hAnsi="华文中宋" w:eastAsia="华文中宋" w:cs="华文中宋"/>
                <w:b/>
                <w:bCs/>
                <w:szCs w:val="21"/>
              </w:rPr>
            </w:pPr>
            <w:r>
              <w:rPr>
                <w:rFonts w:hint="eastAsia" w:ascii="华文中宋" w:hAnsi="华文中宋" w:eastAsia="华文中宋" w:cs="华文中宋"/>
                <w:b/>
                <w:bCs/>
                <w:szCs w:val="21"/>
              </w:rPr>
              <w:t>7、具有独立承担民事责任的能力</w:t>
            </w:r>
          </w:p>
          <w:p w14:paraId="1FC87FC4">
            <w:pPr>
              <w:jc w:val="left"/>
              <w:rPr>
                <w:rFonts w:hint="eastAsia" w:ascii="华文中宋" w:hAnsi="华文中宋" w:eastAsia="华文中宋" w:cs="华文中宋"/>
                <w:szCs w:val="21"/>
              </w:rPr>
            </w:pPr>
            <w:r>
              <w:rPr>
                <w:rFonts w:hint="eastAsia" w:ascii="华文中宋" w:hAnsi="华文中宋" w:eastAsia="华文中宋" w:cs="华文中宋"/>
                <w:szCs w:val="21"/>
              </w:rPr>
              <w:t>提供供应商信用承诺书。（格式见第八部分）</w:t>
            </w:r>
          </w:p>
          <w:p w14:paraId="20A6903C">
            <w:pPr>
              <w:jc w:val="left"/>
              <w:rPr>
                <w:rFonts w:hint="eastAsia" w:ascii="华文中宋" w:hAnsi="华文中宋" w:eastAsia="华文中宋" w:cs="华文中宋"/>
                <w:b/>
                <w:bCs/>
                <w:szCs w:val="21"/>
              </w:rPr>
            </w:pPr>
            <w:r>
              <w:rPr>
                <w:rFonts w:hint="eastAsia" w:ascii="华文中宋" w:hAnsi="华文中宋" w:eastAsia="华文中宋" w:cs="华文中宋"/>
                <w:b/>
                <w:bCs/>
                <w:szCs w:val="21"/>
              </w:rPr>
              <w:t>8、保证金缴纳情况</w:t>
            </w:r>
          </w:p>
          <w:p w14:paraId="15E8A7A2">
            <w:pPr>
              <w:jc w:val="left"/>
              <w:rPr>
                <w:rFonts w:hint="eastAsia" w:ascii="华文中宋" w:hAnsi="华文中宋" w:eastAsia="华文中宋" w:cs="华文中宋"/>
                <w:szCs w:val="21"/>
              </w:rPr>
            </w:pPr>
            <w:r>
              <w:rPr>
                <w:rFonts w:hint="eastAsia" w:ascii="华文中宋" w:hAnsi="华文中宋" w:eastAsia="华文中宋" w:cs="华文中宋"/>
                <w:szCs w:val="21"/>
              </w:rPr>
              <w:t>要求提交保证金的项目，投标人需提供相关保证金缴纳证明材料及基本存款账户开户许可证（已取消企业银行账户许可的提供银行证明或提供取消企业银行账户许可的相关公告）扫描件：</w:t>
            </w:r>
          </w:p>
          <w:p w14:paraId="774471FD">
            <w:pPr>
              <w:ind w:firstLine="480"/>
              <w:jc w:val="left"/>
              <w:rPr>
                <w:rFonts w:hint="eastAsia" w:ascii="华文中宋" w:hAnsi="华文中宋" w:eastAsia="华文中宋" w:cs="华文中宋"/>
                <w:szCs w:val="21"/>
              </w:rPr>
            </w:pPr>
            <w:r>
              <w:rPr>
                <w:rFonts w:hint="eastAsia" w:ascii="华文中宋" w:hAnsi="华文中宋" w:eastAsia="华文中宋" w:cs="华文中宋"/>
                <w:szCs w:val="21"/>
              </w:rPr>
              <w:t>不要求提交保证金的项目：不审核此项，投标人不需提供证明材料。</w:t>
            </w:r>
          </w:p>
          <w:p w14:paraId="29010ECD">
            <w:pPr>
              <w:jc w:val="left"/>
              <w:rPr>
                <w:rFonts w:hint="eastAsia" w:ascii="华文中宋" w:hAnsi="华文中宋" w:eastAsia="华文中宋" w:cs="华文中宋"/>
                <w:szCs w:val="21"/>
              </w:rPr>
            </w:pPr>
            <w:r>
              <w:rPr>
                <w:rFonts w:hint="eastAsia" w:ascii="华文中宋" w:hAnsi="华文中宋" w:eastAsia="华文中宋" w:cs="华文中宋"/>
                <w:b/>
                <w:bCs/>
                <w:color w:val="auto"/>
                <w:lang w:val="en-US" w:eastAsia="zh-CN"/>
              </w:rPr>
              <w:t>9、中小企业声明函</w:t>
            </w:r>
          </w:p>
        </w:tc>
      </w:tr>
      <w:tr w14:paraId="570F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38" w:type="pct"/>
            <w:vAlign w:val="center"/>
          </w:tcPr>
          <w:p w14:paraId="07BF57A8">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4</w:t>
            </w:r>
          </w:p>
        </w:tc>
        <w:tc>
          <w:tcPr>
            <w:tcW w:w="947" w:type="pct"/>
            <w:vAlign w:val="center"/>
          </w:tcPr>
          <w:p w14:paraId="38FE6C1B">
            <w:pPr>
              <w:snapToGrid w:val="0"/>
              <w:ind w:firstLine="105" w:firstLineChars="50"/>
              <w:jc w:val="center"/>
              <w:rPr>
                <w:rFonts w:hint="eastAsia" w:ascii="华文中宋" w:hAnsi="华文中宋" w:eastAsia="华文中宋" w:cs="华文中宋"/>
                <w:b/>
                <w:szCs w:val="21"/>
              </w:rPr>
            </w:pPr>
            <w:r>
              <w:rPr>
                <w:rFonts w:hint="eastAsia" w:ascii="华文中宋" w:hAnsi="华文中宋" w:eastAsia="华文中宋" w:cs="华文中宋"/>
                <w:b/>
                <w:szCs w:val="21"/>
              </w:rPr>
              <w:t>投标文件</w:t>
            </w:r>
          </w:p>
          <w:p w14:paraId="048FCF54">
            <w:pPr>
              <w:snapToGrid w:val="0"/>
              <w:rPr>
                <w:rFonts w:hint="eastAsia" w:ascii="华文中宋" w:hAnsi="华文中宋" w:eastAsia="华文中宋" w:cs="华文中宋"/>
                <w:b/>
                <w:szCs w:val="21"/>
              </w:rPr>
            </w:pPr>
            <w:r>
              <w:rPr>
                <w:rFonts w:hint="eastAsia" w:ascii="华文中宋" w:hAnsi="华文中宋" w:eastAsia="华文中宋" w:cs="华文中宋"/>
                <w:b/>
                <w:szCs w:val="21"/>
              </w:rPr>
              <w:t>（商务技术文件）</w:t>
            </w:r>
          </w:p>
        </w:tc>
        <w:tc>
          <w:tcPr>
            <w:tcW w:w="3713" w:type="pct"/>
            <w:shd w:val="clear" w:color="auto" w:fill="auto"/>
            <w:vAlign w:val="center"/>
          </w:tcPr>
          <w:p w14:paraId="455A4C17">
            <w:pPr>
              <w:ind w:left="315" w:hanging="315" w:hangingChars="150"/>
              <w:rPr>
                <w:rFonts w:hint="eastAsia" w:ascii="华文中宋" w:hAnsi="华文中宋" w:eastAsia="华文中宋" w:cs="华文中宋"/>
                <w:b/>
                <w:bCs/>
                <w:szCs w:val="21"/>
              </w:rPr>
            </w:pPr>
            <w:r>
              <w:rPr>
                <w:rFonts w:hint="eastAsia" w:ascii="华文中宋" w:hAnsi="华文中宋" w:eastAsia="华文中宋" w:cs="华文中宋"/>
                <w:b/>
                <w:bCs/>
                <w:szCs w:val="21"/>
              </w:rPr>
              <w:t>商务技术文件（符合性检查文件）：</w:t>
            </w:r>
          </w:p>
          <w:p w14:paraId="40F9B02C">
            <w:pPr>
              <w:numPr>
                <w:ilvl w:val="0"/>
                <w:numId w:val="3"/>
              </w:numPr>
              <w:rPr>
                <w:rFonts w:hint="eastAsia" w:ascii="华文中宋" w:hAnsi="华文中宋" w:eastAsia="华文中宋" w:cs="华文中宋"/>
                <w:szCs w:val="21"/>
              </w:rPr>
            </w:pPr>
            <w:r>
              <w:rPr>
                <w:rFonts w:hint="eastAsia" w:ascii="华文中宋" w:hAnsi="华文中宋" w:eastAsia="华文中宋" w:cs="华文中宋"/>
                <w:szCs w:val="21"/>
              </w:rPr>
              <w:t>对商务要求的响应内容</w:t>
            </w:r>
          </w:p>
          <w:p w14:paraId="4DA3E546">
            <w:pPr>
              <w:rPr>
                <w:rFonts w:hint="eastAsia" w:ascii="华文中宋" w:hAnsi="华文中宋" w:eastAsia="华文中宋" w:cs="华文中宋"/>
                <w:szCs w:val="21"/>
              </w:rPr>
            </w:pPr>
            <w:r>
              <w:rPr>
                <w:rFonts w:hint="eastAsia" w:ascii="华文中宋" w:hAnsi="华文中宋" w:eastAsia="华文中宋" w:cs="华文中宋"/>
                <w:szCs w:val="21"/>
              </w:rPr>
              <w:t>2、 对实质性要求的响应内容</w:t>
            </w:r>
          </w:p>
          <w:p w14:paraId="4B2BBAED">
            <w:pPr>
              <w:rPr>
                <w:rFonts w:hint="eastAsia" w:ascii="华文中宋" w:hAnsi="华文中宋" w:eastAsia="华文中宋" w:cs="华文中宋"/>
                <w:szCs w:val="21"/>
              </w:rPr>
            </w:pPr>
            <w:r>
              <w:rPr>
                <w:rFonts w:hint="eastAsia" w:ascii="华文中宋" w:hAnsi="华文中宋" w:eastAsia="华文中宋" w:cs="华文中宋"/>
                <w:szCs w:val="21"/>
              </w:rPr>
              <w:t>3、 对服务要求的响应内容</w:t>
            </w:r>
          </w:p>
          <w:p w14:paraId="0111A8B4">
            <w:pPr>
              <w:rPr>
                <w:rFonts w:hint="eastAsia" w:ascii="华文中宋" w:hAnsi="华文中宋" w:eastAsia="华文中宋" w:cs="华文中宋"/>
                <w:szCs w:val="21"/>
              </w:rPr>
            </w:pPr>
            <w:r>
              <w:rPr>
                <w:rFonts w:hint="eastAsia" w:ascii="华文中宋" w:hAnsi="华文中宋" w:eastAsia="华文中宋" w:cs="华文中宋"/>
                <w:szCs w:val="21"/>
              </w:rPr>
              <w:t>4、 对技术要求的响应内容</w:t>
            </w:r>
          </w:p>
          <w:p w14:paraId="0771EC84">
            <w:pPr>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（1）货物、服务技术偏离表</w:t>
            </w:r>
          </w:p>
          <w:p w14:paraId="649F9C69">
            <w:pPr>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（2）其他响应文件</w:t>
            </w:r>
          </w:p>
          <w:p w14:paraId="4010436F">
            <w:pPr>
              <w:ind w:left="315" w:hanging="315" w:hangingChars="150"/>
              <w:rPr>
                <w:rFonts w:hint="eastAsia" w:ascii="华文中宋" w:hAnsi="华文中宋" w:eastAsia="华文中宋" w:cs="华文中宋"/>
                <w:b/>
                <w:bCs/>
                <w:szCs w:val="21"/>
              </w:rPr>
            </w:pPr>
            <w:r>
              <w:rPr>
                <w:rFonts w:hint="eastAsia" w:ascii="华文中宋" w:hAnsi="华文中宋" w:eastAsia="华文中宋" w:cs="华文中宋"/>
                <w:b/>
                <w:bCs/>
                <w:szCs w:val="21"/>
              </w:rPr>
              <w:t>商务技术文件（综合评分文件）：</w:t>
            </w:r>
          </w:p>
          <w:p w14:paraId="70D75361">
            <w:pPr>
              <w:numPr>
                <w:ilvl w:val="0"/>
                <w:numId w:val="4"/>
              </w:numPr>
              <w:rPr>
                <w:rFonts w:hint="eastAsia" w:ascii="华文中宋" w:hAnsi="华文中宋" w:eastAsia="华文中宋" w:cs="华文中宋"/>
                <w:szCs w:val="21"/>
              </w:rPr>
            </w:pPr>
            <w:r>
              <w:rPr>
                <w:rFonts w:hint="eastAsia" w:ascii="华文中宋" w:hAnsi="华文中宋" w:eastAsia="华文中宋" w:cs="华文中宋"/>
                <w:szCs w:val="21"/>
              </w:rPr>
              <w:t>商务、技术、服务评分（评审委员会共同认定部分）</w:t>
            </w:r>
          </w:p>
          <w:p w14:paraId="14BB0083">
            <w:pPr>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（1）</w:t>
            </w:r>
          </w:p>
          <w:p w14:paraId="404D5A22">
            <w:pPr>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w:t>
            </w:r>
          </w:p>
          <w:p w14:paraId="4B03A0EA">
            <w:pPr>
              <w:numPr>
                <w:ilvl w:val="0"/>
                <w:numId w:val="4"/>
              </w:numPr>
              <w:rPr>
                <w:rFonts w:hint="eastAsia" w:ascii="华文中宋" w:hAnsi="华文中宋" w:eastAsia="华文中宋" w:cs="华文中宋"/>
                <w:szCs w:val="21"/>
              </w:rPr>
            </w:pPr>
            <w:r>
              <w:rPr>
                <w:rFonts w:hint="eastAsia" w:ascii="华文中宋" w:hAnsi="华文中宋" w:eastAsia="华文中宋" w:cs="华文中宋"/>
                <w:szCs w:val="21"/>
              </w:rPr>
              <w:t>主观评审部分（评审委员会成员个人认定部分）</w:t>
            </w:r>
          </w:p>
          <w:p w14:paraId="7CD89D60">
            <w:pPr>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（1）</w:t>
            </w:r>
          </w:p>
          <w:p w14:paraId="477E6599">
            <w:pPr>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w:t>
            </w:r>
          </w:p>
          <w:p w14:paraId="02AB7B91">
            <w:pPr>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以上资料按评分标准中的评审因素顺序排列</w:t>
            </w:r>
          </w:p>
          <w:p w14:paraId="55EF82D6">
            <w:pPr>
              <w:numPr>
                <w:ilvl w:val="0"/>
                <w:numId w:val="4"/>
              </w:numPr>
              <w:rPr>
                <w:rFonts w:hint="eastAsia" w:ascii="华文中宋" w:hAnsi="华文中宋" w:eastAsia="华文中宋" w:cs="华文中宋"/>
                <w:szCs w:val="21"/>
              </w:rPr>
            </w:pPr>
            <w:r>
              <w:rPr>
                <w:rFonts w:hint="eastAsia" w:ascii="华文中宋" w:hAnsi="华文中宋" w:eastAsia="华文中宋" w:cs="华文中宋"/>
                <w:szCs w:val="21"/>
              </w:rPr>
              <w:t>招标文件要求或投标人认为需要提供的其他商务技术材料/文件</w:t>
            </w:r>
          </w:p>
          <w:p w14:paraId="5DE30C5A">
            <w:pPr>
              <w:pStyle w:val="21"/>
              <w:numPr>
                <w:ilvl w:val="0"/>
                <w:numId w:val="0"/>
              </w:numPr>
              <w:rPr>
                <w:rFonts w:hint="eastAsia" w:ascii="华文中宋" w:hAnsi="华文中宋" w:eastAsia="华文中宋" w:cs="华文中宋"/>
                <w:sz w:val="21"/>
                <w:szCs w:val="21"/>
              </w:rPr>
            </w:pPr>
            <w:r>
              <w:rPr>
                <w:rFonts w:hint="eastAsia" w:ascii="华文中宋" w:hAnsi="华文中宋" w:eastAsia="华文中宋" w:cs="华文中宋"/>
                <w:sz w:val="21"/>
                <w:szCs w:val="21"/>
                <w:lang w:val="en-US" w:eastAsia="zh-CN"/>
              </w:rPr>
              <w:t>4、</w:t>
            </w:r>
            <w:r>
              <w:rPr>
                <w:rFonts w:hint="eastAsia" w:ascii="华文中宋" w:hAnsi="华文中宋" w:eastAsia="华文中宋" w:cs="华文中宋"/>
                <w:sz w:val="21"/>
                <w:szCs w:val="21"/>
              </w:rPr>
              <w:t>报价一览表及分项报价明细表</w:t>
            </w:r>
          </w:p>
          <w:p w14:paraId="0CB41C86">
            <w:pPr>
              <w:rPr>
                <w:rFonts w:hint="eastAsia" w:ascii="华文中宋" w:hAnsi="华文中宋" w:eastAsia="华文中宋" w:cs="华文中宋"/>
                <w:b/>
                <w:bCs/>
                <w:szCs w:val="21"/>
              </w:rPr>
            </w:pPr>
            <w:r>
              <w:rPr>
                <w:rFonts w:hint="eastAsia" w:ascii="华文中宋" w:hAnsi="华文中宋" w:eastAsia="华文中宋" w:cs="华文中宋"/>
                <w:b/>
                <w:bCs/>
                <w:szCs w:val="21"/>
              </w:rPr>
              <w:t>说明：</w:t>
            </w:r>
          </w:p>
          <w:p w14:paraId="5D9DF859">
            <w:pPr>
              <w:rPr>
                <w:rFonts w:hint="eastAsia" w:ascii="华文中宋" w:hAnsi="华文中宋" w:eastAsia="华文中宋" w:cs="华文中宋"/>
                <w:b/>
                <w:szCs w:val="21"/>
              </w:rPr>
            </w:pPr>
            <w:r>
              <w:rPr>
                <w:rFonts w:hint="eastAsia" w:ascii="华文中宋" w:hAnsi="华文中宋" w:eastAsia="华文中宋" w:cs="华文中宋"/>
                <w:b/>
                <w:bCs/>
                <w:szCs w:val="21"/>
              </w:rPr>
              <w:t>1、</w:t>
            </w:r>
            <w:r>
              <w:rPr>
                <w:rFonts w:hint="eastAsia" w:ascii="华文中宋" w:hAnsi="华文中宋" w:eastAsia="华文中宋" w:cs="华文中宋"/>
                <w:b/>
                <w:szCs w:val="21"/>
              </w:rPr>
              <w:t>以上内容涉及的格式资料详见第八部分；</w:t>
            </w:r>
          </w:p>
          <w:p w14:paraId="1E5176FE">
            <w:pPr>
              <w:rPr>
                <w:rFonts w:hint="eastAsia" w:ascii="华文中宋" w:hAnsi="华文中宋" w:eastAsia="华文中宋" w:cs="华文中宋"/>
                <w:szCs w:val="21"/>
              </w:rPr>
            </w:pPr>
            <w:r>
              <w:rPr>
                <w:rFonts w:hint="eastAsia" w:ascii="华文中宋" w:hAnsi="华文中宋" w:eastAsia="华文中宋" w:cs="华文中宋"/>
                <w:b/>
                <w:szCs w:val="21"/>
              </w:rPr>
              <w:t>2、符合性检查文件和综合评分文件按以上顺序装订为一册。</w:t>
            </w:r>
          </w:p>
        </w:tc>
      </w:tr>
      <w:tr w14:paraId="165D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338" w:type="pct"/>
            <w:vAlign w:val="center"/>
          </w:tcPr>
          <w:p w14:paraId="4A2ABE57">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5</w:t>
            </w:r>
          </w:p>
        </w:tc>
        <w:tc>
          <w:tcPr>
            <w:tcW w:w="947" w:type="pct"/>
            <w:vAlign w:val="center"/>
          </w:tcPr>
          <w:p w14:paraId="116653A2">
            <w:pPr>
              <w:snapToGrid w:val="0"/>
              <w:ind w:firstLine="105" w:firstLineChars="50"/>
              <w:rPr>
                <w:rFonts w:hint="eastAsia" w:ascii="华文中宋" w:hAnsi="华文中宋" w:eastAsia="华文中宋" w:cs="华文中宋"/>
                <w:b/>
                <w:szCs w:val="21"/>
              </w:rPr>
            </w:pPr>
            <w:r>
              <w:rPr>
                <w:rFonts w:hint="eastAsia" w:ascii="华文中宋" w:hAnsi="华文中宋" w:eastAsia="华文中宋" w:cs="华文中宋"/>
                <w:b/>
                <w:szCs w:val="21"/>
              </w:rPr>
              <w:t>投标保证金</w:t>
            </w:r>
          </w:p>
        </w:tc>
        <w:tc>
          <w:tcPr>
            <w:tcW w:w="3713" w:type="pct"/>
            <w:shd w:val="clear" w:color="auto" w:fill="auto"/>
            <w:vAlign w:val="center"/>
          </w:tcPr>
          <w:p w14:paraId="5E5B964F">
            <w:pPr>
              <w:pStyle w:val="19"/>
              <w:snapToGrid w:val="0"/>
              <w:rPr>
                <w:rFonts w:hint="eastAsia" w:ascii="华文中宋" w:hAnsi="华文中宋" w:eastAsia="华文中宋" w:cs="华文中宋"/>
                <w:spacing w:val="10"/>
                <w:kern w:val="0"/>
              </w:rPr>
            </w:pPr>
            <w:r>
              <w:rPr>
                <w:rFonts w:hint="eastAsia" w:ascii="华文中宋" w:hAnsi="华文中宋" w:eastAsia="华文中宋" w:cs="华文中宋"/>
                <w:spacing w:val="10"/>
                <w:kern w:val="0"/>
              </w:rPr>
              <w:t>□本项目不要求提交投标保证金。</w:t>
            </w:r>
          </w:p>
          <w:p w14:paraId="72438947">
            <w:pPr>
              <w:pStyle w:val="19"/>
              <w:snapToGrid w:val="0"/>
              <w:rPr>
                <w:rFonts w:hint="eastAsia" w:ascii="华文中宋" w:hAnsi="华文中宋" w:eastAsia="华文中宋" w:cs="华文中宋"/>
                <w:spacing w:val="10"/>
                <w:kern w:val="0"/>
              </w:rPr>
            </w:pPr>
            <w:r>
              <w:rPr>
                <w:rFonts w:hint="eastAsia" w:ascii="华文中宋" w:hAnsi="华文中宋" w:eastAsia="华文中宋" w:cs="华文中宋"/>
                <w:spacing w:val="10"/>
                <w:kern w:val="0"/>
              </w:rPr>
              <w:sym w:font="Wingdings 2" w:char="0052"/>
            </w:r>
            <w:r>
              <w:rPr>
                <w:rFonts w:hint="eastAsia" w:ascii="华文中宋" w:hAnsi="华文中宋" w:eastAsia="华文中宋" w:cs="华文中宋"/>
                <w:spacing w:val="10"/>
                <w:kern w:val="0"/>
              </w:rPr>
              <w:t>本项目要求提交投标保证金。</w:t>
            </w:r>
          </w:p>
          <w:p w14:paraId="4BA78E59">
            <w:pPr>
              <w:pStyle w:val="19"/>
              <w:snapToGrid w:val="0"/>
              <w:rPr>
                <w:rFonts w:hint="eastAsia" w:ascii="华文中宋" w:hAnsi="华文中宋" w:eastAsia="华文中宋" w:cs="华文中宋"/>
                <w:spacing w:val="10"/>
                <w:kern w:val="0"/>
                <w:highlight w:val="yellow"/>
              </w:rPr>
            </w:pPr>
            <w:r>
              <w:rPr>
                <w:rFonts w:hint="eastAsia" w:ascii="华文中宋" w:hAnsi="华文中宋" w:eastAsia="华文中宋" w:cs="华文中宋"/>
                <w:spacing w:val="10"/>
                <w:kern w:val="0"/>
              </w:rPr>
              <w:t>保证金</w:t>
            </w:r>
            <w:r>
              <w:rPr>
                <w:rFonts w:hint="eastAsia" w:ascii="华文中宋" w:hAnsi="华文中宋" w:eastAsia="华文中宋" w:cs="华文中宋"/>
                <w:spacing w:val="10"/>
                <w:kern w:val="0"/>
                <w:highlight w:val="none"/>
              </w:rPr>
              <w:t>金额为</w:t>
            </w:r>
            <w:r>
              <w:rPr>
                <w:rFonts w:hint="eastAsia" w:ascii="华文中宋" w:hAnsi="华文中宋" w:eastAsia="华文中宋" w:cs="华文中宋"/>
                <w:spacing w:val="10"/>
                <w:kern w:val="0"/>
                <w:highlight w:val="none"/>
                <w:lang w:val="en-US" w:eastAsia="zh-CN"/>
              </w:rPr>
              <w:t>9000</w:t>
            </w:r>
            <w:r>
              <w:rPr>
                <w:rFonts w:hint="eastAsia" w:ascii="华文中宋" w:hAnsi="华文中宋" w:eastAsia="华文中宋" w:cs="华文中宋"/>
                <w:spacing w:val="10"/>
                <w:kern w:val="0"/>
                <w:highlight w:val="none"/>
              </w:rPr>
              <w:t xml:space="preserve">元；    </w:t>
            </w:r>
          </w:p>
          <w:p w14:paraId="4941107D">
            <w:pPr>
              <w:pStyle w:val="19"/>
              <w:numPr>
                <w:ilvl w:val="0"/>
                <w:numId w:val="0"/>
              </w:numPr>
              <w:snapToGrid w:val="0"/>
              <w:rPr>
                <w:rFonts w:hint="eastAsia" w:ascii="华文中宋" w:hAnsi="华文中宋" w:eastAsia="华文中宋" w:cs="华文中宋"/>
                <w:color w:val="auto"/>
              </w:rPr>
            </w:pPr>
            <w:r>
              <w:rPr>
                <w:rFonts w:hint="eastAsia" w:ascii="华文中宋" w:hAnsi="华文中宋" w:eastAsia="华文中宋" w:cs="华文中宋"/>
                <w:color w:val="auto"/>
              </w:rPr>
              <w:t>保证金的形式：转账、支票、汇票、本票或保函等非现金形式</w:t>
            </w:r>
          </w:p>
          <w:p w14:paraId="505841C8">
            <w:pPr>
              <w:pStyle w:val="19"/>
              <w:snapToGrid w:val="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收款单位全称：山西鑫泰合工程项目管理有限公司</w:t>
            </w:r>
          </w:p>
          <w:p w14:paraId="7380D735">
            <w:pPr>
              <w:pStyle w:val="19"/>
              <w:snapToGrid w:val="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开   户   行：晋商银行股份有限公司临汾广宣街支行</w:t>
            </w:r>
          </w:p>
          <w:p w14:paraId="79564DDF">
            <w:pPr>
              <w:pStyle w:val="19"/>
              <w:snapToGrid w:val="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行        号：313177000040</w:t>
            </w:r>
          </w:p>
          <w:p w14:paraId="18D148C1">
            <w:pPr>
              <w:pStyle w:val="19"/>
              <w:snapToGrid w:val="0"/>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账        号：3571 0513 0000 01325</w:t>
            </w:r>
          </w:p>
          <w:p w14:paraId="4ADBE4A1">
            <w:pPr>
              <w:pStyle w:val="19"/>
              <w:snapToGrid w:val="0"/>
              <w:rPr>
                <w:rFonts w:hint="eastAsia" w:ascii="华文中宋" w:hAnsi="华文中宋" w:eastAsia="华文中宋" w:cs="华文中宋"/>
                <w:color w:val="auto"/>
              </w:rPr>
            </w:pPr>
            <w:r>
              <w:rPr>
                <w:rFonts w:hint="eastAsia" w:ascii="华文中宋" w:hAnsi="华文中宋" w:eastAsia="华文中宋" w:cs="华文中宋"/>
                <w:color w:val="auto"/>
              </w:rPr>
              <w:t>交付方式：通过本单位银行基本帐户递交</w:t>
            </w:r>
          </w:p>
          <w:p w14:paraId="439962B3">
            <w:pPr>
              <w:pStyle w:val="19"/>
              <w:snapToGrid w:val="0"/>
              <w:rPr>
                <w:rFonts w:hint="eastAsia" w:ascii="华文中宋" w:hAnsi="华文中宋" w:eastAsia="华文中宋" w:cs="华文中宋"/>
                <w:spacing w:val="10"/>
                <w:kern w:val="0"/>
              </w:rPr>
            </w:pPr>
            <w:r>
              <w:rPr>
                <w:rFonts w:hint="eastAsia" w:ascii="华文中宋" w:hAnsi="华文中宋" w:eastAsia="华文中宋" w:cs="华文中宋"/>
                <w:color w:val="auto"/>
              </w:rPr>
              <w:t>退还方式：通过本单位银行账户全额返还</w:t>
            </w:r>
            <w:r>
              <w:rPr>
                <w:rFonts w:hint="eastAsia" w:ascii="华文中宋" w:hAnsi="华文中宋" w:eastAsia="华文中宋" w:cs="华文中宋"/>
                <w:color w:val="auto"/>
                <w:lang w:val="en-US" w:eastAsia="zh-CN"/>
              </w:rPr>
              <w:t xml:space="preserve"> </w:t>
            </w:r>
          </w:p>
        </w:tc>
      </w:tr>
      <w:tr w14:paraId="1464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8" w:type="pct"/>
            <w:vAlign w:val="center"/>
          </w:tcPr>
          <w:p w14:paraId="21741623">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6</w:t>
            </w:r>
          </w:p>
        </w:tc>
        <w:tc>
          <w:tcPr>
            <w:tcW w:w="947" w:type="pct"/>
            <w:vAlign w:val="center"/>
          </w:tcPr>
          <w:p w14:paraId="499CEECF">
            <w:pPr>
              <w:snapToGrid w:val="0"/>
              <w:rPr>
                <w:rFonts w:hint="eastAsia" w:ascii="华文中宋" w:hAnsi="华文中宋" w:eastAsia="华文中宋" w:cs="华文中宋"/>
                <w:b/>
                <w:bCs/>
                <w:szCs w:val="21"/>
              </w:rPr>
            </w:pPr>
            <w:r>
              <w:rPr>
                <w:rFonts w:hint="eastAsia" w:ascii="华文中宋" w:hAnsi="华文中宋" w:eastAsia="华文中宋" w:cs="华文中宋"/>
                <w:b/>
                <w:szCs w:val="21"/>
              </w:rPr>
              <w:t>投标文件有效期</w:t>
            </w:r>
          </w:p>
        </w:tc>
        <w:tc>
          <w:tcPr>
            <w:tcW w:w="3713" w:type="pct"/>
            <w:shd w:val="clear" w:color="auto" w:fill="auto"/>
            <w:vAlign w:val="center"/>
          </w:tcPr>
          <w:p w14:paraId="75A872DE">
            <w:pPr>
              <w:rPr>
                <w:rFonts w:hint="eastAsia" w:ascii="华文中宋" w:hAnsi="华文中宋" w:eastAsia="华文中宋" w:cs="华文中宋"/>
                <w:szCs w:val="21"/>
              </w:rPr>
            </w:pPr>
            <w:r>
              <w:rPr>
                <w:rFonts w:hint="eastAsia" w:ascii="华文中宋" w:hAnsi="华文中宋" w:eastAsia="华文中宋" w:cs="华文中宋"/>
                <w:szCs w:val="21"/>
              </w:rPr>
              <w:t>90个日历天（自递交投标文件之日起计算）</w:t>
            </w:r>
          </w:p>
        </w:tc>
      </w:tr>
      <w:tr w14:paraId="4B19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8" w:type="pct"/>
            <w:vAlign w:val="center"/>
          </w:tcPr>
          <w:p w14:paraId="1E525B99">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7</w:t>
            </w:r>
          </w:p>
        </w:tc>
        <w:tc>
          <w:tcPr>
            <w:tcW w:w="947" w:type="pct"/>
            <w:vAlign w:val="center"/>
          </w:tcPr>
          <w:p w14:paraId="76A9D3A0">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政府采购</w:t>
            </w:r>
          </w:p>
          <w:p w14:paraId="19F9F6CE">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相关政策要求</w:t>
            </w:r>
          </w:p>
          <w:p w14:paraId="2052AA15">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（如涉及的话）</w:t>
            </w:r>
          </w:p>
        </w:tc>
        <w:tc>
          <w:tcPr>
            <w:tcW w:w="3713" w:type="pct"/>
            <w:shd w:val="clear" w:color="auto" w:fill="auto"/>
            <w:vAlign w:val="center"/>
          </w:tcPr>
          <w:p w14:paraId="28EFA074">
            <w:pPr>
              <w:ind w:left="315" w:hanging="315" w:hangingChars="150"/>
              <w:rPr>
                <w:rFonts w:hint="eastAsia" w:ascii="华文中宋" w:hAnsi="华文中宋" w:eastAsia="华文中宋" w:cs="华文中宋"/>
                <w:szCs w:val="21"/>
              </w:rPr>
            </w:pPr>
            <w:r>
              <w:rPr>
                <w:rFonts w:hint="eastAsia" w:ascii="华文中宋" w:hAnsi="华文中宋" w:eastAsia="华文中宋" w:cs="华文中宋"/>
                <w:szCs w:val="21"/>
              </w:rPr>
              <w:t>1、本项目涉及进口产品的要求：</w:t>
            </w:r>
          </w:p>
          <w:p w14:paraId="273A830B">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（1）本项目采购标的物未特别注明“进口产品”（通过中国海关报关验放进入中国境内且产自境外的产品）字样的，均必须采购国产产品。</w:t>
            </w:r>
          </w:p>
          <w:p w14:paraId="13FB1B19">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进行评审。</w:t>
            </w:r>
          </w:p>
          <w:p w14:paraId="107943A9">
            <w:pPr>
              <w:ind w:left="315" w:hanging="315" w:hangingChars="150"/>
              <w:rPr>
                <w:rFonts w:hint="eastAsia" w:ascii="华文中宋" w:hAnsi="华文中宋" w:eastAsia="华文中宋" w:cs="华文中宋"/>
                <w:szCs w:val="21"/>
              </w:rPr>
            </w:pPr>
            <w:r>
              <w:rPr>
                <w:rFonts w:hint="eastAsia" w:ascii="华文中宋" w:hAnsi="华文中宋" w:eastAsia="华文中宋" w:cs="华文中宋"/>
                <w:szCs w:val="21"/>
              </w:rPr>
              <w:t xml:space="preserve">2、本项目涉及“节能产品政府采购品目清单”政府强制采购产品的要求： </w:t>
            </w:r>
          </w:p>
          <w:p w14:paraId="63A3B700">
            <w:pPr>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1）本文件列出政府强制采购产品的，投标人必须投报“节能产品政府采购品目清单”范围内的产品，需将政府强制采购产品如实填写到《政府强制采购产品明细表》（格式见第八部分），并提供处于有效期之内的节能产品认证证书扫描件。</w:t>
            </w:r>
          </w:p>
          <w:p w14:paraId="339E299B">
            <w:pPr>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（2）本文件未列出政府强制采购产品的，投标人可投报“节能产品政府采购品目清单、环境标志产品政府采购品目清单”中非政府强制采购产品或其范围以外的产品。</w:t>
            </w:r>
          </w:p>
          <w:p w14:paraId="76EB134E">
            <w:pPr>
              <w:ind w:left="315" w:hanging="315" w:hangingChars="150"/>
              <w:rPr>
                <w:rFonts w:hint="eastAsia" w:ascii="华文中宋" w:hAnsi="华文中宋" w:eastAsia="华文中宋" w:cs="华文中宋"/>
                <w:szCs w:val="21"/>
              </w:rPr>
            </w:pPr>
            <w:r>
              <w:rPr>
                <w:rFonts w:hint="eastAsia" w:ascii="华文中宋" w:hAnsi="华文中宋" w:eastAsia="华文中宋" w:cs="华文中宋"/>
                <w:szCs w:val="21"/>
              </w:rPr>
              <w:t>3、本项目涉及非政府强制采购产品的要求：</w:t>
            </w:r>
          </w:p>
          <w:p w14:paraId="30E3A946">
            <w:pPr>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（1）投标货物有“节能产品政府采购品目清单、环境标志产品政府采购品目清单”中非政府强制采购产品的将给予适当加分。</w:t>
            </w:r>
          </w:p>
          <w:p w14:paraId="32F81804">
            <w:pPr>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（2）投标人须如实填写《非政府强制采购产品明细表》（格式自制），并提供处于有效期之内的节能产品、环境标志产品认证证书扫描件。</w:t>
            </w:r>
          </w:p>
          <w:p w14:paraId="14CD6392">
            <w:pPr>
              <w:rPr>
                <w:rFonts w:hint="eastAsia" w:ascii="华文中宋" w:hAnsi="华文中宋" w:eastAsia="华文中宋" w:cs="华文中宋"/>
                <w:szCs w:val="21"/>
              </w:rPr>
            </w:pPr>
            <w:r>
              <w:rPr>
                <w:rFonts w:hint="eastAsia" w:ascii="华文中宋" w:hAnsi="华文中宋" w:eastAsia="华文中宋" w:cs="华文中宋"/>
                <w:szCs w:val="21"/>
              </w:rPr>
              <w:t>4、本项目涉及正版软件的要求：</w:t>
            </w:r>
          </w:p>
          <w:p w14:paraId="5AF85DA8">
            <w:pPr>
              <w:ind w:left="315" w:leftChars="150"/>
              <w:rPr>
                <w:rFonts w:hint="eastAsia" w:ascii="华文中宋" w:hAnsi="华文中宋" w:eastAsia="华文中宋" w:cs="华文中宋"/>
                <w:szCs w:val="21"/>
              </w:rPr>
            </w:pPr>
            <w:r>
              <w:rPr>
                <w:rFonts w:hint="eastAsia" w:ascii="华文中宋" w:hAnsi="华文中宋" w:eastAsia="华文中宋" w:cs="华文中宋"/>
                <w:szCs w:val="21"/>
              </w:rPr>
              <w:t>投标人需承诺投报的计算机产品预装正版操作系统，投报的硬件产品内的预装软件为正版软件。</w:t>
            </w:r>
          </w:p>
          <w:p w14:paraId="4C2A8CB3">
            <w:pPr>
              <w:rPr>
                <w:rFonts w:hint="eastAsia" w:ascii="华文中宋" w:hAnsi="华文中宋" w:eastAsia="华文中宋" w:cs="华文中宋"/>
                <w:szCs w:val="21"/>
              </w:rPr>
            </w:pPr>
            <w:r>
              <w:rPr>
                <w:rFonts w:hint="eastAsia" w:ascii="华文中宋" w:hAnsi="华文中宋" w:eastAsia="华文中宋" w:cs="华文中宋"/>
                <w:szCs w:val="21"/>
              </w:rPr>
              <w:t>5、本项目涉及信息安全产品的要求：</w:t>
            </w:r>
          </w:p>
          <w:p w14:paraId="55419B81">
            <w:pPr>
              <w:ind w:left="315" w:leftChars="150"/>
              <w:rPr>
                <w:rFonts w:hint="eastAsia" w:ascii="华文中宋" w:hAnsi="华文中宋" w:eastAsia="华文中宋" w:cs="华文中宋"/>
                <w:szCs w:val="21"/>
              </w:rPr>
            </w:pPr>
            <w:r>
              <w:rPr>
                <w:rFonts w:hint="eastAsia" w:ascii="华文中宋" w:hAnsi="华文中宋" w:eastAsia="华文中宋" w:cs="华文中宋"/>
                <w:szCs w:val="21"/>
              </w:rPr>
              <w:t>投标货物中如含有财政部会同有关部门制定下发的《信息安全产品强制性认证目录》中的产品（8类13项），需提供中国信息安全认证中心或中国网络安全审查技术与认证中心按国家标准认证颁发的有效认证证书。</w:t>
            </w:r>
          </w:p>
          <w:p w14:paraId="3F7A9FA4">
            <w:pPr>
              <w:spacing w:line="360" w:lineRule="exact"/>
              <w:rPr>
                <w:rFonts w:hint="eastAsia" w:ascii="华文中宋" w:hAnsi="华文中宋" w:eastAsia="华文中宋" w:cs="华文中宋"/>
                <w:szCs w:val="21"/>
              </w:rPr>
            </w:pPr>
            <w:r>
              <w:rPr>
                <w:rFonts w:hint="eastAsia" w:ascii="华文中宋" w:hAnsi="华文中宋" w:eastAsia="华文中宋" w:cs="华文中宋"/>
                <w:szCs w:val="21"/>
              </w:rPr>
              <w:t>6、小型、微型企业参加本项目投标要求：</w:t>
            </w:r>
          </w:p>
          <w:p w14:paraId="741C9D8B">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14:paraId="74711ED9">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2）小型、微企业只有提供本企业制造的货物或者服务，或者提供其他小型、微企业制造的货物，享受投标货物的价格折扣。若有的话，如实填写《小微企业/残疾人福利性单位提供货物/服务明细表》（格式见第八部分）。</w:t>
            </w:r>
          </w:p>
          <w:p w14:paraId="36006011">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（3）小型、微型企业提供的货物既有中小企业制造货物，也有大型企业制造货物的，不享受价格折扣。</w:t>
            </w:r>
          </w:p>
          <w:p w14:paraId="0BF84ACB">
            <w:pPr>
              <w:spacing w:line="360" w:lineRule="exact"/>
              <w:rPr>
                <w:rFonts w:hint="eastAsia" w:ascii="华文中宋" w:hAnsi="华文中宋" w:eastAsia="华文中宋" w:cs="华文中宋"/>
                <w:szCs w:val="21"/>
              </w:rPr>
            </w:pPr>
            <w:r>
              <w:rPr>
                <w:rFonts w:hint="eastAsia" w:ascii="华文中宋" w:hAnsi="华文中宋" w:eastAsia="华文中宋" w:cs="华文中宋"/>
                <w:szCs w:val="21"/>
              </w:rPr>
              <w:t>7、残疾人福利性单位参加本项目投标的要求：</w:t>
            </w:r>
          </w:p>
          <w:p w14:paraId="039FC76E">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（1）须根据财库【2017】141号《关于促进残疾人就业政府采购政策的通知》的要求，如实填写残疾人福利性单位声明函（格式见第八部分）。</w:t>
            </w:r>
          </w:p>
          <w:p w14:paraId="29652186">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（2）供应商提供的《残疾人福利性单位声明函》与事实不符的，依照《政府采购法》第七十七条第一款的规定追究法律责任。</w:t>
            </w:r>
          </w:p>
          <w:p w14:paraId="513D813D">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3）残疾人福利性单位提供本企业制造的货物或者服务，或者提供其他残疾人福利性单位制造的货物，享受投标货物的价格折扣。若有的话，如实填写《中小微企业/残疾人福利性单位提供货物/服务明细表》（格式见第八部分）；</w:t>
            </w:r>
          </w:p>
          <w:p w14:paraId="4DF13C89">
            <w:pPr>
              <w:spacing w:line="360" w:lineRule="exact"/>
              <w:rPr>
                <w:rFonts w:hint="eastAsia" w:ascii="华文中宋" w:hAnsi="华文中宋" w:eastAsia="华文中宋" w:cs="华文中宋"/>
                <w:szCs w:val="21"/>
              </w:rPr>
            </w:pPr>
            <w:r>
              <w:rPr>
                <w:rFonts w:hint="eastAsia" w:ascii="华文中宋" w:hAnsi="华文中宋" w:eastAsia="华文中宋" w:cs="华文中宋"/>
                <w:szCs w:val="21"/>
              </w:rPr>
              <w:t>8、本项目涉及创新产品、创新服务的要求：</w:t>
            </w:r>
          </w:p>
          <w:p w14:paraId="3E2A4DEC">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（1）投标人投标产品或服务属于《山西省创新产品和服务推荐清单》中创新产品或创新服务的，在评审时，享受投标产品价格折扣。</w:t>
            </w:r>
          </w:p>
          <w:p w14:paraId="52904A01">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（2）投标人投标创新产品或创新服务的，应在投标文件中提供《山西省创新产品和服务推荐清单》，并填写《创新产品或创新服务明细表》（格式见第八部分）</w:t>
            </w:r>
          </w:p>
          <w:p w14:paraId="0DA5AC91">
            <w:pPr>
              <w:spacing w:line="360" w:lineRule="exact"/>
              <w:rPr>
                <w:rFonts w:hint="eastAsia" w:ascii="华文中宋" w:hAnsi="华文中宋" w:eastAsia="华文中宋" w:cs="华文中宋"/>
                <w:szCs w:val="21"/>
              </w:rPr>
            </w:pPr>
            <w:r>
              <w:rPr>
                <w:rFonts w:hint="eastAsia" w:ascii="华文中宋" w:hAnsi="华文中宋" w:eastAsia="华文中宋" w:cs="华文中宋"/>
                <w:szCs w:val="21"/>
              </w:rPr>
              <w:t>9、监狱企业参加本项目投标的要求：</w:t>
            </w:r>
          </w:p>
          <w:p w14:paraId="028B73DB">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（1）监狱企业参加投标视同小微企业，需提供由省级以上监狱管理局或戒毒管理局出具的属于监狱企业的证明文件。</w:t>
            </w:r>
          </w:p>
          <w:p w14:paraId="4A63CACA">
            <w:pPr>
              <w:spacing w:line="360" w:lineRule="exact"/>
              <w:ind w:left="315" w:leftChars="100" w:hanging="105" w:hangingChars="50"/>
              <w:rPr>
                <w:rFonts w:hint="eastAsia" w:ascii="华文中宋" w:hAnsi="华文中宋" w:eastAsia="华文中宋" w:cs="华文中宋"/>
                <w:szCs w:val="21"/>
              </w:rPr>
            </w:pPr>
            <w:r>
              <w:rPr>
                <w:rFonts w:hint="eastAsia" w:ascii="华文中宋" w:hAnsi="华文中宋" w:eastAsia="华文中宋" w:cs="华文中宋"/>
                <w:szCs w:val="21"/>
              </w:rPr>
              <w:t>（2）监狱企业只有提供本企业制造的货物或服务，或者提供其他小、微企业制造的货物，享受投标货物的价格折扣。若有的话，如实填写《小微企业/残疾人福利性单位提供货物/服务明细表》（格式见第八部分）；</w:t>
            </w:r>
          </w:p>
          <w:p w14:paraId="236262A7">
            <w:pPr>
              <w:spacing w:line="360" w:lineRule="auto"/>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rPr>
              <w:t>（3）监狱企业与中型企业组成联合体参加投标的，或者向监狱企业分包，且联合体协议或分包意向协议约定监狱企业的协议金额占到合同金额30%以上的，享受投标标的价格折扣。</w:t>
            </w:r>
          </w:p>
          <w:p w14:paraId="61449E7B">
            <w:pPr>
              <w:spacing w:line="360" w:lineRule="auto"/>
              <w:ind w:firstLine="420" w:firstLineChars="200"/>
              <w:rPr>
                <w:rFonts w:hint="eastAsia" w:ascii="华文中宋" w:hAnsi="华文中宋" w:eastAsia="华文中宋" w:cs="华文中宋"/>
              </w:rPr>
            </w:pPr>
            <w:r>
              <w:rPr>
                <w:rFonts w:hint="eastAsia" w:ascii="华文中宋" w:hAnsi="华文中宋" w:eastAsia="华文中宋" w:cs="华文中宋"/>
                <w:b/>
                <w:szCs w:val="21"/>
                <w:highlight w:val="none"/>
                <w:lang w:val="en-US" w:eastAsia="zh-CN"/>
              </w:rPr>
              <w:t>注：专门面向中小企业采购的项目，不重复执行支持中小企业发展、促进残疾人就业、支持监狱企业发展的价格优惠政策。</w:t>
            </w:r>
          </w:p>
          <w:p w14:paraId="656D5327">
            <w:pPr>
              <w:ind w:left="315" w:leftChars="100" w:hanging="105" w:hangingChars="50"/>
              <w:rPr>
                <w:rFonts w:hint="eastAsia" w:ascii="华文中宋" w:hAnsi="华文中宋" w:eastAsia="华文中宋" w:cs="华文中宋"/>
                <w:szCs w:val="21"/>
              </w:rPr>
            </w:pPr>
          </w:p>
        </w:tc>
      </w:tr>
      <w:tr w14:paraId="0392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38" w:type="pct"/>
            <w:vAlign w:val="center"/>
          </w:tcPr>
          <w:p w14:paraId="3BCACAE5">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8</w:t>
            </w:r>
          </w:p>
        </w:tc>
        <w:tc>
          <w:tcPr>
            <w:tcW w:w="947" w:type="pct"/>
            <w:vAlign w:val="center"/>
          </w:tcPr>
          <w:p w14:paraId="79C67AF0">
            <w:pPr>
              <w:pStyle w:val="52"/>
              <w:keepNext w:val="0"/>
              <w:keepLines w:val="0"/>
              <w:numPr>
                <w:ilvl w:val="0"/>
                <w:numId w:val="0"/>
              </w:numPr>
              <w:spacing w:before="0" w:after="0"/>
              <w:ind w:firstLine="315" w:firstLineChars="150"/>
              <w:jc w:val="both"/>
              <w:rPr>
                <w:rFonts w:hint="eastAsia" w:ascii="华文中宋" w:hAnsi="华文中宋" w:eastAsia="华文中宋" w:cs="华文中宋"/>
                <w:szCs w:val="21"/>
              </w:rPr>
            </w:pPr>
            <w:bookmarkStart w:id="43" w:name="_Toc17285"/>
            <w:bookmarkStart w:id="44" w:name="_Toc25336"/>
            <w:bookmarkStart w:id="45" w:name="_Toc4112"/>
            <w:r>
              <w:rPr>
                <w:rFonts w:hint="eastAsia" w:ascii="华文中宋" w:hAnsi="华文中宋" w:eastAsia="华文中宋" w:cs="华文中宋"/>
                <w:szCs w:val="21"/>
              </w:rPr>
              <w:t>现场勘查</w:t>
            </w:r>
            <w:bookmarkEnd w:id="43"/>
            <w:bookmarkEnd w:id="44"/>
            <w:bookmarkEnd w:id="45"/>
          </w:p>
          <w:p w14:paraId="540F97FF">
            <w:pPr>
              <w:pStyle w:val="52"/>
              <w:keepNext w:val="0"/>
              <w:keepLines w:val="0"/>
              <w:numPr>
                <w:ilvl w:val="0"/>
                <w:numId w:val="0"/>
              </w:numPr>
              <w:spacing w:before="0" w:after="0"/>
              <w:jc w:val="both"/>
              <w:rPr>
                <w:rFonts w:hint="eastAsia" w:ascii="华文中宋" w:hAnsi="华文中宋" w:eastAsia="华文中宋" w:cs="华文中宋"/>
                <w:bCs w:val="0"/>
                <w:szCs w:val="21"/>
              </w:rPr>
            </w:pPr>
            <w:bookmarkStart w:id="46" w:name="_Toc23625"/>
            <w:bookmarkStart w:id="47" w:name="_Toc4980"/>
            <w:bookmarkStart w:id="48" w:name="_Toc6091"/>
            <w:r>
              <w:rPr>
                <w:rFonts w:hint="eastAsia" w:ascii="华文中宋" w:hAnsi="华文中宋" w:eastAsia="华文中宋" w:cs="华文中宋"/>
                <w:szCs w:val="21"/>
              </w:rPr>
              <w:t>（或标前答疑会）</w:t>
            </w:r>
            <w:bookmarkEnd w:id="46"/>
            <w:bookmarkEnd w:id="47"/>
            <w:bookmarkEnd w:id="48"/>
          </w:p>
        </w:tc>
        <w:tc>
          <w:tcPr>
            <w:tcW w:w="3713" w:type="pct"/>
            <w:shd w:val="clear" w:color="auto" w:fill="auto"/>
            <w:vAlign w:val="center"/>
          </w:tcPr>
          <w:p w14:paraId="53403249">
            <w:pPr>
              <w:rPr>
                <w:rFonts w:hint="eastAsia" w:ascii="华文中宋" w:hAnsi="华文中宋" w:eastAsia="华文中宋" w:cs="华文中宋"/>
                <w:b/>
                <w:szCs w:val="21"/>
              </w:rPr>
            </w:pPr>
            <w:r>
              <w:rPr>
                <w:rFonts w:hint="eastAsia" w:ascii="华文中宋" w:hAnsi="华文中宋" w:eastAsia="华文中宋" w:cs="华文中宋"/>
                <w:bCs/>
                <w:szCs w:val="21"/>
              </w:rPr>
              <w:t>不组织</w:t>
            </w:r>
          </w:p>
        </w:tc>
      </w:tr>
      <w:tr w14:paraId="0B7B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38" w:type="pct"/>
            <w:vAlign w:val="center"/>
          </w:tcPr>
          <w:p w14:paraId="6563C8C2">
            <w:pPr>
              <w:snapToGrid w:val="0"/>
              <w:jc w:val="center"/>
              <w:rPr>
                <w:rFonts w:hint="eastAsia" w:ascii="华文中宋" w:hAnsi="华文中宋" w:eastAsia="华文中宋" w:cs="华文中宋"/>
                <w:b/>
                <w:szCs w:val="21"/>
              </w:rPr>
            </w:pPr>
            <w:r>
              <w:rPr>
                <w:rFonts w:hint="eastAsia" w:ascii="华文中宋" w:hAnsi="华文中宋" w:eastAsia="华文中宋" w:cs="华文中宋"/>
                <w:b/>
                <w:szCs w:val="21"/>
              </w:rPr>
              <w:t>9</w:t>
            </w:r>
          </w:p>
        </w:tc>
        <w:tc>
          <w:tcPr>
            <w:tcW w:w="947" w:type="pct"/>
            <w:vAlign w:val="center"/>
          </w:tcPr>
          <w:p w14:paraId="00EB4E2C">
            <w:pPr>
              <w:pStyle w:val="52"/>
              <w:keepNext w:val="0"/>
              <w:keepLines w:val="0"/>
              <w:numPr>
                <w:ilvl w:val="0"/>
                <w:numId w:val="0"/>
              </w:numPr>
              <w:spacing w:before="0" w:after="0"/>
              <w:jc w:val="center"/>
              <w:rPr>
                <w:rFonts w:hint="eastAsia" w:ascii="华文中宋" w:hAnsi="华文中宋" w:eastAsia="华文中宋" w:cs="华文中宋"/>
                <w:szCs w:val="21"/>
              </w:rPr>
            </w:pPr>
            <w:r>
              <w:rPr>
                <w:rFonts w:hint="eastAsia" w:ascii="华文中宋" w:hAnsi="华文中宋" w:eastAsia="华文中宋" w:cs="华文中宋"/>
                <w:szCs w:val="21"/>
              </w:rPr>
              <w:t>所属行业</w:t>
            </w:r>
          </w:p>
        </w:tc>
        <w:tc>
          <w:tcPr>
            <w:tcW w:w="3713" w:type="pct"/>
            <w:shd w:val="clear" w:color="auto" w:fill="auto"/>
            <w:vAlign w:val="center"/>
          </w:tcPr>
          <w:p w14:paraId="6D335FBD">
            <w:pPr>
              <w:rPr>
                <w:rFonts w:hint="eastAsia" w:ascii="华文中宋" w:hAnsi="华文中宋" w:eastAsia="华文中宋" w:cs="华文中宋"/>
                <w:kern w:val="0"/>
                <w:szCs w:val="21"/>
              </w:rPr>
            </w:pPr>
            <w:r>
              <w:rPr>
                <w:rFonts w:hint="eastAsia" w:ascii="华文中宋" w:hAnsi="华文中宋" w:eastAsia="华文中宋" w:cs="华文中宋"/>
                <w:bCs/>
                <w:szCs w:val="21"/>
              </w:rPr>
              <w:t>根据中小企业划型标准，本项目属于工业。</w:t>
            </w:r>
          </w:p>
        </w:tc>
      </w:tr>
    </w:tbl>
    <w:p w14:paraId="0AC8F2DA">
      <w:pPr>
        <w:snapToGrid w:val="0"/>
        <w:spacing w:line="360" w:lineRule="auto"/>
        <w:rPr>
          <w:rFonts w:hint="eastAsia" w:ascii="华文中宋" w:hAnsi="华文中宋" w:eastAsia="华文中宋" w:cs="华文中宋"/>
        </w:rPr>
      </w:pPr>
      <w:r>
        <w:rPr>
          <w:rFonts w:hint="eastAsia" w:ascii="华文中宋" w:hAnsi="华文中宋" w:eastAsia="华文中宋" w:cs="华文中宋"/>
          <w:sz w:val="24"/>
        </w:rPr>
        <w:t>注：本表内容与投标人须知内容不一致的，以本表内容为准。</w:t>
      </w:r>
      <w:r>
        <w:rPr>
          <w:rFonts w:hint="eastAsia" w:ascii="华文中宋" w:hAnsi="华文中宋" w:eastAsia="华文中宋" w:cs="华文中宋"/>
        </w:rPr>
        <w:br w:type="page"/>
      </w:r>
    </w:p>
    <w:p w14:paraId="42EE530B">
      <w:pPr>
        <w:pStyle w:val="49"/>
        <w:numPr>
          <w:ilvl w:val="0"/>
          <w:numId w:val="0"/>
        </w:numPr>
        <w:snapToGrid w:val="0"/>
        <w:spacing w:before="0" w:after="0"/>
        <w:rPr>
          <w:rFonts w:hint="eastAsia" w:ascii="华文中宋" w:hAnsi="华文中宋" w:eastAsia="华文中宋" w:cs="华文中宋"/>
          <w:spacing w:val="20"/>
          <w:szCs w:val="28"/>
        </w:rPr>
      </w:pPr>
      <w:bookmarkStart w:id="49" w:name="_Toc26881690"/>
      <w:bookmarkStart w:id="50" w:name="_Toc424378684"/>
      <w:bookmarkStart w:id="51" w:name="_Toc17730"/>
      <w:bookmarkStart w:id="52" w:name="_Toc25113"/>
      <w:bookmarkStart w:id="53" w:name="_Toc24310"/>
      <w:bookmarkStart w:id="54" w:name="_Toc352761929"/>
      <w:r>
        <w:rPr>
          <w:rFonts w:hint="eastAsia" w:ascii="华文中宋" w:hAnsi="华文中宋" w:eastAsia="华文中宋" w:cs="华文中宋"/>
          <w:spacing w:val="20"/>
          <w:szCs w:val="28"/>
        </w:rPr>
        <w:t>第三部分  投标人须知</w:t>
      </w:r>
      <w:bookmarkEnd w:id="49"/>
      <w:bookmarkEnd w:id="50"/>
      <w:bookmarkEnd w:id="51"/>
      <w:bookmarkEnd w:id="52"/>
      <w:bookmarkEnd w:id="53"/>
      <w:bookmarkEnd w:id="54"/>
    </w:p>
    <w:p w14:paraId="0B84388E">
      <w:pPr>
        <w:pStyle w:val="3"/>
        <w:numPr>
          <w:ilvl w:val="0"/>
          <w:numId w:val="5"/>
        </w:numPr>
        <w:spacing w:before="0" w:after="0" w:line="360" w:lineRule="auto"/>
        <w:ind w:left="0" w:firstLine="480" w:firstLineChars="200"/>
        <w:jc w:val="both"/>
        <w:rPr>
          <w:rFonts w:hint="eastAsia" w:ascii="华文中宋" w:hAnsi="华文中宋" w:eastAsia="华文中宋" w:cs="华文中宋"/>
          <w:sz w:val="24"/>
          <w:szCs w:val="24"/>
        </w:rPr>
      </w:pPr>
      <w:bookmarkStart w:id="55" w:name="_Toc424378685"/>
      <w:bookmarkStart w:id="56" w:name="_Toc26881691"/>
      <w:bookmarkStart w:id="57" w:name="_Toc352761930"/>
      <w:bookmarkStart w:id="58" w:name="_Toc25539"/>
      <w:bookmarkStart w:id="59" w:name="_Toc19124"/>
      <w:bookmarkStart w:id="60" w:name="_Toc16223"/>
      <w:r>
        <w:rPr>
          <w:rFonts w:hint="eastAsia" w:ascii="华文中宋" w:hAnsi="华文中宋" w:eastAsia="华文中宋" w:cs="华文中宋"/>
          <w:sz w:val="24"/>
          <w:szCs w:val="24"/>
        </w:rPr>
        <w:t>总则</w:t>
      </w:r>
      <w:bookmarkEnd w:id="55"/>
      <w:bookmarkEnd w:id="56"/>
      <w:bookmarkEnd w:id="57"/>
      <w:bookmarkEnd w:id="58"/>
      <w:bookmarkEnd w:id="59"/>
      <w:bookmarkEnd w:id="60"/>
    </w:p>
    <w:p w14:paraId="306CE46B">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1. 适用范围</w:t>
      </w:r>
    </w:p>
    <w:p w14:paraId="07102DAC">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sz w:val="24"/>
          <w:szCs w:val="24"/>
        </w:rPr>
        <w:t>本招标文件仅适用于本次招投标活动。</w:t>
      </w:r>
    </w:p>
    <w:p w14:paraId="0BCE1DEF">
      <w:pPr>
        <w:pStyle w:val="53"/>
        <w:tabs>
          <w:tab w:val="left" w:pos="0"/>
        </w:tabs>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2. 定义</w:t>
      </w:r>
    </w:p>
    <w:p w14:paraId="4F816FD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2.1 “采购人”指本次招标活动的采购单位。</w:t>
      </w:r>
    </w:p>
    <w:p w14:paraId="413DFFFD">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2.2 “采购代理机构”指组织本次招标活动的集中采购代理机构或其他采购代理机构。</w:t>
      </w:r>
    </w:p>
    <w:p w14:paraId="1BF1F79E">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2.3 “投标人”指符合本招标文件规定并向采购代理机构提交投标文件的供应商。</w:t>
      </w:r>
    </w:p>
    <w:p w14:paraId="5F78AEF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2.4 “货物”指供应商按招标文件的规定，须向采购人提供的各种形态和种类的物品及其他有关技术资料和材料。</w:t>
      </w:r>
    </w:p>
    <w:p w14:paraId="0BDEB93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2.5 “服务”指招标文件所表述的投标人须向采购人提供的服务和应当履行的承诺和义务。</w:t>
      </w:r>
    </w:p>
    <w:p w14:paraId="4F8F9012">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2.6 “电子签章”指可通过电子签章软件正确读取数字证书签章信息的电子签章，电子签章包含单位电子签章和法定代表人电子签章。</w:t>
      </w:r>
    </w:p>
    <w:p w14:paraId="774C5688">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2.7本招标文件各部分规定的期间以时、日、月、年计算。期间开始的时和日，不计算在期间内。</w:t>
      </w:r>
    </w:p>
    <w:p w14:paraId="004AF37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2.8本须知中单独对货物所描述的要求，只针对涉及采购货物。</w:t>
      </w:r>
    </w:p>
    <w:p w14:paraId="5C8118CB">
      <w:pPr>
        <w:pStyle w:val="53"/>
        <w:tabs>
          <w:tab w:val="left" w:pos="0"/>
        </w:tabs>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3. 合格的投标人</w:t>
      </w:r>
    </w:p>
    <w:p w14:paraId="14182A51">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3.1 具有本项目生产、制造、供应及/或实施能力，符合、承认并承诺履行本招标文件各项规定的国内供应商。</w:t>
      </w:r>
    </w:p>
    <w:p w14:paraId="1B90127E">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3.2 投标人必须是已在中国境内依法登记注册，并持有符合法律法规规定的有效证件的供应商。</w:t>
      </w:r>
    </w:p>
    <w:p w14:paraId="5D65DA12">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3.3 具备《中华人民共和国政府采购法》第二十二条第一款规定的条件和本项目所需的特定资格条件及有关法律、法规关于供应商的规定，有能力提供招标采购货物/服务的供应商。并按照《中华人民共和国政府采购法实施条例》第十七条的规定，提供资格要求证明文件，具体提供的材料详见投标人须知前附表的要求。</w:t>
      </w:r>
    </w:p>
    <w:p w14:paraId="70CC72F2">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3.4 本次招标是否允许代理商参加投标，详见投标人须知前附表的规定。</w:t>
      </w:r>
    </w:p>
    <w:p w14:paraId="7BA735DA">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23C81AA">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3.6 本次招标是否允许由两个以上供应商组成一个联合体以一个投标人身份共同参加投标，详见投标人须知前附表的规定。</w:t>
      </w:r>
    </w:p>
    <w:p w14:paraId="2063ACA4">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3.6.1 联合体各方均应当符合《政府采购法》第二十二条规定的条件，联合体各方均应按照本部分3.3条的要求提供相关材料。</w:t>
      </w:r>
    </w:p>
    <w:p w14:paraId="0713799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3.6.2 本项目的特殊要求规定投标人特定资格条件的，联合体各方的同类资质按照资质等级较低的确定联合体资质等级。联合体各方不得再单独参加或者与其他供应商另外组成联合体参加本项目同一包的投标。</w:t>
      </w:r>
    </w:p>
    <w:p w14:paraId="6FBAD0F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3.6.3 联合体各方之间应当签订联合投标协议，明确约定联合体各方承担的工作和相应的责任，并将联合投标协议连同投标文件一并提交，联合投标协议格式见本招标文件第八部分。</w:t>
      </w:r>
    </w:p>
    <w:p w14:paraId="4B52EC1F">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4. 投标费用</w:t>
      </w:r>
    </w:p>
    <w:p w14:paraId="257F587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投标人应当承担所有与准备和参加投标有关的费用，采购代理机构和采购人在任何情况下均无义务和责任承担这些费用。</w:t>
      </w:r>
    </w:p>
    <w:p w14:paraId="29A932CD">
      <w:pPr>
        <w:pStyle w:val="53"/>
        <w:snapToGrid w:val="0"/>
        <w:spacing w:line="360" w:lineRule="auto"/>
        <w:ind w:firstLine="480" w:firstLineChars="200"/>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5. 通知的告知及获取</w:t>
      </w:r>
    </w:p>
    <w:p w14:paraId="7E4DE298">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5.1通知的告知</w:t>
      </w:r>
    </w:p>
    <w:p w14:paraId="667FE5F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对与本项目有关的通知，采购代理机构将通过与招标公告发布的同一媒体进行通知，不再书面进行通知。各市场参与主体因自身原因未关注到此类通知并造成损失的，责任自负。</w:t>
      </w:r>
    </w:p>
    <w:p w14:paraId="6E1B1A1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5.2通知的获取</w:t>
      </w:r>
    </w:p>
    <w:p w14:paraId="297FD5A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已获取了招标文件的投标人，可在本次招标公告刊登的媒体上查看已发布的通知，或凭借数字证书登录山西政府采购平台（http://www.ccgp-shanxi.gov.cn/home.html）查看获取相关通知。</w:t>
      </w:r>
    </w:p>
    <w:p w14:paraId="6564383E">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未获取招标文件的潜在投标人可在本次招标公告刊登的媒体上查看获取已发布的通知。</w:t>
      </w:r>
    </w:p>
    <w:p w14:paraId="1D95938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因线路故障导致通知延迟获取或无法获取，采购代理机构不因此承担任何责任，有关的招标活动可以继续有效地进行。</w:t>
      </w:r>
    </w:p>
    <w:p w14:paraId="0876DCE6">
      <w:pPr>
        <w:pStyle w:val="53"/>
        <w:snapToGrid w:val="0"/>
        <w:spacing w:line="360" w:lineRule="auto"/>
        <w:ind w:firstLine="480" w:firstLineChars="200"/>
        <w:textAlignment w:val="auto"/>
        <w:rPr>
          <w:rFonts w:hint="eastAsia" w:ascii="华文中宋" w:hAnsi="华文中宋" w:eastAsia="华文中宋" w:cs="华文中宋"/>
          <w:sz w:val="24"/>
          <w:szCs w:val="24"/>
        </w:rPr>
      </w:pPr>
    </w:p>
    <w:p w14:paraId="5CC8283F">
      <w:pPr>
        <w:pStyle w:val="3"/>
        <w:numPr>
          <w:ilvl w:val="0"/>
          <w:numId w:val="0"/>
        </w:numPr>
        <w:spacing w:before="0" w:after="0" w:line="360" w:lineRule="auto"/>
        <w:ind w:firstLine="480" w:firstLineChars="200"/>
        <w:jc w:val="both"/>
        <w:rPr>
          <w:rFonts w:hint="eastAsia" w:ascii="华文中宋" w:hAnsi="华文中宋" w:eastAsia="华文中宋" w:cs="华文中宋"/>
          <w:sz w:val="24"/>
          <w:szCs w:val="24"/>
        </w:rPr>
      </w:pPr>
      <w:bookmarkStart w:id="61" w:name="_Toc24133"/>
      <w:bookmarkStart w:id="62" w:name="_Toc424378686"/>
      <w:bookmarkStart w:id="63" w:name="_Toc25807"/>
      <w:bookmarkStart w:id="64" w:name="_Toc10939"/>
      <w:bookmarkStart w:id="65" w:name="_Toc4335"/>
      <w:bookmarkStart w:id="66" w:name="_Toc352761931"/>
      <w:bookmarkStart w:id="67" w:name="_Toc26881692"/>
      <w:r>
        <w:rPr>
          <w:rFonts w:hint="eastAsia" w:ascii="华文中宋" w:hAnsi="华文中宋" w:eastAsia="华文中宋" w:cs="华文中宋"/>
          <w:sz w:val="24"/>
          <w:szCs w:val="24"/>
        </w:rPr>
        <w:t>二、招标文件</w:t>
      </w:r>
      <w:bookmarkEnd w:id="61"/>
      <w:bookmarkEnd w:id="62"/>
      <w:bookmarkEnd w:id="63"/>
      <w:bookmarkEnd w:id="64"/>
      <w:bookmarkEnd w:id="65"/>
      <w:bookmarkEnd w:id="66"/>
      <w:bookmarkEnd w:id="67"/>
    </w:p>
    <w:p w14:paraId="505AE249">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6. 招标文件的内容</w:t>
      </w:r>
    </w:p>
    <w:p w14:paraId="450911CE">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6.1 招标文件由下列八部分内容组成：</w:t>
      </w:r>
    </w:p>
    <w:p w14:paraId="4ED56FC2">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第一部分 投标公告；</w:t>
      </w:r>
    </w:p>
    <w:p w14:paraId="2D91337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第二部分 投标人须知前附表;</w:t>
      </w:r>
    </w:p>
    <w:p w14:paraId="294C853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第三部分 投标人须知；</w:t>
      </w:r>
    </w:p>
    <w:p w14:paraId="5410A93A">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第四部分 商务技术要求；</w:t>
      </w:r>
    </w:p>
    <w:p w14:paraId="58787B0B">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第五部分 资格审查内容及标准；</w:t>
      </w:r>
    </w:p>
    <w:p w14:paraId="3C47CCC1">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第六部分 评标标准和评分方法；</w:t>
      </w:r>
    </w:p>
    <w:p w14:paraId="6E3F08B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第七部分 合同文本；</w:t>
      </w:r>
    </w:p>
    <w:p w14:paraId="53C148A5">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第八部分 投标文件内容要求及格式</w:t>
      </w:r>
    </w:p>
    <w:p w14:paraId="048CD86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6.2 招标文件中落实政府采购政策的相关要求详见前附表的规定。</w:t>
      </w:r>
    </w:p>
    <w:p w14:paraId="692914CF">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6.3 投标人如在信用中国网（http://www.creditchina.gov.cn）存在失信黑名单记录情况或在中国政府采购网（http://www.ccgp.gov.cn）存在政府采购严重违法失信行为信息记录情况，且在执行期间的，对投标文件做无效投标处理。</w:t>
      </w:r>
    </w:p>
    <w:p w14:paraId="08865314">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6.4除非特殊要求，招标文件不单独提供招标项目使用地的自然环境、气候条件、公用设施情况，投标人被视为熟悉上述与履行合同有关的一切情况。</w:t>
      </w:r>
    </w:p>
    <w:p w14:paraId="3FBC14CD">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6.5 招标文件的解释权归采购代理机构所有。当对一个问题有多种解释时以采购代理机构解释为准。</w:t>
      </w:r>
    </w:p>
    <w:p w14:paraId="5062727B">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6.6招标文件未作须知明示，而又有法律、法规规定的，采购代理机构将依据法律法规的规定进行解释。</w:t>
      </w:r>
    </w:p>
    <w:p w14:paraId="2C2681E9">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7. 招标文件的澄清和修改</w:t>
      </w:r>
    </w:p>
    <w:p w14:paraId="3257EE7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7.1采购代理机构可以对已发出的招标文件进行必要的澄清或者修改，澄清或者修改在原公告发布媒体上发布澄清公告。澄清或者修改的内容为招标文件的组成部分，对所有投标人均具有约束作用。投标人应通过山西政府采购平台（http://www.ccgp-shanxi.gov.cn/home.html）关注此类公告，此类公告不再书面进行通知。投标人因自身原因未关注到此公告并造成损失的，责任自负。</w:t>
      </w:r>
    </w:p>
    <w:p w14:paraId="4B72103B">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7.2澄清或者修改的内容可能影响投标文件编制的，采购代理机构在投标截止时间至少15日前，以发布公告的形式通知所有获取招标文件的潜在投标人；不足15日的，顺延提交投标文件的截止时间。</w:t>
      </w:r>
    </w:p>
    <w:p w14:paraId="2EF59B7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7.3投标人对招标文件有疑问，可根据本须知34.1和34.2规定的程序提出。采购代理机构将视情况确定采用适当方式予以澄清答复，并认为必要时，将不标明查询来源的答复通知已获取招标文件的所有投标人。所有已获取本项目招标文件的投标人均可在下载招标文件处下载相关答复，因自身原因未关注到此答复并造成损失的，责任自负。</w:t>
      </w:r>
    </w:p>
    <w:p w14:paraId="0FBA0528">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7.4采购代理机构将视情况确定是否进行现场勘查或召开标前答疑会。</w:t>
      </w:r>
    </w:p>
    <w:p w14:paraId="0843FF3C">
      <w:pPr>
        <w:pStyle w:val="53"/>
        <w:snapToGrid w:val="0"/>
        <w:spacing w:line="360" w:lineRule="auto"/>
        <w:ind w:firstLine="480" w:firstLineChars="200"/>
        <w:textAlignment w:val="auto"/>
        <w:rPr>
          <w:rFonts w:hint="eastAsia" w:ascii="华文中宋" w:hAnsi="华文中宋" w:eastAsia="华文中宋" w:cs="华文中宋"/>
          <w:sz w:val="24"/>
          <w:szCs w:val="24"/>
        </w:rPr>
      </w:pPr>
    </w:p>
    <w:p w14:paraId="33D441E1">
      <w:pPr>
        <w:pStyle w:val="3"/>
        <w:numPr>
          <w:ilvl w:val="0"/>
          <w:numId w:val="0"/>
        </w:numPr>
        <w:spacing w:before="0" w:after="0" w:line="360" w:lineRule="auto"/>
        <w:ind w:firstLine="480" w:firstLineChars="200"/>
        <w:jc w:val="both"/>
        <w:rPr>
          <w:rFonts w:hint="eastAsia" w:ascii="华文中宋" w:hAnsi="华文中宋" w:eastAsia="华文中宋" w:cs="华文中宋"/>
          <w:sz w:val="24"/>
          <w:szCs w:val="24"/>
        </w:rPr>
      </w:pPr>
      <w:bookmarkStart w:id="68" w:name="_Toc17987"/>
      <w:bookmarkStart w:id="69" w:name="_Toc26881693"/>
      <w:bookmarkStart w:id="70" w:name="_Toc12041"/>
      <w:bookmarkStart w:id="71" w:name="_Toc352761932"/>
      <w:bookmarkStart w:id="72" w:name="_Toc14016"/>
      <w:bookmarkStart w:id="73" w:name="_Toc424378687"/>
      <w:bookmarkStart w:id="74" w:name="_Toc20870"/>
      <w:r>
        <w:rPr>
          <w:rFonts w:hint="eastAsia" w:ascii="华文中宋" w:hAnsi="华文中宋" w:eastAsia="华文中宋" w:cs="华文中宋"/>
          <w:sz w:val="24"/>
          <w:szCs w:val="24"/>
        </w:rPr>
        <w:t>三、投标文件</w:t>
      </w:r>
      <w:bookmarkEnd w:id="68"/>
      <w:bookmarkEnd w:id="69"/>
      <w:bookmarkEnd w:id="70"/>
      <w:bookmarkEnd w:id="71"/>
      <w:bookmarkEnd w:id="72"/>
      <w:bookmarkEnd w:id="73"/>
      <w:bookmarkEnd w:id="74"/>
    </w:p>
    <w:p w14:paraId="672E95F5">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8. 投标文件的语言和计量单位</w:t>
      </w:r>
    </w:p>
    <w:p w14:paraId="2E1323B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8.1 投标人提交的投标文件（包括技术文件和资料、图纸中的说明）以及投标人与采购代理机构就有关投标的所有来往函电均应使用中文简体字。外文资料必须提供中文译文，并保持与原文一致，否则，产生的不利后果由投标人承担。</w:t>
      </w:r>
    </w:p>
    <w:p w14:paraId="2912FBE4">
      <w:pPr>
        <w:pStyle w:val="53"/>
        <w:tabs>
          <w:tab w:val="left" w:pos="7050"/>
        </w:tabs>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8.2 投标文件所使用的计量单位，必须使用国家法定计量单位。</w:t>
      </w:r>
    </w:p>
    <w:p w14:paraId="7185E9E8">
      <w:pPr>
        <w:pStyle w:val="53"/>
        <w:snapToGrid w:val="0"/>
        <w:spacing w:line="360" w:lineRule="auto"/>
        <w:ind w:firstLine="480" w:firstLineChars="200"/>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9. 投标文件的组成及相关要求</w:t>
      </w:r>
    </w:p>
    <w:p w14:paraId="0B1349E4">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9.1 投标文件分为资格证明文件和商务技术文件。</w:t>
      </w:r>
    </w:p>
    <w:p w14:paraId="2986B825">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9.1.1若单个序号的货物中包含多个产品的，可自行设计报价明细表，加盖电子签章后在系统内上传。</w:t>
      </w:r>
    </w:p>
    <w:p w14:paraId="2E94431A">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9.1.2纸质投标文件份数及要求按投标人须知前附表的规定提交。</w:t>
      </w:r>
    </w:p>
    <w:p w14:paraId="0D55E44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9.1.3投标文件的编制、递交及要求按第一部分规定执行。</w:t>
      </w:r>
    </w:p>
    <w:p w14:paraId="30D44A05">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9.2纸质版投标文件制作要求</w:t>
      </w:r>
    </w:p>
    <w:p w14:paraId="77AA665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纸质投标文件份数及要求按投标人须知前附表的规定提交。</w:t>
      </w:r>
    </w:p>
    <w:p w14:paraId="0FDBFB7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9.3 投标保证金</w:t>
      </w:r>
    </w:p>
    <w:p w14:paraId="67B1D6C5">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本项目是否要求投标人提交保证金，及要求投标人应提交的投标保证金金额详见投标人须知前附表的相关规定。</w:t>
      </w:r>
    </w:p>
    <w:p w14:paraId="4C7BE968">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投标保证金按下列方式退还：</w:t>
      </w:r>
    </w:p>
    <w:p w14:paraId="12A143CC">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9.3.1未中标供应商的投标保证金自中标通知书发出之日起5个工作日内退还。</w:t>
      </w:r>
    </w:p>
    <w:p w14:paraId="1C6DFF9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9.3.2投标保证金将退还到原缴纳帐户。原缴纳帐户发生变更的，供应商需向采购代理机构提交书面情况说明和银行缴纳回执单。</w:t>
      </w:r>
    </w:p>
    <w:p w14:paraId="6E40D8B9">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9.3.3投标有效期内供应商撤销投标文件的，采购代理机构不退还投标保证金。</w:t>
      </w:r>
    </w:p>
    <w:p w14:paraId="3077989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9.4 投标报价</w:t>
      </w:r>
    </w:p>
    <w:p w14:paraId="4310582C">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9.4.1 所有投标报价均以人民币元为计算单位。只要投报了一个确定数额的总价，无论分项价格是否全部填报了相应的金额或免费字样，报价均被视为已经包含了但并不限于各项购买货物/服务及其运送、安装、调试、验收、保险和相关服务等的费用。在其它情况下，由于分项报价填报不完整、不清楚或存在其它任何失误，所导致的任何不利后果均应当由投标人自行承担。</w:t>
      </w:r>
    </w:p>
    <w:p w14:paraId="00D6230C">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9.4.2 投标人投报多包的，应对每包分别报价并分别填报开标报价一览表。投标人报出的总价为货物/服务全部完成交付的最终价格。</w:t>
      </w:r>
    </w:p>
    <w:p w14:paraId="6EFCB943">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9.4.3投标人必须整包进行投标，不得拆包分项投标。</w:t>
      </w:r>
    </w:p>
    <w:p w14:paraId="26CD95A0">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9.4.4 本次招标不接受可选择或可调整的投标和报价。</w:t>
      </w:r>
    </w:p>
    <w:p w14:paraId="3A5DA061">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9.4.5 投标人应提供货物/服务的单价（包括货物报价、装箱、包装、包装物料、送货、安装调试费、保险费用及其他应有的费用）、总价及其他事项。</w:t>
      </w:r>
    </w:p>
    <w:p w14:paraId="53F411EF">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9.4.6 任何超出招标文件要求而额外赠送的货物、服务等其他形式的优惠，在评标时将不作为价格折算的必备条件。</w:t>
      </w:r>
    </w:p>
    <w:p w14:paraId="20F5958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9.4.7项目实施过程中需要主要辅材的项目，投标人自行设计表格，填写主要辅材清单，注明品牌、型号、产地、单价、数量等内容。</w:t>
      </w:r>
    </w:p>
    <w:p w14:paraId="1BBA9D92">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10. 投标内容填写说明</w:t>
      </w:r>
    </w:p>
    <w:p w14:paraId="1BDEF2B6">
      <w:pPr>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sz w:val="24"/>
        </w:rPr>
        <w:t>10.1 投标人应详细阅读招标文件的全部内容，按招标文件的要求提供投标文件，并保证所提供的全部资料的真实性，以使投标对招标文件中的内容做出实质性和完整性的响应，否则，投标人须自行承担由此引起的风险和责任。</w:t>
      </w:r>
    </w:p>
    <w:p w14:paraId="12DED812">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10.2  投标文件有固定格式要求的须按第八部分提供的统一格式逐项填写；无相应内容可填的项填写“无”、“未测试”、“没有相应指标”、“/”等明确的回答。</w:t>
      </w:r>
    </w:p>
    <w:p w14:paraId="3BC07BF5">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10.3开标报价一览表要求按格式统一填写，不得自行增减内容。</w:t>
      </w:r>
    </w:p>
    <w:p w14:paraId="54C57C88">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10.4投标人必须保证投标文件所提供的全部资料真实有效，并接受评标委员会对其中任何资料进一步审查的要求，且承担相应的法律责任。</w:t>
      </w:r>
    </w:p>
    <w:p w14:paraId="340EDD38">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10.5因投标文件字迹潦草、提交资料不清晰或表达不清楚所引起的不利后果由投标人承担。</w:t>
      </w:r>
    </w:p>
    <w:p w14:paraId="36260FDE">
      <w:pPr>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b/>
          <w:sz w:val="24"/>
        </w:rPr>
        <w:t>11.投标文件的有效期限</w:t>
      </w:r>
    </w:p>
    <w:p w14:paraId="3927426F">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本项目投标文件的有效期见投标人须知前附表的规定。</w:t>
      </w:r>
    </w:p>
    <w:p w14:paraId="601F711D">
      <w:pPr>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b/>
          <w:sz w:val="24"/>
        </w:rPr>
        <w:t>12.投标文件的签署</w:t>
      </w:r>
    </w:p>
    <w:p w14:paraId="14B56F71">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12.1 组成投标文件的各种文件均应遵守本条规定。</w:t>
      </w:r>
    </w:p>
    <w:p w14:paraId="0CEA12C4">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12.2 投标人在电子投标文件及相关文件的签订、履行、通知等事项中的“盖章”、“印章”、“公章”等处均仅指与投标人名称全称相一致的标准公章的电子签章，不得使用其它（如带有“专用章”等字样）的印章。</w:t>
      </w:r>
    </w:p>
    <w:p w14:paraId="581E97AA">
      <w:pPr>
        <w:pStyle w:val="3"/>
        <w:numPr>
          <w:ilvl w:val="0"/>
          <w:numId w:val="0"/>
        </w:numPr>
        <w:spacing w:before="0" w:after="0" w:line="360" w:lineRule="auto"/>
        <w:ind w:firstLine="480" w:firstLineChars="200"/>
        <w:jc w:val="both"/>
        <w:rPr>
          <w:rFonts w:hint="eastAsia" w:ascii="华文中宋" w:hAnsi="华文中宋" w:eastAsia="华文中宋" w:cs="华文中宋"/>
          <w:sz w:val="24"/>
          <w:szCs w:val="24"/>
        </w:rPr>
      </w:pPr>
      <w:bookmarkStart w:id="75" w:name="_Toc424378688"/>
      <w:bookmarkStart w:id="76" w:name="_Toc27187"/>
      <w:bookmarkStart w:id="77" w:name="_Toc26881694"/>
    </w:p>
    <w:p w14:paraId="1575A43D">
      <w:pPr>
        <w:pStyle w:val="3"/>
        <w:numPr>
          <w:ilvl w:val="0"/>
          <w:numId w:val="0"/>
        </w:numPr>
        <w:spacing w:before="0" w:after="0" w:line="360" w:lineRule="auto"/>
        <w:ind w:firstLine="480" w:firstLineChars="200"/>
        <w:jc w:val="both"/>
        <w:rPr>
          <w:rFonts w:hint="eastAsia" w:ascii="华文中宋" w:hAnsi="华文中宋" w:eastAsia="华文中宋" w:cs="华文中宋"/>
          <w:sz w:val="24"/>
          <w:szCs w:val="24"/>
        </w:rPr>
      </w:pPr>
      <w:bookmarkStart w:id="78" w:name="_Toc22234"/>
      <w:bookmarkStart w:id="79" w:name="_Toc8511"/>
      <w:bookmarkStart w:id="80" w:name="_Toc13737"/>
      <w:r>
        <w:rPr>
          <w:rFonts w:hint="eastAsia" w:ascii="华文中宋" w:hAnsi="华文中宋" w:eastAsia="华文中宋" w:cs="华文中宋"/>
          <w:sz w:val="24"/>
          <w:szCs w:val="24"/>
        </w:rPr>
        <w:t>四、投标文件的递交</w:t>
      </w:r>
      <w:bookmarkEnd w:id="75"/>
      <w:bookmarkEnd w:id="76"/>
      <w:bookmarkEnd w:id="77"/>
      <w:bookmarkEnd w:id="78"/>
      <w:bookmarkEnd w:id="79"/>
      <w:bookmarkEnd w:id="80"/>
    </w:p>
    <w:p w14:paraId="1CE4DCCF">
      <w:pPr>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b/>
          <w:sz w:val="24"/>
        </w:rPr>
        <w:t>13 . 投标文件的密封及标记</w:t>
      </w:r>
    </w:p>
    <w:p w14:paraId="105E9A1C">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kern w:val="0"/>
          <w:sz w:val="24"/>
        </w:rPr>
        <w:t>13.1投标人</w:t>
      </w:r>
      <w:r>
        <w:rPr>
          <w:rFonts w:hint="eastAsia" w:ascii="华文中宋" w:hAnsi="华文中宋" w:eastAsia="华文中宋" w:cs="华文中宋"/>
          <w:sz w:val="24"/>
        </w:rPr>
        <w:t>纸质</w:t>
      </w:r>
      <w:r>
        <w:rPr>
          <w:rFonts w:hint="eastAsia" w:ascii="华文中宋" w:hAnsi="华文中宋" w:eastAsia="华文中宋" w:cs="华文中宋"/>
          <w:kern w:val="0"/>
          <w:sz w:val="24"/>
        </w:rPr>
        <w:t>投标文件要求按照须知前附表的规定提交。</w:t>
      </w:r>
    </w:p>
    <w:p w14:paraId="770C7F00">
      <w:pPr>
        <w:spacing w:line="360" w:lineRule="auto"/>
        <w:ind w:firstLine="480" w:firstLineChars="200"/>
        <w:rPr>
          <w:rFonts w:hint="eastAsia" w:ascii="华文中宋" w:hAnsi="华文中宋" w:eastAsia="华文中宋" w:cs="华文中宋"/>
          <w:b/>
          <w:kern w:val="0"/>
          <w:sz w:val="24"/>
        </w:rPr>
      </w:pPr>
      <w:r>
        <w:rPr>
          <w:rFonts w:hint="eastAsia" w:ascii="华文中宋" w:hAnsi="华文中宋" w:eastAsia="华文中宋" w:cs="华文中宋"/>
          <w:b/>
          <w:kern w:val="0"/>
          <w:sz w:val="24"/>
        </w:rPr>
        <w:t>14．投标截止时间</w:t>
      </w:r>
    </w:p>
    <w:p w14:paraId="6C2E808A">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14.1 电子投标文件须按照招标文件第一部分投标邀请中规定的投标解密时间进行解密，</w:t>
      </w:r>
      <w:r>
        <w:rPr>
          <w:rFonts w:hint="eastAsia" w:ascii="华文中宋" w:hAnsi="华文中宋" w:eastAsia="华文中宋" w:cs="华文中宋"/>
          <w:sz w:val="24"/>
        </w:rPr>
        <w:t>投标人纸质投标文件要求按照须知前附表的规定提交。</w:t>
      </w:r>
      <w:r>
        <w:rPr>
          <w:rFonts w:hint="eastAsia" w:ascii="华文中宋" w:hAnsi="华文中宋" w:eastAsia="华文中宋" w:cs="华文中宋"/>
          <w:sz w:val="24"/>
          <w:szCs w:val="24"/>
        </w:rPr>
        <w:t>。投标人在规定时间未解密电子投标文件的，投标无效。</w:t>
      </w:r>
    </w:p>
    <w:p w14:paraId="1A52683E">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14.2 采购代理机构根据本须知的规定，通过修改招标文件或自行决定延长投标截止日期的，采购人和投标人受投标截止日期制约的所有权利和义务均延长至新的截止日期。</w:t>
      </w:r>
    </w:p>
    <w:p w14:paraId="68708E79">
      <w:pPr>
        <w:spacing w:line="360" w:lineRule="auto"/>
        <w:ind w:firstLine="480" w:firstLineChars="200"/>
        <w:rPr>
          <w:rFonts w:hint="eastAsia" w:ascii="华文中宋" w:hAnsi="华文中宋" w:eastAsia="华文中宋" w:cs="华文中宋"/>
          <w:b/>
          <w:kern w:val="0"/>
          <w:sz w:val="24"/>
        </w:rPr>
      </w:pPr>
      <w:r>
        <w:rPr>
          <w:rFonts w:hint="eastAsia" w:ascii="华文中宋" w:hAnsi="华文中宋" w:eastAsia="华文中宋" w:cs="华文中宋"/>
          <w:b/>
          <w:kern w:val="0"/>
          <w:sz w:val="24"/>
        </w:rPr>
        <w:t>15．投标文件的补充、修改和撤回</w:t>
      </w:r>
    </w:p>
    <w:p w14:paraId="5E39093B">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15.1投标人在开标解密截止时间前，可对投标文件进行补充、修改或者撤回。</w:t>
      </w:r>
    </w:p>
    <w:p w14:paraId="735CB47D">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15.2投标人对电子投标文件的补充、修改应在电子投标文件上进行，修改完成后重新上传。如无法及时对递交的纸质投标文件内容进行补充、修改的应将补充、修改的内容按照招标文件的要求签署、盖章，密封后书面递交采购代理机构，作为纸质投标文件的组成部分。</w:t>
      </w:r>
    </w:p>
    <w:p w14:paraId="7516BA9D">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15.3在招标文件要求的投标文件提交截止时间之后，投标人不得对其投标文件进行补充、修改或撤回。</w:t>
      </w:r>
    </w:p>
    <w:p w14:paraId="59B548F4">
      <w:pPr>
        <w:pStyle w:val="53"/>
        <w:snapToGrid w:val="0"/>
        <w:spacing w:line="360" w:lineRule="auto"/>
        <w:ind w:firstLine="480" w:firstLineChars="200"/>
        <w:textAlignment w:val="auto"/>
        <w:rPr>
          <w:rFonts w:hint="eastAsia" w:ascii="华文中宋" w:hAnsi="华文中宋" w:eastAsia="华文中宋" w:cs="华文中宋"/>
          <w:sz w:val="24"/>
          <w:szCs w:val="24"/>
        </w:rPr>
      </w:pPr>
    </w:p>
    <w:p w14:paraId="11689494">
      <w:pPr>
        <w:pStyle w:val="3"/>
        <w:numPr>
          <w:ilvl w:val="0"/>
          <w:numId w:val="0"/>
        </w:numPr>
        <w:spacing w:before="0" w:after="0" w:line="360" w:lineRule="auto"/>
        <w:ind w:firstLine="480" w:firstLineChars="200"/>
        <w:jc w:val="both"/>
        <w:rPr>
          <w:rFonts w:hint="eastAsia" w:ascii="华文中宋" w:hAnsi="华文中宋" w:eastAsia="华文中宋" w:cs="华文中宋"/>
          <w:sz w:val="24"/>
          <w:szCs w:val="24"/>
        </w:rPr>
      </w:pPr>
      <w:bookmarkStart w:id="81" w:name="_Toc4286"/>
      <w:bookmarkStart w:id="82" w:name="_Toc20738"/>
      <w:bookmarkStart w:id="83" w:name="_Toc829"/>
      <w:bookmarkStart w:id="84" w:name="_Toc26881695"/>
      <w:bookmarkStart w:id="85" w:name="_Toc36"/>
      <w:bookmarkStart w:id="86" w:name="_Toc424378689"/>
      <w:bookmarkStart w:id="87" w:name="_Toc352761934"/>
      <w:r>
        <w:rPr>
          <w:rFonts w:hint="eastAsia" w:ascii="华文中宋" w:hAnsi="华文中宋" w:eastAsia="华文中宋" w:cs="华文中宋"/>
          <w:sz w:val="24"/>
          <w:szCs w:val="24"/>
        </w:rPr>
        <w:t>五、开标</w:t>
      </w:r>
      <w:bookmarkEnd w:id="81"/>
      <w:bookmarkEnd w:id="82"/>
      <w:bookmarkEnd w:id="83"/>
      <w:bookmarkEnd w:id="84"/>
      <w:bookmarkEnd w:id="85"/>
      <w:bookmarkEnd w:id="86"/>
      <w:bookmarkEnd w:id="87"/>
    </w:p>
    <w:p w14:paraId="7961813C">
      <w:pPr>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b/>
          <w:sz w:val="24"/>
        </w:rPr>
        <w:t>16. 开标及其有关事项</w:t>
      </w:r>
    </w:p>
    <w:p w14:paraId="78397F12">
      <w:pPr>
        <w:pStyle w:val="53"/>
        <w:snapToGrid w:val="0"/>
        <w:spacing w:line="360" w:lineRule="auto"/>
        <w:ind w:firstLine="480" w:firstLineChars="200"/>
        <w:textAlignment w:val="auto"/>
        <w:rPr>
          <w:rFonts w:hint="eastAsia" w:ascii="华文中宋" w:hAnsi="华文中宋" w:eastAsia="华文中宋" w:cs="华文中宋"/>
          <w:sz w:val="24"/>
          <w:szCs w:val="24"/>
        </w:rPr>
      </w:pPr>
      <w:bookmarkStart w:id="88" w:name="_Toc352761935"/>
      <w:bookmarkStart w:id="89" w:name="_Toc424378690"/>
      <w:r>
        <w:rPr>
          <w:rFonts w:hint="eastAsia" w:ascii="华文中宋" w:hAnsi="华文中宋" w:eastAsia="华文中宋" w:cs="华文中宋"/>
          <w:sz w:val="24"/>
          <w:szCs w:val="24"/>
        </w:rPr>
        <w:t>16.1投标人不足三家的，不得开标。</w:t>
      </w:r>
    </w:p>
    <w:p w14:paraId="6CDA5B52">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16.2 投标人在系统中自行查看开标结果。</w:t>
      </w:r>
      <w:bookmarkStart w:id="90" w:name="_Toc26881696"/>
      <w:bookmarkStart w:id="91" w:name="_Toc8119"/>
    </w:p>
    <w:p w14:paraId="797D9BCA">
      <w:pPr>
        <w:pStyle w:val="3"/>
        <w:numPr>
          <w:ilvl w:val="0"/>
          <w:numId w:val="0"/>
        </w:numPr>
        <w:spacing w:before="0" w:after="0" w:line="360" w:lineRule="auto"/>
        <w:ind w:firstLine="480" w:firstLineChars="200"/>
        <w:jc w:val="both"/>
        <w:rPr>
          <w:rFonts w:hint="eastAsia" w:ascii="华文中宋" w:hAnsi="华文中宋" w:eastAsia="华文中宋" w:cs="华文中宋"/>
          <w:sz w:val="24"/>
          <w:szCs w:val="24"/>
        </w:rPr>
      </w:pPr>
      <w:bookmarkStart w:id="92" w:name="_Toc15178"/>
      <w:bookmarkStart w:id="93" w:name="_Toc2615"/>
      <w:bookmarkStart w:id="94" w:name="_Toc8299"/>
      <w:r>
        <w:rPr>
          <w:rFonts w:hint="eastAsia" w:ascii="华文中宋" w:hAnsi="华文中宋" w:eastAsia="华文中宋" w:cs="华文中宋"/>
          <w:sz w:val="24"/>
          <w:szCs w:val="24"/>
        </w:rPr>
        <w:t>六、评标程序和要求</w:t>
      </w:r>
      <w:bookmarkEnd w:id="88"/>
      <w:bookmarkEnd w:id="89"/>
      <w:bookmarkEnd w:id="90"/>
      <w:bookmarkEnd w:id="91"/>
      <w:bookmarkEnd w:id="92"/>
      <w:bookmarkEnd w:id="93"/>
      <w:bookmarkEnd w:id="94"/>
    </w:p>
    <w:p w14:paraId="2649FC72">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17.项目组织</w:t>
      </w:r>
    </w:p>
    <w:p w14:paraId="24BF7D42">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17.1采购代理机构负责组织评标工作并履行相关职责。</w:t>
      </w:r>
    </w:p>
    <w:p w14:paraId="7F9BA20A">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17.2正常情况下，采购代理机构依据电子投标文件进行评审工作。</w:t>
      </w:r>
    </w:p>
    <w:p w14:paraId="7D1B31EF">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18. 投标人资格审查</w:t>
      </w:r>
    </w:p>
    <w:p w14:paraId="4FF59C31">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公开招标采购项目开标结束后，采购人或采购代理机构按照招标文件第五部分中资格审查的内容及标准对投标人提交的投标文件（资格证明文件）进行资格审查，以确定投标人是否具备投标资格（提示：参加资格审查的采购人代表，必须从参加评标委员会的采购人代表中产生）。合格投标人不足3家的不得评标。</w:t>
      </w:r>
    </w:p>
    <w:p w14:paraId="75720F86">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19. 组建评标委员会</w:t>
      </w:r>
    </w:p>
    <w:p w14:paraId="5C51BD01">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19.1 采购代理机构根据政府采购有关法律法规和本招标文件的规定，结合本招标项目的特点组建评标委员会，评标委员会由五人以上单数组成，其中评审专家不少于成员总数的三分之二。</w:t>
      </w:r>
    </w:p>
    <w:p w14:paraId="24D21A4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19.2 评标委员会负责对符合资格的投标人的投标文件（商务技术文件）进行符合性审查和商务、技术部分的评标事务，出具经评标委员会签字的评标报告。</w:t>
      </w:r>
    </w:p>
    <w:p w14:paraId="3D3FDFC5">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19.3 采购代理机构负责组织项目的评标工作。</w:t>
      </w:r>
    </w:p>
    <w:p w14:paraId="176AECE3">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20.投标文件（商务技术文件）符合性审查</w:t>
      </w:r>
    </w:p>
    <w:p w14:paraId="7753F1F5">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评标委员会按照招标文件第六部分评标标准和评标办法中符合性审查的内容及标准对投标文件进行符合性审查，以确定投标文件是否对招标文件的商务、技术等实质性要求作出响应。</w:t>
      </w:r>
    </w:p>
    <w:p w14:paraId="26AF2CA2">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21.评审中遵循的原则</w:t>
      </w:r>
    </w:p>
    <w:p w14:paraId="15196A6E">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21.1审查中，投标人存在下列情况之一的，投标无效： </w:t>
      </w:r>
    </w:p>
    <w:p w14:paraId="1EDA1655">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A、未按招标文件的规定提交投标保证金的；</w:t>
      </w:r>
    </w:p>
    <w:p w14:paraId="3C231AD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B、投标文件未按招标文件要求签署、盖章的；</w:t>
      </w:r>
    </w:p>
    <w:p w14:paraId="650735C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C、不具备招标文件规定的资格要求的；</w:t>
      </w:r>
    </w:p>
    <w:p w14:paraId="30465E8C">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D、报价超过招标文件规定预算金额或者最高限价的；</w:t>
      </w:r>
    </w:p>
    <w:p w14:paraId="08E2BABF">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E、投标文件含有采购人不能接受的附加条件的；</w:t>
      </w:r>
    </w:p>
    <w:p w14:paraId="30529A6B">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F、法律、法规和招标文件规定的其他无效情形的；</w:t>
      </w:r>
    </w:p>
    <w:p w14:paraId="024BFD8D">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21.2在评标过程中发现投标人有下列情形的，评标委员会应认定其投标无效，并书面报告本级财政部门： </w:t>
      </w:r>
    </w:p>
    <w:p w14:paraId="6515807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A、有恶意串通的；</w:t>
      </w:r>
    </w:p>
    <w:p w14:paraId="59D9BA81">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B、有妨碍其他投标人的竞争行为的；</w:t>
      </w:r>
    </w:p>
    <w:p w14:paraId="050E116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C、有损害采购人或者其他投标人的合法权益的。</w:t>
      </w:r>
    </w:p>
    <w:p w14:paraId="5A431DE9">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21.3投标人有下列情形之一的，视为串通投标，其投标无效：</w:t>
      </w:r>
    </w:p>
    <w:p w14:paraId="4C018E3F">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A、不同投标人的投标文件由同一单位或者个人编制，或上传电子投标文件的IP地址一致的。</w:t>
      </w:r>
    </w:p>
    <w:p w14:paraId="2B09E098">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B、不同投标人委托同一单位或者个人办理投标事宜；</w:t>
      </w:r>
    </w:p>
    <w:p w14:paraId="427DB689">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C、不同投标人的投标文件载明的项目管理成员或者联系人为同一人；</w:t>
      </w:r>
    </w:p>
    <w:p w14:paraId="7804F238">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D、不同投标人的投标文件异常一致或者投标报价呈规律性差异；</w:t>
      </w:r>
    </w:p>
    <w:p w14:paraId="33D1044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E、不同投标人的投标文件相互混装；</w:t>
      </w:r>
    </w:p>
    <w:p w14:paraId="433D7694">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F、不同投标人的投标保证金从同一单位或者个人的账户转出。</w:t>
      </w:r>
    </w:p>
    <w:p w14:paraId="278D342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21.4审查中，对明显的文字和计算错误按下述原则处理： </w:t>
      </w:r>
    </w:p>
    <w:p w14:paraId="7FD023BA">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A、开标报价一览表内容与投标文件中相应内容不一致的,以开标报价一览表为准；</w:t>
      </w:r>
    </w:p>
    <w:p w14:paraId="2D91724F">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B、大写金额和小写金额不一致的，以大写金额为准；</w:t>
      </w:r>
    </w:p>
    <w:p w14:paraId="1C4ACF2F">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C、单价金额小数点或百分比有明显错误的，以开标报价一览表的总价为准，并修改单价；</w:t>
      </w:r>
    </w:p>
    <w:p w14:paraId="64AA5242">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D总价金额与按单价汇总金额不一致的，以单价金额计算结果为准； </w:t>
      </w:r>
    </w:p>
    <w:p w14:paraId="1CF2FB14">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评标委员会将要求投标人按上述原则在政府采购系统内确认。投标人确认后的报价对投标人具有约束力，如果投标人不予确认，其投标无效。</w:t>
      </w:r>
    </w:p>
    <w:p w14:paraId="5493B8D9">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21.5 如果多个投标人所投核心产品全部为同一品牌的按下述原则处理：</w:t>
      </w:r>
    </w:p>
    <w:p w14:paraId="13204C6C">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 A、采用最低评标价法的采购项目，提供相同品牌产品的不同投标人参加同一合同项下投标的，以其中通过资格审查、符合性审查且报价最低的参加评标；报价相同的采取随机抽取方式确定，其他投标无效。</w:t>
      </w:r>
    </w:p>
    <w:p w14:paraId="1365658D">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B、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14:paraId="36D1E87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C、非单一产品采购项目，技术需求书中标注“※”的产品为核心产品。多家投标人提供的核心产品品牌完全相同的，按前两款规定处理。  </w:t>
      </w:r>
    </w:p>
    <w:p w14:paraId="5555331C">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bCs/>
          <w:sz w:val="24"/>
          <w:szCs w:val="24"/>
        </w:rPr>
        <w:t>21.6 招标文件没有规定的评标标准不得作为评审依据。</w:t>
      </w:r>
    </w:p>
    <w:p w14:paraId="3BFB16CB">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 xml:space="preserve">22. 投标的澄清、说明或者补正 </w:t>
      </w:r>
    </w:p>
    <w:p w14:paraId="3FB1C082">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22.1 对于投标文件中含义不明确、同类问题表述不一致或者有明显文字和计算错误的内容，评标委员会应当在政府采购系统中，要求投标人作出必要的澄清、说明或者补正。投标人需采用加盖电子签章的形式进行澄清、说明或者补正。投标人的澄清、说明或者补正不得超出投标文件的范围或者改变投标文件的实质性内容。</w:t>
      </w:r>
    </w:p>
    <w:p w14:paraId="10C5694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22.2 评标委员会认为投标人的报价明显低于其他通过符合性审查投标人的报价，有可能影响产品质量或者不能诚信履约的，应当要求其在合理的时间内在系统中采用加盖法人电子签章形式提供说明，必要时提交相关证明材料；投标人不能证明其报价合理性的，评标委员会应当将其作为无效投标处理。</w:t>
      </w:r>
    </w:p>
    <w:p w14:paraId="0792B52B">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 xml:space="preserve">23. 比较与评价  </w:t>
      </w:r>
    </w:p>
    <w:p w14:paraId="1E27C1BC">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23.1 评标委员会按照招标文件中第六部分规定的评标标准和评标办法，对符合性审查合格的投标文件（商务技术文件）进行商务和技术评估，综合比较和评价。</w:t>
      </w:r>
    </w:p>
    <w:p w14:paraId="0CCBA72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23.2 采用综合评分法评审的应按照招标文件第六部分评标标准和评标办法中规定的评标方法、中标条件以及评分细则进行。</w:t>
      </w:r>
    </w:p>
    <w:p w14:paraId="6F0B9514">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 xml:space="preserve">24. 评审复核    </w:t>
      </w:r>
    </w:p>
    <w:p w14:paraId="2043033D">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24.1评标结果汇总完成后，除下列情形外，任何人不得修改评标结果：</w:t>
      </w:r>
    </w:p>
    <w:p w14:paraId="5E04802C">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A、分值汇总计算错误的；</w:t>
      </w:r>
    </w:p>
    <w:p w14:paraId="31245DD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B、分项评分超出评分标准范围的；</w:t>
      </w:r>
    </w:p>
    <w:p w14:paraId="5F3CBD7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C、评标委员会成员对客观评审因素评分不一致的；</w:t>
      </w:r>
    </w:p>
    <w:p w14:paraId="31CAC37B">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D、经评标委员会认定评分畸高、畸低的；</w:t>
      </w:r>
    </w:p>
    <w:p w14:paraId="73AC2A8B">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24.2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AF6DB7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b/>
          <w:sz w:val="24"/>
          <w:szCs w:val="24"/>
        </w:rPr>
        <w:t>25. 确定/推荐中标候选供应商名单</w:t>
      </w:r>
    </w:p>
    <w:p w14:paraId="2E54FFC8">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25.1 招标文件第六部分规定采用综合评分法评标的，评标结果按评审后得分由高到低顺序排列，得分最高的投标人为中标供应商或者是排名第一的中标候选人。得分相同的，按投标报价由低到高顺序排列。得分且投标报价相同的，由得分且报价相同的投标人授权代表，在评标委员会的监督下，采取随机抽取的方式确定中标供应商或者排名第一的中标候选人。</w:t>
      </w:r>
    </w:p>
    <w:p w14:paraId="5FF316A9">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bCs/>
          <w:sz w:val="24"/>
          <w:szCs w:val="24"/>
        </w:rPr>
        <w:t>25.2 招标文件第六部分规定采用最低评标价法评标的，评标结果按投标报价由低到高顺序排列，投标报价最低的投标人为中标供应商或者为排名第一的中标候选人。投标报价相同的，由得分且报价相同的投标人授权代表，在评标委员会的监督下，采取随机抽取的方式确定中标供应商或者排名第一的中标候选人。</w:t>
      </w:r>
    </w:p>
    <w:p w14:paraId="1E1E78E7">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26. 编写评标报告</w:t>
      </w:r>
    </w:p>
    <w:p w14:paraId="6099FEBD">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评标委员会评审组长根据全体评标成员签字的原始评标记录和评标结果编写评标报告，并由全体评标成员共同签字确认。</w:t>
      </w:r>
    </w:p>
    <w:p w14:paraId="03FD5F83">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 xml:space="preserve">27. 评标过程保密    </w:t>
      </w:r>
    </w:p>
    <w:p w14:paraId="6B71A7A3">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采购人、采购代理机构要采取必要措施，保证评标在严格保密的情况下进行。除采购人代表、评标现场组织人员外，采购人的其他工作人员以及与评标工作无关的人员不得进入评标现场。</w:t>
      </w:r>
    </w:p>
    <w:p w14:paraId="2A76974C">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有关人员对评标情况以及在评标过程中获悉的国家秘密、商业秘密负有保密责任。</w:t>
      </w:r>
    </w:p>
    <w:p w14:paraId="15927F32">
      <w:pPr>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b/>
          <w:sz w:val="24"/>
        </w:rPr>
        <w:t>28. 采购项目废标</w:t>
      </w:r>
    </w:p>
    <w:p w14:paraId="60D7BD6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28.1 在评标过程中，评标委员会发现有下列情形之一的，应对采购项目予以废标：</w:t>
      </w:r>
    </w:p>
    <w:p w14:paraId="3A04D1A8">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A、符合专业条件的投标供应商或者对招标文件作实质响应的供应商数量不足3家的；</w:t>
      </w:r>
    </w:p>
    <w:p w14:paraId="39DCD8C7">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B、投标人的报价均超过采购预算或最高限价的；</w:t>
      </w:r>
    </w:p>
    <w:p w14:paraId="2282C18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C、出现影响采购公正的违法、违规行为的；</w:t>
      </w:r>
    </w:p>
    <w:p w14:paraId="182A3DC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D、因重大变故，采购任务取消的。</w:t>
      </w:r>
    </w:p>
    <w:p w14:paraId="05954E34">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采购项目废标后，评标委员会应做出书面报告。</w:t>
      </w:r>
    </w:p>
    <w:p w14:paraId="6B2A9E25">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28.2 废标后，采购代理机构将在财政部门指定的媒体上发布废标结果公告。</w:t>
      </w:r>
    </w:p>
    <w:p w14:paraId="3B785BF6">
      <w:pPr>
        <w:pStyle w:val="3"/>
        <w:numPr>
          <w:ilvl w:val="1"/>
          <w:numId w:val="0"/>
        </w:numPr>
        <w:spacing w:before="0" w:after="0" w:line="360" w:lineRule="auto"/>
        <w:ind w:firstLine="480" w:firstLineChars="200"/>
        <w:jc w:val="both"/>
        <w:rPr>
          <w:rFonts w:hint="eastAsia" w:ascii="华文中宋" w:hAnsi="华文中宋" w:eastAsia="华文中宋" w:cs="华文中宋"/>
          <w:sz w:val="24"/>
          <w:szCs w:val="24"/>
        </w:rPr>
      </w:pPr>
      <w:bookmarkStart w:id="95" w:name="_Toc424378691"/>
      <w:bookmarkStart w:id="96" w:name="_Toc32242"/>
      <w:bookmarkStart w:id="97" w:name="_Toc26881697"/>
    </w:p>
    <w:p w14:paraId="657747D0">
      <w:pPr>
        <w:pStyle w:val="3"/>
        <w:numPr>
          <w:ilvl w:val="1"/>
          <w:numId w:val="0"/>
        </w:numPr>
        <w:spacing w:before="0" w:after="0" w:line="360" w:lineRule="auto"/>
        <w:ind w:firstLine="480" w:firstLineChars="200"/>
        <w:jc w:val="both"/>
        <w:rPr>
          <w:rFonts w:hint="eastAsia" w:ascii="华文中宋" w:hAnsi="华文中宋" w:eastAsia="华文中宋" w:cs="华文中宋"/>
          <w:sz w:val="24"/>
          <w:szCs w:val="24"/>
        </w:rPr>
      </w:pPr>
      <w:bookmarkStart w:id="98" w:name="_Toc7334"/>
      <w:bookmarkStart w:id="99" w:name="_Toc1257"/>
      <w:bookmarkStart w:id="100" w:name="_Toc21896"/>
      <w:r>
        <w:rPr>
          <w:rFonts w:hint="eastAsia" w:ascii="华文中宋" w:hAnsi="华文中宋" w:eastAsia="华文中宋" w:cs="华文中宋"/>
          <w:sz w:val="24"/>
          <w:szCs w:val="24"/>
        </w:rPr>
        <w:t>七、签订合同</w:t>
      </w:r>
      <w:bookmarkEnd w:id="95"/>
      <w:bookmarkEnd w:id="96"/>
      <w:bookmarkEnd w:id="97"/>
      <w:bookmarkEnd w:id="98"/>
      <w:bookmarkEnd w:id="99"/>
      <w:bookmarkEnd w:id="100"/>
    </w:p>
    <w:p w14:paraId="4C561FE0">
      <w:pPr>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b/>
          <w:sz w:val="24"/>
        </w:rPr>
        <w:t>29．中标通知</w:t>
      </w:r>
    </w:p>
    <w:p w14:paraId="7B45EE94">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29.1 中标供应商确定后，采购代理机构将在刊登本次招标公告的媒体上发布中标公告，中标供应商可在政府采购系统中自行下载打印中标通知书，但该中标结果的有效性不依赖于未中标的投标人是否知道中标结果。中标通知书对采购人和中标人具有同等法律效力。中标通知书发出以后，采购人改变中标结果或者中标供应商放弃中标，应当承担相应的法律责任。</w:t>
      </w:r>
    </w:p>
    <w:p w14:paraId="0B2A5FBE">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29.2 采购代理机构对未中标的投标人不作未中标原因的解释。</w:t>
      </w:r>
    </w:p>
    <w:p w14:paraId="19645574">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29.3 中标通知书是合同的组成部分。</w:t>
      </w:r>
    </w:p>
    <w:p w14:paraId="0BF0D57B">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b/>
          <w:sz w:val="24"/>
          <w:szCs w:val="24"/>
        </w:rPr>
        <w:t>30．签订合同</w:t>
      </w:r>
    </w:p>
    <w:p w14:paraId="0829AA0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30.1 采购人应当自中标通知书（在系统中自行下载）发出之日起30日内与中标人签订书面合同。</w:t>
      </w:r>
    </w:p>
    <w:p w14:paraId="6E68A14D">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30.2 中标人应按照招标文件、投标文件及评标过程中的有关澄清、说明或者补正文件的内容与采购人签订合同。中标人不得再与采购人签订背离合同实质性内容的其它协议或声明。</w:t>
      </w:r>
    </w:p>
    <w:p w14:paraId="2F8DDAEB">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30.3本文件第四部分商务、技术要求商务条件中要求中标供应商提交履约保证金的，中标供应商须按照规定向采购人提交履约保证金。</w:t>
      </w:r>
    </w:p>
    <w:p w14:paraId="3AA25A9E">
      <w:pPr>
        <w:pStyle w:val="3"/>
        <w:numPr>
          <w:ilvl w:val="1"/>
          <w:numId w:val="0"/>
        </w:numPr>
        <w:spacing w:before="0" w:after="0" w:line="360" w:lineRule="auto"/>
        <w:ind w:firstLine="480" w:firstLineChars="200"/>
        <w:jc w:val="both"/>
        <w:rPr>
          <w:rFonts w:hint="eastAsia" w:ascii="华文中宋" w:hAnsi="华文中宋" w:eastAsia="华文中宋" w:cs="华文中宋"/>
          <w:sz w:val="24"/>
          <w:szCs w:val="24"/>
        </w:rPr>
      </w:pPr>
      <w:bookmarkStart w:id="101" w:name="_Toc18682"/>
      <w:bookmarkStart w:id="102" w:name="_Toc424378692"/>
      <w:bookmarkStart w:id="103" w:name="_Toc421716587"/>
      <w:bookmarkStart w:id="104" w:name="_Toc26881698"/>
    </w:p>
    <w:p w14:paraId="2687EFC3">
      <w:pPr>
        <w:pStyle w:val="3"/>
        <w:numPr>
          <w:ilvl w:val="1"/>
          <w:numId w:val="0"/>
        </w:numPr>
        <w:spacing w:before="0" w:after="0" w:line="360" w:lineRule="auto"/>
        <w:ind w:firstLine="480" w:firstLineChars="200"/>
        <w:jc w:val="both"/>
        <w:rPr>
          <w:rFonts w:hint="eastAsia" w:ascii="华文中宋" w:hAnsi="华文中宋" w:eastAsia="华文中宋" w:cs="华文中宋"/>
          <w:sz w:val="24"/>
          <w:szCs w:val="24"/>
        </w:rPr>
      </w:pPr>
      <w:bookmarkStart w:id="105" w:name="_Toc25217"/>
      <w:bookmarkStart w:id="106" w:name="_Toc30005"/>
      <w:bookmarkStart w:id="107" w:name="_Toc22626"/>
      <w:r>
        <w:rPr>
          <w:rFonts w:hint="eastAsia" w:ascii="华文中宋" w:hAnsi="华文中宋" w:eastAsia="华文中宋" w:cs="华文中宋"/>
          <w:sz w:val="24"/>
          <w:szCs w:val="24"/>
        </w:rPr>
        <w:t>八、服务费</w:t>
      </w:r>
      <w:bookmarkEnd w:id="101"/>
      <w:bookmarkEnd w:id="102"/>
      <w:bookmarkEnd w:id="103"/>
      <w:bookmarkEnd w:id="104"/>
      <w:bookmarkEnd w:id="105"/>
      <w:bookmarkEnd w:id="106"/>
      <w:bookmarkEnd w:id="107"/>
      <w:r>
        <w:rPr>
          <w:rFonts w:hint="eastAsia" w:ascii="华文中宋" w:hAnsi="华文中宋" w:eastAsia="华文中宋" w:cs="华文中宋"/>
          <w:sz w:val="24"/>
          <w:szCs w:val="24"/>
        </w:rPr>
        <w:t>　　</w:t>
      </w:r>
    </w:p>
    <w:p w14:paraId="674C22F6">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31. 服务费</w:t>
      </w:r>
      <w:bookmarkStart w:id="108" w:name="_Toc421891904"/>
      <w:bookmarkStart w:id="109" w:name="_Toc489430981"/>
      <w:bookmarkStart w:id="110" w:name="_Toc421891963"/>
      <w:bookmarkStart w:id="111" w:name="_Toc424378693"/>
      <w:bookmarkStart w:id="112" w:name="_Toc421716588"/>
      <w:bookmarkStart w:id="113" w:name="_Toc29869"/>
      <w:bookmarkStart w:id="114" w:name="_Toc26881699"/>
    </w:p>
    <w:bookmarkEnd w:id="108"/>
    <w:bookmarkEnd w:id="109"/>
    <w:bookmarkEnd w:id="110"/>
    <w:p w14:paraId="3F9685FB">
      <w:pPr>
        <w:pStyle w:val="53"/>
        <w:snapToGrid w:val="0"/>
        <w:spacing w:line="360" w:lineRule="auto"/>
        <w:ind w:firstLine="480" w:firstLineChars="200"/>
        <w:textAlignment w:val="auto"/>
        <w:rPr>
          <w:rFonts w:hint="eastAsia" w:ascii="华文中宋" w:hAnsi="华文中宋" w:eastAsia="华文中宋" w:cs="华文中宋"/>
          <w:sz w:val="24"/>
          <w:szCs w:val="24"/>
        </w:rPr>
      </w:pPr>
      <w:bookmarkStart w:id="115" w:name="_Toc22226"/>
      <w:bookmarkStart w:id="116" w:name="_Toc1135"/>
      <w:bookmarkStart w:id="117" w:name="_Toc22366"/>
      <w:r>
        <w:rPr>
          <w:rFonts w:hint="eastAsia" w:ascii="华文中宋" w:hAnsi="华文中宋" w:eastAsia="华文中宋" w:cs="华文中宋"/>
          <w:sz w:val="24"/>
          <w:szCs w:val="24"/>
        </w:rPr>
        <w:t>中标供应商在接受“中标通知书”一周内应向采购代理机构缴纳代理服务费。服务费金额参照国家计委 “计价格[2002]1980号”文件规定收取。具体标准如下：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2953"/>
        <w:gridCol w:w="2953"/>
      </w:tblGrid>
      <w:tr w14:paraId="7BB0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14:paraId="68274775">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bookmarkStart w:id="118" w:name="_Toc489430982"/>
            <w:bookmarkStart w:id="119" w:name="_Toc421891964"/>
            <w:bookmarkStart w:id="120" w:name="_Toc421891905"/>
            <w:bookmarkStart w:id="121" w:name="_Toc489430992"/>
            <w:r>
              <w:rPr>
                <w:rFonts w:hint="eastAsia" w:ascii="华文中宋" w:hAnsi="华文中宋" w:eastAsia="华文中宋" w:cs="华文中宋"/>
                <w:sz w:val="24"/>
                <w:szCs w:val="24"/>
              </w:rPr>
              <w:t>成交金额(万元)</w:t>
            </w:r>
            <w:bookmarkEnd w:id="118"/>
          </w:p>
        </w:tc>
        <w:tc>
          <w:tcPr>
            <w:tcW w:w="2953" w:type="dxa"/>
            <w:vAlign w:val="center"/>
          </w:tcPr>
          <w:p w14:paraId="3CED2568">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bookmarkStart w:id="122" w:name="_Toc489430983"/>
            <w:r>
              <w:rPr>
                <w:rFonts w:hint="eastAsia" w:ascii="华文中宋" w:hAnsi="华文中宋" w:eastAsia="华文中宋" w:cs="华文中宋"/>
                <w:sz w:val="24"/>
                <w:szCs w:val="24"/>
              </w:rPr>
              <w:t>货</w:t>
            </w:r>
            <w:bookmarkStart w:id="123" w:name="_Toc421891906"/>
            <w:bookmarkStart w:id="124" w:name="_Toc421891965"/>
            <w:r>
              <w:rPr>
                <w:rFonts w:hint="eastAsia" w:ascii="华文中宋" w:hAnsi="华文中宋" w:eastAsia="华文中宋" w:cs="华文中宋"/>
                <w:sz w:val="24"/>
                <w:szCs w:val="24"/>
              </w:rPr>
              <w:t>物</w:t>
            </w:r>
            <w:bookmarkEnd w:id="122"/>
            <w:r>
              <w:rPr>
                <w:rFonts w:hint="eastAsia" w:ascii="华文中宋" w:hAnsi="华文中宋" w:eastAsia="华文中宋" w:cs="华文中宋"/>
                <w:sz w:val="24"/>
                <w:szCs w:val="24"/>
              </w:rPr>
              <w:t>项目</w:t>
            </w:r>
          </w:p>
          <w:bookmarkEnd w:id="123"/>
          <w:bookmarkEnd w:id="124"/>
        </w:tc>
        <w:tc>
          <w:tcPr>
            <w:tcW w:w="2953" w:type="dxa"/>
          </w:tcPr>
          <w:p w14:paraId="4D051B9B">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服务项目</w:t>
            </w:r>
          </w:p>
          <w:bookmarkEnd w:id="119"/>
          <w:bookmarkEnd w:id="120"/>
        </w:tc>
      </w:tr>
      <w:tr w14:paraId="4C95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14:paraId="4CFC06CB">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bookmarkStart w:id="125" w:name="_Toc489430984"/>
            <w:r>
              <w:rPr>
                <w:rFonts w:hint="eastAsia" w:ascii="华文中宋" w:hAnsi="华文中宋" w:eastAsia="华文中宋" w:cs="华文中宋"/>
                <w:sz w:val="24"/>
                <w:szCs w:val="24"/>
              </w:rPr>
              <w:t>1</w:t>
            </w:r>
            <w:bookmarkStart w:id="126" w:name="_Toc421891907"/>
            <w:bookmarkStart w:id="127" w:name="_Toc421891966"/>
            <w:r>
              <w:rPr>
                <w:rFonts w:hint="eastAsia" w:ascii="华文中宋" w:hAnsi="华文中宋" w:eastAsia="华文中宋" w:cs="华文中宋"/>
                <w:sz w:val="24"/>
                <w:szCs w:val="24"/>
              </w:rPr>
              <w:t>00以下</w:t>
            </w:r>
            <w:bookmarkEnd w:id="125"/>
          </w:p>
        </w:tc>
        <w:tc>
          <w:tcPr>
            <w:tcW w:w="2953" w:type="dxa"/>
            <w:vAlign w:val="center"/>
          </w:tcPr>
          <w:p w14:paraId="736F78D3">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bookmarkStart w:id="128" w:name="_Toc489430985"/>
            <w:r>
              <w:rPr>
                <w:rFonts w:hint="eastAsia" w:ascii="华文中宋" w:hAnsi="华文中宋" w:eastAsia="华文中宋" w:cs="华文中宋"/>
                <w:sz w:val="24"/>
                <w:szCs w:val="24"/>
              </w:rPr>
              <w:t>1</w:t>
            </w:r>
            <w:bookmarkStart w:id="129" w:name="_Toc421891908"/>
            <w:bookmarkStart w:id="130" w:name="_Toc421891967"/>
            <w:r>
              <w:rPr>
                <w:rFonts w:hint="eastAsia" w:ascii="华文中宋" w:hAnsi="华文中宋" w:eastAsia="华文中宋" w:cs="华文中宋"/>
                <w:sz w:val="24"/>
                <w:szCs w:val="24"/>
              </w:rPr>
              <w:t>.5%</w:t>
            </w:r>
            <w:bookmarkEnd w:id="128"/>
          </w:p>
          <w:bookmarkEnd w:id="129"/>
          <w:bookmarkEnd w:id="130"/>
        </w:tc>
        <w:tc>
          <w:tcPr>
            <w:tcW w:w="2953" w:type="dxa"/>
          </w:tcPr>
          <w:p w14:paraId="5085AE36">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1.5%</w:t>
            </w:r>
          </w:p>
          <w:bookmarkEnd w:id="126"/>
          <w:bookmarkEnd w:id="127"/>
        </w:tc>
      </w:tr>
      <w:tr w14:paraId="0C3A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14:paraId="39F8A95F">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bookmarkStart w:id="131" w:name="_Toc489430986"/>
            <w:r>
              <w:rPr>
                <w:rFonts w:hint="eastAsia" w:ascii="华文中宋" w:hAnsi="华文中宋" w:eastAsia="华文中宋" w:cs="华文中宋"/>
                <w:sz w:val="24"/>
                <w:szCs w:val="24"/>
              </w:rPr>
              <w:t>1</w:t>
            </w:r>
            <w:bookmarkStart w:id="132" w:name="_Toc421891968"/>
            <w:bookmarkStart w:id="133" w:name="_Toc421891909"/>
            <w:r>
              <w:rPr>
                <w:rFonts w:hint="eastAsia" w:ascii="华文中宋" w:hAnsi="华文中宋" w:eastAsia="华文中宋" w:cs="华文中宋"/>
                <w:sz w:val="24"/>
                <w:szCs w:val="24"/>
              </w:rPr>
              <w:t>00-500</w:t>
            </w:r>
            <w:bookmarkEnd w:id="131"/>
          </w:p>
        </w:tc>
        <w:tc>
          <w:tcPr>
            <w:tcW w:w="2953" w:type="dxa"/>
            <w:vAlign w:val="center"/>
          </w:tcPr>
          <w:p w14:paraId="6ACBB6E0">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bookmarkStart w:id="134" w:name="_Toc489430987"/>
            <w:r>
              <w:rPr>
                <w:rFonts w:hint="eastAsia" w:ascii="华文中宋" w:hAnsi="华文中宋" w:eastAsia="华文中宋" w:cs="华文中宋"/>
                <w:sz w:val="24"/>
                <w:szCs w:val="24"/>
              </w:rPr>
              <w:t>1</w:t>
            </w:r>
            <w:bookmarkStart w:id="135" w:name="_Toc421891969"/>
            <w:bookmarkStart w:id="136" w:name="_Toc421891910"/>
            <w:r>
              <w:rPr>
                <w:rFonts w:hint="eastAsia" w:ascii="华文中宋" w:hAnsi="华文中宋" w:eastAsia="华文中宋" w:cs="华文中宋"/>
                <w:sz w:val="24"/>
                <w:szCs w:val="24"/>
              </w:rPr>
              <w:t>.1%</w:t>
            </w:r>
            <w:bookmarkEnd w:id="134"/>
          </w:p>
          <w:bookmarkEnd w:id="135"/>
          <w:bookmarkEnd w:id="136"/>
        </w:tc>
        <w:tc>
          <w:tcPr>
            <w:tcW w:w="2953" w:type="dxa"/>
          </w:tcPr>
          <w:p w14:paraId="42BCCE4D">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0.8%</w:t>
            </w:r>
          </w:p>
          <w:bookmarkEnd w:id="132"/>
          <w:bookmarkEnd w:id="133"/>
        </w:tc>
      </w:tr>
      <w:tr w14:paraId="17A2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14:paraId="2D193070">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bookmarkStart w:id="137" w:name="_Toc489430988"/>
            <w:r>
              <w:rPr>
                <w:rFonts w:hint="eastAsia" w:ascii="华文中宋" w:hAnsi="华文中宋" w:eastAsia="华文中宋" w:cs="华文中宋"/>
                <w:sz w:val="24"/>
                <w:szCs w:val="24"/>
              </w:rPr>
              <w:t>5</w:t>
            </w:r>
            <w:bookmarkStart w:id="138" w:name="_Toc421891911"/>
            <w:bookmarkStart w:id="139" w:name="_Toc421891970"/>
            <w:r>
              <w:rPr>
                <w:rFonts w:hint="eastAsia" w:ascii="华文中宋" w:hAnsi="华文中宋" w:eastAsia="华文中宋" w:cs="华文中宋"/>
                <w:sz w:val="24"/>
                <w:szCs w:val="24"/>
              </w:rPr>
              <w:t>00-1000</w:t>
            </w:r>
            <w:bookmarkEnd w:id="137"/>
          </w:p>
        </w:tc>
        <w:tc>
          <w:tcPr>
            <w:tcW w:w="2953" w:type="dxa"/>
            <w:vAlign w:val="center"/>
          </w:tcPr>
          <w:p w14:paraId="6F945BD1">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bookmarkStart w:id="140" w:name="_Toc489430989"/>
            <w:r>
              <w:rPr>
                <w:rFonts w:hint="eastAsia" w:ascii="华文中宋" w:hAnsi="华文中宋" w:eastAsia="华文中宋" w:cs="华文中宋"/>
                <w:sz w:val="24"/>
                <w:szCs w:val="24"/>
              </w:rPr>
              <w:t>0</w:t>
            </w:r>
            <w:bookmarkStart w:id="141" w:name="_Toc421891971"/>
            <w:bookmarkStart w:id="142" w:name="_Toc421891912"/>
            <w:r>
              <w:rPr>
                <w:rFonts w:hint="eastAsia" w:ascii="华文中宋" w:hAnsi="华文中宋" w:eastAsia="华文中宋" w:cs="华文中宋"/>
                <w:sz w:val="24"/>
                <w:szCs w:val="24"/>
              </w:rPr>
              <w:t>.8%</w:t>
            </w:r>
            <w:bookmarkEnd w:id="140"/>
          </w:p>
          <w:bookmarkEnd w:id="141"/>
          <w:bookmarkEnd w:id="142"/>
        </w:tc>
        <w:tc>
          <w:tcPr>
            <w:tcW w:w="2953" w:type="dxa"/>
          </w:tcPr>
          <w:p w14:paraId="6D46C3E9">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0.45%</w:t>
            </w:r>
          </w:p>
          <w:bookmarkEnd w:id="138"/>
          <w:bookmarkEnd w:id="139"/>
        </w:tc>
      </w:tr>
      <w:tr w14:paraId="3BAB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14:paraId="72604D7E">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bookmarkStart w:id="143" w:name="_Toc489430990"/>
            <w:r>
              <w:rPr>
                <w:rFonts w:hint="eastAsia" w:ascii="华文中宋" w:hAnsi="华文中宋" w:eastAsia="华文中宋" w:cs="华文中宋"/>
                <w:sz w:val="24"/>
                <w:szCs w:val="24"/>
              </w:rPr>
              <w:t>1</w:t>
            </w:r>
            <w:bookmarkStart w:id="144" w:name="_Toc421891913"/>
            <w:bookmarkStart w:id="145" w:name="_Toc421891972"/>
            <w:r>
              <w:rPr>
                <w:rFonts w:hint="eastAsia" w:ascii="华文中宋" w:hAnsi="华文中宋" w:eastAsia="华文中宋" w:cs="华文中宋"/>
                <w:sz w:val="24"/>
                <w:szCs w:val="24"/>
              </w:rPr>
              <w:t>000-5000</w:t>
            </w:r>
            <w:bookmarkEnd w:id="143"/>
          </w:p>
        </w:tc>
        <w:tc>
          <w:tcPr>
            <w:tcW w:w="2953" w:type="dxa"/>
            <w:vAlign w:val="center"/>
          </w:tcPr>
          <w:p w14:paraId="41105407">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bookmarkStart w:id="146" w:name="_Toc489430991"/>
            <w:r>
              <w:rPr>
                <w:rFonts w:hint="eastAsia" w:ascii="华文中宋" w:hAnsi="华文中宋" w:eastAsia="华文中宋" w:cs="华文中宋"/>
                <w:sz w:val="24"/>
                <w:szCs w:val="24"/>
              </w:rPr>
              <w:t>0</w:t>
            </w:r>
            <w:bookmarkStart w:id="147" w:name="_Toc421891973"/>
            <w:bookmarkStart w:id="148" w:name="_Toc421891914"/>
            <w:r>
              <w:rPr>
                <w:rFonts w:hint="eastAsia" w:ascii="华文中宋" w:hAnsi="华文中宋" w:eastAsia="华文中宋" w:cs="华文中宋"/>
                <w:sz w:val="24"/>
                <w:szCs w:val="24"/>
              </w:rPr>
              <w:t>.5%</w:t>
            </w:r>
            <w:bookmarkEnd w:id="146"/>
          </w:p>
          <w:bookmarkEnd w:id="147"/>
          <w:bookmarkEnd w:id="148"/>
        </w:tc>
        <w:tc>
          <w:tcPr>
            <w:tcW w:w="2953" w:type="dxa"/>
          </w:tcPr>
          <w:p w14:paraId="0B5DADBC">
            <w:pPr>
              <w:pStyle w:val="53"/>
              <w:snapToGrid w:val="0"/>
              <w:spacing w:line="360" w:lineRule="auto"/>
              <w:ind w:firstLine="480" w:firstLineChars="200"/>
              <w:jc w:val="center"/>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0.25%</w:t>
            </w:r>
          </w:p>
          <w:bookmarkEnd w:id="144"/>
          <w:bookmarkEnd w:id="145"/>
        </w:tc>
      </w:tr>
    </w:tbl>
    <w:p w14:paraId="3A9FC47E">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注</w:t>
      </w:r>
      <w:bookmarkStart w:id="149" w:name="_Toc421891915"/>
      <w:bookmarkStart w:id="150" w:name="_Toc421891974"/>
      <w:r>
        <w:rPr>
          <w:rFonts w:hint="eastAsia" w:ascii="华文中宋" w:hAnsi="华文中宋" w:eastAsia="华文中宋" w:cs="华文中宋"/>
          <w:sz w:val="24"/>
          <w:szCs w:val="24"/>
        </w:rPr>
        <w:t>：代理服务收费按差额定率累进法计算。</w:t>
      </w:r>
      <w:bookmarkEnd w:id="121"/>
    </w:p>
    <w:bookmarkEnd w:id="149"/>
    <w:bookmarkEnd w:id="150"/>
    <w:p w14:paraId="4250EC58">
      <w:pPr>
        <w:pStyle w:val="53"/>
        <w:snapToGrid w:val="0"/>
        <w:spacing w:line="360" w:lineRule="auto"/>
        <w:ind w:firstLine="480" w:firstLineChars="200"/>
        <w:textAlignment w:val="auto"/>
        <w:rPr>
          <w:rFonts w:hint="eastAsia" w:ascii="华文中宋" w:hAnsi="华文中宋" w:eastAsia="华文中宋" w:cs="华文中宋"/>
          <w:sz w:val="24"/>
          <w:szCs w:val="24"/>
        </w:rPr>
      </w:pPr>
      <w:bookmarkStart w:id="151" w:name="_Toc489430993"/>
      <w:r>
        <w:rPr>
          <w:rFonts w:hint="eastAsia" w:ascii="华文中宋" w:hAnsi="华文中宋" w:eastAsia="华文中宋" w:cs="华文中宋"/>
          <w:sz w:val="24"/>
          <w:szCs w:val="24"/>
        </w:rPr>
        <w:t>例如：某货物招标代理业务中标金额为900万元，计算招标代理服务收费额如下：100万元×1.5%=1.5万元（500-100）万元×1.1%=4.4万元（900-500）×0.8%=3.2万元。合计收费=1.5+4.4+3.2=9.1（万元）。</w:t>
      </w:r>
      <w:bookmarkEnd w:id="151"/>
    </w:p>
    <w:p w14:paraId="473B95AD">
      <w:pPr>
        <w:pStyle w:val="3"/>
        <w:numPr>
          <w:ilvl w:val="1"/>
          <w:numId w:val="0"/>
        </w:numPr>
        <w:spacing w:before="0" w:after="0" w:line="360" w:lineRule="auto"/>
        <w:ind w:firstLine="480" w:firstLineChars="200"/>
        <w:jc w:val="both"/>
        <w:rPr>
          <w:rFonts w:hint="eastAsia" w:ascii="华文中宋" w:hAnsi="华文中宋" w:eastAsia="华文中宋" w:cs="华文中宋"/>
          <w:sz w:val="24"/>
          <w:szCs w:val="24"/>
        </w:rPr>
      </w:pPr>
      <w:r>
        <w:rPr>
          <w:rFonts w:hint="eastAsia" w:ascii="华文中宋" w:hAnsi="华文中宋" w:eastAsia="华文中宋" w:cs="华文中宋"/>
          <w:sz w:val="24"/>
          <w:szCs w:val="24"/>
        </w:rPr>
        <w:t>九、保密和披露</w:t>
      </w:r>
      <w:bookmarkEnd w:id="111"/>
      <w:bookmarkEnd w:id="112"/>
      <w:bookmarkEnd w:id="113"/>
      <w:bookmarkEnd w:id="114"/>
      <w:bookmarkEnd w:id="115"/>
      <w:bookmarkEnd w:id="116"/>
      <w:bookmarkEnd w:id="117"/>
    </w:p>
    <w:p w14:paraId="11D8C05D">
      <w:pPr>
        <w:pStyle w:val="53"/>
        <w:adjustRightInd/>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32. 保密</w:t>
      </w:r>
    </w:p>
    <w:p w14:paraId="62C70D39">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投标人自领取招标文件之日起，须承诺承担本招标项目下的保密义务，不得将因本次招标获得的信息向第三人外传。</w:t>
      </w:r>
    </w:p>
    <w:p w14:paraId="2E943363">
      <w:pPr>
        <w:pStyle w:val="53"/>
        <w:adjustRightInd/>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33. 披露</w:t>
      </w:r>
    </w:p>
    <w:p w14:paraId="2A4B8FA9">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33.1 采购代理机构有权将投标人提供的所有资料向有关政府部门或评审标书的有关人员披露。</w:t>
      </w:r>
    </w:p>
    <w:p w14:paraId="0A6BA9D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33.2 在采购代理机构认为适当时或国家机关调查、审查、审计时以及其他符合法律法规规定的情形下，采购代理机构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p>
    <w:p w14:paraId="1E7000F2">
      <w:pPr>
        <w:pStyle w:val="3"/>
        <w:numPr>
          <w:ilvl w:val="1"/>
          <w:numId w:val="0"/>
        </w:numPr>
        <w:spacing w:before="0" w:after="0" w:line="360" w:lineRule="auto"/>
        <w:ind w:firstLine="480" w:firstLineChars="200"/>
        <w:contextualSpacing/>
        <w:jc w:val="both"/>
        <w:rPr>
          <w:rFonts w:hint="eastAsia" w:ascii="华文中宋" w:hAnsi="华文中宋" w:eastAsia="华文中宋" w:cs="华文中宋"/>
          <w:sz w:val="24"/>
          <w:szCs w:val="24"/>
        </w:rPr>
      </w:pPr>
      <w:bookmarkStart w:id="152" w:name="_Toc20833"/>
      <w:bookmarkStart w:id="153" w:name="_Toc26881700"/>
      <w:bookmarkStart w:id="154" w:name="_Toc352761941"/>
    </w:p>
    <w:p w14:paraId="0718992F">
      <w:pPr>
        <w:pStyle w:val="3"/>
        <w:numPr>
          <w:ilvl w:val="1"/>
          <w:numId w:val="0"/>
        </w:numPr>
        <w:spacing w:before="0" w:after="0" w:line="360" w:lineRule="auto"/>
        <w:ind w:firstLine="480" w:firstLineChars="200"/>
        <w:contextualSpacing/>
        <w:jc w:val="both"/>
        <w:rPr>
          <w:rFonts w:hint="eastAsia" w:ascii="华文中宋" w:hAnsi="华文中宋" w:eastAsia="华文中宋" w:cs="华文中宋"/>
          <w:sz w:val="24"/>
          <w:szCs w:val="24"/>
        </w:rPr>
      </w:pPr>
      <w:bookmarkStart w:id="155" w:name="_Toc14078"/>
      <w:bookmarkStart w:id="156" w:name="_Toc11204"/>
      <w:bookmarkStart w:id="157" w:name="_Toc9849"/>
      <w:r>
        <w:rPr>
          <w:rFonts w:hint="eastAsia" w:ascii="华文中宋" w:hAnsi="华文中宋" w:eastAsia="华文中宋" w:cs="华文中宋"/>
          <w:sz w:val="24"/>
          <w:szCs w:val="24"/>
        </w:rPr>
        <w:t>十、询问和质疑</w:t>
      </w:r>
      <w:bookmarkEnd w:id="152"/>
      <w:bookmarkEnd w:id="153"/>
      <w:bookmarkEnd w:id="155"/>
      <w:bookmarkEnd w:id="156"/>
      <w:bookmarkEnd w:id="157"/>
    </w:p>
    <w:p w14:paraId="15B21EF5">
      <w:pPr>
        <w:adjustRightInd w:val="0"/>
        <w:snapToGrid w:val="0"/>
        <w:spacing w:line="360" w:lineRule="auto"/>
        <w:ind w:firstLine="480" w:firstLineChars="200"/>
        <w:rPr>
          <w:rFonts w:hint="eastAsia" w:ascii="华文中宋" w:hAnsi="华文中宋" w:eastAsia="华文中宋" w:cs="华文中宋"/>
          <w:b/>
          <w:kern w:val="0"/>
          <w:sz w:val="24"/>
        </w:rPr>
      </w:pPr>
      <w:r>
        <w:rPr>
          <w:rFonts w:hint="eastAsia" w:ascii="华文中宋" w:hAnsi="华文中宋" w:eastAsia="华文中宋" w:cs="华文中宋"/>
          <w:b/>
          <w:kern w:val="0"/>
          <w:sz w:val="24"/>
        </w:rPr>
        <w:t>34.询问</w:t>
      </w:r>
    </w:p>
    <w:p w14:paraId="72775C68">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34.1投标人对采购文件有疑问的，可按第一部分投标邀请中载明的联系方式、地址，口头或书面形式向采购代理机构、采购人提出询问；投标人对评审过程、采购结果有疑问的，可按中标（成交）公告中载明的联系方式、地址提出询问。</w:t>
      </w:r>
    </w:p>
    <w:p w14:paraId="15A5EA51">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34.2询问事项若属于采购人提交的采购需求范畴的，询问方式为口头询问的，采购代理机构告知询问对象直接向采购人询问；询问方式为书面询问的，投标人须提供以下资料各2份，法定代表人身份证明书、法定代表人授权委托书、委托人和被委托人的身份证扫描件、询问函。在采购代理机构领取《供应商询问告知函》，投标人持《供应商询问告知函》向采购人进行询问。采购人须在法定时间内向询问供应商进行书面答复。</w:t>
      </w:r>
    </w:p>
    <w:p w14:paraId="4BA09792">
      <w:pPr>
        <w:pStyle w:val="53"/>
        <w:snapToGrid w:val="0"/>
        <w:spacing w:line="360"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35.质疑</w:t>
      </w:r>
    </w:p>
    <w:p w14:paraId="5F0E56D0">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35.1投标人认为招标文件、评标过程和采购结果使自己的权益受到损害，应当在法定质疑期限内一次性提出针对同一采购程序环节的质疑，且质疑函必须是书面形式（质疑函范本须从中国政府采购网http://www.ccgp.gov.cn/的下载专区下载）。</w:t>
      </w:r>
    </w:p>
    <w:p w14:paraId="34165E4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对可以质疑的采购文件提出质疑的，在收到采购文件之日起七个工作日内提出；</w:t>
      </w:r>
    </w:p>
    <w:p w14:paraId="25F140E6">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对采购过程提出质疑的，在各采购程序环节结束之日起七个工作日内提出；</w:t>
      </w:r>
    </w:p>
    <w:p w14:paraId="509E058C">
      <w:pPr>
        <w:pStyle w:val="53"/>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对中标结果提出质疑的，在中标公告期限届满之日起七个工作日内提出。</w:t>
      </w:r>
    </w:p>
    <w:p w14:paraId="44748D28">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sz w:val="24"/>
          <w:szCs w:val="24"/>
        </w:rPr>
        <w:t>35.2</w:t>
      </w:r>
      <w:r>
        <w:rPr>
          <w:rFonts w:hint="eastAsia" w:ascii="华文中宋" w:hAnsi="华文中宋" w:eastAsia="华文中宋" w:cs="华文中宋"/>
          <w:bCs/>
          <w:sz w:val="24"/>
          <w:szCs w:val="24"/>
        </w:rPr>
        <w:t>对采购文件编制内容（不包括采购需求）、评审过程、采购结果提出质疑的，由采购代理机构进行书面答复。对采购文件中采购需求提出质疑的，采购代理机构出具《供应商质疑告知函》（一式三份），供应商持《供应商质疑告知函》向采购人提出质疑。</w:t>
      </w:r>
    </w:p>
    <w:p w14:paraId="068B8239">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35.3 采购代理机构、采购人将依据《中华人民共和国政府采购法实施条例》第五十二条第一款的规定时限对投标人的询问、质疑做出处理和答复。</w:t>
      </w:r>
    </w:p>
    <w:p w14:paraId="094C9A78">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35.4无效质疑情形</w:t>
      </w:r>
    </w:p>
    <w:p w14:paraId="6598497D">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A.未参与本次政府采购活动的供应商；</w:t>
      </w:r>
    </w:p>
    <w:p w14:paraId="6CC1937F">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B.不符合本次政府采购活动特定条件的供应商；</w:t>
      </w:r>
    </w:p>
    <w:p w14:paraId="11009CEE">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C.未在有效期内提出质疑的；</w:t>
      </w:r>
    </w:p>
    <w:p w14:paraId="48361EC6">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D.不同质疑人委托同一人办理质疑事宜的；</w:t>
      </w:r>
    </w:p>
    <w:p w14:paraId="47123B41">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E.质疑没有明确请求和必要的证明材料；</w:t>
      </w:r>
    </w:p>
    <w:p w14:paraId="6640BBA4">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F.其它不符合受理条件的情形。</w:t>
      </w:r>
    </w:p>
    <w:p w14:paraId="27C21FCF">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35.5质疑供应商撤回质疑的，终止质疑处理；</w:t>
      </w:r>
    </w:p>
    <w:p w14:paraId="0F5FB6EF">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35.6质疑供应商有下列情形之一的，属于虚假、恶意质疑，采购代理机构或采购人应当驳回质疑，并向政府采购监督管理部门报告将其列入不良行为记录名单，并依法予以处罚：</w:t>
      </w:r>
    </w:p>
    <w:p w14:paraId="75EDAE63">
      <w:pPr>
        <w:pStyle w:val="53"/>
        <w:snapToGrid w:val="0"/>
        <w:spacing w:line="360"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A、一年内三次以上质疑均查无实据的；</w:t>
      </w:r>
    </w:p>
    <w:p w14:paraId="1BB0C669">
      <w:pPr>
        <w:pStyle w:val="53"/>
        <w:snapToGrid w:val="0"/>
        <w:spacing w:line="360" w:lineRule="auto"/>
        <w:ind w:firstLine="480" w:firstLineChars="200"/>
        <w:textAlignment w:val="auto"/>
        <w:rPr>
          <w:rFonts w:hint="eastAsia" w:ascii="华文中宋" w:hAnsi="华文中宋" w:eastAsia="华文中宋" w:cs="华文中宋"/>
          <w:b/>
          <w:bCs/>
          <w:spacing w:val="20"/>
          <w:kern w:val="44"/>
          <w:sz w:val="28"/>
          <w:szCs w:val="28"/>
        </w:rPr>
      </w:pPr>
      <w:r>
        <w:rPr>
          <w:rFonts w:hint="eastAsia" w:ascii="华文中宋" w:hAnsi="华文中宋" w:eastAsia="华文中宋" w:cs="华文中宋"/>
          <w:bCs/>
          <w:sz w:val="24"/>
          <w:szCs w:val="24"/>
        </w:rPr>
        <w:t>B、捏造事实或者提供虚假质疑材料的。</w:t>
      </w:r>
      <w:bookmarkStart w:id="158" w:name="_Toc16892"/>
      <w:bookmarkStart w:id="159" w:name="_Toc26881701"/>
      <w:bookmarkStart w:id="160" w:name="_Toc16843"/>
      <w:bookmarkStart w:id="161" w:name="_Toc29350"/>
      <w:bookmarkStart w:id="162" w:name="_Toc18768"/>
      <w:r>
        <w:rPr>
          <w:rFonts w:hint="eastAsia" w:ascii="华文中宋" w:hAnsi="华文中宋" w:eastAsia="华文中宋" w:cs="华文中宋"/>
          <w:spacing w:val="20"/>
          <w:szCs w:val="28"/>
        </w:rPr>
        <w:br w:type="page"/>
      </w:r>
    </w:p>
    <w:p w14:paraId="54F09D80">
      <w:pPr>
        <w:pStyle w:val="49"/>
        <w:keepNext w:val="0"/>
        <w:keepLines w:val="0"/>
        <w:numPr>
          <w:ilvl w:val="0"/>
          <w:numId w:val="0"/>
        </w:numPr>
        <w:snapToGrid w:val="0"/>
        <w:spacing w:before="0" w:after="0"/>
        <w:outlineLvl w:val="9"/>
        <w:rPr>
          <w:rFonts w:hint="eastAsia" w:ascii="华文中宋" w:hAnsi="华文中宋" w:eastAsia="华文中宋" w:cs="华文中宋"/>
          <w:sz w:val="36"/>
          <w:szCs w:val="36"/>
        </w:rPr>
      </w:pPr>
      <w:r>
        <w:rPr>
          <w:rFonts w:hint="eastAsia" w:ascii="华文中宋" w:hAnsi="华文中宋" w:eastAsia="华文中宋" w:cs="华文中宋"/>
          <w:spacing w:val="20"/>
          <w:szCs w:val="28"/>
        </w:rPr>
        <w:t>第四部分 商务、技术要求</w:t>
      </w:r>
      <w:bookmarkEnd w:id="154"/>
      <w:bookmarkEnd w:id="158"/>
      <w:bookmarkEnd w:id="159"/>
      <w:bookmarkEnd w:id="160"/>
      <w:bookmarkEnd w:id="161"/>
      <w:bookmarkEnd w:id="162"/>
    </w:p>
    <w:p w14:paraId="68854F3C">
      <w:pPr>
        <w:adjustRightInd w:val="0"/>
        <w:snapToGrid w:val="0"/>
        <w:spacing w:line="336" w:lineRule="auto"/>
        <w:rPr>
          <w:rFonts w:hint="eastAsia" w:ascii="华文中宋" w:hAnsi="华文中宋" w:eastAsia="华文中宋" w:cs="华文中宋"/>
        </w:rPr>
      </w:pPr>
      <w:r>
        <w:rPr>
          <w:rFonts w:hint="eastAsia" w:ascii="华文中宋" w:hAnsi="华文中宋" w:eastAsia="华文中宋" w:cs="华文中宋"/>
          <w:b/>
          <w:bCs/>
          <w:kern w:val="0"/>
          <w:sz w:val="24"/>
        </w:rPr>
        <w:t>一、商务要求</w:t>
      </w:r>
    </w:p>
    <w:p w14:paraId="698AF097">
      <w:pPr>
        <w:pStyle w:val="53"/>
        <w:snapToGrid w:val="0"/>
        <w:spacing w:line="336" w:lineRule="auto"/>
        <w:ind w:firstLine="480" w:firstLineChars="200"/>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rPr>
        <w:t>1</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交货地点：</w:t>
      </w:r>
      <w:r>
        <w:rPr>
          <w:rFonts w:hint="eastAsia" w:ascii="华文中宋" w:hAnsi="华文中宋" w:eastAsia="华文中宋" w:cs="华文中宋"/>
          <w:sz w:val="24"/>
          <w:szCs w:val="24"/>
          <w:lang w:val="en-US" w:eastAsia="zh-CN"/>
        </w:rPr>
        <w:t>甲方指定地点</w:t>
      </w:r>
    </w:p>
    <w:p w14:paraId="74E17C30">
      <w:pPr>
        <w:pStyle w:val="53"/>
        <w:snapToGrid w:val="0"/>
        <w:spacing w:line="336" w:lineRule="auto"/>
        <w:ind w:firstLine="480" w:firstLineChars="200"/>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rPr>
        <w:t>2、付款</w:t>
      </w:r>
      <w:r>
        <w:rPr>
          <w:rFonts w:hint="eastAsia" w:ascii="华文中宋" w:hAnsi="华文中宋" w:eastAsia="华文中宋" w:cs="华文中宋"/>
          <w:sz w:val="24"/>
          <w:szCs w:val="24"/>
          <w:highlight w:val="none"/>
        </w:rPr>
        <w:t>方式：</w:t>
      </w:r>
      <w:r>
        <w:rPr>
          <w:rFonts w:hint="eastAsia" w:ascii="华文中宋" w:hAnsi="华文中宋" w:eastAsia="华文中宋" w:cs="华文中宋"/>
          <w:sz w:val="24"/>
          <w:szCs w:val="24"/>
          <w:highlight w:val="none"/>
          <w:lang w:val="en-US" w:eastAsia="zh-CN"/>
        </w:rPr>
        <w:t>验收合格后一次性支付</w:t>
      </w:r>
    </w:p>
    <w:p w14:paraId="34CC16B7">
      <w:pPr>
        <w:pStyle w:val="53"/>
        <w:snapToGrid w:val="0"/>
        <w:spacing w:line="336" w:lineRule="auto"/>
        <w:ind w:firstLine="480" w:firstLineChars="20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3、交货期：签订合同后</w:t>
      </w:r>
      <w:r>
        <w:rPr>
          <w:rFonts w:hint="eastAsia" w:ascii="华文中宋" w:hAnsi="华文中宋" w:eastAsia="华文中宋" w:cs="华文中宋"/>
          <w:color w:val="auto"/>
          <w:sz w:val="24"/>
          <w:szCs w:val="24"/>
          <w:highlight w:val="none"/>
          <w:lang w:val="en-US" w:eastAsia="zh-CN"/>
        </w:rPr>
        <w:t>10天</w:t>
      </w:r>
    </w:p>
    <w:p w14:paraId="347A01A3">
      <w:pPr>
        <w:pStyle w:val="53"/>
        <w:snapToGrid w:val="0"/>
        <w:spacing w:line="336" w:lineRule="auto"/>
        <w:textAlignment w:val="auto"/>
        <w:rPr>
          <w:rFonts w:hint="eastAsia" w:ascii="华文中宋" w:hAnsi="华文中宋" w:eastAsia="华文中宋" w:cs="华文中宋"/>
          <w:b/>
          <w:bCs/>
          <w:sz w:val="24"/>
          <w:szCs w:val="24"/>
          <w:highlight w:val="yellow"/>
        </w:rPr>
      </w:pPr>
      <w:r>
        <w:rPr>
          <w:rFonts w:hint="eastAsia" w:ascii="华文中宋" w:hAnsi="华文中宋" w:eastAsia="华文中宋" w:cs="华文中宋"/>
          <w:b/>
          <w:sz w:val="24"/>
          <w:szCs w:val="24"/>
        </w:rPr>
        <w:t>二、</w:t>
      </w:r>
      <w:r>
        <w:rPr>
          <w:rFonts w:hint="eastAsia" w:ascii="华文中宋" w:hAnsi="华文中宋" w:eastAsia="华文中宋" w:cs="华文中宋"/>
          <w:b/>
          <w:bCs/>
          <w:sz w:val="24"/>
          <w:szCs w:val="24"/>
        </w:rPr>
        <w:t>实质性要求</w:t>
      </w:r>
    </w:p>
    <w:p w14:paraId="186E3D3A">
      <w:pPr>
        <w:pStyle w:val="53"/>
        <w:snapToGrid w:val="0"/>
        <w:spacing w:line="336"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强制性采购的节能产品：投报产品中如包含“品目清单”政府强制采购产品的，需将政府强制采购产品如实填写到《政府强制采购产品明细表》（格式见第八部分），并提供处于有效期之内的节能产品、环境标志产品认证证书复印件。</w:t>
      </w:r>
    </w:p>
    <w:p w14:paraId="377D7A5B">
      <w:pPr>
        <w:pStyle w:val="53"/>
        <w:snapToGrid w:val="0"/>
        <w:spacing w:line="336"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信息安全产品：投标货物中如含有财政部会同有关部门制定下发的《信息安全产品强制性认证目录》中的产品（目录附后，8类13项），提供中国信息安全认证中心或中国网络安全审查技术与认证中心按国家标准认证颁发的有效认证证书。</w:t>
      </w:r>
    </w:p>
    <w:p w14:paraId="2DC59DA8">
      <w:pPr>
        <w:pStyle w:val="53"/>
        <w:snapToGrid w:val="0"/>
        <w:spacing w:line="336"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3、正版软件承诺：承诺所投报的计算机预装正版操作系统，硬件产品内的预装软件为正版软件。</w:t>
      </w:r>
    </w:p>
    <w:p w14:paraId="694A81CA">
      <w:pPr>
        <w:pStyle w:val="53"/>
        <w:snapToGrid w:val="0"/>
        <w:spacing w:line="336" w:lineRule="auto"/>
        <w:ind w:firstLine="480" w:firstLineChars="200"/>
        <w:textAlignment w:val="auto"/>
        <w:rPr>
          <w:rFonts w:hint="eastAsia" w:ascii="华文中宋" w:hAnsi="华文中宋" w:eastAsia="华文中宋" w:cs="华文中宋"/>
          <w:b/>
          <w:sz w:val="24"/>
          <w:szCs w:val="24"/>
        </w:rPr>
      </w:pPr>
      <w:r>
        <w:rPr>
          <w:rFonts w:hint="eastAsia" w:ascii="华文中宋" w:hAnsi="华文中宋" w:eastAsia="华文中宋" w:cs="华文中宋"/>
          <w:sz w:val="24"/>
          <w:szCs w:val="24"/>
        </w:rPr>
        <w:t>4、其他强制性要求或标准：无。</w:t>
      </w:r>
    </w:p>
    <w:p w14:paraId="7736FA0A">
      <w:pPr>
        <w:pStyle w:val="53"/>
        <w:snapToGrid w:val="0"/>
        <w:spacing w:line="336"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b/>
          <w:bCs/>
          <w:sz w:val="24"/>
          <w:szCs w:val="24"/>
        </w:rPr>
        <w:t>三、</w:t>
      </w:r>
      <w:r>
        <w:rPr>
          <w:rFonts w:hint="eastAsia" w:ascii="华文中宋" w:hAnsi="华文中宋" w:eastAsia="华文中宋" w:cs="华文中宋"/>
          <w:b/>
          <w:sz w:val="24"/>
          <w:szCs w:val="24"/>
        </w:rPr>
        <w:t>服务要求</w:t>
      </w:r>
    </w:p>
    <w:p w14:paraId="5DA38D03">
      <w:pPr>
        <w:pStyle w:val="53"/>
        <w:snapToGrid w:val="0"/>
        <w:spacing w:line="288"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1、所有设备均应符合国家相关质量标准，执行国家相关标准，满足国家、省、市相关规范及其它相关专业现行规范。</w:t>
      </w:r>
    </w:p>
    <w:p w14:paraId="03ADBEB8">
      <w:pPr>
        <w:pStyle w:val="53"/>
        <w:snapToGrid w:val="0"/>
        <w:spacing w:line="288"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2、具有便捷的售后服务体系，需提供本项目售后服务总负责人姓名、职务、详细的地址和联系方式等。</w:t>
      </w:r>
    </w:p>
    <w:p w14:paraId="72B547BC">
      <w:pPr>
        <w:pStyle w:val="53"/>
        <w:snapToGrid w:val="0"/>
        <w:spacing w:line="288" w:lineRule="auto"/>
        <w:ind w:firstLine="480" w:firstLineChars="200"/>
        <w:textAlignment w:val="auto"/>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3、安装调试到位，对管理人员进行培训，并留存完整技术资料。必须在24小时内提供远程和现场服务。</w:t>
      </w:r>
    </w:p>
    <w:p w14:paraId="4E81FCEB">
      <w:pPr>
        <w:pStyle w:val="53"/>
        <w:snapToGrid w:val="0"/>
        <w:spacing w:line="288" w:lineRule="auto"/>
        <w:ind w:firstLine="480" w:firstLineChars="200"/>
        <w:textAlignment w:val="auto"/>
        <w:rPr>
          <w:rFonts w:hint="eastAsia" w:ascii="华文中宋" w:hAnsi="华文中宋" w:eastAsia="华文中宋" w:cs="华文中宋"/>
          <w:b/>
          <w:sz w:val="24"/>
          <w:szCs w:val="24"/>
          <w:highlight w:val="none"/>
        </w:rPr>
      </w:pPr>
      <w:r>
        <w:rPr>
          <w:rFonts w:hint="eastAsia" w:ascii="华文中宋" w:hAnsi="华文中宋" w:eastAsia="华文中宋" w:cs="华文中宋"/>
          <w:bCs/>
          <w:sz w:val="24"/>
          <w:szCs w:val="24"/>
          <w:highlight w:val="none"/>
        </w:rPr>
        <w:t>4、设备质保期为：</w:t>
      </w:r>
      <w:r>
        <w:rPr>
          <w:rFonts w:hint="eastAsia" w:ascii="华文中宋" w:hAnsi="华文中宋" w:eastAsia="华文中宋" w:cs="华文中宋"/>
          <w:bCs/>
          <w:sz w:val="24"/>
          <w:szCs w:val="24"/>
          <w:highlight w:val="none"/>
          <w:lang w:val="en-US" w:eastAsia="zh-CN"/>
        </w:rPr>
        <w:t>最少</w:t>
      </w:r>
      <w:r>
        <w:rPr>
          <w:rFonts w:hint="eastAsia" w:ascii="华文中宋" w:hAnsi="华文中宋" w:eastAsia="华文中宋" w:cs="华文中宋"/>
          <w:bCs/>
          <w:sz w:val="24"/>
          <w:szCs w:val="24"/>
          <w:highlight w:val="none"/>
        </w:rPr>
        <w:t>1年，售后终身服务。发运及安装过程中产生的产品质量问题由供方负责。</w:t>
      </w:r>
    </w:p>
    <w:p w14:paraId="53187F68">
      <w:pPr>
        <w:pStyle w:val="53"/>
        <w:snapToGrid w:val="0"/>
        <w:spacing w:line="336" w:lineRule="auto"/>
        <w:textAlignment w:val="auto"/>
        <w:rPr>
          <w:rFonts w:hint="eastAsia" w:ascii="华文中宋" w:hAnsi="华文中宋" w:eastAsia="华文中宋" w:cs="华文中宋"/>
          <w:b/>
          <w:bCs/>
          <w:sz w:val="24"/>
          <w:szCs w:val="24"/>
          <w:highlight w:val="none"/>
        </w:rPr>
      </w:pPr>
      <w:r>
        <w:rPr>
          <w:rFonts w:hint="eastAsia" w:ascii="华文中宋" w:hAnsi="华文中宋" w:eastAsia="华文中宋" w:cs="华文中宋"/>
          <w:b/>
          <w:sz w:val="24"/>
          <w:szCs w:val="24"/>
          <w:highlight w:val="none"/>
        </w:rPr>
        <w:t>四、技术要求</w:t>
      </w:r>
    </w:p>
    <w:p w14:paraId="78008A4E">
      <w:pPr>
        <w:pStyle w:val="53"/>
        <w:snapToGrid w:val="0"/>
        <w:spacing w:line="336"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详见本部分技术需求书。</w:t>
      </w:r>
    </w:p>
    <w:p w14:paraId="2E517442">
      <w:pPr>
        <w:pStyle w:val="53"/>
        <w:snapToGrid w:val="0"/>
        <w:spacing w:line="336" w:lineRule="auto"/>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五、其他非实质性要求：无</w:t>
      </w:r>
    </w:p>
    <w:p w14:paraId="63AEAAE0">
      <w:pPr>
        <w:pStyle w:val="53"/>
        <w:snapToGrid w:val="0"/>
        <w:spacing w:line="336" w:lineRule="auto"/>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六、验收标准</w:t>
      </w:r>
    </w:p>
    <w:p w14:paraId="4DE1CF54">
      <w:pPr>
        <w:pStyle w:val="53"/>
        <w:snapToGrid w:val="0"/>
        <w:spacing w:line="336"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验收标准：按照政府采购合同规定的技术、服务、安全标准，组织对供货商履约情况进行验收。</w:t>
      </w:r>
    </w:p>
    <w:p w14:paraId="1501527A">
      <w:pPr>
        <w:ind w:firstLine="721"/>
        <w:jc w:val="center"/>
        <w:rPr>
          <w:rFonts w:hint="eastAsia" w:ascii="华文中宋" w:hAnsi="华文中宋" w:eastAsia="华文中宋" w:cs="华文中宋"/>
          <w:b/>
          <w:bCs/>
          <w:sz w:val="36"/>
          <w:szCs w:val="36"/>
        </w:rPr>
        <w:sectPr>
          <w:headerReference r:id="rId7" w:type="default"/>
          <w:footerReference r:id="rId8" w:type="default"/>
          <w:pgSz w:w="11906" w:h="16838"/>
          <w:pgMar w:top="1247" w:right="1361" w:bottom="1247" w:left="1531" w:header="794" w:footer="992" w:gutter="0"/>
          <w:cols w:space="708" w:num="1"/>
          <w:docGrid w:type="lines" w:linePitch="312" w:charSpace="0"/>
        </w:sectPr>
      </w:pPr>
      <w:bookmarkStart w:id="163" w:name="_Toc424378696"/>
      <w:bookmarkStart w:id="164" w:name="_Toc352761948"/>
      <w:bookmarkStart w:id="165" w:name="_Toc26881702"/>
      <w:bookmarkStart w:id="166" w:name="_Toc28436"/>
      <w:bookmarkStart w:id="167" w:name="_Toc19965"/>
      <w:bookmarkStart w:id="168" w:name="_Toc383"/>
      <w:bookmarkStart w:id="169" w:name="_Toc10646"/>
    </w:p>
    <w:p w14:paraId="54086DB5">
      <w:pPr>
        <w:ind w:firstLine="721"/>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技术需求书</w:t>
      </w:r>
    </w:p>
    <w:tbl>
      <w:tblPr>
        <w:tblStyle w:val="28"/>
        <w:tblW w:w="102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155"/>
        <w:gridCol w:w="1386"/>
        <w:gridCol w:w="938"/>
        <w:gridCol w:w="6138"/>
      </w:tblGrid>
      <w:tr w14:paraId="64FF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FA9192">
            <w:pPr>
              <w:keepNext w:val="0"/>
              <w:keepLines w:val="0"/>
              <w:widowControl/>
              <w:suppressLineNumbers w:val="0"/>
              <w:jc w:val="left"/>
              <w:textAlignment w:val="center"/>
              <w:rPr>
                <w:rFonts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序号</w:t>
            </w:r>
          </w:p>
        </w:tc>
        <w:tc>
          <w:tcPr>
            <w:tcW w:w="115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A836CE">
            <w:pPr>
              <w:jc w:val="both"/>
              <w:rPr>
                <w:rFonts w:hint="eastAsia" w:ascii="华文中宋" w:hAnsi="华文中宋" w:eastAsia="华文中宋" w:cs="华文中宋"/>
                <w:i w:val="0"/>
                <w:iCs w:val="0"/>
                <w:color w:val="000000"/>
                <w:sz w:val="21"/>
                <w:szCs w:val="21"/>
                <w:u w:val="none"/>
              </w:rPr>
            </w:pPr>
          </w:p>
        </w:tc>
        <w:tc>
          <w:tcPr>
            <w:tcW w:w="138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B7F35C">
            <w:pPr>
              <w:keepNext w:val="0"/>
              <w:keepLines w:val="0"/>
              <w:widowControl/>
              <w:suppressLineNumbers w:val="0"/>
              <w:jc w:val="center"/>
              <w:textAlignment w:val="center"/>
              <w:rPr>
                <w:rFonts w:hint="eastAsia" w:ascii="华文中宋" w:hAnsi="华文中宋" w:eastAsia="华文中宋" w:cs="华文中宋"/>
                <w:b/>
                <w:bCs/>
                <w:i w:val="0"/>
                <w:iCs w:val="0"/>
                <w:color w:val="000000"/>
                <w:sz w:val="21"/>
                <w:szCs w:val="21"/>
                <w:u w:val="none"/>
              </w:rPr>
            </w:pPr>
            <w:r>
              <w:rPr>
                <w:rFonts w:hint="eastAsia" w:ascii="华文中宋" w:hAnsi="华文中宋" w:eastAsia="华文中宋" w:cs="华文中宋"/>
                <w:b/>
                <w:bCs/>
                <w:i w:val="0"/>
                <w:iCs w:val="0"/>
                <w:color w:val="000000"/>
                <w:kern w:val="0"/>
                <w:sz w:val="21"/>
                <w:szCs w:val="21"/>
                <w:u w:val="none"/>
                <w:lang w:val="en-US" w:eastAsia="zh-CN" w:bidi="ar"/>
              </w:rPr>
              <w:t>名称</w:t>
            </w:r>
          </w:p>
        </w:tc>
        <w:tc>
          <w:tcPr>
            <w:tcW w:w="9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D9CEE2">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数量</w:t>
            </w:r>
          </w:p>
        </w:tc>
        <w:tc>
          <w:tcPr>
            <w:tcW w:w="61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2035B0">
            <w:pPr>
              <w:keepNext w:val="0"/>
              <w:keepLines w:val="0"/>
              <w:widowControl/>
              <w:suppressLineNumbers w:val="0"/>
              <w:jc w:val="center"/>
              <w:textAlignment w:val="center"/>
              <w:rPr>
                <w:rFonts w:hint="eastAsia" w:ascii="华文中宋" w:hAnsi="华文中宋" w:eastAsia="华文中宋" w:cs="华文中宋"/>
                <w:b/>
                <w:bCs/>
                <w:i w:val="0"/>
                <w:iCs w:val="0"/>
                <w:color w:val="000000"/>
                <w:sz w:val="21"/>
                <w:szCs w:val="21"/>
                <w:u w:val="none"/>
              </w:rPr>
            </w:pPr>
            <w:r>
              <w:rPr>
                <w:rFonts w:hint="eastAsia" w:ascii="华文中宋" w:hAnsi="华文中宋" w:eastAsia="华文中宋" w:cs="华文中宋"/>
                <w:b/>
                <w:bCs/>
                <w:i w:val="0"/>
                <w:iCs w:val="0"/>
                <w:color w:val="000000"/>
                <w:kern w:val="0"/>
                <w:sz w:val="21"/>
                <w:szCs w:val="21"/>
                <w:u w:val="none"/>
                <w:lang w:val="en-US" w:eastAsia="zh-CN" w:bidi="ar"/>
              </w:rPr>
              <w:t>规格要求</w:t>
            </w:r>
          </w:p>
        </w:tc>
      </w:tr>
      <w:tr w14:paraId="113A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5FDE6E5">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115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57CA0AF">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个人防护</w:t>
            </w: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5B4DA826">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消防头盔</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349E96CD">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47</w:t>
            </w:r>
          </w:p>
        </w:tc>
        <w:tc>
          <w:tcPr>
            <w:tcW w:w="6138" w:type="dxa"/>
            <w:tcBorders>
              <w:top w:val="nil"/>
              <w:left w:val="single" w:color="000000" w:sz="8" w:space="0"/>
              <w:bottom w:val="nil"/>
              <w:right w:val="single" w:color="000000" w:sz="8" w:space="0"/>
            </w:tcBorders>
            <w:shd w:val="clear" w:color="auto" w:fill="auto"/>
            <w:vAlign w:val="center"/>
          </w:tcPr>
          <w:p w14:paraId="31B1068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1、符合XF 44-2015《消防头盔》标准。</w:t>
            </w:r>
          </w:p>
        </w:tc>
      </w:tr>
      <w:tr w14:paraId="76E7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338A3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9D71F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9A2BD4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8A022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E73D1B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产品提供黄色或红色供用户根据需要选配。产品颜色、款式、标识等符合《关于征求17式消防头盔等8种防护装备款式标识统型要求意见的通知》（公消办〔2017〕274号）中17式消防头盔款式标识统型要求，提供所投产品设计图、效果图、实物相片。</w:t>
            </w:r>
          </w:p>
        </w:tc>
      </w:tr>
      <w:tr w14:paraId="4409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C16F4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95742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4BCF17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94DB1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087469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3、头盔为半盔式，由盔壳、滑轨、缓冲层、舒适衬垫、佩戴装置、面罩、披肩、帽徽等组成，可安装照明灯。</w:t>
            </w:r>
          </w:p>
        </w:tc>
      </w:tr>
      <w:tr w14:paraId="51F5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C5A4D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76111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8DE172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1DDB1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21D8C2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4、面罩采用透明、耐冲击、耐热、防雾和耐刮擦的材料制成，开合过程应能随意保持定位，其向上打开角度不应超过90°。可见透光度不小于90%，左右水平视野不小于105°，上视野不小于7°，下视野不小于45°。</w:t>
            </w:r>
          </w:p>
        </w:tc>
      </w:tr>
      <w:tr w14:paraId="4F6B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9D9CD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68451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015323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9C482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5A3E25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5、披肩应为装卸式，采用铝箔复合防水层及芳纶阻燃面料的三层结构，可完全覆盖消防员肩部与颈部，脱卸方便。</w:t>
            </w:r>
          </w:p>
        </w:tc>
      </w:tr>
      <w:tr w14:paraId="2FF1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5D714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54059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26FDCA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ADB9B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7428C2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6、冲击吸收性能：高温预处理，最大冲击力≤2900N；辐射热预处理，最大冲击力≤2900N；低温预处理，最大冲击力≤3000N；浸水预处理，最大冲击力≤2800N。</w:t>
            </w:r>
          </w:p>
        </w:tc>
      </w:tr>
      <w:tr w14:paraId="3F6F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CDA35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A720E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8858B5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140FD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B4F429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7、阻燃性能：头盔经高温实验后，下颏带损毁长度≤9mm，续燃时间0s；披肩损毁长度≤28mm，续燃时间0s；面罩续燃时间 0s；各部分均无熔融、滴落现象。</w:t>
            </w:r>
          </w:p>
        </w:tc>
      </w:tr>
      <w:tr w14:paraId="691E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37DB9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12250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3A81BE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96FC4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7D1D67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★8、质量：头盔质量（不包括披肩及其他附件）不超过1.1kg。</w:t>
            </w:r>
          </w:p>
        </w:tc>
      </w:tr>
      <w:tr w14:paraId="2E26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D9AC3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ABFA2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21E90C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4B88A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E06A5E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下颏带采用芳纶阻燃材料，系带宽度为20±1,下托舒适衬垫宽度80±5,两侧调节带调节量大于等于25,后侧两调节带调节量大于等于30,下颌带调节量大于等于60，装配快脱插扣。所有可调节扣件全部采用黄色，为改性阻燃尼龙66材料。</w:t>
            </w:r>
          </w:p>
        </w:tc>
      </w:tr>
      <w:tr w14:paraId="2E0B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12AC7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18DB3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528A20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BF594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AC4D49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10、头盔有永久性标签，包括：型号、规格；生产厂的名称或商标；生产厂的识别编号、制造时间等。</w:t>
            </w:r>
          </w:p>
        </w:tc>
      </w:tr>
      <w:tr w14:paraId="473A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8E23E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6717F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6E704E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A6AB9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AC0D90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11、头盔帽徽、反光带、印字等外观标识符合《消防救援局关于进一步规范和加强灭火救援装备标识管理使用工作的通知》（应急消〔2019〕55号）要求。</w:t>
            </w:r>
          </w:p>
        </w:tc>
      </w:tr>
      <w:tr w14:paraId="7E83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E25FB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CA5BC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83E523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5B051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1D433FE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12、款式、材质、颜色、标识、头灯固定插口、各类配饰等符合部消防救援局统型要求。</w:t>
            </w:r>
          </w:p>
        </w:tc>
      </w:tr>
      <w:tr w14:paraId="46A4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5953F51">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41F4CE">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6823E9C1">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消防手套</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13DBAEB1">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31</w:t>
            </w:r>
          </w:p>
        </w:tc>
        <w:tc>
          <w:tcPr>
            <w:tcW w:w="6138" w:type="dxa"/>
            <w:tcBorders>
              <w:top w:val="nil"/>
              <w:left w:val="single" w:color="000000" w:sz="8" w:space="0"/>
              <w:bottom w:val="nil"/>
              <w:right w:val="single" w:color="000000" w:sz="8" w:space="0"/>
            </w:tcBorders>
            <w:shd w:val="clear" w:color="auto" w:fill="auto"/>
            <w:vAlign w:val="center"/>
          </w:tcPr>
          <w:p w14:paraId="76BC145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 XF7-2004《消防手套》标准。</w:t>
            </w:r>
          </w:p>
        </w:tc>
      </w:tr>
      <w:tr w14:paraId="43B6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40AE6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E918B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CA98A5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25FB2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783121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2.材质：外层：芳纶多组份阻燃面料、牛二层皮，防水层：TPU阻燃防水袋，隔热层：芳纶水刺毡。</w:t>
            </w:r>
          </w:p>
        </w:tc>
      </w:tr>
      <w:tr w14:paraId="3785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F6797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385C2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F14587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21010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05C809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3.阻燃性能：手套掌心面经向续燃时间0 s，损毁长度≤27mm；纬向续燃时间0S ，损毁长度≤22mm，无熔融、滴落现象。</w:t>
            </w:r>
          </w:p>
        </w:tc>
      </w:tr>
      <w:tr w14:paraId="2EBF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5C90E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1F063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A27DAF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B2143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172503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★4.整体热防护性能≥30.9cal/cm2；</w:t>
            </w:r>
          </w:p>
        </w:tc>
      </w:tr>
      <w:tr w14:paraId="7192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C64D9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5D9BC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D5A9B8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86922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30689F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5.耐热性能：手套收缩率 ≤1%，衬里收缩率≤ 1%，表面无明显变化，无熔融、脱离和燃烧现象；</w:t>
            </w:r>
          </w:p>
        </w:tc>
      </w:tr>
      <w:tr w14:paraId="060D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6D909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FA583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22A9E5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CE7CF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DE8B4E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6.力学性能：耐磨性能：掌心循环次数＞2000 次。掌心割破力＞15N。掌心撕破强力≥120N。掌心穿刺力：≥71N。</w:t>
            </w:r>
          </w:p>
        </w:tc>
      </w:tr>
      <w:tr w14:paraId="5526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11F25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8A405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13FD18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B763F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F927EC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7.阻隔性能：防水性能：手套防水层和其线缝在静水压 7kPa 下试验 5min 后不出现水滴。</w:t>
            </w:r>
          </w:p>
        </w:tc>
      </w:tr>
      <w:tr w14:paraId="3B31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310C7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4F2B0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34CCED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4664B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30C101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8.灵巧性：30s内3次拾取钢棒直径≤6.5mm。</w:t>
            </w:r>
          </w:p>
        </w:tc>
      </w:tr>
      <w:tr w14:paraId="7640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5954F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A5ED4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56F4B3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ADF66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DF4535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9.抓握性能：拉重力比≥96％。</w:t>
            </w:r>
          </w:p>
        </w:tc>
      </w:tr>
      <w:tr w14:paraId="476C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0481B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0D872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0A4A76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B3CE0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BD758B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10.穿戴性能：穿戴时间≤1.2s。</w:t>
            </w:r>
          </w:p>
        </w:tc>
      </w:tr>
      <w:tr w14:paraId="23E7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5AA3A32D">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4B1306">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5DD53081">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消防员灭火防护靴</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1C1191">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43</w:t>
            </w:r>
          </w:p>
        </w:tc>
        <w:tc>
          <w:tcPr>
            <w:tcW w:w="6138" w:type="dxa"/>
            <w:tcBorders>
              <w:top w:val="nil"/>
              <w:left w:val="single" w:color="000000" w:sz="8" w:space="0"/>
              <w:bottom w:val="nil"/>
              <w:right w:val="single" w:color="000000" w:sz="8" w:space="0"/>
            </w:tcBorders>
            <w:shd w:val="clear" w:color="auto" w:fill="auto"/>
            <w:vAlign w:val="center"/>
          </w:tcPr>
          <w:p w14:paraId="222AE77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1.符合17式统型要求，符合XF6－2004《消防员灭火防护靴》标准。</w:t>
            </w:r>
          </w:p>
        </w:tc>
      </w:tr>
      <w:tr w14:paraId="4CE6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B1D27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C89BB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3DCABB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5F050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859937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2.特性：防滑、防电击、耐穿刺、阻燃、隔热、防砸。</w:t>
            </w:r>
          </w:p>
        </w:tc>
      </w:tr>
      <w:tr w14:paraId="4CD9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F4860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38427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9F40CD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8DE0F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E776A8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3.材质：橡胶，带铝合金包头。</w:t>
            </w:r>
          </w:p>
        </w:tc>
      </w:tr>
      <w:tr w14:paraId="3F19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1FE96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7A044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1FC6D9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CAFDB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A87408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4.性能：金属衬垫经腐蚀试验后，试样无腐蚀现象。鞋面经抗切割试验后，不应被割穿。战斗靴不应出现渗水现象。</w:t>
            </w:r>
          </w:p>
        </w:tc>
      </w:tr>
      <w:tr w14:paraId="3D7B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E5A37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04C43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D5EBF3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D6A8E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056414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5.防砸性能：静压力≥25mm，冲击≥25mm。</w:t>
            </w:r>
          </w:p>
        </w:tc>
      </w:tr>
      <w:tr w14:paraId="73645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36A5D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0FFC5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0C9CD6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5CC5D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07A72D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6.抗穿刺性能：≥1300N。</w:t>
            </w:r>
          </w:p>
        </w:tc>
      </w:tr>
      <w:tr w14:paraId="4CEA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5ABDD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111B3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A1C7B4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B881D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ED8299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7.击穿低电压＞5000V，泄露电流＜0.22mA。</w:t>
            </w:r>
          </w:p>
        </w:tc>
      </w:tr>
      <w:tr w14:paraId="6F1B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02F8E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F5A0C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BE20A7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67AA5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2F46DA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8.隔热性能≤7.4℃。抗辐射渗透性能≤11.5℃。</w:t>
            </w:r>
          </w:p>
        </w:tc>
      </w:tr>
      <w:tr w14:paraId="1541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ADF6C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1C785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883D87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8900C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73A374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9.防滑性能＞15°。</w:t>
            </w:r>
          </w:p>
        </w:tc>
      </w:tr>
      <w:tr w14:paraId="05D4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21CB1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DF1E3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FCFFCA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D7000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8EF967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10.质量≤2.84kg。</w:t>
            </w:r>
          </w:p>
        </w:tc>
      </w:tr>
      <w:tr w14:paraId="6148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2391E805">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18D394">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3500C9CB">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佩戴式防爆照明灯</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C1B93E0">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23</w:t>
            </w:r>
          </w:p>
        </w:tc>
        <w:tc>
          <w:tcPr>
            <w:tcW w:w="6138" w:type="dxa"/>
            <w:tcBorders>
              <w:top w:val="nil"/>
              <w:left w:val="single" w:color="000000" w:sz="8" w:space="0"/>
              <w:bottom w:val="nil"/>
              <w:right w:val="single" w:color="000000" w:sz="8" w:space="0"/>
            </w:tcBorders>
            <w:shd w:val="clear" w:color="auto" w:fill="auto"/>
            <w:vAlign w:val="center"/>
          </w:tcPr>
          <w:p w14:paraId="6AB6050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1.具有国家权威机构防爆认证，符合现行国家标准：GB/T 3836.1-2021、GB/T 3836.4-2021要求。</w:t>
            </w:r>
          </w:p>
        </w:tc>
      </w:tr>
      <w:tr w14:paraId="4276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30117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25520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ED4FD6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E3462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743351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2.防爆等级Ex ib ⅡC T4 Gb；Ex ib ⅢC T130℃Db</w:t>
            </w:r>
          </w:p>
        </w:tc>
      </w:tr>
      <w:tr w14:paraId="759E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83D0F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1873E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F285A1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5F3F1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B78CD7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3.抗跌落试验：从1m高度按X、Y、Z轴方向跌落1次，灯具应无机械损伤和紧固件松动现象，且能正常进行开、关和强、弱光切换。</w:t>
            </w:r>
          </w:p>
        </w:tc>
      </w:tr>
      <w:tr w14:paraId="55D5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54B69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98E83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406DB4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05C97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FBD12C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4.高低温测试：（-25±2 - 55±2）℃下灯具能正常进行开、关和强、弱光切换持续2小时。</w:t>
            </w:r>
          </w:p>
        </w:tc>
      </w:tr>
      <w:tr w14:paraId="5C76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F9CD6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3D7A9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B93BB6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125DD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9CC473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5.耐电压性能: 灯具应能耐受频率为50 Hz±0.5 Hz， 交流电压为500 V±50 V, 历时60 s±5 s的耐电压试验。试验过程中，灯具不应出现表面飞弧和击穿现象。试验结束后，灯具应能正常进行开、关和强、弱光切换。</w:t>
            </w:r>
          </w:p>
        </w:tc>
      </w:tr>
      <w:tr w14:paraId="5EA2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973D4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21F57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4E8F2A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0A123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C6CC05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6、高能锂离子电池，充放电性能优良，安全环保，自放电率低。</w:t>
            </w:r>
          </w:p>
        </w:tc>
      </w:tr>
      <w:tr w14:paraId="2F66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1F64E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37495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AC5276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72C79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1F3E03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7、灯具带有电量显示装置，可以实时显示灯具剩余电量及充电进行状态。当灯具电量不足（低于25%）时，最后一格电量指示灯会闪烁提醒，请及时充电。</w:t>
            </w:r>
          </w:p>
        </w:tc>
      </w:tr>
      <w:tr w14:paraId="6842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BEB09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282A5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5CF6FA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B410B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926065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8、尾部带有红色方位指示灯，可视距离大于100m，可以有效指示佩戴者相互方位。</w:t>
            </w:r>
          </w:p>
        </w:tc>
      </w:tr>
      <w:tr w14:paraId="6AAF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EC6A2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3A43B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CCFD4E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A682C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F76CB6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9、灯具加装具有倾斜感应报警功能，单片机以每秒60次的速度检测人的运动状态，当人体无脉搏跳动30秒，灯具尾部红色LED爆闪。</w:t>
            </w:r>
          </w:p>
        </w:tc>
      </w:tr>
      <w:tr w14:paraId="53EE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CA556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EA3CF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386771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5CF90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1D009B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10、电筒充电采用最新Type-c充电接口，用户使用不必担心插拔时带来的正/反问题，可使用所有USB输出端口进行充电，方便快捷。</w:t>
            </w:r>
          </w:p>
        </w:tc>
      </w:tr>
      <w:tr w14:paraId="04D1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CF81C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D3FA2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689E78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CD733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0BB3FE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技术参数：</w:t>
            </w:r>
          </w:p>
        </w:tc>
      </w:tr>
      <w:tr w14:paraId="4348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DB2F9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7890E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B0E81B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C7A28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95E198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额定电压：3.7 V</w:t>
            </w:r>
          </w:p>
        </w:tc>
      </w:tr>
      <w:tr w14:paraId="08271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E697E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67354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536CFE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AC706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18DC5F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额定容量：1900±100 mAH</w:t>
            </w:r>
          </w:p>
        </w:tc>
      </w:tr>
      <w:tr w14:paraId="26B6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3D45A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D7A02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957F1F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D2C19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553A53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光源类型：LED</w:t>
            </w:r>
          </w:p>
        </w:tc>
      </w:tr>
      <w:tr w14:paraId="1487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72ADC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61FBA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C6700C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04B21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3C1CC5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光源功率：3W</w:t>
            </w:r>
          </w:p>
        </w:tc>
      </w:tr>
      <w:tr w14:paraId="185D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E9B52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0F3A1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2AFB18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C959C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40523A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★外壳防护等级：IP66/68</w:t>
            </w:r>
          </w:p>
        </w:tc>
      </w:tr>
      <w:tr w14:paraId="2CD2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67989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C01E4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9EFEC2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2C4A6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038058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连续放电时间：强光≥4h工作光≥8h </w:t>
            </w:r>
            <w:r>
              <w:rPr>
                <w:rStyle w:val="71"/>
                <w:lang w:val="en-US" w:eastAsia="zh-CN" w:bidi="ar"/>
              </w:rPr>
              <w:t xml:space="preserve"> </w:t>
            </w:r>
          </w:p>
        </w:tc>
      </w:tr>
      <w:tr w14:paraId="4F66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28340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44DF4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55AC75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C64BA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6E3501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平均照度：平均值强光≥1200Lx </w:t>
            </w:r>
            <w:r>
              <w:rPr>
                <w:rStyle w:val="71"/>
                <w:lang w:val="en-US" w:eastAsia="zh-CN" w:bidi="ar"/>
              </w:rPr>
              <w:t xml:space="preserve">  平均值弱光≥570 Lx</w:t>
            </w:r>
          </w:p>
        </w:tc>
      </w:tr>
      <w:tr w14:paraId="131C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7FD30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F169E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8EE182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E0297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006916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充电时间：约5h</w:t>
            </w:r>
          </w:p>
        </w:tc>
      </w:tr>
      <w:tr w14:paraId="3CF1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79709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A45CA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9B6C4A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3F69F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0112F7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电池使用寿命：约1000次循环</w:t>
            </w:r>
          </w:p>
        </w:tc>
      </w:tr>
      <w:tr w14:paraId="71DD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065E8520">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614DB4">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2BA1C206">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应急逃生自救安全绳</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1DE66675">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17</w:t>
            </w:r>
          </w:p>
        </w:tc>
        <w:tc>
          <w:tcPr>
            <w:tcW w:w="6138" w:type="dxa"/>
            <w:tcBorders>
              <w:top w:val="nil"/>
              <w:left w:val="single" w:color="000000" w:sz="8" w:space="0"/>
              <w:bottom w:val="nil"/>
              <w:right w:val="single" w:color="000000" w:sz="8" w:space="0"/>
            </w:tcBorders>
            <w:shd w:val="clear" w:color="auto" w:fill="auto"/>
            <w:vAlign w:val="center"/>
          </w:tcPr>
          <w:p w14:paraId="09302D5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1.整套自救逃生系统由：安全绳1根、绳包1个、D型安全钩2个、下降器1个、扁带1个、排绳器1个；</w:t>
            </w:r>
          </w:p>
        </w:tc>
      </w:tr>
      <w:tr w14:paraId="180B0BD7">
        <w:tblPrEx>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1476B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4FF6A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A9381C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8EE77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071553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2.套装总质量：≤1.8kg；</w:t>
            </w:r>
          </w:p>
        </w:tc>
      </w:tr>
      <w:tr w14:paraId="0BB7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0F80E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F77FF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14F8E8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AA0E6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876E67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3.安全绳：直径≥7.9mm，最小破断强度≥28.4KN，绳索经204℃±5℃的耐高温性能后，不出现融熔、焦化现象。；</w:t>
            </w:r>
          </w:p>
        </w:tc>
      </w:tr>
      <w:tr w14:paraId="0DA7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F0FD9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63F04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056E7D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9D915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4B3E87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4.安全钩：符合XF494-2004《消防用防坠落装备》标准。在开口闭合状态时破断强度≥38.4KN，在开口打开状态时破断强度≥7KN，安全钩短轴的破断强度≥7KN；</w:t>
            </w:r>
          </w:p>
        </w:tc>
      </w:tr>
      <w:tr w14:paraId="6F93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3CDD7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F3D8E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14AD20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178A3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41521D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5.下降器：符合XF494-2004《消防用防坠落装备》标准。工作负荷≥5KN，极限负荷≥13.5KN。</w:t>
            </w:r>
          </w:p>
        </w:tc>
      </w:tr>
      <w:tr w14:paraId="2209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9D89E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766C4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C55AB3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9B0CA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B56D6D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6.扁带：采用耐高温材料，经250℃高温试验后，无融熔、焦化现象。工作长度≥0.5m，周长≥1.0m，横截面周长≥28.0mm。</w:t>
            </w:r>
          </w:p>
        </w:tc>
      </w:tr>
      <w:tr w14:paraId="71D2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60897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1E2B1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B1A6B6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F48EC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543776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7.绳包：外层采用耐高温材料，经250℃高温试验后，无融熔、焦化现象。绳包具备防止绳索缠绕、垂降墙角保护、防水和泄水功能，能合理放置安全钩、下降器，能携带于安全腰带上。</w:t>
            </w:r>
          </w:p>
        </w:tc>
      </w:tr>
      <w:tr w14:paraId="4696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F5B299">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BB6C98">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57ED5B4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消防员灭火防护头套</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C7B3292">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42</w:t>
            </w:r>
          </w:p>
        </w:tc>
        <w:tc>
          <w:tcPr>
            <w:tcW w:w="6138" w:type="dxa"/>
            <w:tcBorders>
              <w:top w:val="nil"/>
              <w:left w:val="single" w:color="000000" w:sz="8" w:space="0"/>
              <w:bottom w:val="nil"/>
              <w:right w:val="single" w:color="000000" w:sz="8" w:space="0"/>
            </w:tcBorders>
            <w:shd w:val="clear" w:color="auto" w:fill="auto"/>
            <w:vAlign w:val="center"/>
          </w:tcPr>
          <w:p w14:paraId="6B3DA0E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1.符合XF869-2010《消防员灭火防护头套》的标准。</w:t>
            </w:r>
          </w:p>
        </w:tc>
      </w:tr>
      <w:tr w14:paraId="79B9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9D5C7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A809F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7BB8A1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DF220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8C1AF9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2.材质：采用芳纶针织面料，头套应有弹性，贴合面部，佩带舒适，颜色：黑色。</w:t>
            </w:r>
          </w:p>
        </w:tc>
      </w:tr>
      <w:tr w14:paraId="4EEF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464DC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CAE04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212076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43F83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C54EB9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3.保护区域：头套前部、头套后部与防护服领口内重叠的长度＞200mm，头套侧部与防护服领口内重叠的长度＞130mm，面部开口边缘与呼吸防护装具面罩重叠长度＞10mm。</w:t>
            </w:r>
          </w:p>
        </w:tc>
      </w:tr>
      <w:tr w14:paraId="4D55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06D34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7022A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D6EC30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4AF25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8B2757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4.面料阻燃性能：经向续燃时间0s,损毁长度≤7mm；纬向阻燃性能续燃时间0s，损毁长度≤7mm，无熔融、滴落现象。</w:t>
            </w:r>
          </w:p>
        </w:tc>
      </w:tr>
      <w:tr w14:paraId="5F61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351FA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9CB4D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60DDA0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5D9D2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5AE4DD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5.面料热稳定性能：尺寸变化率≤2%，无变色、熔融和滴落现象。</w:t>
            </w:r>
          </w:p>
        </w:tc>
      </w:tr>
      <w:tr w14:paraId="6B24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DACBB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E2888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B130FE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13749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CB8A69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6.水洗尺寸变化率：直向≤1.8%，横向≤1.6%。</w:t>
            </w:r>
          </w:p>
        </w:tc>
      </w:tr>
      <w:tr w14:paraId="575C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9B768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B9D8E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172B6B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85516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D91509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7.单位质量面积：两层或两层以上213±10g/㎡。</w:t>
            </w:r>
          </w:p>
        </w:tc>
      </w:tr>
      <w:tr w14:paraId="7AFF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70604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79E2F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4CAAB7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28BF7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ED6C3C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8.抗起球性能不应低于3级。</w:t>
            </w:r>
          </w:p>
        </w:tc>
      </w:tr>
      <w:tr w14:paraId="2C16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475F5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EEAB0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87260A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D0EA9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260752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★9.整体性能：接缝强力≥330N，面部开口尺寸稳定性≤1％，缝制明暗线每3cm≥14针，重量≤120g。</w:t>
            </w:r>
          </w:p>
        </w:tc>
      </w:tr>
      <w:tr w14:paraId="0599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20BC983C">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D13B61">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1410D66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防静电内衣</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337ABC4D">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24</w:t>
            </w:r>
          </w:p>
        </w:tc>
        <w:tc>
          <w:tcPr>
            <w:tcW w:w="6138" w:type="dxa"/>
            <w:tcBorders>
              <w:top w:val="nil"/>
              <w:left w:val="single" w:color="000000" w:sz="8" w:space="0"/>
              <w:bottom w:val="nil"/>
              <w:right w:val="single" w:color="000000" w:sz="8" w:space="0"/>
            </w:tcBorders>
            <w:shd w:val="clear" w:color="auto" w:fill="auto"/>
            <w:vAlign w:val="center"/>
          </w:tcPr>
          <w:p w14:paraId="4CDCAA9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1.符合GB 12014-2009标准。</w:t>
            </w:r>
          </w:p>
        </w:tc>
      </w:tr>
      <w:tr w14:paraId="7B93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8507E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69548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F80A87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592FC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C3A093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2.服装带电电荷量0.2-0.6μC/件。</w:t>
            </w:r>
          </w:p>
        </w:tc>
      </w:tr>
      <w:tr w14:paraId="4FA2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83563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2D7D0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920F1E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49522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4EF5D3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3.由100%纯棉织物并经过防静电处理而成。</w:t>
            </w:r>
          </w:p>
        </w:tc>
      </w:tr>
      <w:tr w14:paraId="0347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56A4D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DB491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71C70A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C6C53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73F794A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透气、吸汗、防静电，可燃气体、粉尘、蒸汽等易燃易爆场所作业时身体内层防护。高强缝线缝制，关键部位均加固，不开缝不开线。手感柔软，穿着舒适，符合人体最佳设计。有良好的伸缩性，洗涤后不变形。</w:t>
            </w:r>
          </w:p>
        </w:tc>
      </w:tr>
      <w:tr w14:paraId="365B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BB45E29">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1FBD97">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18BBBBF2">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消防员抢险救援头盔</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68533C7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25</w:t>
            </w:r>
          </w:p>
        </w:tc>
        <w:tc>
          <w:tcPr>
            <w:tcW w:w="6138" w:type="dxa"/>
            <w:tcBorders>
              <w:top w:val="nil"/>
              <w:left w:val="single" w:color="000000" w:sz="8" w:space="0"/>
              <w:bottom w:val="nil"/>
              <w:right w:val="single" w:color="000000" w:sz="8" w:space="0"/>
            </w:tcBorders>
            <w:shd w:val="clear" w:color="auto" w:fill="auto"/>
            <w:vAlign w:val="center"/>
          </w:tcPr>
          <w:p w14:paraId="632F5C1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1.符合17式统型要求，符合XF633-2006标准。</w:t>
            </w:r>
          </w:p>
        </w:tc>
      </w:tr>
      <w:tr w14:paraId="0ACA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7F5F7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64866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9CF369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E100A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46A9C7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2.用途：用于在抢险救援活动中对头部、面部的安全防护，具有抗冲击、耐穿透、防腐蚀、绝缘、透气等性能。</w:t>
            </w:r>
          </w:p>
        </w:tc>
      </w:tr>
      <w:tr w14:paraId="3EDA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9B3F4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6F9E8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85D198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1A495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61AC4A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结构：盔壳采用PC合金阻燃材料制成，高抗冲击，具有优异的防紫外线功能，良好的通风性能。帽箍可在510mm-570mm范围内自由调节，配套同品牌护目镜，全封闭防雾护目镜镜片为超硬涂层。头盔提供头灯安装部位。头盔指定位置张贴单位标识。头盔为半盔式头盔。颜色为红色。</w:t>
            </w:r>
          </w:p>
        </w:tc>
      </w:tr>
      <w:tr w14:paraId="16B9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A3FA9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36BF3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2F7418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EBDD7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3E0479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4.冲击吸收性能：将头盔置于50℃的温度中保持4小时，头模所受冲击力≤3250N。将头盔置于-28℃的温度中4小时，头模所受冲击力≤3580N。将头盔置于水槽中室温保持4小时，头模所受冲击力≤3720N。</w:t>
            </w:r>
          </w:p>
        </w:tc>
      </w:tr>
      <w:tr w14:paraId="1865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0A9D5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57735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A55923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CB03E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27EFC6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5.耐穿透性能：浸水处理（将头盔置于20℃的温度中4小时），钢锥不应与头模建立电接触。</w:t>
            </w:r>
          </w:p>
        </w:tc>
      </w:tr>
      <w:tr w14:paraId="1249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F70F4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6F07F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2B76C9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24491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6DAC3D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6.阻燃性能：火源离开帽壳后，离火自熄时间前方0s、后方0s、左方≤0.2s、右方≤0.2s。</w:t>
            </w:r>
          </w:p>
        </w:tc>
      </w:tr>
      <w:tr w14:paraId="3EE0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D80A0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DE43C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692526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50A42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8DC7B6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7.热稳定性能：在108℃的烘箱中，保持5min后，头盔边缘无变形，硬质附件保持功能完好，反光材料表面无碳化、脱落现象。</w:t>
            </w:r>
          </w:p>
        </w:tc>
      </w:tr>
      <w:tr w14:paraId="7FA0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8C74A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A3318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76C318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E1378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19F7FE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8.电绝缘性能：泄露电流≤2.6mA。</w:t>
            </w:r>
          </w:p>
        </w:tc>
      </w:tr>
      <w:tr w14:paraId="50EF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32186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F832D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54C45E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59D92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183B44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9.侧向刚性：帽壳的最大变形值≤14mm，卸载后的变形值≤5mm。</w:t>
            </w:r>
          </w:p>
        </w:tc>
      </w:tr>
      <w:tr w14:paraId="5665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96935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5F2DB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109A3B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99E7E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DC51AA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10.下颚带抗拉强度：下颏带不发生断裂、滑脱现象，延伸长度≤11mm。</w:t>
            </w:r>
          </w:p>
        </w:tc>
      </w:tr>
      <w:tr w14:paraId="7AE9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5F086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D7372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CF1D6F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A87E7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EB5892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★11.质量：≤800g。</w:t>
            </w:r>
          </w:p>
        </w:tc>
      </w:tr>
      <w:tr w14:paraId="4A82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2475A798">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A648E0">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7C9C37E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消防员抢险救援手套</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59DFA0F">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w:t>
            </w:r>
          </w:p>
        </w:tc>
        <w:tc>
          <w:tcPr>
            <w:tcW w:w="6138" w:type="dxa"/>
            <w:tcBorders>
              <w:top w:val="nil"/>
              <w:left w:val="single" w:color="000000" w:sz="8" w:space="0"/>
              <w:bottom w:val="nil"/>
              <w:right w:val="single" w:color="000000" w:sz="8" w:space="0"/>
            </w:tcBorders>
            <w:shd w:val="clear" w:color="auto" w:fill="auto"/>
            <w:vAlign w:val="center"/>
          </w:tcPr>
          <w:p w14:paraId="1E866B8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1.符合17式统型要求，主要性能符合XF633-2006《消防员抢险救援防护服装》标准。</w:t>
            </w:r>
          </w:p>
        </w:tc>
      </w:tr>
      <w:tr w14:paraId="23EE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FD93B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2767F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D17FC1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B9DBE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F93408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款式：手套五指分离式设计，对腕部等提供防护，由防护层和舒适层等多层材料复合而成，可为连续或者拼接的单层和多层结构。应考虑人体工程学设计，和手掌贴合性好，佩戴舒服，易于穿脱。具有阻燃、防穿刺、防切割、摩擦系数大、透气性良好、手背防撞、耐用等特性，手套主体材质采用芳纶阻燃纤维制成，潘通色号与救援服一致，掌心及指部贴合耐磨防滑的纤维布。手腕部采用双收紧设计，可快速收紧、脱卸，手背采用防撞设计。</w:t>
            </w:r>
          </w:p>
        </w:tc>
      </w:tr>
      <w:tr w14:paraId="7D7D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ED1CE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7003D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AF18D2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5C316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F7883D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3.阻燃性能：损毁长度经向≤41mm、纬向≤40mm，续燃时间0s，且不应有熔融、滴落现象。</w:t>
            </w:r>
          </w:p>
        </w:tc>
      </w:tr>
      <w:tr w14:paraId="1E82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9C742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CF62C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AC3BEB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11A13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FBDE03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4.热稳定性能：整只抢险救援手套在（180±5）℃试验温度下保持5 min，手套表面与舒适层表面不应有明显变化，且不应有熔融、熔滴和剥离现象。舒适层尺寸变化率长方向≤1.2％，宽方向≤1.6％。</w:t>
            </w:r>
          </w:p>
        </w:tc>
      </w:tr>
      <w:tr w14:paraId="1CDF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2DB26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421CD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3B1247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FB3E4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72FFC7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5.耐磨性能：在9 kPa的压力下，经8000次循环摩擦后，不应被磨穿。</w:t>
            </w:r>
          </w:p>
        </w:tc>
      </w:tr>
      <w:tr w14:paraId="6908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C5B01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82CDB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2EF0C8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570DB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9D5AFA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6.耐撕破性能：经向≥1.8×10²N，纬向≥1.6×10²N。</w:t>
            </w:r>
          </w:p>
        </w:tc>
      </w:tr>
      <w:tr w14:paraId="5437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0078F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48409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A79693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CBAED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2CC60D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7.耐切割性能：≥13.9N。</w:t>
            </w:r>
          </w:p>
        </w:tc>
      </w:tr>
      <w:tr w14:paraId="2B66D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5EFB7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3F00E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137F77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C65DB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DE01B2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8.抗机械刺穿性能：≥136N。</w:t>
            </w:r>
          </w:p>
        </w:tc>
      </w:tr>
      <w:tr w14:paraId="1F5D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E8DB9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1481F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45A86F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C552D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0382A0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9.灵巧性能：抢险救援手套的徒手控制百分比≤110%。</w:t>
            </w:r>
          </w:p>
        </w:tc>
      </w:tr>
      <w:tr w14:paraId="1B85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7B9F2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3C6B7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515EF3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38E32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AEEFAE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10.抓握性能：戴手套与未戴手套的拉重力比≥103%。</w:t>
            </w:r>
          </w:p>
        </w:tc>
      </w:tr>
      <w:tr w14:paraId="555BF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C0221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56E04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DE7EEB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F692A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8CFBCC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11.穿戴性能：抢险救援手套的穿戴时间≤8s。</w:t>
            </w:r>
          </w:p>
        </w:tc>
      </w:tr>
      <w:tr w14:paraId="380B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7B6B0CCF">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BEA419">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3011C14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消防员抢险救援服</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23FE28D2">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55</w:t>
            </w:r>
          </w:p>
        </w:tc>
        <w:tc>
          <w:tcPr>
            <w:tcW w:w="6138" w:type="dxa"/>
            <w:tcBorders>
              <w:top w:val="nil"/>
              <w:left w:val="single" w:color="000000" w:sz="8" w:space="0"/>
              <w:bottom w:val="nil"/>
              <w:right w:val="single" w:color="000000" w:sz="8" w:space="0"/>
            </w:tcBorders>
            <w:shd w:val="clear" w:color="auto" w:fill="auto"/>
            <w:vAlign w:val="center"/>
          </w:tcPr>
          <w:p w14:paraId="2680C3A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1.符合XF633-2006《消防员抢险救援防护服装》标准。</w:t>
            </w:r>
          </w:p>
        </w:tc>
      </w:tr>
      <w:tr w14:paraId="2D7E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E4531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1AD2B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084132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F96B5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57433C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2.符合20 式消防员抢险救援防护服款式标识统型要求，主体颜色为橘红色，上衣肩背部设计拼接，面料为深火焰蓝色，上衣胸前设置贴袋，双线固定口袋布，袋盖为深火焰蓝色。</w:t>
            </w:r>
          </w:p>
        </w:tc>
      </w:tr>
      <w:tr w14:paraId="1738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17CFB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9D868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AA32D7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7B84A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67A2BC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3.配置：夏款抢险救援服包括上衣、裤子、行军帽和腰带。</w:t>
            </w:r>
          </w:p>
        </w:tc>
      </w:tr>
      <w:tr w14:paraId="0CBB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D7F2D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81D35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7EE6FF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E10BB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DE5A87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外层面料：色牢度，耐皂洗≥4级，耐水摩擦≥4级；热稳定性能，经180±5℃热稳定性能试验后，延经尺寸变化率≤1％，纬向尺寸变化率≤1％，且试样表面无明显变化；表面抗湿性能≥4级；单位面积质量199±2g/㎡；断裂强力，经向≥1300N，纬向≥1100N；撕破强力，径向≥2.2×10²，纬向≥1.7×10²；阻燃性能，续燃时间0s，损毁长度经向≤41mm，纬向≤41mm。</w:t>
            </w:r>
          </w:p>
        </w:tc>
      </w:tr>
      <w:tr w14:paraId="5CBC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27418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F6ABD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03EED1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37F60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524612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5.接缝断裂强力：≥830N。</w:t>
            </w:r>
          </w:p>
        </w:tc>
      </w:tr>
      <w:tr w14:paraId="662E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65CCF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6C729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7A7BEB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93B66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D53BD0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6.救援服针距密度：明暗线≥12针/3cm，包缝线≥12针/3cm。</w:t>
            </w:r>
          </w:p>
        </w:tc>
      </w:tr>
      <w:tr w14:paraId="4C9E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B1F2F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420BA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CE96A8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AF4AE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5A9EB2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7.救援服色差：4-5级。</w:t>
            </w:r>
          </w:p>
        </w:tc>
      </w:tr>
      <w:tr w14:paraId="3F79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132EE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209F3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081256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54BEA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CB5864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8.质量：≤1.1kg。</w:t>
            </w:r>
          </w:p>
        </w:tc>
      </w:tr>
      <w:tr w14:paraId="1DBF7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5E8A1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384C9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D0B66D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2FC56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FB70DE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9.防静电性能：整套救援服的带电量≤0.2μC。</w:t>
            </w:r>
          </w:p>
        </w:tc>
      </w:tr>
      <w:tr w14:paraId="71B3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E720F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0ED7D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C70966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29E40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F577EF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救援服反光标志带：逆反射系数≥570cd/（lx▪㎡）；热稳定性能，在温度为180℃条件下，经5min后，反光材料表面无碳化、脱落现象，逆反射系数≥550cd/（lx▪㎡）；耐洗涤性能，经25次洗涤后不出现破损、脱落、变色的现象；高低温性能，经高低温试验后无断裂、起皱、扭曲的现象；阻燃性能，续燃时间0s，且无熔融、滴落现象。</w:t>
            </w:r>
          </w:p>
        </w:tc>
      </w:tr>
      <w:tr w14:paraId="3631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536C8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650ED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FF66B9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1A66C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7F7CCB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11.硬质附件热稳定性能：经180℃高温5min后，能保持原有功能。</w:t>
            </w:r>
          </w:p>
        </w:tc>
      </w:tr>
      <w:tr w14:paraId="53C2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B8A63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5661E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D9497F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E08C0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CA3498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12.缝纫线热稳定性能：经180℃高温5min后，无熔融、烧焦的现象。</w:t>
            </w:r>
          </w:p>
        </w:tc>
      </w:tr>
      <w:tr w14:paraId="42C5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1F29C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F9DF8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B73046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70B79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C49EB1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13.魔术贴：外观平整，钩面排列整齐，钩形完好，毛面均匀，厚薄一致，无明显凹凸不平，无明显污渍，色泽统一均匀，无明显色差、色花。</w:t>
            </w:r>
          </w:p>
        </w:tc>
      </w:tr>
      <w:tr w14:paraId="4273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17855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1CEDE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BDAB10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85F71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77D7C7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14.右侧级别标识魔术贴搭扣按照用户需求加工制作。</w:t>
            </w:r>
          </w:p>
        </w:tc>
      </w:tr>
      <w:tr w14:paraId="05FD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B8A23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82AA4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D10582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4ADE9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5F4E2B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15.救援腰带：颜色、材料与救援服系统，双排针扣设计，气孔采用金属轧边；表面光滑，无毛刺和锋利的边缘，五金件还须经过防腐蚀处理；腰带应还具有一定硬度，佩戴舒适，插钎动作灵活，固定可靠。</w:t>
            </w:r>
          </w:p>
        </w:tc>
      </w:tr>
      <w:tr w14:paraId="1779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tcBorders>
              <w:top w:val="nil"/>
              <w:left w:val="single" w:color="000000" w:sz="8" w:space="0"/>
              <w:bottom w:val="single" w:color="000000" w:sz="8" w:space="0"/>
              <w:right w:val="single" w:color="000000" w:sz="8" w:space="0"/>
            </w:tcBorders>
            <w:shd w:val="clear" w:color="auto" w:fill="auto"/>
            <w:noWrap/>
            <w:vAlign w:val="center"/>
          </w:tcPr>
          <w:p w14:paraId="307E0404">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FEC878">
            <w:pPr>
              <w:jc w:val="center"/>
              <w:rPr>
                <w:rFonts w:hint="eastAsia" w:ascii="华文中宋" w:hAnsi="华文中宋" w:eastAsia="华文中宋" w:cs="华文中宋"/>
                <w:i w:val="0"/>
                <w:iCs w:val="0"/>
                <w:color w:val="000000"/>
                <w:sz w:val="21"/>
                <w:szCs w:val="21"/>
                <w:u w:val="none"/>
              </w:rPr>
            </w:pPr>
          </w:p>
        </w:tc>
        <w:tc>
          <w:tcPr>
            <w:tcW w:w="1386" w:type="dxa"/>
            <w:tcBorders>
              <w:top w:val="nil"/>
              <w:left w:val="single" w:color="000000" w:sz="8" w:space="0"/>
              <w:bottom w:val="single" w:color="000000" w:sz="8" w:space="0"/>
              <w:right w:val="single" w:color="000000" w:sz="8" w:space="0"/>
            </w:tcBorders>
            <w:shd w:val="clear" w:color="auto" w:fill="auto"/>
            <w:vAlign w:val="center"/>
          </w:tcPr>
          <w:p w14:paraId="6890605F">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护膝护肘</w:t>
            </w:r>
          </w:p>
        </w:tc>
        <w:tc>
          <w:tcPr>
            <w:tcW w:w="938" w:type="dxa"/>
            <w:tcBorders>
              <w:top w:val="nil"/>
              <w:left w:val="single" w:color="000000" w:sz="8" w:space="0"/>
              <w:bottom w:val="single" w:color="000000" w:sz="8" w:space="0"/>
              <w:right w:val="single" w:color="000000" w:sz="8" w:space="0"/>
            </w:tcBorders>
            <w:shd w:val="clear" w:color="auto" w:fill="auto"/>
            <w:noWrap/>
            <w:vAlign w:val="center"/>
          </w:tcPr>
          <w:p w14:paraId="22A40748">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35</w:t>
            </w: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129F664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护膝护肘是为抢险救援人员提供用于抢险救援作业时肘部和膝部防护的救援装备，多层结构，有效防止硬物刺伤、划破，外层应采用强度高、韧性好、耐磨的PVC、TPR（热塑性弹性材料）、TPU（热塑性聚氨酯弹性材料）等高分子材料，内层采用无毒、防水、抗冲击性好、轻便的缓冲材料，固定装置可调，包括护膝1对、护肘1对。</w:t>
            </w:r>
          </w:p>
        </w:tc>
      </w:tr>
      <w:tr w14:paraId="095E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A1766F2">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1EE8A3">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2C8FCF76">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消防员抢险救援靴</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790B02D1">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25</w:t>
            </w:r>
          </w:p>
        </w:tc>
        <w:tc>
          <w:tcPr>
            <w:tcW w:w="6138" w:type="dxa"/>
            <w:tcBorders>
              <w:top w:val="nil"/>
              <w:left w:val="single" w:color="000000" w:sz="8" w:space="0"/>
              <w:bottom w:val="nil"/>
              <w:right w:val="single" w:color="000000" w:sz="8" w:space="0"/>
            </w:tcBorders>
            <w:shd w:val="clear" w:color="auto" w:fill="auto"/>
            <w:vAlign w:val="center"/>
          </w:tcPr>
          <w:p w14:paraId="0CF783E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总体性能符合《消防员抢险救援防护靴试验大纲》。</w:t>
            </w:r>
          </w:p>
        </w:tc>
      </w:tr>
      <w:tr w14:paraId="71D4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FB194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FA0A7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13E42F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50C0C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E59941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高腰真皮和阻燃防水帆布组成；高腰系带结构，内怀设有快速穿脱功能拉链，拉链具有自动锁止功能；主体颜色为黑色，楦型为三型半，靴面主体材料为黑色防水阻燃头层黄牛鞋面革和防水阻燃帆布，靴底为橡胶聚氨酯双密度底；</w:t>
            </w:r>
          </w:p>
        </w:tc>
      </w:tr>
      <w:tr w14:paraId="5862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D736B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54AFC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FD5182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70BBE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A917F1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2、救援靴的防砸性能和抗刺穿性能应满足 GB21148-2007 的标准要求，防砸包头和抗刺穿垫必须适用非金属材料；</w:t>
            </w:r>
          </w:p>
        </w:tc>
      </w:tr>
      <w:tr w14:paraId="44D0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D86E1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E9872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66B8E8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AA27C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C5CFD7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3、主体为黑色；反光标志为荧光黄色，潘通色号为 PANTONE 809C，色差≥2 级,入射角5°观察角0.2°时初始逆反射系数≥100cd/(1x*㎡)；鞋带和“消防救援”标志为橘红色，潘通色号为 PANTONE 17-1456 TCX Tigerlily，色差≦3 级（按《纺织品色牢度试验 评定变色用灰色样卡》GB/T250-2008 标准评判）；</w:t>
            </w:r>
          </w:p>
        </w:tc>
      </w:tr>
      <w:tr w14:paraId="0C42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A413A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52AD6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FFD33E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1E8A9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6578AE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4、由外底、带舒适层的靴帮、带防刺穿层的内底和保护靴头等部分组成的系带式中筒靴；</w:t>
            </w:r>
          </w:p>
        </w:tc>
      </w:tr>
      <w:tr w14:paraId="09A3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EDE9E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7515F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749B55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229FC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12D855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5、靴内怀设有拉链；靴帮内脚踝处设有护踝片；后靴筒荧光黄色反光标志；</w:t>
            </w:r>
          </w:p>
        </w:tc>
      </w:tr>
      <w:tr w14:paraId="6883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500C8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8D96C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E3B1A8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972ED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C41B87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6、靴身内、外侧有高频和激光装饰图案；靴身上口第一个鞋眼处配有草席纹黄牛皮；靴身配有的橘红色鞋带，鞋带长1800 mm（260）；靴身鞋扣由4个六角型金属鞋扣、4个D型金属鞋扣及20个阻燃滑轮鞋扣组成（一双鞋）；靴身内怀配有两颗单向防水透气眼；靴舌上端配有用于隐藏多余鞋带的饰片袋；靴筒后部设带反光标志带的提手；</w:t>
            </w:r>
          </w:p>
        </w:tc>
      </w:tr>
      <w:tr w14:paraId="2798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ACF0F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76DF5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5CE9CB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08088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073CC4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7、靴底的抗刺穿力≥1500N；</w:t>
            </w:r>
          </w:p>
        </w:tc>
      </w:tr>
      <w:tr w14:paraId="1DD4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E4657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57043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9D0BBC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2F4CE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49E53B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8、靴帮抗剌穿材料的最大抗刺穿力≥150N；</w:t>
            </w:r>
          </w:p>
        </w:tc>
      </w:tr>
      <w:tr w14:paraId="63C7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49E89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1032E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F55BF2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73E71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07BC1A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9、靴头分别经10kN静压力试验和冲击锤质量为23kg，落下高度为300mm的冲击试验后，其间隙高度均≥15mm；</w:t>
            </w:r>
          </w:p>
        </w:tc>
      </w:tr>
      <w:tr w14:paraId="5689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1E141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71C26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92DAC2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4AFD5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60D6C7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10、电绝缘性能：击穿电压≥5000V，且泄漏电流≤1mA；</w:t>
            </w:r>
          </w:p>
        </w:tc>
      </w:tr>
      <w:tr w14:paraId="0A2C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BF756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C170D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B786BF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C6918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7A4221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11、阻燃性能：救援靴上各试验点在试验后其损毁长度≤100mm,离火自熄时间≤2s，且不产生熔融、熔滴或剥离等现象；</w:t>
            </w:r>
          </w:p>
        </w:tc>
      </w:tr>
      <w:tr w14:paraId="4197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CB1B8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21109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A485FA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B122D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3D45E0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12、热稳定性能：在温度为（180±5)℃条件下，经5min后，救援靴上任何部件不应产生熔滴，所有硬质附件应保持性能完好；</w:t>
            </w:r>
          </w:p>
        </w:tc>
      </w:tr>
      <w:tr w14:paraId="1B77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2681D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3C9A8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F52523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E77D8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DC29D3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13、隔热性能：在隔热性能试验中被加热30min时，救援靴底内表面的温升≤22℃；</w:t>
            </w:r>
          </w:p>
        </w:tc>
      </w:tr>
      <w:tr w14:paraId="1FDF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F42CF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98942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901CA3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FF0EA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62C7D50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14、质量：整双救援靴的质量≤2Kg。</w:t>
            </w:r>
          </w:p>
        </w:tc>
      </w:tr>
      <w:tr w14:paraId="2300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02DA7150">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FAECCB">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41055CA8">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骨传导通话装置</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159F1DB8">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18</w:t>
            </w:r>
          </w:p>
        </w:tc>
        <w:tc>
          <w:tcPr>
            <w:tcW w:w="6138" w:type="dxa"/>
            <w:tcBorders>
              <w:top w:val="nil"/>
              <w:left w:val="single" w:color="000000" w:sz="8" w:space="0"/>
              <w:bottom w:val="nil"/>
              <w:right w:val="single" w:color="000000" w:sz="8" w:space="0"/>
            </w:tcBorders>
            <w:shd w:val="clear" w:color="auto" w:fill="auto"/>
            <w:vAlign w:val="center"/>
          </w:tcPr>
          <w:p w14:paraId="215FE6D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1.骨传导通话装置由PTT套件及耳机组成，整机重量＜300g。</w:t>
            </w:r>
          </w:p>
        </w:tc>
      </w:tr>
      <w:tr w14:paraId="6951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381D8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E45C9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7FA985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FDF03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5E8F61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2.送话器信噪比：83.321±3dB。</w:t>
            </w:r>
          </w:p>
        </w:tc>
      </w:tr>
      <w:tr w14:paraId="5FEC6A5B">
        <w:tblPrEx>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62AE3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71D6B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E7E0B8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27B40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CE74B8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3.送受话频率响应：100～20000Hz。</w:t>
            </w:r>
          </w:p>
        </w:tc>
      </w:tr>
      <w:tr w14:paraId="5E39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CC5EB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7FB3B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8F315D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922B4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9E44A3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4.防护等级：IP67。</w:t>
            </w:r>
          </w:p>
        </w:tc>
      </w:tr>
      <w:tr w14:paraId="4115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40027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DF20F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83390B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0A0F9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05A696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5.防爆等级：Ex ia IIC T6 Ga</w:t>
            </w:r>
          </w:p>
        </w:tc>
      </w:tr>
      <w:tr w14:paraId="700C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4EEB9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2C599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57FDFD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768A2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0C5AB7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6.工作温度：-35—71℃</w:t>
            </w:r>
          </w:p>
        </w:tc>
      </w:tr>
      <w:tr w14:paraId="547E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832A2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0B7DC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189CC3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D179C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08AE79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7.骨传导麦克风阻抗：0.992KΩ，麦克风送话灵敏度：-20dB±5dB；扬声器灵敏度：107.647dB,扬声器输入阻抗：8.7Ω</w:t>
            </w:r>
          </w:p>
        </w:tc>
      </w:tr>
      <w:tr w14:paraId="095B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CB468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80964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9FEEE1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E4A3A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5CAC87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8.外壳阻燃：按照GB/T5169.5-2008标准测试，满足V-0级别要求。</w:t>
            </w:r>
          </w:p>
        </w:tc>
      </w:tr>
      <w:tr w14:paraId="51D9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818D2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F0B18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A7B902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890AE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B256C4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9.具备高噪声环境下的噪声抑制功能，在 95dB 噪声环境下可以抑制噪音可辨识通话，通话清晰可辩。</w:t>
            </w:r>
          </w:p>
        </w:tc>
      </w:tr>
      <w:tr w14:paraId="54E0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46C68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5EADD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E220CA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263DE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97E206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10.配备PTT套件可单手操作按键,佩戴灭火手套仍能灵活操作，适用于各种双手不能离开设备的任务。</w:t>
            </w:r>
          </w:p>
        </w:tc>
      </w:tr>
      <w:tr w14:paraId="3E38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FD868D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DB313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621F2D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C2570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0B85EEE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11.PTT 套件和耳机连接处的连接拉力应不小于 100N，经拉力试验后，连接端不应出现连接线松动、脱落现象。</w:t>
            </w:r>
          </w:p>
        </w:tc>
      </w:tr>
      <w:tr w14:paraId="57A2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0A0EAC">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14</w:t>
            </w:r>
          </w:p>
        </w:tc>
        <w:tc>
          <w:tcPr>
            <w:tcW w:w="1155" w:type="dxa"/>
            <w:vMerge w:val="restart"/>
            <w:tcBorders>
              <w:top w:val="nil"/>
              <w:left w:val="single" w:color="000000" w:sz="8" w:space="0"/>
              <w:bottom w:val="single" w:color="000000" w:sz="8" w:space="0"/>
              <w:right w:val="single" w:color="000000" w:sz="8" w:space="0"/>
            </w:tcBorders>
            <w:shd w:val="clear" w:color="auto" w:fill="auto"/>
            <w:noWrap/>
            <w:vAlign w:val="center"/>
          </w:tcPr>
          <w:p w14:paraId="7ACF4AC4">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特种防护</w:t>
            </w: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4B70CD40">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消防员隔热防护服</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62CEFD8E">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16</w:t>
            </w:r>
          </w:p>
        </w:tc>
        <w:tc>
          <w:tcPr>
            <w:tcW w:w="6138" w:type="dxa"/>
            <w:tcBorders>
              <w:top w:val="nil"/>
              <w:left w:val="single" w:color="000000" w:sz="8" w:space="0"/>
              <w:bottom w:val="nil"/>
              <w:right w:val="single" w:color="000000" w:sz="8" w:space="0"/>
            </w:tcBorders>
            <w:shd w:val="clear" w:color="auto" w:fill="auto"/>
            <w:vAlign w:val="center"/>
          </w:tcPr>
          <w:p w14:paraId="2433EC7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1.符合XF634-2015《消防隔热防护服》标准。</w:t>
            </w:r>
          </w:p>
        </w:tc>
      </w:tr>
      <w:tr w14:paraId="0AD7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FCDBE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63D6C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FA9C1B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C9B4A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736DA6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2.组成：包括隔热上衣、隔热裤、隔热头罩（带头盔）、隔热手套以及隔热脚套等。</w:t>
            </w:r>
          </w:p>
        </w:tc>
      </w:tr>
      <w:tr w14:paraId="0B3C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10AC2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BD51E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72B878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13452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822841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3.材质：由外层、隔热层、舒适层等多层织物复合而成，表面采用芳纶梭织布以特殊镀铝处理，衬里为天然纤维织物。</w:t>
            </w:r>
          </w:p>
        </w:tc>
      </w:tr>
      <w:tr w14:paraId="3C7C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ED66F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221A9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C63E61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2C817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F4AE85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4.各部位缝制应平整，不应有脱线、跳针以及破损等缺陷；各对称部位应基本一致；黏合衬不应有脱胶及表面渗胶。</w:t>
            </w:r>
          </w:p>
        </w:tc>
      </w:tr>
      <w:tr w14:paraId="7CF70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93998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56A87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9A8C21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EAFDC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5598AF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5.隔热头套的视窗应无明显擦伤或打毛痕迹。</w:t>
            </w:r>
          </w:p>
        </w:tc>
      </w:tr>
      <w:tr w14:paraId="614E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23D96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F75AB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68C74D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7FCE7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1C0896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6.抗辐射热渗透性能：内表面温升达到24℃的时间≥65s。</w:t>
            </w:r>
          </w:p>
        </w:tc>
      </w:tr>
      <w:tr w14:paraId="7BCD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8A454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E43C8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D683A9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9B35A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994BDA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7.面料外层性能：阻燃性能：续燃时间0s，经向、纬向损毁长度≤50mm，无熔融、滴落现象。热稳定性能：经260℃、5min热稳定试验后，尺寸变化率，经向≤2％，纬向≤2％，表面无变色、碳化、熔融和滴落现象。</w:t>
            </w:r>
          </w:p>
        </w:tc>
      </w:tr>
      <w:tr w14:paraId="6857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7D8E9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807E7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843E9B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80DC6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CCD891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8.面料隔热层性能：阻燃性能：续燃时间0s，损毁长度经向≤60mm，纬向≤60mm，无熔融、滴落现象。</w:t>
            </w:r>
          </w:p>
        </w:tc>
      </w:tr>
      <w:tr w14:paraId="6665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84414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BBDBF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E7BAC0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3DA02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768BF7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9.整体性能：火焰和热辐射防护性能：TPP≥31cal/cm2。</w:t>
            </w:r>
          </w:p>
        </w:tc>
      </w:tr>
      <w:tr w14:paraId="157E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E96F5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468C0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3520EC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46DC3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660826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10.整套隔热服的质量（包括隔热头套、隔热手套以及隔热脚套）≤4.0kg。</w:t>
            </w:r>
          </w:p>
        </w:tc>
      </w:tr>
      <w:tr w14:paraId="0A92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13ED074">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15</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8173AC">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2492C455">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二级化学防护服</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0E934D4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w:t>
            </w:r>
          </w:p>
        </w:tc>
        <w:tc>
          <w:tcPr>
            <w:tcW w:w="6138" w:type="dxa"/>
            <w:tcBorders>
              <w:top w:val="nil"/>
              <w:left w:val="single" w:color="000000" w:sz="8" w:space="0"/>
              <w:bottom w:val="nil"/>
              <w:right w:val="single" w:color="000000" w:sz="8" w:space="0"/>
            </w:tcBorders>
            <w:shd w:val="clear" w:color="auto" w:fill="auto"/>
            <w:vAlign w:val="center"/>
          </w:tcPr>
          <w:p w14:paraId="1897F20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符合XF770-2008标准。</w:t>
            </w:r>
          </w:p>
        </w:tc>
      </w:tr>
      <w:tr w14:paraId="1AAB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FCECB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ADEFE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0BAC6D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DDDC2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854B8E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二级化学防护服为消防员在处置挥发性固态、液态化学危险品事件中穿着的化学防护服装。主要用于危险作业的防护，在化学事故现场使用时可以与防毒面罩或正压式空气呼吸器配合使用。</w:t>
            </w:r>
          </w:p>
        </w:tc>
      </w:tr>
      <w:tr w14:paraId="64EA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DC394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0699F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2C5D8C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71E5E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284396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二级化学防护服为连体式结构，双层门襟。由化学防护头罩、化学防护服、化学防护靴、化学防护手套构成。</w:t>
            </w:r>
          </w:p>
        </w:tc>
      </w:tr>
      <w:tr w14:paraId="1ED4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1CD91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447BA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33CED1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35152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37FA28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服装表面平整，无破洞、磨损、脱层和气泡等现象，接缝处缝纫整齐，胶条结实、均匀，无开裂现象。</w:t>
            </w:r>
          </w:p>
        </w:tc>
      </w:tr>
      <w:tr w14:paraId="2813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1CEEB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4E7DD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5A2B14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D582D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4386E3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整体抗水渗漏性20min后无渗漏现象，抗化学品渗透时间≥60min，粘贴强度≥0.78KN/m，拉伸强度经向≥27KN/m，纬向≥23KN/m，撕裂经向≥81KN/m，纬向≥70KN/m。接缝强力≥1200N。</w:t>
            </w:r>
          </w:p>
        </w:tc>
      </w:tr>
      <w:tr w14:paraId="7E63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4AC1E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C3D9E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820197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8FE90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5B57FA7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防化靴靴底抗刺穿力≥1600N，击穿电压不小于5000V，且泄漏电流小于3mA。钢头钢底。</w:t>
            </w:r>
          </w:p>
        </w:tc>
      </w:tr>
      <w:tr w14:paraId="44A0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2FAA8BE7">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16</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E5FA56">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5FC6CC6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一级化学防护服</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3989A2A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0891782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符合XF770-2008标准。</w:t>
            </w:r>
          </w:p>
        </w:tc>
      </w:tr>
      <w:tr w14:paraId="3E8E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ABDF6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C7D7A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1132AD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8522C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030895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一级化学防护服为消防员在处置挥发性固态、液态化学危险品事件中穿着的化学防护服装。主要用于危险作业的防护，在化学事故现场使用时可以与防毒面罩或正压式空气呼吸器配合使用。</w:t>
            </w:r>
          </w:p>
        </w:tc>
      </w:tr>
      <w:tr w14:paraId="32AC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2ED64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357E0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BC42A4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68CBD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A8DECF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一级化学防护服为连体式结构，双层门襟。由化学防护头罩、化学防护服、化学防护靴、化学防护手套构成。</w:t>
            </w:r>
          </w:p>
        </w:tc>
      </w:tr>
      <w:tr w14:paraId="33AA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6A579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3696F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EAF837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8A748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BF6477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服装表面平整，无破洞、磨损、脱层和气泡等现象，接缝处缝纫整齐，胶条结实、均匀，无开裂现象。</w:t>
            </w:r>
          </w:p>
        </w:tc>
      </w:tr>
      <w:tr w14:paraId="2E75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B2A74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11234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E36DE1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54626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62AF25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整体抗水渗漏性20min后无渗漏现象，抗化学品渗透时间≥60min，拉伸强度经向≥26KN/m，纬向≥23KN/m，撕裂经向≥69KN/m，纬向≥68KN/m。接缝强力≥1176N。</w:t>
            </w:r>
          </w:p>
        </w:tc>
      </w:tr>
      <w:tr w14:paraId="5520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F16D3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7D25B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977C90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9FD51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454D0F9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防化靴靴底抗刺穿力≥1640N，击穿电压不小于5000V，且泄漏电流小于3mA。钢头钢底。</w:t>
            </w:r>
          </w:p>
        </w:tc>
      </w:tr>
      <w:tr w14:paraId="326C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CCB9604">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17</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4B0633">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07F3BF8A">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化学防护手套</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0F6335AA">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w:t>
            </w:r>
          </w:p>
        </w:tc>
        <w:tc>
          <w:tcPr>
            <w:tcW w:w="6138" w:type="dxa"/>
            <w:tcBorders>
              <w:top w:val="nil"/>
              <w:left w:val="single" w:color="000000" w:sz="8" w:space="0"/>
              <w:bottom w:val="nil"/>
              <w:right w:val="single" w:color="000000" w:sz="8" w:space="0"/>
            </w:tcBorders>
            <w:shd w:val="clear" w:color="auto" w:fill="auto"/>
            <w:vAlign w:val="center"/>
          </w:tcPr>
          <w:p w14:paraId="22CEF96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具有较好耐磨防割性能、适用于接触各种酸、碱、有机溶剂等化学品，对大多数化学品都具有较好的防护性能。</w:t>
            </w:r>
          </w:p>
        </w:tc>
      </w:tr>
      <w:tr w14:paraId="191E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4AF0B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7B35F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5DC6EF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3F434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6DAB12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单层、手套有棉衬里，表面有纹路，抓物性能出色；</w:t>
            </w:r>
          </w:p>
        </w:tc>
      </w:tr>
      <w:tr w14:paraId="4367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A37D9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FF0B7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20EE8E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5896A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C15284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对酸、碱类、油、广泛溶剂（芳香族化合物除外）的防护非常好，在 -17℃到149℃范围内保持性能一致。</w:t>
            </w:r>
          </w:p>
        </w:tc>
      </w:tr>
      <w:tr w14:paraId="36C9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37594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5951D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3EF256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C6688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526686D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长度≥33cm，质量：≤0.2Kg。</w:t>
            </w:r>
          </w:p>
        </w:tc>
      </w:tr>
      <w:tr w14:paraId="4200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70369E7">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18</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3B5BFA">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6AC8F051">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防高温手套</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D3A9526">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w:t>
            </w:r>
          </w:p>
        </w:tc>
        <w:tc>
          <w:tcPr>
            <w:tcW w:w="6138" w:type="dxa"/>
            <w:tcBorders>
              <w:top w:val="nil"/>
              <w:left w:val="single" w:color="000000" w:sz="8" w:space="0"/>
              <w:bottom w:val="nil"/>
              <w:right w:val="single" w:color="000000" w:sz="8" w:space="0"/>
            </w:tcBorders>
            <w:shd w:val="clear" w:color="auto" w:fill="auto"/>
            <w:vAlign w:val="center"/>
          </w:tcPr>
          <w:p w14:paraId="0DEC07C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1.强效耐高温芳纶防切割手套，80％芳纶纤维+10％特殊纤维+10％棉内衬，短时间可耐500℃。</w:t>
            </w:r>
          </w:p>
        </w:tc>
      </w:tr>
      <w:tr w14:paraId="138F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58F5E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FF3B9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3DC51D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1479E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0833C4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2.适用于金属冶炼、金属铸造、玻璃热加工、工业烤炉、工业电焊及其他高温作业环境。</w:t>
            </w:r>
          </w:p>
        </w:tc>
      </w:tr>
      <w:tr w14:paraId="4A19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9B033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F296F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289F2D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1B88B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2EA8864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3.长度：≥360mm。</w:t>
            </w:r>
          </w:p>
        </w:tc>
      </w:tr>
      <w:tr w14:paraId="204E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B81518">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19</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B83923">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379D2865">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消防员防蜂服</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679A5F7F">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w:t>
            </w:r>
          </w:p>
        </w:tc>
        <w:tc>
          <w:tcPr>
            <w:tcW w:w="6138" w:type="dxa"/>
            <w:tcBorders>
              <w:top w:val="nil"/>
              <w:left w:val="single" w:color="000000" w:sz="8" w:space="0"/>
              <w:bottom w:val="nil"/>
              <w:right w:val="single" w:color="000000" w:sz="8" w:space="0"/>
            </w:tcBorders>
            <w:shd w:val="clear" w:color="auto" w:fill="auto"/>
            <w:vAlign w:val="center"/>
          </w:tcPr>
          <w:p w14:paraId="341E3A6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1.满足XF 3008-2020《消防员防蜂服》标准。</w:t>
            </w:r>
          </w:p>
        </w:tc>
      </w:tr>
      <w:tr w14:paraId="47C74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36659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40BD7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FDDC89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66D57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C77F67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2.防蜂服由不锈钢网面罩、护目镜、手套、靴子、上衣和裤子连体结构式等组成，主体材料为白色高织高密涤纶涂覆织物。</w:t>
            </w:r>
          </w:p>
        </w:tc>
      </w:tr>
      <w:tr w14:paraId="59C9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0685D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57AC1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05585A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82577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695DCF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3.防蜂服采用连体式设计，密封性好；</w:t>
            </w:r>
          </w:p>
        </w:tc>
      </w:tr>
      <w:tr w14:paraId="5F29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E063A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D676C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CE6CFC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78181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498C88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4.头罩面网由成型不锈钢网制成，具有耐折、耐压、回弹性好、通透舒适等特点，能很好地保护穿着者的面部；</w:t>
            </w:r>
          </w:p>
        </w:tc>
      </w:tr>
      <w:tr w14:paraId="0C7E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76E7D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6762B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C7E403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476D7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F5C699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5.腋下及裆下错层透气孔设计，安全透气；</w:t>
            </w:r>
          </w:p>
        </w:tc>
      </w:tr>
      <w:tr w14:paraId="6291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58F02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B295F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E6A8BE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AE9A1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1CCFDE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6.手套采用防蜂刺面料，舒适灵巧，防蛰刺效果好；</w:t>
            </w:r>
          </w:p>
        </w:tc>
      </w:tr>
      <w:tr w14:paraId="5895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A0433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5525F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C623D3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6FEA6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37229D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7.运动式防蜂靴，轻便合脚舒适；</w:t>
            </w:r>
          </w:p>
        </w:tc>
      </w:tr>
      <w:tr w14:paraId="72CF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12ACC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83FE7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388C66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84382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E2285E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 后腰设有不少于一台可用开关调节的降温风扇（有防雨保护罩）</w:t>
            </w:r>
          </w:p>
        </w:tc>
      </w:tr>
      <w:tr w14:paraId="0406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92418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9C9E4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A70168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7C93D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noWrap/>
            <w:vAlign w:val="center"/>
          </w:tcPr>
          <w:p w14:paraId="6DC471A5">
            <w:pPr>
              <w:rPr>
                <w:rFonts w:hint="eastAsia" w:ascii="宋体" w:hAnsi="宋体" w:eastAsia="宋体" w:cs="宋体"/>
                <w:i w:val="0"/>
                <w:iCs w:val="0"/>
                <w:color w:val="000000"/>
                <w:sz w:val="24"/>
                <w:szCs w:val="24"/>
                <w:u w:val="none"/>
              </w:rPr>
            </w:pPr>
          </w:p>
        </w:tc>
      </w:tr>
      <w:tr w14:paraId="1002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159AC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E0905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8CBA37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23969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7A36A2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技术参数要求：</w:t>
            </w:r>
          </w:p>
        </w:tc>
      </w:tr>
      <w:tr w14:paraId="7ED7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140B8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901A6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4CF47B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F3502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5338B6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1、面料</w:t>
            </w:r>
          </w:p>
        </w:tc>
      </w:tr>
      <w:tr w14:paraId="2504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CD47D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1F5B6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FDC625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A375E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A0AA93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★1.1、抗蛰刺性能≥0.42N；</w:t>
            </w:r>
          </w:p>
        </w:tc>
      </w:tr>
      <w:tr w14:paraId="1E10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4B827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21498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67E585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8928B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46A29F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1.2、阻燃性能：经向：续燃时间0s、损坏长度≤70mm，纬向：续燃时间0s、损坏长度≤60mm；</w:t>
            </w:r>
          </w:p>
        </w:tc>
      </w:tr>
      <w:tr w14:paraId="77FD3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EED2E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798D0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E7B0B8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2AA1D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A3F3E6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1.3、断裂强力：经向≥1250N、纬向≥1300N；</w:t>
            </w:r>
          </w:p>
        </w:tc>
      </w:tr>
      <w:tr w14:paraId="4D54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4EB0B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A96CA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DF9844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5F47D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03865C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1.4、撕破强力：经向≥450N、纬向≥350N；</w:t>
            </w:r>
          </w:p>
        </w:tc>
      </w:tr>
      <w:tr w14:paraId="32DE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E0A0F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F214B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3A80B5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ED818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0BBC91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1.5、表面抗湿性能≥4级；</w:t>
            </w:r>
          </w:p>
        </w:tc>
      </w:tr>
      <w:tr w14:paraId="1205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80B4E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07D27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5CCFD4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69887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107E3A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1.6、拒油性能≥4级；</w:t>
            </w:r>
          </w:p>
        </w:tc>
      </w:tr>
      <w:tr w14:paraId="4CF7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53055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7C8F9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EEBDB5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40BB0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A07BAA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1.7、接缝断裂强力≥550N；</w:t>
            </w:r>
          </w:p>
        </w:tc>
      </w:tr>
      <w:tr w14:paraId="47B2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F5446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DFBCD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2FDA0E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00CB6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2AF005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1.8、耐磨性能：循环摩擦次数2000次，试样不应被磨穿；</w:t>
            </w:r>
          </w:p>
        </w:tc>
      </w:tr>
      <w:tr w14:paraId="7693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9B613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BDA4A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96F5DA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99980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10A4D7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1.9、甲醛含量：未检出；</w:t>
            </w:r>
          </w:p>
        </w:tc>
      </w:tr>
      <w:tr w14:paraId="2889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FCE8F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E30DA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E5A60A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0AE67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D8F6B1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5、手套抗蛰刺性能≥0.80N，耐切割性能：＞2N，撕破强力：掌心经向≥100N、纬向120N，灵巧性能≥5级；</w:t>
            </w:r>
          </w:p>
        </w:tc>
      </w:tr>
      <w:tr w14:paraId="090C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EA68E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35905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A5F248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65271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391730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6、靴帮抗穿刺性能：靴帮材料的最大抗穿刺力≥67N，防滑性能摩擦系数：后跟向前滑动≤0.3、水平向前滑动≤0.35，靴子经电绝缘性能测试，击穿电压≥5000V时, 泄漏电流：≤0.8mA；</w:t>
            </w:r>
          </w:p>
        </w:tc>
      </w:tr>
      <w:tr w14:paraId="49EA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8F625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4BE4D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83C956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6F779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1074FC3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7、整体质量≤4.2kg。</w:t>
            </w:r>
          </w:p>
        </w:tc>
      </w:tr>
      <w:tr w14:paraId="3B39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582CBE8E">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20</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774B4D">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398DFC84">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电绝缘装具</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30B0D7E">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w:t>
            </w:r>
          </w:p>
        </w:tc>
        <w:tc>
          <w:tcPr>
            <w:tcW w:w="6138" w:type="dxa"/>
            <w:tcBorders>
              <w:top w:val="nil"/>
              <w:left w:val="single" w:color="000000" w:sz="8" w:space="0"/>
              <w:bottom w:val="nil"/>
              <w:right w:val="single" w:color="000000" w:sz="8" w:space="0"/>
            </w:tcBorders>
            <w:shd w:val="clear" w:color="auto" w:fill="auto"/>
            <w:vAlign w:val="center"/>
          </w:tcPr>
          <w:p w14:paraId="295C9F5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1.用途：用于带电作业时的身体保护，具备阻燃、绝缘性能。</w:t>
            </w:r>
          </w:p>
        </w:tc>
      </w:tr>
      <w:tr w14:paraId="5C2B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D2B66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9D2DF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9F0D7D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2B674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07962D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2.配置：电绝缘服、电绝缘靴、电绝缘手套。</w:t>
            </w:r>
          </w:p>
        </w:tc>
      </w:tr>
      <w:tr w14:paraId="4A2E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4ABBF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6DE9E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4D6426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A3335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A5C02C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3.电绝缘服质量小于6KG,</w:t>
            </w:r>
          </w:p>
        </w:tc>
      </w:tr>
      <w:tr w14:paraId="1296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D201A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5C3F5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BAE8D9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8A40D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874F0C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4.电绝缘性能小于0.78ma</w:t>
            </w:r>
          </w:p>
        </w:tc>
      </w:tr>
      <w:tr w14:paraId="126E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BCF4E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17517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D7FAFC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0A735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084618F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5.拉伸强度经向大于16KN/M纬大于9KN/M,撕裂强力经向大于66N，纬大于,61N</w:t>
            </w:r>
          </w:p>
        </w:tc>
      </w:tr>
      <w:tr w14:paraId="4054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922C595">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21</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28EFA5">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4B43E53C">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防静电服</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7CC4FC7E">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w:t>
            </w:r>
          </w:p>
        </w:tc>
        <w:tc>
          <w:tcPr>
            <w:tcW w:w="6138" w:type="dxa"/>
            <w:tcBorders>
              <w:top w:val="nil"/>
              <w:left w:val="single" w:color="000000" w:sz="8" w:space="0"/>
              <w:bottom w:val="nil"/>
              <w:right w:val="single" w:color="000000" w:sz="8" w:space="0"/>
            </w:tcBorders>
            <w:shd w:val="clear" w:color="auto" w:fill="auto"/>
            <w:vAlign w:val="center"/>
          </w:tcPr>
          <w:p w14:paraId="6FAE42E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1.符合GB12014-2009标准。</w:t>
            </w:r>
          </w:p>
        </w:tc>
      </w:tr>
      <w:tr w14:paraId="16C3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E5A24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4863A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6FF396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CE9A1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703BD7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2.用于可燃气体、粉尘、蒸汽等易燃、易爆物场所作业时的全身外层防护。</w:t>
            </w:r>
          </w:p>
        </w:tc>
      </w:tr>
      <w:tr w14:paraId="19F0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88DBB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77D85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93B1A5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24EF9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45AD3A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3.由专用的防静电洁净面料制作。</w:t>
            </w:r>
          </w:p>
        </w:tc>
      </w:tr>
      <w:tr w14:paraId="7EAA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C0D74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3A9A9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B3B422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DE066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ABE7B3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4.具有高效、永久的防静电、防尘性能。</w:t>
            </w:r>
          </w:p>
        </w:tc>
      </w:tr>
      <w:tr w14:paraId="2E259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22B1E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D1C49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4C6DD1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42085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78C26EE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5.服装带电电荷量0.2-0.6μC/件。</w:t>
            </w:r>
          </w:p>
        </w:tc>
      </w:tr>
      <w:tr w14:paraId="1F06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6B0EE373">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22</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E0425F">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28B9B130">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消防阻燃毛衣</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7C020F3C">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35</w:t>
            </w:r>
          </w:p>
        </w:tc>
        <w:tc>
          <w:tcPr>
            <w:tcW w:w="6138" w:type="dxa"/>
            <w:tcBorders>
              <w:top w:val="nil"/>
              <w:left w:val="single" w:color="000000" w:sz="8" w:space="0"/>
              <w:bottom w:val="nil"/>
              <w:right w:val="single" w:color="000000" w:sz="8" w:space="0"/>
            </w:tcBorders>
            <w:shd w:val="clear" w:color="auto" w:fill="auto"/>
            <w:vAlign w:val="center"/>
          </w:tcPr>
          <w:p w14:paraId="6B74428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依据GB/T5454-1997《纺织品 燃烧性能试验 氧指数法》。本产品主体原料属环保难燃纤维，遇明火后产生炭化，不熔滴，不传播火焰，离开火源自熄，该产品具有永久阻燃功能，经反复水洗或空气中氧化，阻燃效能不减退，氧指数Ol(%)33.2。</w:t>
            </w:r>
          </w:p>
        </w:tc>
      </w:tr>
      <w:tr w14:paraId="4ACE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566C5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4F4E0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375CAB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B55C3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36EB974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质量：≤200g</w:t>
            </w:r>
          </w:p>
        </w:tc>
      </w:tr>
      <w:tr w14:paraId="3B1F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6362E611">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23</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A269F8">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3B1DE59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消防员降温背心</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E25F4ED">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18</w:t>
            </w:r>
          </w:p>
        </w:tc>
        <w:tc>
          <w:tcPr>
            <w:tcW w:w="6138" w:type="dxa"/>
            <w:tcBorders>
              <w:top w:val="nil"/>
              <w:left w:val="single" w:color="000000" w:sz="8" w:space="0"/>
              <w:bottom w:val="nil"/>
              <w:right w:val="single" w:color="000000" w:sz="8" w:space="0"/>
            </w:tcBorders>
            <w:shd w:val="clear" w:color="auto" w:fill="auto"/>
            <w:vAlign w:val="center"/>
          </w:tcPr>
          <w:p w14:paraId="41890B1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1.技术性能符合《消防员降温背心试验大纲》技术要求。</w:t>
            </w:r>
          </w:p>
        </w:tc>
      </w:tr>
      <w:tr w14:paraId="1C89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09CBC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10825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D8AA90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47FED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8726C5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2.通过欧盟ROHS检测，蓄冷剂属环境友好产品，无毒、无害</w:t>
            </w:r>
          </w:p>
        </w:tc>
      </w:tr>
      <w:tr w14:paraId="3514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03008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DBB8A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1C91C0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4B3B0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CD1C50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3.材质：纯棉阻燃B级，颜色：桔色，尺码：均码，长短、肥瘦随意调节</w:t>
            </w:r>
          </w:p>
        </w:tc>
      </w:tr>
      <w:tr w14:paraId="2B99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5E8A2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3AAE2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0F405F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9E13B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8D6DB5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4.配置：马甲×1、水凝胶蓄冷袋/隔冷袋/隔冷板×4、说明书×1</w:t>
            </w:r>
          </w:p>
        </w:tc>
      </w:tr>
      <w:tr w14:paraId="6D53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35A1E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9FBDF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251D76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57F66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F8B0C3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5.外层面料损毁长度经向≤67mm，续燃时间0s；纬向≤60mm，续燃时间0s；且无熔融、滴落现象</w:t>
            </w:r>
          </w:p>
        </w:tc>
      </w:tr>
      <w:tr w14:paraId="372F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10374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3CCB6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497D3B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B8CD7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F0DF32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6.外层面料断裂强力经向≥1314.6N，纬向≥537.7N</w:t>
            </w:r>
          </w:p>
        </w:tc>
      </w:tr>
      <w:tr w14:paraId="7702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C0FD9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35168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55449D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13032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9270AE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7.外层面料撕破强力经向≥56.0N，纬向≥28.9N</w:t>
            </w:r>
          </w:p>
        </w:tc>
      </w:tr>
      <w:tr w14:paraId="7CEA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29060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B965B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79CBD1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79877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055CAF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8.外层热稳定性能试验后，沿经、纬方向尺寸变化率≤1%，试样表面无明显变化</w:t>
            </w:r>
          </w:p>
        </w:tc>
      </w:tr>
      <w:tr w14:paraId="4C1B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C36CC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D254F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ABF867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97D8B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19DCC5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9.外层面料色牢度耐水摩擦≥4级</w:t>
            </w:r>
          </w:p>
        </w:tc>
      </w:tr>
      <w:tr w14:paraId="266B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18FD5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6D25A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212503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893A8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538D29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10.蓄冷剂无毒、无害，对皮肤无刺激</w:t>
            </w:r>
          </w:p>
        </w:tc>
      </w:tr>
      <w:tr w14:paraId="0455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5A79E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AE497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B35A88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71061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843B7A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11.蓄冷剂相变热≥324.91kj/kg</w:t>
            </w:r>
          </w:p>
        </w:tc>
      </w:tr>
      <w:tr w14:paraId="7838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7636A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D0BFD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30EBEB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352D4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CCCE2D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12.贴体接触温度15.6℃</w:t>
            </w:r>
          </w:p>
        </w:tc>
      </w:tr>
      <w:tr w14:paraId="4921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5E899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1863C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8D9096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DA8CD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41C800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13.总质量≤1.75 kg</w:t>
            </w:r>
          </w:p>
        </w:tc>
      </w:tr>
      <w:tr w14:paraId="2AC5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85189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E1C10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CC509D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5BB68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5470FA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14.保冷时间2-4小时。</w:t>
            </w:r>
          </w:p>
        </w:tc>
      </w:tr>
      <w:tr w14:paraId="1D5C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B96B4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5DB72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23A515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F6533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175550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15.降温背心缝制明暗线每3cm≥12针，包缝线每3cm≥9针。</w:t>
            </w:r>
          </w:p>
        </w:tc>
      </w:tr>
      <w:tr w14:paraId="541B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DF263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762BB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9FB47F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FCF8E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ADFAEF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16.贴体温度：18-20℃，特殊配备隔冷袋及隔冷板，绝无过冷之虞</w:t>
            </w:r>
          </w:p>
        </w:tc>
      </w:tr>
      <w:tr w14:paraId="58EE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D2595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12A54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C81A40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815E4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379597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17.使用方法：蓄冷袋置入冰箱冷冻5小时以上至完全冻结、冻实</w:t>
            </w:r>
          </w:p>
        </w:tc>
      </w:tr>
      <w:tr w14:paraId="0258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DC622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4EA69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40793B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6C788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5089010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28.质保：蓄冷剂有效期36个月</w:t>
            </w:r>
          </w:p>
        </w:tc>
      </w:tr>
      <w:tr w14:paraId="0EFD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AD378B">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24</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8DFEC8">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765ADBF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潜水装备</w:t>
            </w:r>
          </w:p>
        </w:tc>
        <w:tc>
          <w:tcPr>
            <w:tcW w:w="938" w:type="dxa"/>
            <w:vMerge w:val="restart"/>
            <w:tcBorders>
              <w:top w:val="nil"/>
              <w:left w:val="single" w:color="000000" w:sz="8" w:space="0"/>
              <w:bottom w:val="nil"/>
              <w:right w:val="single" w:color="000000" w:sz="8" w:space="0"/>
            </w:tcBorders>
            <w:shd w:val="clear" w:color="auto" w:fill="auto"/>
            <w:noWrap/>
            <w:vAlign w:val="center"/>
          </w:tcPr>
          <w:p w14:paraId="4138A092">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w:t>
            </w:r>
          </w:p>
        </w:tc>
        <w:tc>
          <w:tcPr>
            <w:tcW w:w="6138" w:type="dxa"/>
            <w:tcBorders>
              <w:top w:val="nil"/>
              <w:left w:val="single" w:color="000000" w:sz="8" w:space="0"/>
              <w:bottom w:val="nil"/>
              <w:right w:val="single" w:color="000000" w:sz="8" w:space="0"/>
            </w:tcBorders>
            <w:shd w:val="clear" w:color="auto" w:fill="auto"/>
            <w:vAlign w:val="center"/>
          </w:tcPr>
          <w:p w14:paraId="28AB05B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1、整体性能：潜水装具主要用于救援人员在水下进行救援作业。</w:t>
            </w:r>
          </w:p>
        </w:tc>
      </w:tr>
      <w:tr w14:paraId="6E51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33D44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2620A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31F69E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4A1A2F4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8BE315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结构：潜水装具由一级减压调节器、主用呼吸调剂器、备用用呼吸调剂器、面镜、脚蹼、潜水湿衣、潜水靴、潜水头套、潜水手套、潜水气瓶、浮力背心BCD、三联表、呼吸管、潜水环保铅块2KG*6、配重带、潜水刀、潜水手电，潜水包等。</w:t>
            </w:r>
          </w:p>
        </w:tc>
      </w:tr>
      <w:tr w14:paraId="5A9C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D0CD0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55269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CC5345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7B89FFD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A9CEDF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3、技术性能：</w:t>
            </w:r>
          </w:p>
        </w:tc>
      </w:tr>
      <w:tr w14:paraId="079F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B0D8B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B83C3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8EE10D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1B6E7B5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130D0D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3.1、 一级减压调节器：可用于污水或污染水域，中压接口1个，工作压力25MPA，供气量4500升/分钟。</w:t>
            </w:r>
          </w:p>
        </w:tc>
      </w:tr>
      <w:tr w14:paraId="44BA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21731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FC8F3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7FA824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4EAD4B6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DD0689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3.2、主用呼吸调剂器：顺流式设计、带有文丘里效应开关、可调节供气量旋钮。</w:t>
            </w:r>
          </w:p>
        </w:tc>
      </w:tr>
      <w:tr w14:paraId="08D3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7DFB9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3901D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E2EAB7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714FD22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4D6C81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3.3、备用用呼吸调剂器：顺流式设计、带有文丘里效应开关、可调节供气量旋钮。</w:t>
            </w:r>
          </w:p>
        </w:tc>
      </w:tr>
      <w:tr w14:paraId="6268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255A0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35B98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D7FA25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78D67C8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B77999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3.4 、面镜： 大角度全视野的单镜框，可防水防雾，提供最佳的视觉体验 ，采用高清抗压防刮花钢化镜片，加密精度，提供清晰度，透光率高，人脸贴合设计，紧密不透风，在水中可随意摆动，带活动调节锯齿镜带，可快速调节带扣，降低阻力，方便佩戴无框硅胶包边设计，符合人体工程学造型柔软的黑色硅胶裙边，黑色和透明可选，极低的空间容量，附带面镜盒是优质面镜的标配 </w:t>
            </w:r>
            <w:r>
              <w:rPr>
                <w:rStyle w:val="71"/>
                <w:lang w:val="en-US" w:eastAsia="zh-CN" w:bidi="ar"/>
              </w:rPr>
              <w:t xml:space="preserve">  </w:t>
            </w:r>
          </w:p>
        </w:tc>
      </w:tr>
      <w:tr w14:paraId="675C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DC7C2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9CE32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1CA639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0928D5D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B12EBA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3.5、脚蹼：脚蹼采用硬质橡胶材质、具有导流孔设计、使用不锈钢弹簧带进行固定。</w:t>
            </w:r>
          </w:p>
        </w:tc>
      </w:tr>
      <w:tr w14:paraId="24FC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06050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D96DF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70CA60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7A93B23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8242C2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3.6、潜水湿衣： 连体式湿式救援服设计，采用高弹性钛涂层氯丁橡胶面料，厚度 3 mm，可以在寒冷的温度中提供非常好的热反射性能。</w:t>
            </w:r>
          </w:p>
        </w:tc>
      </w:tr>
      <w:tr w14:paraId="5905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67F42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07C83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A3BFD4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1930704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220B7A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3.7、潜水靴：符合人体工学，加厚硬底防滑设计，减震鞋垫。</w:t>
            </w:r>
          </w:p>
        </w:tc>
      </w:tr>
      <w:tr w14:paraId="65C8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5A795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FD3EC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F12889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41DDE31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27A1D2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3.8、潜水头套：防寒锁水保暖头套，人体工学剪裁。</w:t>
            </w:r>
          </w:p>
        </w:tc>
      </w:tr>
      <w:tr w14:paraId="472F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8FF28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C791A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FD07A6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7E631DA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37432C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3.9、潜水手套：防滑保暖手套，防滑耐磨表层增加耐久度抓握性。</w:t>
            </w:r>
          </w:p>
        </w:tc>
      </w:tr>
      <w:tr w14:paraId="1A9B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AB277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496F6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4F452A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39D3A76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E21572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3.10、潜水气瓶：12L。</w:t>
            </w:r>
          </w:p>
        </w:tc>
      </w:tr>
      <w:tr w14:paraId="156B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44EB8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7DA8C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BF48B1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3F6A5EC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E4D678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3.11、浮力背心BCD：大浮力控制系统，可通过调节器中压管充气;耐磨损、耐褪色的1680D 尼龙面料;可调节的肩带和腰封;D形环的设计可挂辅助用具;两边设有较大口袋可用于收藏仪表和调节器，袋口配有魔术贴，更安全可靠;右侧口袋内侧有备用调节器口，左边口袋内侧有潜水仪表口，方便收纳和固定备用二级头;标识明显易于操作的充排气阀设置;根据人体工程学设计的特点，在右肩部和右下角设有两个快速泄气阀，更简便的提供了最大程度上的浮力控制；尺寸提供从2XS到2XL多种选择，适合所有体型人群 。</w:t>
            </w:r>
          </w:p>
        </w:tc>
      </w:tr>
      <w:tr w14:paraId="7039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9C727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F24DA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9F3EA7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6A675B9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7A2881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3.12、三联表：压力读数400巴，迷你深度表读数最大70米(230英尺)，配最大深度指示器。</w:t>
            </w:r>
          </w:p>
        </w:tc>
      </w:tr>
      <w:tr w14:paraId="2CDA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9BAEE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75FDF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B411C9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29BE35A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152324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3.13、半干式呼吸管，长度450mm。 </w:t>
            </w:r>
            <w:r>
              <w:rPr>
                <w:rStyle w:val="71"/>
                <w:lang w:val="en-US" w:eastAsia="zh-CN" w:bidi="ar"/>
              </w:rPr>
              <w:t xml:space="preserve"> </w:t>
            </w:r>
          </w:p>
        </w:tc>
      </w:tr>
      <w:tr w14:paraId="1CCE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35922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13722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E7BEE9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5FEA86F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4247A1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3.14、潜水环保铅块2KG*6：纯铅铸造，全方位包胶，光滑柔软，便于携带，不会因为摩擦潜水服而损坏潜水衣 。</w:t>
            </w:r>
          </w:p>
        </w:tc>
      </w:tr>
      <w:tr w14:paraId="31EC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E7181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E8C3F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918E1F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0B7F4DA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E9CF2C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3.15、配重带： 304不锈钢材质钢扣，军事级别耐腐蚀，在海水里经久耐用。</w:t>
            </w:r>
          </w:p>
        </w:tc>
      </w:tr>
      <w:tr w14:paraId="27C8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1F104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18E51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DAB5EC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66C7398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F41FC2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3.16、潜水刀：TPR防滑刀柄，防滑螺纹设计，完美贴合人体学设计，符合手掌及手指的把握习惯，使用更安全、舒适。</w:t>
            </w:r>
          </w:p>
        </w:tc>
      </w:tr>
      <w:tr w14:paraId="4647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4D8C6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5A8B8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465C02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nil"/>
              <w:right w:val="single" w:color="000000" w:sz="8" w:space="0"/>
            </w:tcBorders>
            <w:shd w:val="clear" w:color="auto" w:fill="auto"/>
            <w:noWrap/>
            <w:vAlign w:val="center"/>
          </w:tcPr>
          <w:p w14:paraId="10D9CA1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29BC93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3.17、潜水手电：单节锂电池18650-26000mAH ，防水等级IPX-8，水压测试深度120米，铝合金材质，LED灯泡，照明时间:8-10h。</w:t>
            </w:r>
          </w:p>
        </w:tc>
      </w:tr>
      <w:tr w14:paraId="6B59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182DA8D3">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25</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20B9CD">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nil"/>
            </w:tcBorders>
            <w:shd w:val="clear" w:color="auto" w:fill="auto"/>
            <w:vAlign w:val="center"/>
          </w:tcPr>
          <w:p w14:paraId="018284D8">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消防坐式半身安全吊带</w:t>
            </w:r>
          </w:p>
        </w:tc>
        <w:tc>
          <w:tcPr>
            <w:tcW w:w="938" w:type="dxa"/>
            <w:vMerge w:val="restart"/>
            <w:tcBorders>
              <w:top w:val="single" w:color="000000" w:sz="8" w:space="0"/>
              <w:left w:val="single" w:color="000000" w:sz="8" w:space="0"/>
              <w:bottom w:val="single" w:color="000000" w:sz="4" w:space="0"/>
              <w:right w:val="single" w:color="000000" w:sz="8" w:space="0"/>
            </w:tcBorders>
            <w:shd w:val="clear" w:color="auto" w:fill="auto"/>
            <w:noWrap/>
            <w:vAlign w:val="center"/>
          </w:tcPr>
          <w:p w14:paraId="5AE891FA">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w:t>
            </w:r>
          </w:p>
        </w:tc>
        <w:tc>
          <w:tcPr>
            <w:tcW w:w="6138" w:type="dxa"/>
            <w:tcBorders>
              <w:top w:val="nil"/>
              <w:left w:val="nil"/>
              <w:bottom w:val="nil"/>
              <w:right w:val="single" w:color="000000" w:sz="8" w:space="0"/>
            </w:tcBorders>
            <w:shd w:val="clear" w:color="auto" w:fill="auto"/>
            <w:vAlign w:val="center"/>
          </w:tcPr>
          <w:p w14:paraId="2CA0CD9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1、功能全面且舒适的安全带，耐用的结构，适合救援、训练使用。</w:t>
            </w:r>
          </w:p>
        </w:tc>
      </w:tr>
      <w:tr w14:paraId="7020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B9E36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B5A48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nil"/>
            </w:tcBorders>
            <w:shd w:val="clear" w:color="auto" w:fill="auto"/>
            <w:vAlign w:val="center"/>
          </w:tcPr>
          <w:p w14:paraId="07DB334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single" w:color="000000" w:sz="8" w:space="0"/>
              <w:left w:val="single" w:color="000000" w:sz="8" w:space="0"/>
              <w:bottom w:val="single" w:color="000000" w:sz="4" w:space="0"/>
              <w:right w:val="single" w:color="000000" w:sz="8" w:space="0"/>
            </w:tcBorders>
            <w:shd w:val="clear" w:color="auto" w:fill="auto"/>
            <w:noWrap/>
            <w:vAlign w:val="center"/>
          </w:tcPr>
          <w:p w14:paraId="6F4CECD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nil"/>
              <w:bottom w:val="nil"/>
              <w:right w:val="single" w:color="000000" w:sz="8" w:space="0"/>
            </w:tcBorders>
            <w:shd w:val="clear" w:color="auto" w:fill="auto"/>
            <w:vAlign w:val="center"/>
          </w:tcPr>
          <w:p w14:paraId="1C2B2BC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结构：腰带配有两个反穿扣，可轻松调节安全带并使其居中，使装备环处于最佳位置。可调节腿环方便安全带调整，适合不同的身体类型，便于携带和整理装备。安全带两侧各有一个偏硬的装备环，后部中央的附件环可用于携带冰锥。附件环两侧各有一个柔软的大容量装备环，用于携带所有必要的设备，且不会妨碍背包。</w:t>
            </w:r>
          </w:p>
        </w:tc>
      </w:tr>
      <w:tr w14:paraId="6BA2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1CC0E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86BB5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nil"/>
            </w:tcBorders>
            <w:shd w:val="clear" w:color="auto" w:fill="auto"/>
            <w:vAlign w:val="center"/>
          </w:tcPr>
          <w:p w14:paraId="0936948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single" w:color="000000" w:sz="8" w:space="0"/>
              <w:left w:val="single" w:color="000000" w:sz="8" w:space="0"/>
              <w:bottom w:val="single" w:color="000000" w:sz="4" w:space="0"/>
              <w:right w:val="single" w:color="000000" w:sz="8" w:space="0"/>
            </w:tcBorders>
            <w:shd w:val="clear" w:color="auto" w:fill="auto"/>
            <w:noWrap/>
            <w:vAlign w:val="center"/>
          </w:tcPr>
          <w:p w14:paraId="5A9E672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nil"/>
              <w:bottom w:val="nil"/>
              <w:right w:val="single" w:color="000000" w:sz="8" w:space="0"/>
            </w:tcBorders>
            <w:shd w:val="clear" w:color="auto" w:fill="auto"/>
            <w:vAlign w:val="center"/>
          </w:tcPr>
          <w:p w14:paraId="1FB3EE0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3、框架式设计使得重量均匀分布在腰带和腿环之间，所有受力点都衬有柔软的织物。</w:t>
            </w:r>
          </w:p>
        </w:tc>
      </w:tr>
      <w:tr w14:paraId="2F56B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14045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6247D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nil"/>
            </w:tcBorders>
            <w:shd w:val="clear" w:color="auto" w:fill="auto"/>
            <w:vAlign w:val="center"/>
          </w:tcPr>
          <w:p w14:paraId="35B4FA6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single" w:color="000000" w:sz="8" w:space="0"/>
              <w:left w:val="single" w:color="000000" w:sz="8" w:space="0"/>
              <w:bottom w:val="single" w:color="000000" w:sz="4" w:space="0"/>
              <w:right w:val="single" w:color="000000" w:sz="8" w:space="0"/>
            </w:tcBorders>
            <w:shd w:val="clear" w:color="auto" w:fill="auto"/>
            <w:noWrap/>
            <w:vAlign w:val="center"/>
          </w:tcPr>
          <w:p w14:paraId="29A065A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nil"/>
              <w:bottom w:val="nil"/>
              <w:right w:val="single" w:color="000000" w:sz="8" w:space="0"/>
            </w:tcBorders>
            <w:shd w:val="clear" w:color="auto" w:fill="auto"/>
            <w:vAlign w:val="center"/>
          </w:tcPr>
          <w:p w14:paraId="1EE251E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4、采用高强度聚酯纤维网，闭孔泡沫，聚酯织带等材料制作。</w:t>
            </w:r>
          </w:p>
        </w:tc>
      </w:tr>
      <w:tr w14:paraId="3D3D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BC1DA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A1641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nil"/>
            </w:tcBorders>
            <w:shd w:val="clear" w:color="auto" w:fill="auto"/>
            <w:vAlign w:val="center"/>
          </w:tcPr>
          <w:p w14:paraId="2B1F834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single" w:color="000000" w:sz="8" w:space="0"/>
              <w:left w:val="single" w:color="000000" w:sz="8" w:space="0"/>
              <w:bottom w:val="single" w:color="000000" w:sz="4" w:space="0"/>
              <w:right w:val="single" w:color="000000" w:sz="8" w:space="0"/>
            </w:tcBorders>
            <w:shd w:val="clear" w:color="auto" w:fill="auto"/>
            <w:noWrap/>
            <w:vAlign w:val="center"/>
          </w:tcPr>
          <w:p w14:paraId="5450FD2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nil"/>
              <w:bottom w:val="nil"/>
              <w:right w:val="single" w:color="000000" w:sz="8" w:space="0"/>
            </w:tcBorders>
            <w:shd w:val="clear" w:color="auto" w:fill="auto"/>
            <w:vAlign w:val="center"/>
          </w:tcPr>
          <w:p w14:paraId="65EA0F8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5、腿环、腰带尺寸调节范围大，可适合各种体型。</w:t>
            </w:r>
          </w:p>
        </w:tc>
      </w:tr>
      <w:tr w14:paraId="6BBD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C3C09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564E6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nil"/>
            </w:tcBorders>
            <w:shd w:val="clear" w:color="auto" w:fill="auto"/>
            <w:vAlign w:val="center"/>
          </w:tcPr>
          <w:p w14:paraId="4D7C413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single" w:color="000000" w:sz="8" w:space="0"/>
              <w:left w:val="single" w:color="000000" w:sz="8" w:space="0"/>
              <w:bottom w:val="single" w:color="000000" w:sz="4" w:space="0"/>
              <w:right w:val="single" w:color="000000" w:sz="8" w:space="0"/>
            </w:tcBorders>
            <w:shd w:val="clear" w:color="auto" w:fill="auto"/>
            <w:noWrap/>
            <w:vAlign w:val="center"/>
          </w:tcPr>
          <w:p w14:paraId="6513FF1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nil"/>
              <w:bottom w:val="single" w:color="000000" w:sz="8" w:space="0"/>
              <w:right w:val="single" w:color="000000" w:sz="8" w:space="0"/>
            </w:tcBorders>
            <w:shd w:val="clear" w:color="auto" w:fill="auto"/>
            <w:vAlign w:val="center"/>
          </w:tcPr>
          <w:p w14:paraId="2289528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6、重量≤530克。</w:t>
            </w:r>
          </w:p>
        </w:tc>
      </w:tr>
      <w:tr w14:paraId="2A8F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07741443">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26</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D814FB">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166449C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消防通用安全绳</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4CC57979">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w:t>
            </w:r>
          </w:p>
        </w:tc>
        <w:tc>
          <w:tcPr>
            <w:tcW w:w="6138" w:type="dxa"/>
            <w:tcBorders>
              <w:top w:val="nil"/>
              <w:left w:val="single" w:color="000000" w:sz="8" w:space="0"/>
              <w:bottom w:val="nil"/>
              <w:right w:val="single" w:color="000000" w:sz="8" w:space="0"/>
            </w:tcBorders>
            <w:shd w:val="clear" w:color="auto" w:fill="auto"/>
            <w:vAlign w:val="center"/>
          </w:tcPr>
          <w:p w14:paraId="0213F97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1.符合XF494-2023《消防用防坠落装备》标准，安全绳为连续、夹心绳结构，主承重部分由连续纤维制成，每根安全绳的两端应妥善收尾。</w:t>
            </w:r>
          </w:p>
        </w:tc>
      </w:tr>
      <w:tr w14:paraId="5A51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52BFC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ACE06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1F89B8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9DAA3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0BADBB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★2.通用型安全绳的最小破断强≥40kN；</w:t>
            </w:r>
          </w:p>
        </w:tc>
      </w:tr>
      <w:tr w14:paraId="2B7F4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59C5B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859AC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71713F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AFB19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8B7483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3.当承重达到最小破断强度的10%时，1%≤安全绳延伸率≤10%；</w:t>
            </w:r>
          </w:p>
        </w:tc>
      </w:tr>
      <w:tr w14:paraId="2E07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67482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B8ADE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64C447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55A1F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7346DA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4.经204℃±5℃的耐高温性能时，安全绳不会出现融熔、焦化现象；</w:t>
            </w:r>
          </w:p>
        </w:tc>
      </w:tr>
      <w:tr w14:paraId="2DF4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881B9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0BBBE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B2581C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070D2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4375BA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★5.安全绳直径≥12.5mm（允许误差±0.5mm）；</w:t>
            </w:r>
          </w:p>
        </w:tc>
      </w:tr>
      <w:tr w14:paraId="5BB0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5F7D9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275C6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82ECC8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222E8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2930C8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6.长度≥50m；</w:t>
            </w:r>
          </w:p>
        </w:tc>
      </w:tr>
      <w:tr w14:paraId="503C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F3373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5E0EE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832262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C753B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76678B5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7.安全绳的长度在总长度不变前提下可根据用户的要求裁制。</w:t>
            </w:r>
          </w:p>
        </w:tc>
      </w:tr>
      <w:tr w14:paraId="3309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61CCDB3B">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27</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DD599A">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794EDC20">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消防防坠落辅助部件</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1EBB4F2C">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w:t>
            </w:r>
          </w:p>
        </w:tc>
        <w:tc>
          <w:tcPr>
            <w:tcW w:w="6138" w:type="dxa"/>
            <w:tcBorders>
              <w:top w:val="nil"/>
              <w:left w:val="single" w:color="000000" w:sz="8" w:space="0"/>
              <w:bottom w:val="nil"/>
              <w:right w:val="single" w:color="000000" w:sz="8" w:space="0"/>
            </w:tcBorders>
            <w:shd w:val="clear" w:color="auto" w:fill="auto"/>
            <w:vAlign w:val="center"/>
          </w:tcPr>
          <w:p w14:paraId="3A1500E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与安全绳和安全吊带、安全腰带配套使用的承载部件。符合《消防用防坠落装备》标准，包含铝制D型钩4个，8字环2个，固定点调节带2条，辅绳1.8m×4根，救援手套2副，单滑轮1个，双滑轮1个，救助吊带1个，钢制D型钩2个，手式上升器1副，分锚器1个，胸式上升器1个，脚上升器1副，绳包1个，高级手控下降器1个，防坠落保护装置1个；</w:t>
            </w:r>
          </w:p>
        </w:tc>
      </w:tr>
      <w:tr w14:paraId="013C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D6CA8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ED01E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584EF1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D988F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1F9137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2.铝制D型钩：符合《消防用防坠落装备》标准，金属部件和金属零件应无棱角、毛刺,不得有裂纹、明显压痕和划伤等缺陷,其边缘应呈弧形；</w:t>
            </w:r>
          </w:p>
        </w:tc>
      </w:tr>
      <w:tr w14:paraId="4086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6078F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BB608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F9BD36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982F4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197189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2.1材质：铝合金；主轴抗拉力：≥27KN；副轴抗拉力：≥8KN；开口抗拉力：≥7.5KN；</w:t>
            </w:r>
          </w:p>
        </w:tc>
      </w:tr>
      <w:tr w14:paraId="2380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35DFD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4A5F3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5608DA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4AAB0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7C9D16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2.2规格：≥117*72mm；开口径：≥22mm；重量：≤90g ；</w:t>
            </w:r>
          </w:p>
        </w:tc>
      </w:tr>
      <w:tr w14:paraId="023EC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137D8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E73D5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FD1CF2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FA7D7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D7A788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3.配8字环：符合《消防用防坠落装备》标准，金属部件和金属零件应无棱角、毛刺,不得有裂纹、明显压痕和划伤等缺陷,其边缘应呈弧形；</w:t>
            </w:r>
          </w:p>
        </w:tc>
      </w:tr>
      <w:tr w14:paraId="1DCA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7FA4A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96D94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E78A6C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1F660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3DB86D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3.1材质：铝合金；尺寸：长≥130mm、宽≥70mm；单绳10.2-13mm </w:t>
            </w:r>
            <w:r>
              <w:rPr>
                <w:rStyle w:val="71"/>
                <w:lang w:val="en-US" w:eastAsia="zh-CN" w:bidi="ar"/>
              </w:rPr>
              <w:t xml:space="preserve"> 双绳9.7-10.5mm；极限负荷（破断负荷）：≥22KN；</w:t>
            </w:r>
          </w:p>
        </w:tc>
      </w:tr>
      <w:tr w14:paraId="38DF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35E83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44074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D76E31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1C92F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75C507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4.固定点调节带：采用高强尼龙织带，连接安全固定物体，快速建立安全确保站，可调校；</w:t>
            </w:r>
          </w:p>
        </w:tc>
      </w:tr>
      <w:tr w14:paraId="6FC7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9C088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F14AF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7F50B2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BE57C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9EB6DA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4.1可调节尺寸：80-130cm ；重量：≤340g；破断负荷：≥22kN。</w:t>
            </w:r>
          </w:p>
        </w:tc>
      </w:tr>
      <w:tr w14:paraId="4D4C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F78C8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D3680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6B3BD1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46448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7DB292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5.1.8米辅绳：安全绳表面无任何机械损伤现象，整绳粗细均匀、结构一致。</w:t>
            </w:r>
          </w:p>
        </w:tc>
      </w:tr>
      <w:tr w14:paraId="5409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A156B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1BC72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D5E711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7CC69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D1D504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5.1直径：6±0.5mm；破断强度：≥8KN；长度：1.8±0.05m；</w:t>
            </w:r>
          </w:p>
        </w:tc>
      </w:tr>
      <w:tr w14:paraId="6E32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08534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5A557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97749F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CF6C1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CE16E1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6.救援手套：绳索专用战术手套，面料：羊皮，柔软舒适、有弹性，手套腕部设有魔术贴及搭扣，可以自行调整松紧；</w:t>
            </w:r>
          </w:p>
        </w:tc>
      </w:tr>
      <w:tr w14:paraId="7451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0BA31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4DD56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0D8CF5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498CD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A7AAF4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7.单滑轮：符合《消防用防坠落装备》标准，可用于架设横渡系统或倍力系统，活动侧板方便在绳索上任意安装或拆卸。</w:t>
            </w:r>
          </w:p>
        </w:tc>
      </w:tr>
      <w:tr w14:paraId="0774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5EA86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F80CC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92D000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33D12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ED139F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7.1材质：铝合金；滑轮直径：≥45mm；适用绳径：8≤Ø≤13mm；重量：≤250g；破断负荷：≥36KN；</w:t>
            </w:r>
          </w:p>
        </w:tc>
      </w:tr>
      <w:tr w14:paraId="435A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91AE8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03FD5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BC8AAF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647D9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FDDD69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双滑轮：符合《消防用防坠落装备》标准，同轴双滑轮，可用于架设横渡系统或倍力系统，活动侧板方便在绳索上任意安装或拆卸。中心平衡片的连接环和同轴安装的双滑轮可以轻松的组成各种形式的提升及救援系统；</w:t>
            </w:r>
          </w:p>
        </w:tc>
      </w:tr>
      <w:tr w14:paraId="066C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85078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9DCC4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702D12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4CFC7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FA6F26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8.1材质：铝合金；滑轮直径：≥45mm；适用绳径：8-13mm；重量：≤440g；破断负荷：≥36KN；</w:t>
            </w:r>
          </w:p>
        </w:tc>
      </w:tr>
      <w:tr w14:paraId="7135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B42A3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8D3DD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7BCFD7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CEB78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A2F938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9.钢制D型安全钩：符合《消防用防坠落装备》标准，金属部件和金属零件应无棱角、毛刺,不得有裂纹、明显压痕和划伤等缺陷,其边缘应呈弧形；</w:t>
            </w:r>
          </w:p>
        </w:tc>
      </w:tr>
      <w:tr w14:paraId="1953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B102B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7A72D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DEBE4B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C8761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F67526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9.1材质：钢制；开口距离25±1mm；开口闭合状态长轴抗拉力≥42KN；开口打开状态长轴抗拉力≥11KN；短轴抗拉力≥11KN；</w:t>
            </w:r>
          </w:p>
        </w:tc>
      </w:tr>
      <w:tr w14:paraId="1EF7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C5CA0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BCD93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245CC9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9CB91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5463F8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10.手式上升器：符合《消防用防坠落装备》标准，金属部件和金属零件应无棱角、毛刺,不得有裂纹、明显压痕和划伤等缺陷,其边缘应呈弧形；</w:t>
            </w:r>
          </w:p>
        </w:tc>
      </w:tr>
      <w:tr w14:paraId="2A1C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F2DE8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EF577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679EAB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7E7B8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E40024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10.1柄身材质：铝合金；棘齿材质：不低于304不锈钢；适用绳索直径：8-13mm；</w:t>
            </w:r>
          </w:p>
        </w:tc>
      </w:tr>
      <w:tr w14:paraId="2533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45069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B9EE5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C5EEC9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12CE5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44179C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11.分锚器：配合滑轮组用于架设倍力系统；</w:t>
            </w:r>
          </w:p>
        </w:tc>
      </w:tr>
      <w:tr w14:paraId="5244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848A8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F19B3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E427FE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FB2E6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F33EE9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11.1材质：铝合金；重量：≤185g；承载负荷：≥45KN；小孔直径：≥20mm；大孔直径：≥23mm；</w:t>
            </w:r>
          </w:p>
        </w:tc>
      </w:tr>
      <w:tr w14:paraId="3866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C756F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77B1D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AF8587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EF567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5B76A0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12.胸式上升器：金属部件和金属零件应无棱角、毛刺,不得有裂纹、明显压痕和划伤等缺陷,其边缘应呈弧形。</w:t>
            </w:r>
          </w:p>
        </w:tc>
      </w:tr>
      <w:tr w14:paraId="6370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354D6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A4545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B3C253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1D14F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0859CC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12.1材质：铝合金、钢；工作负荷：≥5KN；重量：≤170g；</w:t>
            </w:r>
          </w:p>
        </w:tc>
      </w:tr>
      <w:tr w14:paraId="07CF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2F743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5A596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063CE2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FC974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677D75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13.脚式上升器：左右脚各一个，金属部件和金属零件应无棱角、毛刺,不得有裂纹、明显压痕和划伤等缺陷,其边缘应呈弧形。</w:t>
            </w:r>
          </w:p>
        </w:tc>
      </w:tr>
      <w:tr w14:paraId="7270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6EC30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71C4D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E40366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E8DA9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F89944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13.1承载负荷：≥5KN；适用绳径：8-13mm；单个重量：168±5g</w:t>
            </w:r>
          </w:p>
        </w:tc>
      </w:tr>
      <w:tr w14:paraId="2FD0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B5C42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57962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308FF0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2212E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63BB84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14.装备包:涤纶、尼龙牛津布面料，背包背部采用高透气性网格材料,双肩带有加厚垫肩，背负舒适，前面附有放置绳子或装备的护绳垫，可直接折叠收回，装备包可完全展开，并且采用分区设计，确保安全钩、下降器等各类装备有序、整齐摆放，整体防潮湿、耐磨损，主袋容量：≥65L；</w:t>
            </w:r>
          </w:p>
        </w:tc>
      </w:tr>
      <w:tr w14:paraId="31F3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0A3E2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8E4D9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5546CA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79B1E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B346DB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15.手控下降器：金属部件和金属零件应无棱角、毛刺,不得有裂纹、明显压痕和划伤等缺陷,其边缘应呈弧形，应能承受≥5KN的试验负荷，试验后不应出现装置的永久性损伤、明显变形或绳体的损伤；</w:t>
            </w:r>
          </w:p>
        </w:tc>
      </w:tr>
      <w:tr w14:paraId="20CE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92CC5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082F9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5BB5EC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7EDE1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C9767B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15.1材质：铝合金、钢；适用绳径：10-13mm；极限负荷：≥13.5KN；工作负荷：≥5KN；</w:t>
            </w:r>
          </w:p>
        </w:tc>
      </w:tr>
      <w:tr w14:paraId="2C5D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6D5A7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0FFFA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E3B3DB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75C6D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6BDC3E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16.防坠落保护装置：具有内置钉齿锁定功能，发生坠落时可以立即锁止，在绳索的任何位置均可便捷的安装和移除， 抓绳器向上易于滑动，向下易于制停，有快速下降保护功能,发生坠落时能自动锁紧绳索；</w:t>
            </w:r>
          </w:p>
        </w:tc>
      </w:tr>
      <w:tr w14:paraId="071A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0516E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7130B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DDB504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229B2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BBC115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16.1材质：铝合金、钢； 承受负荷≥5kN；适用绳径：8-12mm。</w:t>
            </w:r>
          </w:p>
        </w:tc>
      </w:tr>
      <w:tr w14:paraId="2449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D3CE9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50A7C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957A88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AE543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112158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17. 救助吊带：配有肩带的拯救三角带,适用于以绞盘或下降器撤离受伤人员设计。</w:t>
            </w:r>
          </w:p>
        </w:tc>
      </w:tr>
      <w:tr w14:paraId="77EB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F45BF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CE9CA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DB18DF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77156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8A1565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17.1 左、右肩带均可调节。</w:t>
            </w:r>
          </w:p>
        </w:tc>
      </w:tr>
      <w:tr w14:paraId="795D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285B9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150E4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26095E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23EF7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A85861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17.2 配有不少于2个挂点，可适用于小孩到成人的各种体型。</w:t>
            </w:r>
          </w:p>
        </w:tc>
      </w:tr>
      <w:tr w14:paraId="21316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8FDEA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CE0A9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8845A8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3BAC1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506E44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17.3 质量≤740g </w:t>
            </w:r>
            <w:r>
              <w:rPr>
                <w:rStyle w:val="71"/>
                <w:lang w:val="en-US" w:eastAsia="zh-CN" w:bidi="ar"/>
              </w:rPr>
              <w:t xml:space="preserve">                  </w:t>
            </w:r>
          </w:p>
        </w:tc>
      </w:tr>
      <w:tr w14:paraId="5EDD2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209BA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02BA6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6EF281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393CD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C024F0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17.4 承重≥100公斤</w:t>
            </w:r>
          </w:p>
        </w:tc>
      </w:tr>
      <w:tr w14:paraId="2C0A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77FD5414">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28</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99AC99">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6B1F94CA">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手提式强光照明灯</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414E958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w:t>
            </w:r>
          </w:p>
        </w:tc>
        <w:tc>
          <w:tcPr>
            <w:tcW w:w="6138" w:type="dxa"/>
            <w:tcBorders>
              <w:top w:val="nil"/>
              <w:left w:val="single" w:color="000000" w:sz="8" w:space="0"/>
              <w:bottom w:val="nil"/>
              <w:right w:val="single" w:color="000000" w:sz="8" w:space="0"/>
            </w:tcBorders>
            <w:shd w:val="clear" w:color="auto" w:fill="auto"/>
            <w:vAlign w:val="center"/>
          </w:tcPr>
          <w:p w14:paraId="4837C59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1、防爆性能应符合GB3836爆炸性环境 第1部分：设备通用要求、GB3836爆炸性环境 第2部分：由隔爆外壳“d ”保护的设备和GB3836标准中爆炸性环境 第4部分：由本质安全型“i”保护的设备。</w:t>
            </w:r>
          </w:p>
        </w:tc>
      </w:tr>
      <w:tr w14:paraId="3ABB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76F9A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B85A8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FB88F9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B8AD2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35F699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2.整灯配置二种光源，主灯一颗功率12瓦：色温7000K超白光，可以作为远距离照明。辅灯二颗3W：色温2600K太阳光，可以作为烟雾穿透使用。</w:t>
            </w:r>
          </w:p>
        </w:tc>
      </w:tr>
      <w:tr w14:paraId="043E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D78B1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89919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8E3BFB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C7E94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74DD18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3.灯具在具备低电量警示功能的同时，尾部设计有5段式LED电量指示装置使灯具的剩余电量能够更加清晰的呈现。</w:t>
            </w:r>
          </w:p>
        </w:tc>
      </w:tr>
      <w:tr w14:paraId="32B3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AF344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15981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FD1EFF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C96BA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AC9AFE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4.灯具外壳防护等级应为GB/4208-2008规定的IP66/IP68的要求。</w:t>
            </w:r>
          </w:p>
        </w:tc>
      </w:tr>
      <w:tr w14:paraId="52BB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4DBE5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1F5CC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38C8A9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EEADA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F29227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5.灯具尾部设计高穿透性、高可视性能的方位灯，在作业现场能够清晰的显示持灯人员的相互方位。</w:t>
            </w:r>
          </w:p>
        </w:tc>
      </w:tr>
      <w:tr w14:paraId="367E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859B9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0A82C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7D5785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70A36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3C749A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6.灯头采用八棱攻击头设计，在应急救援中可以用作砸窗救生工具使用。</w:t>
            </w:r>
          </w:p>
        </w:tc>
      </w:tr>
      <w:tr w14:paraId="3412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0ED00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44FCC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D63B8B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1502D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CCCE20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7.外壳材质为6063高硬度铝合金材质，透明罩材质为钢化玻璃，外形尺寸：（302×122×85mm）±2mm</w:t>
            </w:r>
          </w:p>
        </w:tc>
      </w:tr>
      <w:tr w14:paraId="1ED2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98784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B977A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FA8CFF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5AFD5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9178B2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8.螺纹接合面要求：前端盖与主壳体啮合深度≥8mm³，啮合螺纹(扣数) ≥8扣</w:t>
            </w:r>
          </w:p>
        </w:tc>
      </w:tr>
      <w:tr w14:paraId="7AC9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8616C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9E5B0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B53DE3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69D6A6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D9ACE2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9.使用标准试验喷嘴，在所有可能方向向灯具外壳喷水，水流量（100 ±5）L/min，按规定水流量调节压力，外壳表面每平方米喷水约45min，喷嘴至外壳距离1m,灯具无积水</w:t>
            </w:r>
          </w:p>
        </w:tc>
      </w:tr>
      <w:tr w14:paraId="1BB1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F607B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BC746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6ACFA8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16DDE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D82341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10.产品坚固耐用，耐热耐寒性能好，在高温95℃，空气湿度90%环境下，持续放置28天，产品未变形未损坏；在低温-25℃环境下，持续放置24天，经耐寒实验后，产品未变形未损坏。</w:t>
            </w:r>
          </w:p>
        </w:tc>
      </w:tr>
      <w:tr w14:paraId="7DBF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60822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9B6E3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DC9E62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DEC0E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8CA5E9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11.内部点燃的不传爆实验：主腔内氢气浓度≥27.5%；乙炔浓度≥7.5%，爆炸性混合物压力0.05Mpa,经过5次点燃实验之后未传到试验罐内。</w:t>
            </w:r>
          </w:p>
        </w:tc>
      </w:tr>
      <w:tr w14:paraId="4DB3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F5060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446CA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AF00AD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A83A4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C0DF9F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12.灯具出厂时，需在前端盖位置有清晰且与灯具为一体的标志，包括：产品名称、产品型号、防爆标志、防护等级、出厂日期、生产厂名称等</w:t>
            </w:r>
          </w:p>
        </w:tc>
      </w:tr>
      <w:tr w14:paraId="0E37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15135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B208C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DEDD2F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81A58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7DC757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13.技术参数要求 ：</w:t>
            </w:r>
          </w:p>
        </w:tc>
      </w:tr>
      <w:tr w14:paraId="3EB8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397E8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6E92D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00E581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1711A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1B3A11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13.1 电池额定容量：≥2.5Ah </w:t>
            </w:r>
            <w:r>
              <w:rPr>
                <w:rStyle w:val="71"/>
                <w:lang w:val="en-US" w:eastAsia="zh-CN" w:bidi="ar"/>
              </w:rPr>
              <w:t xml:space="preserve"> </w:t>
            </w:r>
          </w:p>
        </w:tc>
      </w:tr>
      <w:tr w14:paraId="4297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55605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CFD5D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7CB689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84B95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87E1BB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13.2 额定电压：≥DC22.2V ，</w:t>
            </w:r>
          </w:p>
        </w:tc>
      </w:tr>
      <w:tr w14:paraId="67B9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415FF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586A8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8275DC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A99DC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68DAE4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★13.3 额定功率：≥12W+2*3W（雾灯）</w:t>
            </w:r>
          </w:p>
        </w:tc>
      </w:tr>
      <w:tr w14:paraId="67A4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A4839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5C6C3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2CABEB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A57DC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0368E6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13.4 使用寿命：≥100000h</w:t>
            </w:r>
          </w:p>
        </w:tc>
      </w:tr>
      <w:tr w14:paraId="0646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15AFD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79EF1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88EE10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15B97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FB5E94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连续放电时间：强光≥5h,工作光≥10h;</w:t>
            </w:r>
          </w:p>
        </w:tc>
      </w:tr>
      <w:tr w14:paraId="7590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56E4D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CB14E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B62120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F9BE7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FBBCB4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电池平均使用寿命：1000次（循环）</w:t>
            </w:r>
          </w:p>
        </w:tc>
      </w:tr>
      <w:tr w14:paraId="4694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BB558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7F523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449E93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C93A3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1D839F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重量：≤1.4kg</w:t>
            </w:r>
          </w:p>
        </w:tc>
      </w:tr>
      <w:tr w14:paraId="13D0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5E0B31B">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29</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DF9514">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101A0CA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干式水域救援服</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4DACB70D">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0B11C54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1、总体性能符合《消防员水域救援防护服试验大纲》标准要求。</w:t>
            </w:r>
          </w:p>
        </w:tc>
      </w:tr>
      <w:tr w14:paraId="3770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A8FE1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4DC73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C9129D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A725E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B29099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2、结构款式</w:t>
            </w:r>
          </w:p>
        </w:tc>
      </w:tr>
      <w:tr w14:paraId="14A2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898E0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23B4B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0BBF5E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4C3DF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94A6D0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（1）采用三层防水透气面料制作，肘部、臀部和膝部有耐磨材料加固处理；</w:t>
            </w:r>
          </w:p>
        </w:tc>
      </w:tr>
      <w:tr w14:paraId="0425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6963D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9C42D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3CD680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7FDBF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7E3A41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（2）消防员干式水域救援防护服有盛放必要救援物品的口袋，且有排水功能；</w:t>
            </w:r>
          </w:p>
        </w:tc>
      </w:tr>
      <w:tr w14:paraId="2A85E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908FC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54E57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6452B1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997D7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72EF11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（3）为连体式，含有连体脚套；</w:t>
            </w:r>
          </w:p>
        </w:tc>
      </w:tr>
      <w:tr w14:paraId="2807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B6E0D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31203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ECDD17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78051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8F537E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（4）拉链在体前、设有拉链保护盖，裆部设有拉链；</w:t>
            </w:r>
          </w:p>
        </w:tc>
      </w:tr>
      <w:tr w14:paraId="7F9B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71308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3088A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092B24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3612A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16C2C3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（5）主体颜色为红色，加固部位为黑色，手臂和双腿处带反光条。</w:t>
            </w:r>
          </w:p>
        </w:tc>
      </w:tr>
      <w:tr w14:paraId="2085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0BDEC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092F2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E37BDD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A1610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2485C2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3、面料</w:t>
            </w:r>
          </w:p>
        </w:tc>
      </w:tr>
      <w:tr w14:paraId="13F4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90B07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31EE7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1F81E1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E1B54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B91C89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（1）表面抗湿性能 沾水等级(级)≥4；</w:t>
            </w:r>
          </w:p>
        </w:tc>
      </w:tr>
      <w:tr w14:paraId="4EDB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BBF72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700D6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C8392E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F96DB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21776B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（2）断裂强力：经向（N)≥2120，纬向（N)≥1800；</w:t>
            </w:r>
          </w:p>
        </w:tc>
      </w:tr>
      <w:tr w14:paraId="4781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8FF41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098F8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4E8E44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79112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9634F6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（3）撕破强力：经向(N)≥145，纬向(N)≥140；</w:t>
            </w:r>
          </w:p>
        </w:tc>
      </w:tr>
      <w:tr w14:paraId="46B9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25B7B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DFA00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A0FF9A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80FB6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1833BC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（4）单位面积质量(g/m)≥225；</w:t>
            </w:r>
          </w:p>
        </w:tc>
      </w:tr>
      <w:tr w14:paraId="17A0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7004C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E1C5B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F79328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98250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CB89C5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（5）耐水摩擦(级)≥4，耐洗沾色(级)≥4，耐光色牢度(级)≥4；</w:t>
            </w:r>
          </w:p>
        </w:tc>
      </w:tr>
      <w:tr w14:paraId="7392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0B97D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6A9FB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A413F4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75403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A5EF9D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（6）耐磨性能：①面料：循环次数≥2000，试样未被磨穿；②耐磨加固层面料：循环次数≥6000，试样未被磨穿；</w:t>
            </w:r>
          </w:p>
        </w:tc>
      </w:tr>
      <w:tr w14:paraId="13BC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D97A7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EA139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B79590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5F58B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9EB8A5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（7）耐静水压(kPa)&gt;50；</w:t>
            </w:r>
          </w:p>
        </w:tc>
      </w:tr>
      <w:tr w14:paraId="37F6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FCAF4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1D05B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8A9308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D37C5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48784B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（8）透湿率(g/(m²·24h))≥4500。</w:t>
            </w:r>
          </w:p>
        </w:tc>
      </w:tr>
      <w:tr w14:paraId="5764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663BF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91A9C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0CFCF6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5CF28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9222A6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4、接缝断裂强力(N)：≥1190。</w:t>
            </w:r>
          </w:p>
        </w:tc>
      </w:tr>
      <w:tr w14:paraId="0ED7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FDB5E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48F98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D6DB92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B9326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F7C3E6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5、整体防渗漏性能：经过抗渗漏试验后，进入消防员干式水域救援防护服内水的质量为≥150g。</w:t>
            </w:r>
          </w:p>
        </w:tc>
      </w:tr>
      <w:tr w14:paraId="0121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A1CA7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E5314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065F63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61922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80C77A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6、保温性能：基础体温下降差(℃)≤0.3，受试者能捡起一支直径8mm的笔并书写。</w:t>
            </w:r>
          </w:p>
        </w:tc>
      </w:tr>
      <w:tr w14:paraId="3D33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EC1A2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61779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C01320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AD94D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9F674E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7、温度适应性能：经高低温试验后，无皱缩、破裂、胀大、分解等现象或机械性能的改变。</w:t>
            </w:r>
          </w:p>
        </w:tc>
      </w:tr>
      <w:tr w14:paraId="7575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848E8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9548F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E4C550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DF48A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F5632B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8、适用性能</w:t>
            </w:r>
          </w:p>
        </w:tc>
      </w:tr>
      <w:tr w14:paraId="7EB6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1211F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AD77C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445C17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C2437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AEA791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（1）对穿着救生衣的限制性：消防员干式水域救援防护服未限制使用者穿着救生衣；</w:t>
            </w:r>
          </w:p>
        </w:tc>
      </w:tr>
      <w:tr w14:paraId="5123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47859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54F5A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B96B77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B04F5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D70470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（2）穿着时间(s)≤30；</w:t>
            </w:r>
          </w:p>
        </w:tc>
      </w:tr>
      <w:tr w14:paraId="0FD9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F3151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73648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E117CF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AC68F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E436FF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（3）穿着者可活动性：穿着消防员干式水域救援防护服的人员能行走、爬行、游泳并登上平台。</w:t>
            </w:r>
          </w:p>
        </w:tc>
      </w:tr>
      <w:tr w14:paraId="3AF0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27231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96908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3434BB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85C1B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3A7039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9、质量(g)：消防员干式水域救援防护服≤1800，携行质量(含消防员干式水域救援防护服、保暖内衣和携行袋)≤2000。</w:t>
            </w:r>
          </w:p>
        </w:tc>
      </w:tr>
      <w:tr w14:paraId="413C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24D187">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30</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A4C9DE">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2A81F5D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湿式水域救援服</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D012C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w:t>
            </w:r>
          </w:p>
        </w:tc>
        <w:tc>
          <w:tcPr>
            <w:tcW w:w="6138" w:type="dxa"/>
            <w:tcBorders>
              <w:top w:val="nil"/>
              <w:left w:val="single" w:color="000000" w:sz="8" w:space="0"/>
              <w:bottom w:val="nil"/>
              <w:right w:val="single" w:color="000000" w:sz="8" w:space="0"/>
            </w:tcBorders>
            <w:shd w:val="clear" w:color="auto" w:fill="auto"/>
            <w:vAlign w:val="center"/>
          </w:tcPr>
          <w:p w14:paraId="4CE439F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1.主要材质为≥3mm带有钛涂层的氯丁橡胶材质，提供非常好的热反射性能。</w:t>
            </w:r>
          </w:p>
        </w:tc>
      </w:tr>
      <w:tr w14:paraId="372C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D070A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7E02D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7E73A1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4FC3F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F285FB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2.在肩部、背部和手臂处都采用知名品牌（如PowerSpan™等）材质提高部位的灵活性，降低活动的束缚感。</w:t>
            </w:r>
          </w:p>
        </w:tc>
      </w:tr>
      <w:tr w14:paraId="728B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464E2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91A89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F41594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5AFED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E4127C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3.双向的知名品牌（如YKK®等）前置拉链可以使救援者穿、脱装备都非常的迅速和便捷。</w:t>
            </w:r>
          </w:p>
        </w:tc>
      </w:tr>
      <w:tr w14:paraId="7B6E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603D2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58125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AFF746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8E0C3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04635B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4.腕部和踝部的知名品牌（如YKK®等）拉链可以帮助将袖口和裤腿收紧。</w:t>
            </w:r>
          </w:p>
        </w:tc>
      </w:tr>
      <w:tr w14:paraId="4F09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26F02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61916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053AFA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1C7F1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AE9C7A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5.所有的缝线处都是用四针六线缝制，并且都做了加固压胶处理，提高保暖性和舒适感。</w:t>
            </w:r>
          </w:p>
        </w:tc>
      </w:tr>
      <w:tr w14:paraId="2623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C68FC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D0E8A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5DA7E5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F0057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E0B042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6.在膝盖和小腿处都有聚氨酯涂层垫，可以提供额外的保护。</w:t>
            </w:r>
          </w:p>
        </w:tc>
      </w:tr>
      <w:tr w14:paraId="4AF6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D8FFF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DACC9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EF6E3F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EC140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B5E0F6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7.在躯干的两侧部位有大摩擦力区域用于搭配救生衣固定使用，防止冲脱。</w:t>
            </w:r>
          </w:p>
        </w:tc>
      </w:tr>
      <w:tr w14:paraId="5594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AED18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7758D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50960A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32AEE7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E5E9E7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8.手臂和腿部有荧光反射区，并且有RESCUE救援字样，提高了救援者的可视性。</w:t>
            </w:r>
          </w:p>
        </w:tc>
      </w:tr>
      <w:tr w14:paraId="24CB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7763C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27BA3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AD8979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24A53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D26AA3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9.主要性能：面料拉伸强度≥150N，持续10s经纬向未出现断裂现象，耐磨性面临经2000次循环摩擦后，补强经过6000此循环摩擦未被磨穿；耐静水压100kpa下5min后未出现水滴渗透。</w:t>
            </w:r>
          </w:p>
        </w:tc>
      </w:tr>
      <w:tr w14:paraId="25E8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B4C709E">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31</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C7E9C0">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713FF75E">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水域救援靴</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62405CFC">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w:t>
            </w:r>
          </w:p>
        </w:tc>
        <w:tc>
          <w:tcPr>
            <w:tcW w:w="6138" w:type="dxa"/>
            <w:tcBorders>
              <w:top w:val="nil"/>
              <w:left w:val="single" w:color="000000" w:sz="8" w:space="0"/>
              <w:bottom w:val="nil"/>
              <w:right w:val="single" w:color="000000" w:sz="8" w:space="0"/>
            </w:tcBorders>
            <w:shd w:val="clear" w:color="auto" w:fill="auto"/>
            <w:vAlign w:val="center"/>
          </w:tcPr>
          <w:p w14:paraId="4CE31BC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1.鞋帮高于脚踝，整体为系带设计，且带有可调粘扣，内有弹性潜水材料内胆，足部保暖性和踝部支撑保护性能良好；</w:t>
            </w:r>
          </w:p>
        </w:tc>
      </w:tr>
      <w:tr w14:paraId="48B3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B475A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554FE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4F9930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CC224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7C57C8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2.脚踝处有魔术贴固定收紧；</w:t>
            </w:r>
          </w:p>
        </w:tc>
      </w:tr>
      <w:tr w14:paraId="0BEC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4E2B3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2A51D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7D4EDB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36D8B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001453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3.双层结构，内部≥5mm氯丁橡胶与外部皮革一体合成，提供良好的防护和保暖性</w:t>
            </w:r>
          </w:p>
        </w:tc>
      </w:tr>
      <w:tr w14:paraId="41AC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D5C62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C4FA7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55EA00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B9E91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A44E12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4.≥7mm的氯丁橡胶内垫可以提供良好的减震性；</w:t>
            </w:r>
          </w:p>
        </w:tc>
      </w:tr>
      <w:tr w14:paraId="2B34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14D7F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FA26E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C97C1E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98AA7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D60AE1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5.凹凸纹的加强型大底，防滑且防止刚性损害，可以适应水面和陆地的各种地形；</w:t>
            </w:r>
          </w:p>
        </w:tc>
      </w:tr>
      <w:tr w14:paraId="6C51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600BA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3987D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2A361E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81864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622BA4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6.经常磨损区域做加强处理，安全舒适，可适应各种地形；</w:t>
            </w:r>
          </w:p>
        </w:tc>
      </w:tr>
      <w:tr w14:paraId="78211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62E3A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0C407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138E94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DE708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334D8A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7.脚掌侧面带有排水孔；</w:t>
            </w:r>
          </w:p>
        </w:tc>
      </w:tr>
      <w:tr w14:paraId="7E98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69A6A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0D5C3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74ABD3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51B31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8BEC0E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8.脚跟处凸起设计，方便与脚蹼搭配使用；</w:t>
            </w:r>
          </w:p>
        </w:tc>
      </w:tr>
      <w:tr w14:paraId="5A7E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D2CA3A6">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32</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456A57">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3643AD5E">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水域救援牛尾绳</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65433D4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w:t>
            </w:r>
          </w:p>
        </w:tc>
        <w:tc>
          <w:tcPr>
            <w:tcW w:w="6138" w:type="dxa"/>
            <w:tcBorders>
              <w:top w:val="nil"/>
              <w:left w:val="single" w:color="000000" w:sz="8" w:space="0"/>
              <w:bottom w:val="nil"/>
              <w:right w:val="single" w:color="000000" w:sz="8" w:space="0"/>
            </w:tcBorders>
            <w:shd w:val="clear" w:color="auto" w:fill="auto"/>
            <w:vAlign w:val="center"/>
          </w:tcPr>
          <w:p w14:paraId="21085EC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Style w:val="71"/>
                <w:rFonts w:hint="eastAsia"/>
                <w:lang w:val="en-US" w:eastAsia="zh-CN" w:bidi="ar"/>
              </w:rPr>
              <w:t>1</w:t>
            </w:r>
            <w:r>
              <w:rPr>
                <w:rStyle w:val="71"/>
                <w:lang w:val="en-US" w:eastAsia="zh-CN" w:bidi="ar"/>
              </w:rPr>
              <w:t>.弹力牛尾绳一端O型环，另一端配置≥22KN锻造铝合金快挂扣。</w:t>
            </w:r>
          </w:p>
        </w:tc>
      </w:tr>
      <w:tr w14:paraId="72C2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5C574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6975B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4E8A50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40536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80E7E5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2.牛尾绳长度：≥80cm，最大延伸长度≥135cm。</w:t>
            </w:r>
          </w:p>
        </w:tc>
      </w:tr>
      <w:tr w14:paraId="75D9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B649A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7E003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302954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7F222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013EC18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3.两端缝合：Z 形线迹并加固 缝合表面编有反光丝方便黑暗条件下反光。</w:t>
            </w:r>
          </w:p>
        </w:tc>
      </w:tr>
      <w:tr w14:paraId="6505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0DEAAA55">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33</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46333C">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7C8293BB">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水域救援手套</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49B62BBA">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w:t>
            </w:r>
          </w:p>
        </w:tc>
        <w:tc>
          <w:tcPr>
            <w:tcW w:w="6138" w:type="dxa"/>
            <w:tcBorders>
              <w:top w:val="nil"/>
              <w:left w:val="single" w:color="000000" w:sz="8" w:space="0"/>
              <w:bottom w:val="nil"/>
              <w:right w:val="single" w:color="000000" w:sz="8" w:space="0"/>
            </w:tcBorders>
            <w:shd w:val="clear" w:color="auto" w:fill="auto"/>
            <w:vAlign w:val="center"/>
          </w:tcPr>
          <w:p w14:paraId="2FE36C4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1.良好的保暖性：在手套的背面有2mm的氯丁橡胶层和3mm的缓冲垫层，提供良好的保暖性和抗冲击性；</w:t>
            </w:r>
          </w:p>
        </w:tc>
      </w:tr>
      <w:tr w14:paraId="7626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3340D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FC783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0D27B5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D2BA4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30E67F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2.高度的灵活性：手掌和手指覆盖区都经过橡胶涂层的加固处理，保证耐用性的同时不失灵活性；</w:t>
            </w:r>
          </w:p>
        </w:tc>
      </w:tr>
      <w:tr w14:paraId="6354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624B4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FAAA6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B9E05D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17B51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05B52A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3.在经常性磨损区域应做加固垫，确保在用手划水和操作绳索的时候都可以得到良好的保护；</w:t>
            </w:r>
          </w:p>
        </w:tc>
      </w:tr>
      <w:tr w14:paraId="1464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44AC9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3B3AF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2A75C9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74C74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E8699D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4.舒适的耐磨性：手指处采用特殊的知名品牌（如GripCoteTM等）材料，既灵活又耐磨；在手腕处设有魔术贴，可以快速调节和固定，并确保手套不会滑落，增加了保暖性；</w:t>
            </w:r>
          </w:p>
        </w:tc>
      </w:tr>
      <w:tr w14:paraId="5E04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3A5E9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53ECC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242ECB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1940C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C31EAA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5.人性化设计：手腕处设有按扣，可以将一副手套固定在一起，防止丢失；</w:t>
            </w:r>
          </w:p>
        </w:tc>
      </w:tr>
      <w:tr w14:paraId="382D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CB32C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DAD46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181650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D68F6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827457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6.手套本体的长度为环形延伸，超出腕关节不少于25mm，且能限制杂物进入手套口；</w:t>
            </w:r>
          </w:p>
        </w:tc>
      </w:tr>
      <w:tr w14:paraId="40C3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F54FF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6644F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828D6A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0C4AB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DF29C5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7.质量：≤135g</w:t>
            </w:r>
          </w:p>
        </w:tc>
      </w:tr>
      <w:tr w14:paraId="3E70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1E9EE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33A5E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9093DC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30355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EE0339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8.双手穿戴手套后，能对直径9.5mm、12mm和16mm的绳索进行结绳作业；</w:t>
            </w:r>
          </w:p>
        </w:tc>
      </w:tr>
      <w:tr w14:paraId="0558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2CB05F1E">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34</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CC56B2">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5946611A">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消防员水域救援头盔</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3E75B850">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w:t>
            </w:r>
          </w:p>
        </w:tc>
        <w:tc>
          <w:tcPr>
            <w:tcW w:w="6138" w:type="dxa"/>
            <w:tcBorders>
              <w:top w:val="nil"/>
              <w:left w:val="single" w:color="000000" w:sz="8" w:space="0"/>
              <w:bottom w:val="nil"/>
              <w:right w:val="single" w:color="000000" w:sz="8" w:space="0"/>
            </w:tcBorders>
            <w:shd w:val="clear" w:color="auto" w:fill="auto"/>
            <w:vAlign w:val="center"/>
          </w:tcPr>
          <w:p w14:paraId="6E5C9AE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1．低重心无帽沿设计，贴合头部。</w:t>
            </w:r>
          </w:p>
        </w:tc>
      </w:tr>
      <w:tr w14:paraId="0B49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1CF9A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079D3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86740E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3A9CFF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409289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2．11个透气孔，头盔内腔气流通畅，大温差环境中，具有高舒适度。</w:t>
            </w:r>
          </w:p>
        </w:tc>
      </w:tr>
      <w:tr w14:paraId="1EDA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40FFE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BAA69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E975F7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9B2DE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03BC45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3．头盔两侧一体式护耳部件，大通风口，保护耳部的同时不影响听力。</w:t>
            </w:r>
          </w:p>
        </w:tc>
      </w:tr>
      <w:tr w14:paraId="7A86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ADA34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C8565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649492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F632F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938D1C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4．ABS工程塑料注塑成型盔壳，高冲击强度，良好的机械性能。</w:t>
            </w:r>
          </w:p>
        </w:tc>
      </w:tr>
      <w:tr w14:paraId="6FA6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C737E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5F9B8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D5C9A6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72EA2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9ED313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5．高密度EVA缓冲垫，密闭泡孔结构，不吸水，回弹性和抗张力高，良好的耐水性能和低速冲击能量吸收能力。</w:t>
            </w:r>
          </w:p>
        </w:tc>
      </w:tr>
      <w:tr w14:paraId="3A11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1010B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E6DB1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6FABFE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0CFF6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D6E25A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6．快调式帽衬，可单手操作，全方位满足个性化尺寸调节需求。</w:t>
            </w:r>
          </w:p>
        </w:tc>
      </w:tr>
      <w:tr w14:paraId="19F7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E9CDF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FE08E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AD2789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7BBAA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6C463E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技术参数：</w:t>
            </w:r>
          </w:p>
        </w:tc>
      </w:tr>
      <w:tr w14:paraId="68C6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93F97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3AF19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71655B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BD0C2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FB8040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1．盔壳：ABS工程塑料；</w:t>
            </w:r>
          </w:p>
        </w:tc>
      </w:tr>
      <w:tr w14:paraId="7B20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96948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6A898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70F8A6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C637F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62C453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2．缓冲垫：高密度EVA泡棉；</w:t>
            </w:r>
          </w:p>
        </w:tc>
      </w:tr>
      <w:tr w14:paraId="22C5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ADA03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88667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98E251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471E1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8D1183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3．系带：尼龙织带，塑钢快插扣闭合；</w:t>
            </w:r>
          </w:p>
        </w:tc>
      </w:tr>
      <w:tr w14:paraId="0B28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2BB20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68049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5984AC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46E3F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F2DB88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4．帽衬调节：快调式帽衬，带有缓冲软垫；</w:t>
            </w:r>
          </w:p>
        </w:tc>
      </w:tr>
      <w:tr w14:paraId="7A0A7A70">
        <w:tblPrEx>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F82E0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E7529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DDF853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A14F1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B19782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5．护耳部件：有，一体式；</w:t>
            </w:r>
          </w:p>
        </w:tc>
      </w:tr>
      <w:tr w14:paraId="6670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8839E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F75D7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AA2D4E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F4D86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1621F9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6.质量：≤550g；</w:t>
            </w:r>
          </w:p>
        </w:tc>
      </w:tr>
      <w:tr w14:paraId="0890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1E458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1D88C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13ED3A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27173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462CEC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7.冲击吸收性能：头模受到冲击力的最大值≤3680N；</w:t>
            </w:r>
          </w:p>
        </w:tc>
      </w:tr>
      <w:tr w14:paraId="0A67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C77DE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6045E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0D600C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D47CD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2556EF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8.顶部抗冲击加速度性能：最大加速度≤146g，加速度超过150g的作用时间：0ms；</w:t>
            </w:r>
          </w:p>
        </w:tc>
      </w:tr>
      <w:tr w14:paraId="6610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2C0905D3">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35</w:t>
            </w:r>
          </w:p>
        </w:tc>
        <w:tc>
          <w:tcPr>
            <w:tcW w:w="1155" w:type="dxa"/>
            <w:vMerge w:val="restart"/>
            <w:tcBorders>
              <w:top w:val="nil"/>
              <w:left w:val="single" w:color="000000" w:sz="8" w:space="0"/>
              <w:bottom w:val="single" w:color="000000" w:sz="8" w:space="0"/>
              <w:right w:val="single" w:color="000000" w:sz="8" w:space="0"/>
            </w:tcBorders>
            <w:shd w:val="clear" w:color="auto" w:fill="auto"/>
            <w:noWrap/>
            <w:vAlign w:val="center"/>
          </w:tcPr>
          <w:p w14:paraId="0AE23478">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07C2984E">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移动式水带槽</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402FBC35">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w:t>
            </w:r>
          </w:p>
        </w:tc>
        <w:tc>
          <w:tcPr>
            <w:tcW w:w="6138" w:type="dxa"/>
            <w:tcBorders>
              <w:top w:val="nil"/>
              <w:left w:val="single" w:color="000000" w:sz="8" w:space="0"/>
              <w:bottom w:val="nil"/>
              <w:right w:val="single" w:color="000000" w:sz="8" w:space="0"/>
            </w:tcBorders>
            <w:shd w:val="clear" w:color="auto" w:fill="auto"/>
            <w:vAlign w:val="center"/>
          </w:tcPr>
          <w:p w14:paraId="5105E10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移动式水带卷盘机是专用于消防水带盘卷之用。</w:t>
            </w:r>
          </w:p>
        </w:tc>
      </w:tr>
      <w:tr w14:paraId="1608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95D6A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F717B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A32FF8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A25ED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9ECC09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移动式水带卷盘机特点：</w:t>
            </w:r>
          </w:p>
        </w:tc>
      </w:tr>
      <w:tr w14:paraId="1752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B34E1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7AFF9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8FD14E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9618A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E7BF1C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1.用于消防水带的输送。</w:t>
            </w:r>
          </w:p>
        </w:tc>
      </w:tr>
      <w:tr w14:paraId="3058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03022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71999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40E9FD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F6028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91CA03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2.可以折叠，折叠后体积减小，方便运输和储藏。</w:t>
            </w:r>
          </w:p>
        </w:tc>
      </w:tr>
      <w:tr w14:paraId="1F9A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F444A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9DB4C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60465A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97D5F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C019E0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手动水带卷盘机结构简单，使用方便，卷带迅速，是消防队员在扑灭火灾后清理水带最理想的工具。</w:t>
            </w:r>
          </w:p>
        </w:tc>
      </w:tr>
      <w:tr w14:paraId="605B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0D323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52BEA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39EBDA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78213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208F95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手动水带卷盘机的结构：</w:t>
            </w:r>
          </w:p>
        </w:tc>
      </w:tr>
      <w:tr w14:paraId="5CBD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53157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6F31D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C4B955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94086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AB17CA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1、万向轮，2、摇臂，3、支架，4、链条，5、卡具，6、可折叠支架，7、导套，8、橡胶轮。</w:t>
            </w:r>
          </w:p>
        </w:tc>
      </w:tr>
      <w:tr w14:paraId="088D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029D6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17D67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5ACD6C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0D597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48F9D07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2、重量：15±0.5KG</w:t>
            </w:r>
          </w:p>
        </w:tc>
      </w:tr>
      <w:tr w14:paraId="0334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78802874">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36</w:t>
            </w:r>
          </w:p>
        </w:tc>
        <w:tc>
          <w:tcPr>
            <w:tcW w:w="1155" w:type="dxa"/>
            <w:vMerge w:val="restart"/>
            <w:tcBorders>
              <w:top w:val="nil"/>
              <w:left w:val="single" w:color="000000" w:sz="8" w:space="0"/>
              <w:bottom w:val="single" w:color="000000" w:sz="8" w:space="0"/>
              <w:right w:val="single" w:color="000000" w:sz="8" w:space="0"/>
            </w:tcBorders>
            <w:shd w:val="clear" w:color="auto" w:fill="auto"/>
            <w:noWrap/>
            <w:vAlign w:val="center"/>
          </w:tcPr>
          <w:p w14:paraId="32190EA4">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4911C5C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泡沫液桶</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19D261A2">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w:t>
            </w:r>
          </w:p>
        </w:tc>
        <w:tc>
          <w:tcPr>
            <w:tcW w:w="6138" w:type="dxa"/>
            <w:tcBorders>
              <w:top w:val="nil"/>
              <w:left w:val="single" w:color="000000" w:sz="8" w:space="0"/>
              <w:bottom w:val="nil"/>
              <w:right w:val="single" w:color="000000" w:sz="8" w:space="0"/>
            </w:tcBorders>
            <w:shd w:val="clear" w:color="auto" w:fill="auto"/>
            <w:vAlign w:val="center"/>
          </w:tcPr>
          <w:p w14:paraId="1BE3D21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1.整体外观类似立方体可堆码，提手位于顶部中央，凹陷设计，方便搬运、码垛。</w:t>
            </w:r>
          </w:p>
        </w:tc>
      </w:tr>
      <w:tr w14:paraId="51AD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9C4B1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D8DA6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9A66C2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277CA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0D1339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2.容积：≥20L</w:t>
            </w:r>
          </w:p>
        </w:tc>
      </w:tr>
      <w:tr w14:paraId="03CA7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47355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F6BDA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5A910A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255CD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774E6A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3.材质：全新HDPE高密度聚乙稀材料</w:t>
            </w:r>
          </w:p>
        </w:tc>
      </w:tr>
      <w:tr w14:paraId="6764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89DF9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A675D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86ECB8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9562D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6D9122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4.颜色：桶身为蓝色，桶盖为蓝色或白色</w:t>
            </w:r>
          </w:p>
        </w:tc>
      </w:tr>
      <w:tr w14:paraId="0117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32EA7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6AB07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35D5FE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C55CB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4006A0A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5.重量：≥1kg</w:t>
            </w:r>
          </w:p>
        </w:tc>
      </w:tr>
      <w:tr w14:paraId="7F7C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06317A3">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37</w:t>
            </w:r>
          </w:p>
        </w:tc>
        <w:tc>
          <w:tcPr>
            <w:tcW w:w="1155" w:type="dxa"/>
            <w:vMerge w:val="restart"/>
            <w:tcBorders>
              <w:top w:val="nil"/>
              <w:left w:val="single" w:color="000000" w:sz="8" w:space="0"/>
              <w:bottom w:val="single" w:color="000000" w:sz="8" w:space="0"/>
              <w:right w:val="single" w:color="000000" w:sz="8" w:space="0"/>
            </w:tcBorders>
            <w:shd w:val="clear" w:color="auto" w:fill="auto"/>
            <w:noWrap/>
            <w:vAlign w:val="center"/>
          </w:tcPr>
          <w:p w14:paraId="6FC2AB30">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005E2922">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三维雷达生命探测仪</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0A1A5D03">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5181B68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1.概述：提高灾害救援行动时效性，广泛应用于地震、滑坡、隧道坍塌等灾害救援任务。设备高度集成化，雷达主机仅由一个雷达单元组成，采用双把手设计，开关按键位于主机壳体外表面，操作方便。</w:t>
            </w:r>
          </w:p>
        </w:tc>
      </w:tr>
      <w:tr w14:paraId="0245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1439AA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1C691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A67ACD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F423E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94D440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2.三维雷达生命探测仪具备目标三维定位、动静多目标探测、目标姿态识别等功能，可快速搜索建筑墙体、废墟等障碍物下埋压被困人员目标情况，能够有效提高搜救效率。</w:t>
            </w:r>
          </w:p>
        </w:tc>
      </w:tr>
      <w:tr w14:paraId="46084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4EC77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E0565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EF4CA3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BEBD1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35D7BC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3.雷达主机采用多发射多接收架构设计，发射、接收天线数量分别不低于8个，信号通道数量不低于64个；</w:t>
            </w:r>
          </w:p>
        </w:tc>
      </w:tr>
      <w:tr w14:paraId="2823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1BCC8C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02D29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D30633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A7E33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F2762B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三维成像及定位功能：单次扫描探测可实时获取目标体的三维空间坐标和二维坐标，可对目标体动态实时三维成像、动态展示目标体的三维轮廓而非固定的三维模型，并能根据三维成像结果显示目标体的运动、静止等状态；</w:t>
            </w:r>
          </w:p>
        </w:tc>
      </w:tr>
      <w:tr w14:paraId="5833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3A778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08D89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6CF0B8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92B0B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BB145B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5.可在显控终端同时显示目标体二维定位信息、动态三维成像轮廓，并支持对动态三维成像进行旋转、缩放等操作；</w:t>
            </w:r>
          </w:p>
        </w:tc>
      </w:tr>
      <w:tr w14:paraId="59FB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D8606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C168E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2C3D43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73635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7C8960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6.目标探测响应时间：对运动或静止目标的探测响应时间≤5s；</w:t>
            </w:r>
          </w:p>
        </w:tc>
      </w:tr>
      <w:tr w14:paraId="3D244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27885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F32AA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C9A858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7F1E32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A4E299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7.探测距离：穿透37cm厚砖混墙体探测静止生命体≥20m、运动生命体≥25m；</w:t>
            </w:r>
          </w:p>
        </w:tc>
      </w:tr>
      <w:tr w14:paraId="138C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4DED9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645FD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911D85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F6392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F498EF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8.多目标探测能力：≥5个；</w:t>
            </w:r>
          </w:p>
        </w:tc>
      </w:tr>
      <w:tr w14:paraId="2C51E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19607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E8EC0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7DB08F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B43B6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4551C4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9.探测精度：距离向探测精度≤20cm，方位向探测精度≤30cm；</w:t>
            </w:r>
          </w:p>
        </w:tc>
      </w:tr>
      <w:tr w14:paraId="4861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5C700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B1BF6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F29A5F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0E7E4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0B5AE3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10.救援空间建筑环境获取：穿透墙体、楼板等建筑结构障碍物，识别定位并显示探测救援区域内建筑结构如墙体、承重柱、金属柜等环境信息，有利于埋压生命体的精准定位与施救；</w:t>
            </w:r>
          </w:p>
        </w:tc>
      </w:tr>
      <w:tr w14:paraId="54F1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EB4CF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2E2F8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8569F3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9A712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6A3B20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11.欠压报警：显控终端可显示雷达主机电池电量，并在电量不足时以文字及图标颜色警示；</w:t>
            </w:r>
          </w:p>
        </w:tc>
      </w:tr>
      <w:tr w14:paraId="5783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638F8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3E9B1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C653D0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1E2D6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D7EFE9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12.参数设置：显控终端可对雷达探测灵敏度、探测距离等参数进行设置，可对数据文件选择、对回放速度进行设置；</w:t>
            </w:r>
          </w:p>
        </w:tc>
      </w:tr>
      <w:tr w14:paraId="220D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3195D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EE102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C1C59E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CB7C0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8E9DB4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13.连续工作时间：系统配备两块电池，两块电池连续工作时间≥9h；</w:t>
            </w:r>
          </w:p>
        </w:tc>
      </w:tr>
      <w:tr w14:paraId="4642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44944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83B07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F9305A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7ED84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C3D4E5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14.显控终端与雷达主机远程无线遥控距离：≥150m；</w:t>
            </w:r>
          </w:p>
        </w:tc>
      </w:tr>
      <w:tr w14:paraId="15BC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9CE6E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F068C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811CD2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78FA3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F484D3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15.雷达主机尺寸：≤540mm×520mm×120mm；</w:t>
            </w:r>
          </w:p>
        </w:tc>
      </w:tr>
      <w:tr w14:paraId="64C7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49DD3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C4F6A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7EC587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9E795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06357E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16.雷达主机重量：≤8kg（含电池）。</w:t>
            </w:r>
          </w:p>
        </w:tc>
      </w:tr>
      <w:tr w14:paraId="368A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DBC563B">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38</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0C464E">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28714CED">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闪光警示灯</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C4AFE1">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w:t>
            </w:r>
          </w:p>
        </w:tc>
        <w:tc>
          <w:tcPr>
            <w:tcW w:w="6138" w:type="dxa"/>
            <w:tcBorders>
              <w:top w:val="nil"/>
              <w:left w:val="single" w:color="000000" w:sz="8" w:space="0"/>
              <w:bottom w:val="nil"/>
              <w:right w:val="single" w:color="000000" w:sz="8" w:space="0"/>
            </w:tcBorders>
            <w:shd w:val="clear" w:color="auto" w:fill="auto"/>
            <w:vAlign w:val="center"/>
          </w:tcPr>
          <w:p w14:paraId="7D38616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用于消防救援人员在昏暗的环境下或夜晚救援时警示使用。</w:t>
            </w:r>
          </w:p>
        </w:tc>
      </w:tr>
      <w:tr w14:paraId="2E97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10490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63C67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FE562F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B2F6B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54D69C1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红蓝矩阵式滤透镜系统，配有可充电的锂电池，电压容量≥3.7V，1200Ma，闪烁频次≥30次/分钟，连续使用时间不少于2小时，尺寸：(长140*宽65*高146mm)±5mm</w:t>
            </w:r>
          </w:p>
        </w:tc>
      </w:tr>
      <w:tr w14:paraId="7D59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A3A9559">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39</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1C4AC6">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06C6A4B2">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液压破拆工具组</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09655D92">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0DF9C1A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 </w:t>
            </w:r>
          </w:p>
        </w:tc>
      </w:tr>
      <w:tr w14:paraId="4B84C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8A4AB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62FA2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FBAFDC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B0CBF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A1A2A1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1，液压机动泵：符合GB/T17906-2021《液压破拆工具通用技术条件》标准的要求</w:t>
            </w:r>
          </w:p>
        </w:tc>
      </w:tr>
      <w:tr w14:paraId="6D53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1D17C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3C457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EF16A2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D6ED6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40576B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2，额定工作转速：≥3400rpm，额定功率：≥2.1kW。</w:t>
            </w:r>
          </w:p>
        </w:tc>
      </w:tr>
      <w:tr w14:paraId="180F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B71E2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A46EE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174FF4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BA8D1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532FFB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3，额定工作压力：≥72MPa，高压流量：≥0.75 L/m，低压流量：≥3.1 L/m</w:t>
            </w:r>
          </w:p>
        </w:tc>
      </w:tr>
      <w:tr w14:paraId="2080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18F58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3ABF4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888ADE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620E5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49A8CB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4，质量：≤29kg。</w:t>
            </w:r>
          </w:p>
        </w:tc>
      </w:tr>
      <w:tr w14:paraId="1B20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D4152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A57AC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D8BF8B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F0C26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3A3CB5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5，单输出模式时可设置为倍速模式，工作效率为双输出时的两倍，提供相关证明材料。</w:t>
            </w:r>
          </w:p>
        </w:tc>
      </w:tr>
      <w:tr w14:paraId="58657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0ECE4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B7370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6FAED9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0A1F9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122BE6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6，配备专用单接口软管2根（5米一根）。</w:t>
            </w:r>
          </w:p>
        </w:tc>
      </w:tr>
      <w:tr w14:paraId="7F52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4B6D3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F16A1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763B18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4FE23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04DE85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 </w:t>
            </w:r>
          </w:p>
        </w:tc>
      </w:tr>
      <w:tr w14:paraId="361C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2EF68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598C4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41BD4E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DFAEB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4941D2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1，液压扩张器：符合GB/T17906-2021《液压破拆工具通用技术条件》标准的要求</w:t>
            </w:r>
          </w:p>
        </w:tc>
      </w:tr>
      <w:tr w14:paraId="0604A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EB338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161F2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4D2B83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610C1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515DE8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2,最大扩张力：≥270KN，最大牵引力≥75KN。</w:t>
            </w:r>
          </w:p>
        </w:tc>
      </w:tr>
      <w:tr w14:paraId="4D3D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830DE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C5C5F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F89F14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8D5F6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981DD3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3，扩张距离：≥650mm，</w:t>
            </w:r>
          </w:p>
        </w:tc>
      </w:tr>
      <w:tr w14:paraId="1583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8EC40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8BE35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1E2CF3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25C6D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222C11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4，重量：≤18kg。</w:t>
            </w:r>
          </w:p>
        </w:tc>
      </w:tr>
      <w:tr w14:paraId="767D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8C417A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69006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92829F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16B11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B6EFFD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5，单接口尾部无管设计，可带压操作，具有自动复位转向阀系统，扩张头采用防滑结构。</w:t>
            </w:r>
          </w:p>
        </w:tc>
      </w:tr>
      <w:tr w14:paraId="2B17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88622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210BB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926313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40403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C46865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 </w:t>
            </w:r>
          </w:p>
        </w:tc>
      </w:tr>
      <w:tr w14:paraId="5B35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DEEDA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D1617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D9A7A5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648006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023742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1，液压剪切器：符合GB/T17906-2021《液压破拆工具通用技术条件》标准的要求</w:t>
            </w:r>
          </w:p>
        </w:tc>
      </w:tr>
      <w:tr w14:paraId="6BB9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7180B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F94EE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BBEF05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3D7A4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6BD158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2，开口距离：≥160mm</w:t>
            </w:r>
          </w:p>
        </w:tc>
      </w:tr>
      <w:tr w14:paraId="331B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58E84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105E1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CD8F01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5368B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045F9E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3，最大剪断能力（Q235材料）:≥ф35mm圆钢12mm厚度钢板，</w:t>
            </w:r>
          </w:p>
        </w:tc>
      </w:tr>
      <w:tr w14:paraId="5C9A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5CA30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E8FCF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B0ABB4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64AEA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C31CC8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4,剪切力≥800KN</w:t>
            </w:r>
          </w:p>
        </w:tc>
      </w:tr>
      <w:tr w14:paraId="6143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DCF70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E26935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9E75CE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BA688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044183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5，质量：≤14kg</w:t>
            </w:r>
          </w:p>
        </w:tc>
      </w:tr>
      <w:tr w14:paraId="6578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72776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86487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F646C9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54D31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74ED14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6，单接口尾部无管设计，可带压操作，具有自动复位转向阀系统，使用微型中央螺栓，可以在狭窄空间作业。</w:t>
            </w:r>
          </w:p>
        </w:tc>
      </w:tr>
      <w:tr w14:paraId="4788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67696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480B4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626BE0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6CEF4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318E05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 </w:t>
            </w:r>
          </w:p>
        </w:tc>
      </w:tr>
      <w:tr w14:paraId="78EB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EF45E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F52E3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4A5B49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84FE5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B34AC6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1，液压剪扩器：符合GB/T17906-2021《液压破拆工具通用技术条件》标准的要求</w:t>
            </w:r>
          </w:p>
        </w:tc>
      </w:tr>
      <w:tr w14:paraId="1673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D0674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7FD602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E84EA9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FD698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A8065A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2，扩张距离≥370mm</w:t>
            </w:r>
          </w:p>
        </w:tc>
      </w:tr>
      <w:tr w14:paraId="215A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ABC08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1F43F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311A8F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831FF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39C6EE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 最大扩张力：≥220KN</w:t>
            </w:r>
          </w:p>
        </w:tc>
      </w:tr>
      <w:tr w14:paraId="3014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E269B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559A0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BDF95F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1A9DA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9800E5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4，剪断能力（Q235材料）:≥ф35mm圆钢16mm厚度钢板</w:t>
            </w:r>
          </w:p>
        </w:tc>
      </w:tr>
      <w:tr w14:paraId="5459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5540D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674F5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84E2F9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383BEF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3C814C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5，质量：≤14kg。</w:t>
            </w:r>
          </w:p>
        </w:tc>
      </w:tr>
      <w:tr w14:paraId="5108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DA517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39699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FF984A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80E977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C572E0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6、单接口尾部无管设计，可带压操作，具有自动复位转向阀系统，使用微型中央螺栓，可以在狭窄空间作业。</w:t>
            </w:r>
          </w:p>
        </w:tc>
      </w:tr>
      <w:tr w14:paraId="4590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9E548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054A5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8EBC6C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D098F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754573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 </w:t>
            </w:r>
          </w:p>
        </w:tc>
      </w:tr>
      <w:tr w14:paraId="4977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8C4932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9D7FC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228649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F6197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8AB924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1，、液压撑顶器：符合GB/T17906-2021《液压破拆工具通用技术条件》标准的要求</w:t>
            </w:r>
          </w:p>
        </w:tc>
      </w:tr>
      <w:tr w14:paraId="042B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AB08C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4A80F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E660F6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6BA4B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D4629F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2，一级撑顶力：≥260KN，二级撑顶力≥120KN</w:t>
            </w:r>
          </w:p>
        </w:tc>
      </w:tr>
      <w:tr w14:paraId="278B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A3362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66B52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103FE2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A6EC8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BB5042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3，撑顶行程：第一级≥310，第二级≥285mm</w:t>
            </w:r>
          </w:p>
        </w:tc>
      </w:tr>
      <w:tr w14:paraId="49B5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72B8F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E33FE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FD9D9E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5326CE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A1E911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4，闭合距离≤462mm</w:t>
            </w:r>
          </w:p>
        </w:tc>
      </w:tr>
      <w:tr w14:paraId="4F73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B3A881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48800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78853C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4B7F7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80EADA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5，质量：≤15kg。</w:t>
            </w:r>
          </w:p>
        </w:tc>
      </w:tr>
      <w:tr w14:paraId="0E27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26347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75219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6898BA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FEB0F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C10ADE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6.，单接口设计，可带压操作，具有自动复位转向阀系统，锁扣式防滑支撑头，可根据被支撑物体的外形做任意角度的旋转。</w:t>
            </w:r>
          </w:p>
        </w:tc>
      </w:tr>
      <w:tr w14:paraId="00E4B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B68F4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4FAFA1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765EFC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7CD5BF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F78745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 </w:t>
            </w:r>
          </w:p>
        </w:tc>
      </w:tr>
      <w:tr w14:paraId="1967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FAFC2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274CF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9850DF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E8DE5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F6E2E3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1.液压手动泵：符合GB/T17906-2021《液压破拆工具通用技术条件》标准的要求。</w:t>
            </w:r>
          </w:p>
        </w:tc>
      </w:tr>
      <w:tr w14:paraId="1F96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51444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FE168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772BA6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5C44DB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775235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2，额定工作压力：≥72MPa。</w:t>
            </w:r>
          </w:p>
        </w:tc>
      </w:tr>
      <w:tr w14:paraId="3AF2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CA8D9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AD619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5CFC96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98EEB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E005DB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3，质量：≤7kg。</w:t>
            </w:r>
          </w:p>
        </w:tc>
      </w:tr>
      <w:tr w14:paraId="3A1F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B4E2B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EBC17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3365F3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9065E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B1BCAB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4、单接口设计，可带压操作，高压输出流量：≥1.5 ml/次，低压流量：≥12 ml / 次，液压油油箱容量：≥1.5L，手柄力：≤300 N。</w:t>
            </w:r>
          </w:p>
        </w:tc>
      </w:tr>
      <w:tr w14:paraId="5570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18E25A4">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40</w:t>
            </w: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46B2BA">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550061B0">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机动链锯</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AC02001">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6AC2901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1.气缸排量≥50.2cm³</w:t>
            </w:r>
          </w:p>
        </w:tc>
      </w:tr>
      <w:tr w14:paraId="6AD3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E88E8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786C6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89559B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EF398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EE0E72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2.功率≥2.4 kW</w:t>
            </w:r>
          </w:p>
        </w:tc>
      </w:tr>
      <w:tr w14:paraId="27FC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D3DFC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58161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A5D93A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4F519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2FF477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3.怠速≥2700 rpm</w:t>
            </w:r>
          </w:p>
        </w:tc>
      </w:tr>
      <w:tr w14:paraId="1086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18A6C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7E2F5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E469EC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957FD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BE105D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4.最高功率转速≥9000 rpm</w:t>
            </w:r>
          </w:p>
        </w:tc>
      </w:tr>
      <w:tr w14:paraId="2C1A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ABDB5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37E82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5E5945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56A0E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D7539B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5.气缸（活塞缸）直径≥44 mm</w:t>
            </w:r>
          </w:p>
        </w:tc>
      </w:tr>
      <w:tr w14:paraId="5BB8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F763B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6F1A3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02A381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82A05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822ED8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6.活塞行程≥33 mm</w:t>
            </w:r>
          </w:p>
        </w:tc>
      </w:tr>
      <w:tr w14:paraId="43C8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E80CD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2F62E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D7D35E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28A4C1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CC1A56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7.火花塞： NGK BPMR7A</w:t>
            </w:r>
          </w:p>
        </w:tc>
      </w:tr>
      <w:tr w14:paraId="16C4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21BD1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275DA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EE759A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C39F2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2FE83B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8.燃油箱容量≥0.45 升</w:t>
            </w:r>
          </w:p>
        </w:tc>
      </w:tr>
      <w:tr w14:paraId="46D1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2DC1B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9B3AF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B238E6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4F132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319624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9.链条润滑油箱容量≥0.26 升</w:t>
            </w:r>
          </w:p>
        </w:tc>
      </w:tr>
      <w:tr w14:paraId="428E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DFAE2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C2285A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85F38C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8C822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E989B4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10.导板长度≥45 cm</w:t>
            </w:r>
          </w:p>
        </w:tc>
      </w:tr>
      <w:tr w14:paraId="3B12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19E25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EAFA6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3B8E34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1138A0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1370F3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11.最大功率时的链条速度≥15 m/s</w:t>
            </w:r>
          </w:p>
        </w:tc>
      </w:tr>
      <w:tr w14:paraId="71D4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18E88B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186E1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6537FE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B2917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D4335E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12.重量（不包括切割设备）≤4.9kg</w:t>
            </w:r>
          </w:p>
        </w:tc>
      </w:tr>
      <w:tr w14:paraId="3739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A337E0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DCDE8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CA6206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9FE34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noWrap/>
            <w:vAlign w:val="center"/>
          </w:tcPr>
          <w:p w14:paraId="0B3C5B22">
            <w:pPr>
              <w:rPr>
                <w:rFonts w:hint="eastAsia" w:ascii="宋体" w:hAnsi="宋体" w:eastAsia="宋体" w:cs="宋体"/>
                <w:i w:val="0"/>
                <w:iCs w:val="0"/>
                <w:color w:val="000000"/>
                <w:sz w:val="24"/>
                <w:szCs w:val="24"/>
                <w:u w:val="none"/>
              </w:rPr>
            </w:pPr>
          </w:p>
        </w:tc>
      </w:tr>
      <w:tr w14:paraId="5DAE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92D90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90711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95741E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3892E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34D0772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p>
        </w:tc>
      </w:tr>
      <w:tr w14:paraId="43C9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9E43800">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41</w:t>
            </w:r>
          </w:p>
        </w:tc>
        <w:tc>
          <w:tcPr>
            <w:tcW w:w="1155" w:type="dxa"/>
            <w:vMerge w:val="restart"/>
            <w:tcBorders>
              <w:top w:val="nil"/>
              <w:left w:val="single" w:color="000000" w:sz="8" w:space="0"/>
              <w:bottom w:val="single" w:color="000000" w:sz="8" w:space="0"/>
              <w:right w:val="single" w:color="000000" w:sz="8" w:space="0"/>
            </w:tcBorders>
            <w:shd w:val="clear" w:color="auto" w:fill="auto"/>
            <w:vAlign w:val="center"/>
          </w:tcPr>
          <w:p w14:paraId="7BA4E64C">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救生器材</w:t>
            </w: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30F019EC">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消防过滤式自救呼吸器</w:t>
            </w:r>
          </w:p>
        </w:tc>
        <w:tc>
          <w:tcPr>
            <w:tcW w:w="938" w:type="dxa"/>
            <w:vMerge w:val="restart"/>
            <w:tcBorders>
              <w:top w:val="nil"/>
              <w:left w:val="single" w:color="000000" w:sz="8" w:space="0"/>
              <w:bottom w:val="single" w:color="000000" w:sz="8" w:space="0"/>
              <w:right w:val="single" w:color="000000" w:sz="8" w:space="0"/>
            </w:tcBorders>
            <w:shd w:val="clear" w:color="auto" w:fill="auto"/>
            <w:vAlign w:val="center"/>
          </w:tcPr>
          <w:p w14:paraId="0E1AEB2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30</w:t>
            </w:r>
          </w:p>
        </w:tc>
        <w:tc>
          <w:tcPr>
            <w:tcW w:w="6138" w:type="dxa"/>
            <w:tcBorders>
              <w:top w:val="nil"/>
              <w:left w:val="single" w:color="000000" w:sz="8" w:space="0"/>
              <w:bottom w:val="nil"/>
              <w:right w:val="single" w:color="000000" w:sz="8" w:space="0"/>
            </w:tcBorders>
            <w:shd w:val="clear" w:color="auto" w:fill="auto"/>
            <w:vAlign w:val="center"/>
          </w:tcPr>
          <w:p w14:paraId="2E6C8D2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一、整体要求</w:t>
            </w:r>
          </w:p>
        </w:tc>
      </w:tr>
      <w:tr w14:paraId="1F91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5D8C2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D2FEDB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04D993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62EB29C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605EA7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符合GB21976.7-2012《建筑火灾逃生避难器材 第7部分：过滤式消防自救呼吸器》标准要求。</w:t>
            </w:r>
          </w:p>
        </w:tc>
      </w:tr>
      <w:tr w14:paraId="79FF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3A2F18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454406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283FEE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5635B25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45C173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二、性能要求</w:t>
            </w:r>
          </w:p>
        </w:tc>
      </w:tr>
      <w:tr w14:paraId="58E7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44744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3C262E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67200C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0BC88EB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8ACAA6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1、防护时间：≥30分钟（在氧气浓度≥17%的环境下使用）</w:t>
            </w:r>
          </w:p>
        </w:tc>
      </w:tr>
      <w:tr w14:paraId="5C3AC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79B13E7">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8D5783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0EB158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488947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90060B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2、防护性能:</w:t>
            </w:r>
          </w:p>
        </w:tc>
      </w:tr>
      <w:tr w14:paraId="76D6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C0D440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05F4E9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5A8C01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6BE14B1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4462EF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（1）—氧化碳防护性能</w:t>
            </w:r>
          </w:p>
        </w:tc>
      </w:tr>
      <w:tr w14:paraId="25AD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30B81B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66D9AB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0B8CC9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6C5F875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B00C4E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在额定防护时间内，任何单个5min过程中，一氧化碳透过浓度的时间加权平均值不应大于200mL/m³，吸气温度不应大于65°C，吸气阻力不应大于800Pa，呼气阻力不应大于300 Pa；</w:t>
            </w:r>
          </w:p>
        </w:tc>
      </w:tr>
      <w:tr w14:paraId="728E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0A3AD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F9BC86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D454EB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C57262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FB5147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★（2）滤烟性能≥95%。</w:t>
            </w:r>
          </w:p>
        </w:tc>
      </w:tr>
      <w:tr w14:paraId="0777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156D52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3F5D8F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54DFE2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17E8E7C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3DFA69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3、防护头罩：</w:t>
            </w:r>
          </w:p>
        </w:tc>
      </w:tr>
      <w:tr w14:paraId="6631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8351A6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AE30C2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0B84DC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70BCF28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0E93E7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（1）眼区漏气系数：≤20％；</w:t>
            </w:r>
          </w:p>
        </w:tc>
      </w:tr>
      <w:tr w14:paraId="70D5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E685AA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B231BD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19BDE2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6A48718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D5D121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（2）呼吸区漏气系数：≤5％；</w:t>
            </w:r>
          </w:p>
        </w:tc>
      </w:tr>
      <w:tr w14:paraId="393A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C17EA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7464318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B431A7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4436664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53435A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★（3）总视野：≥70％；</w:t>
            </w:r>
          </w:p>
        </w:tc>
      </w:tr>
      <w:tr w14:paraId="5916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07F476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0A8184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091114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1A4AF2A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7DF9A5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（4）双目视野：≥55％；</w:t>
            </w:r>
          </w:p>
        </w:tc>
      </w:tr>
      <w:tr w14:paraId="566C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07F339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667FD8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F2D159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01A1425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476173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（5）下方视野：≥35°；</w:t>
            </w:r>
          </w:p>
        </w:tc>
      </w:tr>
      <w:tr w14:paraId="5601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D7B156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BDF0FD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F558FA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483AEFB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1D7FAD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（6）吸入气体中的CO2含量：≤2％；</w:t>
            </w:r>
          </w:p>
        </w:tc>
      </w:tr>
      <w:tr w14:paraId="7577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B7F87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3EA4BD9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BD4431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476ECA4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04FA285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（7）透光率：≥85％。</w:t>
            </w:r>
          </w:p>
        </w:tc>
      </w:tr>
      <w:tr w14:paraId="0CAB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0E0145E7">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42</w:t>
            </w: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5EB1991">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0C0912CC">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救生缓降器</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497B86CA">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7CFE0F7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符合GB 21976.2-2012《建筑火灾逃生避难器材 第2部分：逃生缓降器》标准。该逃生缓降器是一种往复式高楼自救装置，一台产品可在短时间内连续使用救助多人及财物，只需自身重力，无需其它辅助动力、器械，安全平稳缓降至地面，缓降绳索采用航空用钢丝绳，阻燃、耐磨、强度高。</w:t>
            </w:r>
          </w:p>
        </w:tc>
      </w:tr>
      <w:tr w14:paraId="5A0B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2969B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38EBBE7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EC1E4D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A4E647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138619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由安全钩、安全带、绳索、调速器、金属连接件、及绳索卷盘组成。</w:t>
            </w:r>
          </w:p>
        </w:tc>
      </w:tr>
      <w:tr w14:paraId="0492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2690B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BFDC17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107AAA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389E7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E2E8CB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1.钢丝绳索直径：≥3mm；</w:t>
            </w:r>
          </w:p>
        </w:tc>
      </w:tr>
      <w:tr w14:paraId="0DCE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02C784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A9761C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8EA215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9AAEEE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D11F3E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2.安全带长：1200-1800mm，宽：40-80mm, 厚：1-3mm；</w:t>
            </w:r>
          </w:p>
        </w:tc>
      </w:tr>
      <w:tr w14:paraId="550F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4BCB55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F19EDF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20B9EE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D42897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14C9AEC">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3.使用最高高度：≥30m</w:t>
            </w:r>
          </w:p>
        </w:tc>
      </w:tr>
      <w:tr w14:paraId="614B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9786AA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7981A5D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80D4F3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3B7D0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D1128B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4.每次限载人数：1个</w:t>
            </w:r>
          </w:p>
        </w:tc>
      </w:tr>
      <w:tr w14:paraId="4EBF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4FBA5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1C6240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66124F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34F421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EB289C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5.安全钩：由金属制成，并设有防止误开启的保险装置，保险装置应锁止可靠。</w:t>
            </w:r>
          </w:p>
        </w:tc>
      </w:tr>
      <w:tr w14:paraId="499A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6CFBC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3FF93E3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0D8845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A7F60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2DAFE6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6.缓降速度：0．16-1．5m/s</w:t>
            </w:r>
          </w:p>
        </w:tc>
      </w:tr>
      <w:tr w14:paraId="64AC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D0C3D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C67348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87F1D9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7FE71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742B512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p>
        </w:tc>
      </w:tr>
      <w:tr w14:paraId="71FE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342D609">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43</w:t>
            </w: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5C61116">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23B850C8">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支撑保护套具</w:t>
            </w:r>
          </w:p>
        </w:tc>
        <w:tc>
          <w:tcPr>
            <w:tcW w:w="938" w:type="dxa"/>
            <w:vMerge w:val="restart"/>
            <w:tcBorders>
              <w:top w:val="nil"/>
              <w:left w:val="single" w:color="000000" w:sz="8" w:space="0"/>
              <w:bottom w:val="single" w:color="000000" w:sz="8" w:space="0"/>
              <w:right w:val="single" w:color="000000" w:sz="8" w:space="0"/>
            </w:tcBorders>
            <w:shd w:val="clear" w:color="auto" w:fill="auto"/>
            <w:vAlign w:val="center"/>
          </w:tcPr>
          <w:p w14:paraId="4B67E66C">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055868A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1#气动支撑柱，气动工作压力：≥8bar，手动锁定，收缩长度：≥908mm，伸展长度：≥1308mm重量：≤9.5kg，静态支撑力：≥26T。</w:t>
            </w:r>
          </w:p>
        </w:tc>
      </w:tr>
      <w:tr w14:paraId="1C2F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907952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D84F53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C9ADDE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0CBB194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AFD21F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2#气动支撑柱，气动工作压力：≥8bar，手动锁定，收缩长度：≥1808mm，伸展长度：≥2608mm重量：≤15.3kg，静态支撑力：≥26T。3根。</w:t>
            </w:r>
          </w:p>
        </w:tc>
      </w:tr>
      <w:tr w14:paraId="79C89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819DD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2200DC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8AE43B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5A8E849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DB4946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液压支撑柱 ，液压工作压力：≥630bar，手动锁定，收缩长度：≥538mm，伸展长度：≥788mm重量：≤6.1kg，顶升力：≥12T静态支撑力：≥26T。2根。</w:t>
            </w:r>
          </w:p>
        </w:tc>
      </w:tr>
      <w:tr w14:paraId="35A2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A11A3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1F87D4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B5C5A9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542AE0D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354778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1#延长柱，重量：≤1.2kg，≥150mm，2根。</w:t>
            </w:r>
          </w:p>
        </w:tc>
      </w:tr>
      <w:tr w14:paraId="13A9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3C0E69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2873A5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3335B3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4C90145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42BC85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2#延长柱，重量：≤2kg，≥300mm，2根。</w:t>
            </w:r>
          </w:p>
        </w:tc>
      </w:tr>
      <w:tr w14:paraId="6943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786A8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EA566A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4DDBE7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1B032F6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583648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3#延长柱，重量：≤2.7kg，≥500mm，2根。</w:t>
            </w:r>
          </w:p>
        </w:tc>
      </w:tr>
      <w:tr w14:paraId="3735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E7DDE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311337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7C99A3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57B2373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CFC90D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U形管道横梁支撑端头，带固定孔，重量：≤0.6kg，150*100*110mm，2件。</w:t>
            </w:r>
          </w:p>
        </w:tc>
      </w:tr>
      <w:tr w14:paraId="08FD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57F3A4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3E4A66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DF760B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427594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7A48BC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L形横梁支撑端头，带固定孔，重量：≤0.7kg，150*100*110mm，2件。</w:t>
            </w:r>
          </w:p>
        </w:tc>
      </w:tr>
      <w:tr w14:paraId="1502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DF63F7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F755AE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A5B58A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7CF13DF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65E8FD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牵引底座（45度摇摆式底座），用于任意角度旋转支撑，重量：≤2kg，150*150*120mm，3件。</w:t>
            </w:r>
          </w:p>
        </w:tc>
      </w:tr>
      <w:tr w14:paraId="2B9B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9273A4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C0C69A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0EBAFF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7149DF7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65AE9E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带钩的牵引器，重量：≤1.4kg，负荷≥10kN，2组。</w:t>
            </w:r>
          </w:p>
        </w:tc>
      </w:tr>
      <w:tr w14:paraId="4228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D42CB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637489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730F3C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046081F5">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8C5084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八角底座（木块专用底座），带固定孔，重量：≤2.5kg，（150*150*60mm）±3mm，4件 。</w:t>
            </w:r>
          </w:p>
        </w:tc>
      </w:tr>
      <w:tr w14:paraId="71C6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4D9C3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83BB33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016C6A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4E27C8E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311602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菱形顶撑端头，用于多种表面，重量：≤1.5kg，（65*65*120mm）±3mm，2件。</w:t>
            </w:r>
          </w:p>
        </w:tc>
      </w:tr>
      <w:tr w14:paraId="4BC0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75A79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7DFEC9A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BBD973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601CF9A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8B47CB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V形带尖端头，主要用于车辆的固定及支撑救援。2件。</w:t>
            </w:r>
          </w:p>
        </w:tc>
      </w:tr>
      <w:tr w14:paraId="02D1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64C42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C4CCCB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9DCBAB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0D9DCC9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464D13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平地支撑底座，圆形平面，带防滑槽，（85*85*60mm）±3mm，重量：≤0.5kg，4件。</w:t>
            </w:r>
          </w:p>
        </w:tc>
      </w:tr>
      <w:tr w14:paraId="17D9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C7D65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39F6A3C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1D0939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42EC012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F14D4E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圆形带锥底座，主要用于松软地面，（85*85*80mm）±3mm，重量：≤0.6kg，4件。</w:t>
            </w:r>
          </w:p>
        </w:tc>
      </w:tr>
      <w:tr w14:paraId="2DA0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486DAD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DB4817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5A3A09C">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51D9E3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62D57E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锲形支撑头，（65*65*170mm）±3mm，重量：≤0.95kg，2件。</w:t>
            </w:r>
          </w:p>
        </w:tc>
      </w:tr>
      <w:tr w14:paraId="7CF9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435400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CCC004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588B682">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1AD3206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D24E92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勾型扳手，可对支撑杆进行二次锁紧和微调，2件。</w:t>
            </w:r>
          </w:p>
        </w:tc>
      </w:tr>
      <w:tr w14:paraId="14B9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A2127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80CDC2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C5B2E0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A3E0E4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F7C8FF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脚踏充气泵，重量：≤2.16kg，（350*130*80mm）±3mm，1件。</w:t>
            </w:r>
          </w:p>
        </w:tc>
      </w:tr>
      <w:tr w14:paraId="56C4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8D05D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7617C13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28BABB1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55A50B3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2E311F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5米管气管，重量：≤1.4kg，≥Ø17.3*5000mm，1根。</w:t>
            </w:r>
          </w:p>
        </w:tc>
      </w:tr>
      <w:tr w14:paraId="457B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B8DD10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6C40F8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A24837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BFCEB7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20EB92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三角架顶板，用于重型三角架的组装，含滑轮1件，1套。</w:t>
            </w:r>
          </w:p>
        </w:tc>
      </w:tr>
      <w:tr w14:paraId="4F25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DE5B4E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4AC419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84F291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43B3C80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14EFB6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手动绞盘含底座，绳索长度30米，含绞盘底座 ，1套。</w:t>
            </w:r>
          </w:p>
        </w:tc>
      </w:tr>
      <w:tr w14:paraId="4080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FBC0C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21FF42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F83A25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7B9646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0D6655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连接链条，用于重型三角架的固定，长度6米，1根。</w:t>
            </w:r>
          </w:p>
        </w:tc>
      </w:tr>
      <w:tr w14:paraId="2FDA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63499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961845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915217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6D984B8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AC9BE4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手动液压泵，输出压力63Mpa，1套。</w:t>
            </w:r>
          </w:p>
        </w:tc>
      </w:tr>
      <w:tr w14:paraId="4FB3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FA97B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BD928D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5823FE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49EAE34A">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60C6B09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2米液压油管，1根。</w:t>
            </w:r>
          </w:p>
        </w:tc>
      </w:tr>
      <w:tr w14:paraId="78DA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6C27F7B1">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44</w:t>
            </w: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879057F">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10A6630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稳固保护附件</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5A6661ED">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1EE89FC8">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1.整体要求：整套附件包含垫块套组、牵拉链条、气囊保护罩、锐边保护罩和轻型支撑杆。</w:t>
            </w:r>
          </w:p>
        </w:tc>
      </w:tr>
      <w:tr w14:paraId="2847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9891F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82F875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5BD8C8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D87464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5FC3A06">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支撑垫块组套用于救援中稳定车辆和支撑负荷，还可与起重气垫配合使用以保持物体稳定，避免救援时发生挪动等危险情况。垫块和楔块可叠放，垫块可锁定并保持稳定。含4垫块约（230*230*25mm）、4垫块约（230*230*50mm）、4垫块约（230*230*75mm）、4楔块约（230*75*80mm）、4楔块约（230*150*80mm）。</w:t>
            </w:r>
          </w:p>
        </w:tc>
      </w:tr>
      <w:tr w14:paraId="6908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3FCD0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7CB0EC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B4B1ED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21346F">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43F9C28">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3.牵拉链条由挂钩、连接器和锁链组成,链条长度约为2*2m。</w:t>
            </w:r>
          </w:p>
        </w:tc>
      </w:tr>
      <w:tr w14:paraId="5F61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0B71EC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9F1B53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C36DA5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066F1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3D72A25">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4.气囊保护罩包含驾驶侧和副驾驶侧保护罩。驾驶侧尺寸约：380x 290x100mm；副驾驶侧尺寸约：750x250x150mm。</w:t>
            </w:r>
          </w:p>
        </w:tc>
      </w:tr>
      <w:tr w14:paraId="3101E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94CBB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EDF938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EED476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23E0801">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C85A9C9">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5.锐边保护罩可以被放置在被切割过的位置，像A、B、C柱处，尼龙粘扣带固定；也可以通过磁力固定在车身的任何地方，像挡泥板上或者车顶区以隔离锋利的碎片。保护罩组套(小组套）包含 1个大保护毯（尺寸约：165x65）, 1个小保护毯（尺寸约：65x65）；2个保护罩（尺寸约：30x35）。</w:t>
            </w:r>
          </w:p>
        </w:tc>
      </w:tr>
      <w:tr w14:paraId="77BB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80BCC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9F4128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7243E1A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A99D06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2E840584">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6.轻型支撑杆回缩长度约1000mm，行程约750mm，伸出总长约1800mm，安全系数5:1。</w:t>
            </w:r>
          </w:p>
        </w:tc>
      </w:tr>
      <w:tr w14:paraId="54EC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3B1EE354">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45</w:t>
            </w: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DB5310C">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6B3903D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救生照明线</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0477982C">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2706DDC1">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符合 GB26783-2011《消防救生照明线》标准。</w:t>
            </w:r>
          </w:p>
        </w:tc>
      </w:tr>
      <w:tr w14:paraId="12BC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B571F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DCD720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99A7B0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C7099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581D8E4">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1.线体采用高亮LED发光源，可缠绕使用，可双端切换：常亮/慢闪/快闪/呼吸灯4种工作模式。</w:t>
            </w:r>
          </w:p>
        </w:tc>
      </w:tr>
      <w:tr w14:paraId="7DB9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5D587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91D2DB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114EBB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D4512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02D938E">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2.对外供电，USB×2、Type-C×1.支持 QC3.0、PD快充。</w:t>
            </w:r>
          </w:p>
        </w:tc>
      </w:tr>
      <w:tr w14:paraId="78E7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69C1E7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18577E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90741B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D522CA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9775C98">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3.一体化设计，实用便携。</w:t>
            </w:r>
          </w:p>
        </w:tc>
      </w:tr>
      <w:tr w14:paraId="40B7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DA143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2966458">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72DA67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A60ED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2671424">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4.线体柔软耐高低温，可反复折叠、剪接、不影响其性能。</w:t>
            </w:r>
          </w:p>
        </w:tc>
      </w:tr>
      <w:tr w14:paraId="7093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4F376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92A9205">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1F6399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6115B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8B7A48C">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5.有红绿LED高亮导向标识，人员可以按指示自由进出。</w:t>
            </w:r>
          </w:p>
        </w:tc>
      </w:tr>
      <w:tr w14:paraId="7342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EB51D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FC0B7F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A4093C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A2B4A6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2F3C79F">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6.线盘有高亮红色方位指示灯功能，便于找回。</w:t>
            </w:r>
          </w:p>
        </w:tc>
      </w:tr>
      <w:tr w14:paraId="3846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79D91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CEAA47A">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4B2FEE6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E9C56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1A35FD6">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7.支持电池电压、百分比电量双显示。</w:t>
            </w:r>
          </w:p>
        </w:tc>
      </w:tr>
      <w:tr w14:paraId="3FB1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5AE5B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61CC8D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3FD92D6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FA953D">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58A89DE">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8.线体发光性能和阻燃效果很好，燃烧阻燃等级：V-0。</w:t>
            </w:r>
          </w:p>
        </w:tc>
      </w:tr>
      <w:tr w14:paraId="1CDC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77F747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EE94C8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64FB2D5">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8067B87">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9C1E448">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9.电源：22.2V/4Ah，工作电压：22.2V,工作电流：＜0.5A，充电电压：25.2V,充电时间≤3小时,对外供电协议：QC3.0+PD， 常亮使用时间≥8小时，闪烁使用时间≥16小时，线体长度≥100m，发光亮度：≥140cd/m2，线体质量≤7.5kg</w:t>
            </w:r>
          </w:p>
        </w:tc>
      </w:tr>
      <w:tr w14:paraId="360C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8693F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7CA7750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C4533B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16DEA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02B75DFC">
            <w:pPr>
              <w:keepNext w:val="0"/>
              <w:keepLines w:val="0"/>
              <w:widowControl/>
              <w:suppressLineNumbers w:val="0"/>
              <w:jc w:val="both"/>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10.线体拉力：≥300N,线体最高表面温度：≤30℃。</w:t>
            </w:r>
          </w:p>
        </w:tc>
      </w:tr>
      <w:tr w14:paraId="45DDE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B50DF2B">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46</w:t>
            </w: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1469D12">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vAlign w:val="center"/>
          </w:tcPr>
          <w:p w14:paraId="4F5FF04A">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消防移动储水装置</w:t>
            </w:r>
          </w:p>
        </w:tc>
        <w:tc>
          <w:tcPr>
            <w:tcW w:w="938" w:type="dxa"/>
            <w:vMerge w:val="restart"/>
            <w:tcBorders>
              <w:top w:val="nil"/>
              <w:left w:val="single" w:color="000000" w:sz="8" w:space="0"/>
              <w:bottom w:val="single" w:color="000000" w:sz="8" w:space="0"/>
              <w:right w:val="single" w:color="000000" w:sz="8" w:space="0"/>
            </w:tcBorders>
            <w:shd w:val="clear" w:color="auto" w:fill="auto"/>
            <w:noWrap/>
            <w:vAlign w:val="center"/>
          </w:tcPr>
          <w:p w14:paraId="73FDF60D">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05B63F9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1、符合XF1204-2014《移动式消防储水装置 》标准；</w:t>
            </w:r>
          </w:p>
        </w:tc>
      </w:tr>
      <w:tr w14:paraId="0D839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74B7DA">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82EDA9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585ED67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B14E3D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836354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2、材料为 PVC 涂层气密布或同等质量材料，抗穿刺力≥950N；</w:t>
            </w:r>
          </w:p>
        </w:tc>
      </w:tr>
      <w:tr w14:paraId="7013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C8465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3134055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AEAC10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C9EA430">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C16BE5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3、配有排水阀、阀门、开关、操纵手柄等功能部件；</w:t>
            </w:r>
          </w:p>
        </w:tc>
      </w:tr>
      <w:tr w14:paraId="62B0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71FB898">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11D937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6E84566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44477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9309D6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4、储液量 ≥5T；</w:t>
            </w:r>
          </w:p>
        </w:tc>
      </w:tr>
      <w:tr w14:paraId="26F4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70F76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3619AEE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1B2DF49F">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9AD69F8">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71F095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5、充气时间≤5min;</w:t>
            </w:r>
          </w:p>
        </w:tc>
      </w:tr>
      <w:tr w14:paraId="0F443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0B971B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04ADC82">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vAlign w:val="center"/>
          </w:tcPr>
          <w:p w14:paraId="084B297A">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40C2F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4938E45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6、具有永久性标志及产品数据标识；</w:t>
            </w:r>
          </w:p>
        </w:tc>
      </w:tr>
      <w:tr w14:paraId="485F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45ECA9BC">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47</w:t>
            </w: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B3C0113">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noWrap/>
            <w:vAlign w:val="center"/>
          </w:tcPr>
          <w:p w14:paraId="28E77EE6">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消防水带带压堵漏装置</w:t>
            </w:r>
          </w:p>
        </w:tc>
        <w:tc>
          <w:tcPr>
            <w:tcW w:w="938" w:type="dxa"/>
            <w:vMerge w:val="restart"/>
            <w:tcBorders>
              <w:top w:val="nil"/>
              <w:left w:val="single" w:color="000000" w:sz="8" w:space="0"/>
              <w:bottom w:val="single" w:color="000000" w:sz="8" w:space="0"/>
              <w:right w:val="single" w:color="000000" w:sz="8" w:space="0"/>
            </w:tcBorders>
            <w:shd w:val="clear" w:color="auto" w:fill="auto"/>
            <w:vAlign w:val="center"/>
          </w:tcPr>
          <w:p w14:paraId="3347EBBF">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w:t>
            </w:r>
          </w:p>
        </w:tc>
        <w:tc>
          <w:tcPr>
            <w:tcW w:w="6138" w:type="dxa"/>
            <w:tcBorders>
              <w:top w:val="nil"/>
              <w:left w:val="single" w:color="000000" w:sz="8" w:space="0"/>
              <w:bottom w:val="nil"/>
              <w:right w:val="single" w:color="000000" w:sz="8" w:space="0"/>
            </w:tcBorders>
            <w:shd w:val="clear" w:color="auto" w:fill="auto"/>
            <w:vAlign w:val="center"/>
          </w:tcPr>
          <w:p w14:paraId="5108ED4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用于水带发生破裂泄漏时采取的一种快速堵漏方式，使水带能正常使用，从而解决因水带泄漏引起的压力不足等问题，保障消防员及时有效地完成救援任务。</w:t>
            </w:r>
          </w:p>
        </w:tc>
      </w:tr>
      <w:tr w14:paraId="48C8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F9B4C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E7E5A10">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146FE4">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7A3F1F8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5931401">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本产品具有体积小、重量轻、操作简便、灵活可靠、方便携带等特点。该套装置分为抽芯铆钉式和捆绑式堵漏装置，可针对不同尺寸的泄漏口进行封堵。适用于各种规格的消防水带，是消防安全配套设施不可或缺的堵漏装备。</w:t>
            </w:r>
          </w:p>
        </w:tc>
      </w:tr>
      <w:tr w14:paraId="6502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F36716">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03DC2E3D">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14A1F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73171C9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2896430">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适用水带规格：65、80； </w:t>
            </w:r>
            <w:r>
              <w:rPr>
                <w:rStyle w:val="71"/>
                <w:lang w:val="en-US" w:eastAsia="zh-CN" w:bidi="ar"/>
              </w:rPr>
              <w:t xml:space="preserve"> </w:t>
            </w:r>
            <w:r>
              <w:rPr>
                <w:rFonts w:hint="eastAsia" w:ascii="华文中宋" w:hAnsi="华文中宋" w:eastAsia="华文中宋" w:cs="华文中宋"/>
                <w:i w:val="0"/>
                <w:iCs w:val="0"/>
                <w:color w:val="FF0000"/>
                <w:kern w:val="0"/>
                <w:sz w:val="21"/>
                <w:szCs w:val="21"/>
                <w:u w:val="none"/>
                <w:lang w:val="en-US" w:eastAsia="zh-CN" w:bidi="ar"/>
              </w:rPr>
              <w:t xml:space="preserve">       </w:t>
            </w:r>
          </w:p>
        </w:tc>
      </w:tr>
      <w:tr w14:paraId="6399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C40A38E">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4FE056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F47B06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71B00AE">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11EA64E">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堵漏压力：≤1.6MPa；</w:t>
            </w:r>
            <w:r>
              <w:rPr>
                <w:rFonts w:hint="eastAsia" w:ascii="华文中宋" w:hAnsi="华文中宋" w:eastAsia="华文中宋" w:cs="华文中宋"/>
                <w:i w:val="0"/>
                <w:iCs w:val="0"/>
                <w:color w:val="FF0000"/>
                <w:kern w:val="0"/>
                <w:sz w:val="21"/>
                <w:szCs w:val="21"/>
                <w:u w:val="none"/>
                <w:lang w:val="en-US" w:eastAsia="zh-CN" w:bidi="ar"/>
              </w:rPr>
              <w:t xml:space="preserve">     </w:t>
            </w:r>
          </w:p>
        </w:tc>
      </w:tr>
      <w:tr w14:paraId="6457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9A4401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3A23972C">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B2A78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6A461A9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335C64B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装箱配置包括但不限于：</w:t>
            </w:r>
          </w:p>
        </w:tc>
      </w:tr>
      <w:tr w14:paraId="06E8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1F6283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C42BF5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DE038C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06B7D6C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714FDB9">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单把拉铆枪 </w:t>
            </w:r>
            <w:r>
              <w:rPr>
                <w:rStyle w:val="71"/>
                <w:lang w:val="en-US" w:eastAsia="zh-CN" w:bidi="ar"/>
              </w:rPr>
              <w:t xml:space="preserve">         1把</w:t>
            </w:r>
          </w:p>
        </w:tc>
      </w:tr>
      <w:tr w14:paraId="16DD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63705A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1F5420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EA6318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CB21383">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959DC5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扩孔锥 </w:t>
            </w:r>
            <w:r>
              <w:rPr>
                <w:rStyle w:val="71"/>
                <w:lang w:val="en-US" w:eastAsia="zh-CN" w:bidi="ar"/>
              </w:rPr>
              <w:t xml:space="preserve">             1把</w:t>
            </w:r>
          </w:p>
        </w:tc>
      </w:tr>
      <w:tr w14:paraId="76F1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250A360">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134C732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57410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009F47E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C584B9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圆头抽芯铆钉 </w:t>
            </w:r>
            <w:r>
              <w:rPr>
                <w:rStyle w:val="71"/>
                <w:lang w:val="en-US" w:eastAsia="zh-CN" w:bidi="ar"/>
              </w:rPr>
              <w:t xml:space="preserve">       ≥20个</w:t>
            </w:r>
          </w:p>
        </w:tc>
      </w:tr>
      <w:tr w14:paraId="2F9B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B30E26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7CA146F">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7945D6">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D18C39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0094A13D">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 xml:space="preserve">水带堵漏工具 </w:t>
            </w:r>
            <w:r>
              <w:rPr>
                <w:rStyle w:val="71"/>
                <w:lang w:val="en-US" w:eastAsia="zh-CN" w:bidi="ar"/>
              </w:rPr>
              <w:t xml:space="preserve">       ≥4件</w:t>
            </w:r>
          </w:p>
        </w:tc>
      </w:tr>
      <w:tr w14:paraId="7CCF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0C8B75C6">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48</w:t>
            </w: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E86666E">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noWrap/>
            <w:vAlign w:val="center"/>
          </w:tcPr>
          <w:p w14:paraId="57268E71">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穿刺式破拆水枪</w:t>
            </w:r>
          </w:p>
        </w:tc>
        <w:tc>
          <w:tcPr>
            <w:tcW w:w="938" w:type="dxa"/>
            <w:vMerge w:val="restart"/>
            <w:tcBorders>
              <w:top w:val="nil"/>
              <w:left w:val="single" w:color="000000" w:sz="8" w:space="0"/>
              <w:bottom w:val="single" w:color="000000" w:sz="8" w:space="0"/>
              <w:right w:val="single" w:color="000000" w:sz="8" w:space="0"/>
            </w:tcBorders>
            <w:shd w:val="clear" w:color="auto" w:fill="auto"/>
            <w:vAlign w:val="center"/>
          </w:tcPr>
          <w:p w14:paraId="6B49C1F9">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w:t>
            </w:r>
          </w:p>
        </w:tc>
        <w:tc>
          <w:tcPr>
            <w:tcW w:w="6138" w:type="dxa"/>
            <w:tcBorders>
              <w:top w:val="nil"/>
              <w:left w:val="single" w:color="000000" w:sz="8" w:space="0"/>
              <w:bottom w:val="nil"/>
              <w:right w:val="single" w:color="000000" w:sz="8" w:space="0"/>
            </w:tcBorders>
            <w:shd w:val="clear" w:color="auto" w:fill="auto"/>
            <w:vAlign w:val="center"/>
          </w:tcPr>
          <w:p w14:paraId="729756A5">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可以进行穿刺障碍后喷雾灭火，水枪头部尖锐，可穿透 钢板、铝板、石膏板等材料进行灭火 ，枪头采用合金加硬处理材质。</w:t>
            </w:r>
          </w:p>
        </w:tc>
      </w:tr>
      <w:tr w14:paraId="1FA1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A13C2C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F709B87">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6BD0E3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E3F7394">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6C49738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1、穿刺水枪头可180°空间全覆盖喷射水雾；</w:t>
            </w:r>
          </w:p>
        </w:tc>
      </w:tr>
      <w:tr w14:paraId="1AE4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F9465FF">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0917B9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CEEB018">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60C45F1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704D6B7B">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2、接口公称通径：DN65；</w:t>
            </w:r>
          </w:p>
        </w:tc>
      </w:tr>
      <w:tr w14:paraId="64E5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D548A4">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78085139">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545FB69">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3F874B0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665731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3、额定压力：0.6Mpa；</w:t>
            </w:r>
          </w:p>
        </w:tc>
      </w:tr>
      <w:tr w14:paraId="62AD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4C100BC">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C16E70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0DA588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1668811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F1B8027">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4、工作压力范围：0.2-1.6Mpa；</w:t>
            </w:r>
          </w:p>
        </w:tc>
      </w:tr>
      <w:tr w14:paraId="1E9B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2529849">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AC9A4D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F6DAF21">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73CD40D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98F99F4">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5、流量：5L/S；</w:t>
            </w:r>
          </w:p>
        </w:tc>
      </w:tr>
      <w:tr w14:paraId="62EA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7CCA1D">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EF9A7D1">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9274B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6A8A01E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76E987D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6、射程：≥30M。</w:t>
            </w:r>
          </w:p>
        </w:tc>
      </w:tr>
      <w:tr w14:paraId="1783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restart"/>
            <w:tcBorders>
              <w:top w:val="nil"/>
              <w:left w:val="single" w:color="000000" w:sz="8" w:space="0"/>
              <w:bottom w:val="single" w:color="000000" w:sz="8" w:space="0"/>
              <w:right w:val="single" w:color="000000" w:sz="8" w:space="0"/>
            </w:tcBorders>
            <w:shd w:val="clear" w:color="auto" w:fill="auto"/>
            <w:noWrap/>
            <w:vAlign w:val="center"/>
          </w:tcPr>
          <w:p w14:paraId="6BB7E3D1">
            <w:pPr>
              <w:keepNext w:val="0"/>
              <w:keepLines w:val="0"/>
              <w:widowControl/>
              <w:suppressLineNumbers w:val="0"/>
              <w:jc w:val="righ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49</w:t>
            </w: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303037BF">
            <w:pPr>
              <w:jc w:val="center"/>
              <w:rPr>
                <w:rFonts w:hint="eastAsia" w:ascii="华文中宋" w:hAnsi="华文中宋" w:eastAsia="华文中宋" w:cs="华文中宋"/>
                <w:i w:val="0"/>
                <w:iCs w:val="0"/>
                <w:color w:val="000000"/>
                <w:sz w:val="21"/>
                <w:szCs w:val="21"/>
                <w:u w:val="none"/>
              </w:rPr>
            </w:pPr>
          </w:p>
        </w:tc>
        <w:tc>
          <w:tcPr>
            <w:tcW w:w="1386" w:type="dxa"/>
            <w:vMerge w:val="restart"/>
            <w:tcBorders>
              <w:top w:val="nil"/>
              <w:left w:val="single" w:color="000000" w:sz="8" w:space="0"/>
              <w:bottom w:val="single" w:color="000000" w:sz="8" w:space="0"/>
              <w:right w:val="single" w:color="000000" w:sz="8" w:space="0"/>
            </w:tcBorders>
            <w:shd w:val="clear" w:color="auto" w:fill="auto"/>
            <w:noWrap/>
            <w:vAlign w:val="center"/>
          </w:tcPr>
          <w:p w14:paraId="07E57228">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转角水枪</w:t>
            </w:r>
          </w:p>
        </w:tc>
        <w:tc>
          <w:tcPr>
            <w:tcW w:w="938" w:type="dxa"/>
            <w:vMerge w:val="restart"/>
            <w:tcBorders>
              <w:top w:val="nil"/>
              <w:left w:val="single" w:color="000000" w:sz="8" w:space="0"/>
              <w:bottom w:val="single" w:color="000000" w:sz="8" w:space="0"/>
              <w:right w:val="single" w:color="000000" w:sz="8" w:space="0"/>
            </w:tcBorders>
            <w:shd w:val="clear" w:color="auto" w:fill="auto"/>
            <w:vAlign w:val="center"/>
          </w:tcPr>
          <w:p w14:paraId="523E89B7">
            <w:pPr>
              <w:keepNext w:val="0"/>
              <w:keepLines w:val="0"/>
              <w:widowControl/>
              <w:suppressLineNumbers w:val="0"/>
              <w:jc w:val="center"/>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w:t>
            </w:r>
          </w:p>
        </w:tc>
        <w:tc>
          <w:tcPr>
            <w:tcW w:w="6138" w:type="dxa"/>
            <w:tcBorders>
              <w:top w:val="nil"/>
              <w:left w:val="single" w:color="000000" w:sz="8" w:space="0"/>
              <w:bottom w:val="nil"/>
              <w:right w:val="single" w:color="000000" w:sz="8" w:space="0"/>
            </w:tcBorders>
            <w:shd w:val="clear" w:color="auto" w:fill="auto"/>
            <w:vAlign w:val="center"/>
          </w:tcPr>
          <w:p w14:paraId="171DEA42">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具有直流、开花、穿刺等功能，适用于房顶、吊顶、烟囱、油烟道、阴沟、船舱及大型车辆等其他死角发生暗火火灾的扑救和喷射洒。不锈钢枪管能按要求在360度内旋转扑救喷射，能满足死角暗火喷射要求。</w:t>
            </w:r>
          </w:p>
        </w:tc>
      </w:tr>
      <w:tr w14:paraId="7B34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F51B81">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61E1013">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DDF04E">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7D45544C">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F280228">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1、进水口公称通径：DN65；</w:t>
            </w:r>
          </w:p>
        </w:tc>
      </w:tr>
      <w:tr w14:paraId="2436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97DAF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340AEE24">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911180">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292AB3A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09C816CF">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2、额定压力（MPa）：≤0.6；</w:t>
            </w:r>
          </w:p>
        </w:tc>
      </w:tr>
      <w:tr w14:paraId="63CBD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23A6613">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26B617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6BA9A3">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49A7C002">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540C05B3">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3、流量L/S：5L±8%；</w:t>
            </w:r>
          </w:p>
        </w:tc>
      </w:tr>
      <w:tr w14:paraId="46A8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61B7752">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2332E0FE">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20A1C0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35CCCFBB">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401397C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4、射程（m）：≥22（充直水柱）；</w:t>
            </w:r>
          </w:p>
        </w:tc>
      </w:tr>
      <w:tr w14:paraId="2C66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B633EA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5F0337B6">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B32C81D">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1B850FC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2414EDF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5、工作压力（MPa）：0.3-0.7；</w:t>
            </w:r>
          </w:p>
        </w:tc>
      </w:tr>
      <w:tr w14:paraId="50DF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9FBBBB">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4734478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EB8A927">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0D086D76">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nil"/>
              <w:right w:val="single" w:color="000000" w:sz="8" w:space="0"/>
            </w:tcBorders>
            <w:shd w:val="clear" w:color="auto" w:fill="auto"/>
            <w:vAlign w:val="center"/>
          </w:tcPr>
          <w:p w14:paraId="1D2B96D6">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6、喷雾角°：0-120°；</w:t>
            </w:r>
          </w:p>
        </w:tc>
      </w:tr>
      <w:tr w14:paraId="66DE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B03D675">
            <w:pPr>
              <w:jc w:val="right"/>
              <w:rPr>
                <w:rFonts w:hint="eastAsia" w:ascii="华文中宋" w:hAnsi="华文中宋" w:eastAsia="华文中宋" w:cs="华文中宋"/>
                <w:i w:val="0"/>
                <w:iCs w:val="0"/>
                <w:color w:val="000000"/>
                <w:sz w:val="21"/>
                <w:szCs w:val="21"/>
                <w:u w:val="none"/>
              </w:rPr>
            </w:pPr>
          </w:p>
        </w:tc>
        <w:tc>
          <w:tcPr>
            <w:tcW w:w="1155" w:type="dxa"/>
            <w:vMerge w:val="continue"/>
            <w:tcBorders>
              <w:top w:val="nil"/>
              <w:left w:val="single" w:color="000000" w:sz="8" w:space="0"/>
              <w:bottom w:val="single" w:color="000000" w:sz="8" w:space="0"/>
              <w:right w:val="single" w:color="000000" w:sz="8" w:space="0"/>
            </w:tcBorders>
            <w:shd w:val="clear" w:color="auto" w:fill="auto"/>
            <w:vAlign w:val="center"/>
          </w:tcPr>
          <w:p w14:paraId="68889B1B">
            <w:pPr>
              <w:jc w:val="center"/>
              <w:rPr>
                <w:rFonts w:hint="eastAsia" w:ascii="华文中宋" w:hAnsi="华文中宋" w:eastAsia="华文中宋" w:cs="华文中宋"/>
                <w:i w:val="0"/>
                <w:iCs w:val="0"/>
                <w:color w:val="000000"/>
                <w:sz w:val="21"/>
                <w:szCs w:val="21"/>
                <w:u w:val="none"/>
              </w:rPr>
            </w:pPr>
          </w:p>
        </w:tc>
        <w:tc>
          <w:tcPr>
            <w:tcW w:w="1386"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F2ADBCB">
            <w:pPr>
              <w:jc w:val="center"/>
              <w:rPr>
                <w:rFonts w:hint="eastAsia" w:ascii="华文中宋" w:hAnsi="华文中宋" w:eastAsia="华文中宋" w:cs="华文中宋"/>
                <w:i w:val="0"/>
                <w:iCs w:val="0"/>
                <w:color w:val="000000"/>
                <w:sz w:val="21"/>
                <w:szCs w:val="21"/>
                <w:u w:val="none"/>
              </w:rPr>
            </w:pPr>
          </w:p>
        </w:tc>
        <w:tc>
          <w:tcPr>
            <w:tcW w:w="938" w:type="dxa"/>
            <w:vMerge w:val="continue"/>
            <w:tcBorders>
              <w:top w:val="nil"/>
              <w:left w:val="single" w:color="000000" w:sz="8" w:space="0"/>
              <w:bottom w:val="single" w:color="000000" w:sz="8" w:space="0"/>
              <w:right w:val="single" w:color="000000" w:sz="8" w:space="0"/>
            </w:tcBorders>
            <w:shd w:val="clear" w:color="auto" w:fill="auto"/>
            <w:vAlign w:val="center"/>
          </w:tcPr>
          <w:p w14:paraId="488DAAB9">
            <w:pPr>
              <w:jc w:val="center"/>
              <w:rPr>
                <w:rFonts w:hint="eastAsia" w:ascii="华文中宋" w:hAnsi="华文中宋" w:eastAsia="华文中宋" w:cs="华文中宋"/>
                <w:i w:val="0"/>
                <w:iCs w:val="0"/>
                <w:color w:val="000000"/>
                <w:sz w:val="21"/>
                <w:szCs w:val="21"/>
                <w:u w:val="none"/>
              </w:rPr>
            </w:pPr>
          </w:p>
        </w:tc>
        <w:tc>
          <w:tcPr>
            <w:tcW w:w="6138" w:type="dxa"/>
            <w:tcBorders>
              <w:top w:val="nil"/>
              <w:left w:val="single" w:color="000000" w:sz="8" w:space="0"/>
              <w:bottom w:val="single" w:color="000000" w:sz="8" w:space="0"/>
              <w:right w:val="single" w:color="000000" w:sz="8" w:space="0"/>
            </w:tcBorders>
            <w:shd w:val="clear" w:color="auto" w:fill="auto"/>
            <w:vAlign w:val="center"/>
          </w:tcPr>
          <w:p w14:paraId="2C022BCA">
            <w:pPr>
              <w:keepNext w:val="0"/>
              <w:keepLines w:val="0"/>
              <w:widowControl/>
              <w:suppressLineNumbers w:val="0"/>
              <w:jc w:val="left"/>
              <w:textAlignment w:val="center"/>
              <w:rPr>
                <w:rFonts w:hint="eastAsia" w:ascii="华文中宋" w:hAnsi="华文中宋" w:eastAsia="华文中宋" w:cs="华文中宋"/>
                <w:i w:val="0"/>
                <w:iCs w:val="0"/>
                <w:color w:val="000000"/>
                <w:sz w:val="21"/>
                <w:szCs w:val="21"/>
                <w:u w:val="none"/>
              </w:rPr>
            </w:pPr>
            <w:r>
              <w:rPr>
                <w:rFonts w:hint="eastAsia" w:ascii="华文中宋" w:hAnsi="华文中宋" w:eastAsia="华文中宋" w:cs="华文中宋"/>
                <w:i w:val="0"/>
                <w:iCs w:val="0"/>
                <w:color w:val="000000"/>
                <w:kern w:val="0"/>
                <w:sz w:val="21"/>
                <w:szCs w:val="21"/>
                <w:u w:val="none"/>
                <w:lang w:val="en-US" w:eastAsia="zh-CN" w:bidi="ar"/>
              </w:rPr>
              <w:t>7、重量kg：≤3kg 。</w:t>
            </w:r>
          </w:p>
        </w:tc>
      </w:tr>
    </w:tbl>
    <w:p w14:paraId="0CBC7510">
      <w:pPr>
        <w:ind w:firstLine="721"/>
        <w:jc w:val="center"/>
        <w:rPr>
          <w:rFonts w:hint="eastAsia" w:ascii="华文中宋" w:hAnsi="华文中宋" w:eastAsia="华文中宋" w:cs="华文中宋"/>
          <w:b/>
          <w:bCs/>
          <w:sz w:val="36"/>
          <w:szCs w:val="36"/>
          <w:highlight w:val="none"/>
        </w:rPr>
      </w:pPr>
    </w:p>
    <w:p w14:paraId="5E04B906">
      <w:pP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 xml:space="preserve">说明： </w:t>
      </w:r>
    </w:p>
    <w:p w14:paraId="70E5D4B3">
      <w:pPr>
        <w:numPr>
          <w:ilvl w:val="0"/>
          <w:numId w:val="6"/>
        </w:numP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技术参数前加‘</w:t>
      </w:r>
      <w:r>
        <w:rPr>
          <w:rFonts w:hint="eastAsia" w:ascii="华文中宋" w:hAnsi="华文中宋" w:eastAsia="华文中宋" w:cs="华文中宋"/>
          <w:i w:val="0"/>
          <w:iCs w:val="0"/>
          <w:color w:val="000000"/>
          <w:kern w:val="0"/>
          <w:sz w:val="21"/>
          <w:szCs w:val="21"/>
          <w:u w:val="none"/>
          <w:lang w:val="en-US" w:eastAsia="zh-CN" w:bidi="ar"/>
        </w:rPr>
        <w:t>★</w:t>
      </w:r>
      <w:r>
        <w:rPr>
          <w:rFonts w:hint="eastAsia" w:ascii="华文中宋" w:hAnsi="华文中宋" w:eastAsia="华文中宋" w:cs="华文中宋"/>
          <w:szCs w:val="21"/>
          <w:highlight w:val="none"/>
        </w:rPr>
        <w:t>’号的参数指标为主要技术指标（符合性审查内容），</w:t>
      </w:r>
      <w:r>
        <w:rPr>
          <w:rFonts w:hint="eastAsia" w:ascii="华文中宋" w:hAnsi="华文中宋" w:eastAsia="华文中宋" w:cs="华文中宋"/>
          <w:szCs w:val="21"/>
          <w:highlight w:val="none"/>
          <w:lang w:val="en-US" w:eastAsia="zh-CN"/>
        </w:rPr>
        <w:t>投标人</w:t>
      </w:r>
      <w:r>
        <w:rPr>
          <w:rFonts w:hint="eastAsia" w:ascii="华文中宋" w:hAnsi="华文中宋" w:eastAsia="华文中宋" w:cs="华文中宋"/>
          <w:szCs w:val="21"/>
          <w:highlight w:val="none"/>
        </w:rPr>
        <w:t>所报价产品必须满足或优于这些指标；未加‘</w:t>
      </w:r>
      <w:r>
        <w:rPr>
          <w:rFonts w:hint="eastAsia" w:ascii="华文中宋" w:hAnsi="华文中宋" w:eastAsia="华文中宋" w:cs="华文中宋"/>
          <w:i w:val="0"/>
          <w:iCs w:val="0"/>
          <w:color w:val="000000"/>
          <w:kern w:val="0"/>
          <w:sz w:val="21"/>
          <w:szCs w:val="21"/>
          <w:u w:val="none"/>
          <w:lang w:val="en-US" w:eastAsia="zh-CN" w:bidi="ar"/>
        </w:rPr>
        <w:t>★</w:t>
      </w:r>
      <w:r>
        <w:rPr>
          <w:rFonts w:hint="eastAsia" w:ascii="华文中宋" w:hAnsi="华文中宋" w:eastAsia="华文中宋" w:cs="华文中宋"/>
          <w:szCs w:val="21"/>
          <w:highlight w:val="none"/>
        </w:rPr>
        <w:t>’号的参数指标为一般性技术指标（评分考量内容），</w:t>
      </w:r>
      <w:r>
        <w:rPr>
          <w:rFonts w:hint="eastAsia" w:ascii="华文中宋" w:hAnsi="华文中宋" w:eastAsia="华文中宋" w:cs="华文中宋"/>
          <w:szCs w:val="21"/>
          <w:highlight w:val="none"/>
          <w:lang w:val="en-US" w:eastAsia="zh-CN"/>
        </w:rPr>
        <w:t>投标人</w:t>
      </w:r>
      <w:r>
        <w:rPr>
          <w:rFonts w:hint="eastAsia" w:ascii="华文中宋" w:hAnsi="华文中宋" w:eastAsia="华文中宋" w:cs="华文中宋"/>
          <w:szCs w:val="21"/>
          <w:highlight w:val="none"/>
        </w:rPr>
        <w:t>所报价产品应尽量满足这些技术指标要求，若所报价产品不能满足一般性技术指标要求，</w:t>
      </w:r>
      <w:r>
        <w:rPr>
          <w:rFonts w:hint="eastAsia" w:ascii="华文中宋" w:hAnsi="华文中宋" w:eastAsia="华文中宋" w:cs="华文中宋"/>
          <w:szCs w:val="21"/>
          <w:highlight w:val="none"/>
          <w:lang w:val="en-US" w:eastAsia="zh-CN"/>
        </w:rPr>
        <w:t>专家</w:t>
      </w:r>
      <w:r>
        <w:rPr>
          <w:rFonts w:hint="eastAsia" w:ascii="华文中宋" w:hAnsi="华文中宋" w:eastAsia="华文中宋" w:cs="华文中宋"/>
          <w:szCs w:val="21"/>
          <w:highlight w:val="none"/>
        </w:rPr>
        <w:t>小组会将按照评审标准和评审方法对一般性技术指标响应情况进行扣分。</w:t>
      </w:r>
    </w:p>
    <w:p w14:paraId="6CC0A5DF">
      <w:pPr>
        <w:numPr>
          <w:ilvl w:val="0"/>
          <w:numId w:val="0"/>
        </w:numPr>
        <w:rPr>
          <w:rFonts w:hint="eastAsia" w:ascii="华文中宋" w:hAnsi="华文中宋" w:eastAsia="华文中宋" w:cs="华文中宋"/>
          <w:szCs w:val="21"/>
          <w:highlight w:val="none"/>
        </w:rPr>
      </w:pPr>
      <w:r>
        <w:rPr>
          <w:rFonts w:hint="eastAsia" w:ascii="华文中宋" w:hAnsi="华文中宋" w:eastAsia="华文中宋" w:cs="华文中宋"/>
          <w:szCs w:val="21"/>
          <w:highlight w:val="none"/>
        </w:rPr>
        <w:t>2、本次采购项目涵盖供货、组织协调、技术支持、安装、培训、调试、售后服务等各项费用，投标人须对此作出响应；</w:t>
      </w:r>
    </w:p>
    <w:p w14:paraId="6103F5E3">
      <w:pPr>
        <w:ind w:firstLine="721"/>
        <w:jc w:val="center"/>
        <w:rPr>
          <w:rFonts w:hint="eastAsia" w:ascii="华文中宋" w:hAnsi="华文中宋" w:eastAsia="华文中宋" w:cs="华文中宋"/>
          <w:b/>
          <w:bCs/>
          <w:sz w:val="36"/>
          <w:szCs w:val="36"/>
          <w:highlight w:val="yellow"/>
        </w:rPr>
        <w:sectPr>
          <w:pgSz w:w="11906" w:h="16838"/>
          <w:pgMar w:top="1247" w:right="1361" w:bottom="1247" w:left="1531" w:header="794" w:footer="992" w:gutter="0"/>
          <w:cols w:space="708" w:num="1"/>
          <w:docGrid w:type="lines" w:linePitch="312" w:charSpace="0"/>
        </w:sectPr>
      </w:pPr>
    </w:p>
    <w:p w14:paraId="5A66B285">
      <w:pPr>
        <w:ind w:firstLine="641"/>
        <w:jc w:val="center"/>
        <w:rPr>
          <w:rFonts w:hint="eastAsia" w:ascii="华文中宋" w:hAnsi="华文中宋" w:eastAsia="华文中宋" w:cs="华文中宋"/>
          <w:b/>
        </w:rPr>
      </w:pPr>
      <w:r>
        <w:rPr>
          <w:rFonts w:hint="eastAsia" w:ascii="华文中宋" w:hAnsi="华文中宋" w:eastAsia="华文中宋" w:cs="华文中宋"/>
          <w:b/>
          <w:bCs/>
          <w:spacing w:val="20"/>
          <w:sz w:val="28"/>
          <w:szCs w:val="28"/>
        </w:rPr>
        <w:t xml:space="preserve">第五部分 </w:t>
      </w:r>
      <w:bookmarkEnd w:id="163"/>
      <w:bookmarkEnd w:id="164"/>
      <w:r>
        <w:rPr>
          <w:rFonts w:hint="eastAsia" w:ascii="华文中宋" w:hAnsi="华文中宋" w:eastAsia="华文中宋" w:cs="华文中宋"/>
          <w:b/>
          <w:bCs/>
          <w:spacing w:val="20"/>
          <w:sz w:val="28"/>
          <w:szCs w:val="28"/>
        </w:rPr>
        <w:t>资格审查内容及标准</w:t>
      </w:r>
      <w:bookmarkEnd w:id="165"/>
      <w:bookmarkEnd w:id="166"/>
      <w:bookmarkEnd w:id="167"/>
      <w:bookmarkEnd w:id="168"/>
      <w:bookmarkEnd w:id="169"/>
      <w:bookmarkStart w:id="170" w:name="_Toc400718590"/>
    </w:p>
    <w:tbl>
      <w:tblPr>
        <w:tblStyle w:val="29"/>
        <w:tblpPr w:leftFromText="180" w:rightFromText="180" w:vertAnchor="text" w:horzAnchor="page" w:tblpX="1292" w:tblpY="186"/>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314"/>
        <w:gridCol w:w="2336"/>
        <w:gridCol w:w="4974"/>
      </w:tblGrid>
      <w:tr w14:paraId="2D2D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35" w:type="dxa"/>
            <w:vAlign w:val="center"/>
          </w:tcPr>
          <w:p w14:paraId="0D400CE3">
            <w:pPr>
              <w:rPr>
                <w:rFonts w:hint="eastAsia" w:ascii="华文中宋" w:hAnsi="华文中宋" w:eastAsia="华文中宋" w:cs="华文中宋"/>
              </w:rPr>
            </w:pPr>
            <w:r>
              <w:rPr>
                <w:rFonts w:hint="eastAsia" w:ascii="华文中宋" w:hAnsi="华文中宋" w:eastAsia="华文中宋" w:cs="华文中宋"/>
                <w:szCs w:val="21"/>
              </w:rPr>
              <w:t>序号</w:t>
            </w:r>
          </w:p>
        </w:tc>
        <w:tc>
          <w:tcPr>
            <w:tcW w:w="1314" w:type="dxa"/>
            <w:vAlign w:val="center"/>
          </w:tcPr>
          <w:p w14:paraId="24525B6E">
            <w:pPr>
              <w:rPr>
                <w:rFonts w:hint="eastAsia" w:ascii="华文中宋" w:hAnsi="华文中宋" w:eastAsia="华文中宋" w:cs="华文中宋"/>
              </w:rPr>
            </w:pPr>
            <w:r>
              <w:rPr>
                <w:rFonts w:hint="eastAsia" w:ascii="华文中宋" w:hAnsi="华文中宋" w:eastAsia="华文中宋" w:cs="华文中宋"/>
              </w:rPr>
              <w:t>类型</w:t>
            </w:r>
          </w:p>
        </w:tc>
        <w:tc>
          <w:tcPr>
            <w:tcW w:w="2336" w:type="dxa"/>
            <w:vAlign w:val="center"/>
          </w:tcPr>
          <w:p w14:paraId="6CD10475">
            <w:pPr>
              <w:rPr>
                <w:rFonts w:hint="eastAsia" w:ascii="华文中宋" w:hAnsi="华文中宋" w:eastAsia="华文中宋" w:cs="华文中宋"/>
              </w:rPr>
            </w:pPr>
            <w:r>
              <w:rPr>
                <w:rFonts w:hint="eastAsia" w:ascii="华文中宋" w:hAnsi="华文中宋" w:eastAsia="华文中宋" w:cs="华文中宋"/>
                <w:szCs w:val="21"/>
              </w:rPr>
              <w:t>审查要求</w:t>
            </w:r>
          </w:p>
        </w:tc>
        <w:tc>
          <w:tcPr>
            <w:tcW w:w="4974" w:type="dxa"/>
            <w:vAlign w:val="center"/>
          </w:tcPr>
          <w:p w14:paraId="287B0450">
            <w:pPr>
              <w:rPr>
                <w:rFonts w:hint="eastAsia" w:ascii="华文中宋" w:hAnsi="华文中宋" w:eastAsia="华文中宋" w:cs="华文中宋"/>
              </w:rPr>
            </w:pPr>
            <w:r>
              <w:rPr>
                <w:rFonts w:hint="eastAsia" w:ascii="华文中宋" w:hAnsi="华文中宋" w:eastAsia="华文中宋" w:cs="华文中宋"/>
                <w:szCs w:val="21"/>
              </w:rPr>
              <w:t>要求说明</w:t>
            </w:r>
          </w:p>
        </w:tc>
      </w:tr>
      <w:tr w14:paraId="72CC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635" w:type="dxa"/>
            <w:vAlign w:val="center"/>
          </w:tcPr>
          <w:p w14:paraId="216BB4F3">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val="en-US" w:eastAsia="zh-CN"/>
              </w:rPr>
              <w:t>1</w:t>
            </w:r>
          </w:p>
        </w:tc>
        <w:tc>
          <w:tcPr>
            <w:tcW w:w="1314" w:type="dxa"/>
            <w:vAlign w:val="center"/>
          </w:tcPr>
          <w:p w14:paraId="0784D706">
            <w:pPr>
              <w:jc w:val="center"/>
              <w:rPr>
                <w:rFonts w:hint="eastAsia" w:ascii="华文中宋" w:hAnsi="华文中宋" w:eastAsia="华文中宋" w:cs="华文中宋"/>
                <w:szCs w:val="21"/>
              </w:rPr>
            </w:pPr>
            <w:r>
              <w:rPr>
                <w:rFonts w:hint="eastAsia" w:ascii="华文中宋" w:hAnsi="华文中宋" w:eastAsia="华文中宋" w:cs="华文中宋"/>
                <w:szCs w:val="21"/>
              </w:rPr>
              <w:t>基本资质</w:t>
            </w:r>
          </w:p>
        </w:tc>
        <w:tc>
          <w:tcPr>
            <w:tcW w:w="2336" w:type="dxa"/>
            <w:vAlign w:val="center"/>
          </w:tcPr>
          <w:p w14:paraId="71445E31">
            <w:pPr>
              <w:jc w:val="center"/>
              <w:rPr>
                <w:rFonts w:hint="eastAsia" w:ascii="华文中宋" w:hAnsi="华文中宋" w:eastAsia="华文中宋" w:cs="华文中宋"/>
                <w:szCs w:val="21"/>
              </w:rPr>
            </w:pPr>
            <w:r>
              <w:rPr>
                <w:rFonts w:hint="eastAsia" w:ascii="华文中宋" w:hAnsi="华文中宋" w:eastAsia="华文中宋" w:cs="华文中宋"/>
                <w:szCs w:val="21"/>
              </w:rPr>
              <w:t>投标人代表证明</w:t>
            </w:r>
          </w:p>
        </w:tc>
        <w:tc>
          <w:tcPr>
            <w:tcW w:w="4974" w:type="dxa"/>
            <w:vAlign w:val="center"/>
          </w:tcPr>
          <w:p w14:paraId="484B419F">
            <w:pPr>
              <w:rPr>
                <w:rFonts w:hint="eastAsia" w:ascii="华文中宋" w:hAnsi="华文中宋" w:eastAsia="华文中宋" w:cs="华文中宋"/>
                <w:szCs w:val="21"/>
              </w:rPr>
            </w:pPr>
            <w:r>
              <w:rPr>
                <w:rFonts w:hint="eastAsia" w:ascii="华文中宋" w:hAnsi="华文中宋" w:eastAsia="华文中宋" w:cs="华文中宋"/>
                <w:szCs w:val="21"/>
              </w:rPr>
              <w:t>（1）法定代表人（负责人）参加投标的，提供“法定代表人（负责人）证明书”</w:t>
            </w:r>
          </w:p>
          <w:p w14:paraId="7ACFDF90">
            <w:pPr>
              <w:rPr>
                <w:rFonts w:hint="eastAsia" w:ascii="华文中宋" w:hAnsi="华文中宋" w:eastAsia="华文中宋" w:cs="华文中宋"/>
                <w:szCs w:val="21"/>
              </w:rPr>
            </w:pPr>
            <w:r>
              <w:rPr>
                <w:rFonts w:hint="eastAsia" w:ascii="华文中宋" w:hAnsi="华文中宋" w:eastAsia="华文中宋" w:cs="华文中宋"/>
                <w:szCs w:val="21"/>
              </w:rPr>
              <w:t>（2）委托代理人参加投标的，提供“法定代表人（负责人）授权委托书”</w:t>
            </w:r>
          </w:p>
          <w:p w14:paraId="230261AC">
            <w:pPr>
              <w:rPr>
                <w:rFonts w:hint="eastAsia" w:ascii="华文中宋" w:hAnsi="华文中宋" w:eastAsia="华文中宋" w:cs="华文中宋"/>
                <w:szCs w:val="21"/>
              </w:rPr>
            </w:pPr>
            <w:r>
              <w:rPr>
                <w:rFonts w:hint="eastAsia" w:ascii="华文中宋" w:hAnsi="华文中宋" w:eastAsia="华文中宋" w:cs="华文中宋"/>
                <w:szCs w:val="21"/>
              </w:rPr>
              <w:t>（3）自然人参加投标的，提供个人身份证明扫描件</w:t>
            </w:r>
          </w:p>
          <w:p w14:paraId="708B50C0">
            <w:pPr>
              <w:rPr>
                <w:rFonts w:hint="eastAsia" w:ascii="华文中宋" w:hAnsi="华文中宋" w:eastAsia="华文中宋" w:cs="华文中宋"/>
                <w:szCs w:val="21"/>
              </w:rPr>
            </w:pPr>
            <w:r>
              <w:rPr>
                <w:rFonts w:hint="eastAsia" w:ascii="华文中宋" w:hAnsi="华文中宋" w:eastAsia="华文中宋" w:cs="华文中宋"/>
                <w:szCs w:val="21"/>
              </w:rPr>
              <w:t>内容齐全，盖章符合要求。</w:t>
            </w:r>
          </w:p>
        </w:tc>
      </w:tr>
      <w:tr w14:paraId="666A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35" w:type="dxa"/>
            <w:vAlign w:val="center"/>
          </w:tcPr>
          <w:p w14:paraId="131F2E63">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val="en-US" w:eastAsia="zh-CN"/>
              </w:rPr>
              <w:t>2</w:t>
            </w:r>
          </w:p>
        </w:tc>
        <w:tc>
          <w:tcPr>
            <w:tcW w:w="1314" w:type="dxa"/>
            <w:vAlign w:val="center"/>
          </w:tcPr>
          <w:p w14:paraId="45FDC766">
            <w:pPr>
              <w:jc w:val="center"/>
              <w:rPr>
                <w:rFonts w:hint="eastAsia" w:ascii="华文中宋" w:hAnsi="华文中宋" w:eastAsia="华文中宋" w:cs="华文中宋"/>
                <w:szCs w:val="21"/>
              </w:rPr>
            </w:pPr>
            <w:r>
              <w:rPr>
                <w:rFonts w:hint="eastAsia" w:ascii="华文中宋" w:hAnsi="华文中宋" w:eastAsia="华文中宋" w:cs="华文中宋"/>
                <w:szCs w:val="21"/>
              </w:rPr>
              <w:t>基本资质</w:t>
            </w:r>
          </w:p>
        </w:tc>
        <w:tc>
          <w:tcPr>
            <w:tcW w:w="2336" w:type="dxa"/>
            <w:vAlign w:val="center"/>
          </w:tcPr>
          <w:p w14:paraId="17192BA7">
            <w:pPr>
              <w:jc w:val="center"/>
              <w:rPr>
                <w:rFonts w:hint="eastAsia" w:ascii="华文中宋" w:hAnsi="华文中宋" w:eastAsia="华文中宋" w:cs="华文中宋"/>
                <w:szCs w:val="21"/>
              </w:rPr>
            </w:pPr>
            <w:r>
              <w:rPr>
                <w:rFonts w:hint="eastAsia" w:ascii="华文中宋" w:hAnsi="华文中宋" w:eastAsia="华文中宋" w:cs="华文中宋"/>
                <w:szCs w:val="21"/>
              </w:rPr>
              <w:t>投标函</w:t>
            </w:r>
          </w:p>
        </w:tc>
        <w:tc>
          <w:tcPr>
            <w:tcW w:w="4974" w:type="dxa"/>
            <w:vAlign w:val="center"/>
          </w:tcPr>
          <w:p w14:paraId="489DB5B5">
            <w:pPr>
              <w:rPr>
                <w:rFonts w:hint="eastAsia" w:ascii="华文中宋" w:hAnsi="华文中宋" w:eastAsia="华文中宋" w:cs="华文中宋"/>
                <w:szCs w:val="21"/>
              </w:rPr>
            </w:pPr>
            <w:r>
              <w:rPr>
                <w:rFonts w:hint="eastAsia" w:ascii="华文中宋" w:hAnsi="华文中宋" w:eastAsia="华文中宋" w:cs="华文中宋"/>
                <w:szCs w:val="21"/>
              </w:rPr>
              <w:t>内容齐全，盖章符合要求。</w:t>
            </w:r>
          </w:p>
        </w:tc>
      </w:tr>
      <w:tr w14:paraId="73F2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35" w:type="dxa"/>
            <w:vAlign w:val="center"/>
          </w:tcPr>
          <w:p w14:paraId="0B6E8510">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val="en-US" w:eastAsia="zh-CN"/>
              </w:rPr>
              <w:t>3</w:t>
            </w:r>
          </w:p>
        </w:tc>
        <w:tc>
          <w:tcPr>
            <w:tcW w:w="1314" w:type="dxa"/>
            <w:vAlign w:val="center"/>
          </w:tcPr>
          <w:p w14:paraId="165381E4">
            <w:pPr>
              <w:jc w:val="center"/>
              <w:rPr>
                <w:rFonts w:hint="eastAsia" w:ascii="华文中宋" w:hAnsi="华文中宋" w:eastAsia="华文中宋" w:cs="华文中宋"/>
                <w:szCs w:val="21"/>
              </w:rPr>
            </w:pPr>
            <w:r>
              <w:rPr>
                <w:rFonts w:hint="eastAsia" w:ascii="华文中宋" w:hAnsi="华文中宋" w:eastAsia="华文中宋" w:cs="华文中宋"/>
                <w:szCs w:val="21"/>
              </w:rPr>
              <w:t>基本资质</w:t>
            </w:r>
          </w:p>
        </w:tc>
        <w:tc>
          <w:tcPr>
            <w:tcW w:w="2336" w:type="dxa"/>
            <w:vAlign w:val="center"/>
          </w:tcPr>
          <w:p w14:paraId="3262C9CE">
            <w:pPr>
              <w:jc w:val="center"/>
              <w:rPr>
                <w:rFonts w:hint="eastAsia" w:ascii="华文中宋" w:hAnsi="华文中宋" w:eastAsia="华文中宋" w:cs="华文中宋"/>
                <w:szCs w:val="21"/>
              </w:rPr>
            </w:pPr>
            <w:r>
              <w:rPr>
                <w:rFonts w:hint="eastAsia" w:ascii="华文中宋" w:hAnsi="华文中宋" w:eastAsia="华文中宋" w:cs="华文中宋"/>
                <w:szCs w:val="21"/>
              </w:rPr>
              <w:t>具有履行合同所必需的设备和专业技术能力</w:t>
            </w:r>
          </w:p>
        </w:tc>
        <w:tc>
          <w:tcPr>
            <w:tcW w:w="4974" w:type="dxa"/>
            <w:vAlign w:val="center"/>
          </w:tcPr>
          <w:p w14:paraId="39611430">
            <w:pPr>
              <w:rPr>
                <w:rFonts w:hint="eastAsia" w:ascii="华文中宋" w:hAnsi="华文中宋" w:eastAsia="华文中宋" w:cs="华文中宋"/>
                <w:szCs w:val="21"/>
              </w:rPr>
            </w:pPr>
            <w:r>
              <w:rPr>
                <w:rFonts w:hint="eastAsia" w:ascii="华文中宋" w:hAnsi="华文中宋" w:eastAsia="华文中宋" w:cs="华文中宋"/>
                <w:szCs w:val="21"/>
              </w:rPr>
              <w:t>提供供应商信用承诺书。</w:t>
            </w:r>
          </w:p>
          <w:p w14:paraId="48646D72">
            <w:pPr>
              <w:rPr>
                <w:rFonts w:hint="eastAsia" w:ascii="华文中宋" w:hAnsi="华文中宋" w:eastAsia="华文中宋" w:cs="华文中宋"/>
                <w:szCs w:val="21"/>
              </w:rPr>
            </w:pPr>
            <w:r>
              <w:rPr>
                <w:rFonts w:hint="eastAsia" w:ascii="华文中宋" w:hAnsi="华文中宋" w:eastAsia="华文中宋" w:cs="华文中宋"/>
                <w:szCs w:val="21"/>
              </w:rPr>
              <w:t>以上证明材料须符合要求、有效、 完整。否则，响应无效。</w:t>
            </w:r>
          </w:p>
        </w:tc>
      </w:tr>
      <w:tr w14:paraId="182A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35" w:type="dxa"/>
            <w:vAlign w:val="center"/>
          </w:tcPr>
          <w:p w14:paraId="0B0A5DAA">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val="en-US" w:eastAsia="zh-CN"/>
              </w:rPr>
              <w:t>4</w:t>
            </w:r>
          </w:p>
        </w:tc>
        <w:tc>
          <w:tcPr>
            <w:tcW w:w="1314" w:type="dxa"/>
            <w:vAlign w:val="center"/>
          </w:tcPr>
          <w:p w14:paraId="5EB04B85">
            <w:pPr>
              <w:jc w:val="center"/>
              <w:rPr>
                <w:rFonts w:hint="eastAsia" w:ascii="华文中宋" w:hAnsi="华文中宋" w:eastAsia="华文中宋" w:cs="华文中宋"/>
                <w:szCs w:val="21"/>
              </w:rPr>
            </w:pPr>
            <w:r>
              <w:rPr>
                <w:rFonts w:hint="eastAsia" w:ascii="华文中宋" w:hAnsi="华文中宋" w:eastAsia="华文中宋" w:cs="华文中宋"/>
                <w:szCs w:val="21"/>
              </w:rPr>
              <w:t>财务报告</w:t>
            </w:r>
          </w:p>
        </w:tc>
        <w:tc>
          <w:tcPr>
            <w:tcW w:w="2336" w:type="dxa"/>
            <w:vAlign w:val="center"/>
          </w:tcPr>
          <w:p w14:paraId="0ABEDA70">
            <w:pPr>
              <w:jc w:val="center"/>
              <w:rPr>
                <w:rFonts w:hint="eastAsia" w:ascii="华文中宋" w:hAnsi="华文中宋" w:eastAsia="华文中宋" w:cs="华文中宋"/>
                <w:szCs w:val="21"/>
              </w:rPr>
            </w:pPr>
            <w:r>
              <w:rPr>
                <w:rFonts w:hint="eastAsia" w:ascii="华文中宋" w:hAnsi="华文中宋" w:eastAsia="华文中宋" w:cs="华文中宋"/>
                <w:szCs w:val="21"/>
              </w:rPr>
              <w:t>具有良好的商业信营和健全的财务会计制度</w:t>
            </w:r>
          </w:p>
        </w:tc>
        <w:tc>
          <w:tcPr>
            <w:tcW w:w="4974" w:type="dxa"/>
            <w:vAlign w:val="center"/>
          </w:tcPr>
          <w:p w14:paraId="70D9CDC9">
            <w:pPr>
              <w:rPr>
                <w:rFonts w:hint="eastAsia" w:ascii="华文中宋" w:hAnsi="华文中宋" w:eastAsia="华文中宋" w:cs="华文中宋"/>
                <w:szCs w:val="21"/>
              </w:rPr>
            </w:pPr>
            <w:r>
              <w:rPr>
                <w:rFonts w:hint="eastAsia" w:ascii="华文中宋" w:hAnsi="华文中宋" w:eastAsia="华文中宋" w:cs="华文中宋"/>
                <w:szCs w:val="21"/>
              </w:rPr>
              <w:t>提供供应商信用承诺书。</w:t>
            </w:r>
          </w:p>
          <w:p w14:paraId="3DA72374">
            <w:pPr>
              <w:rPr>
                <w:rFonts w:hint="eastAsia" w:ascii="华文中宋" w:hAnsi="华文中宋" w:eastAsia="华文中宋" w:cs="华文中宋"/>
                <w:szCs w:val="21"/>
              </w:rPr>
            </w:pPr>
            <w:r>
              <w:rPr>
                <w:rFonts w:hint="eastAsia" w:ascii="华文中宋" w:hAnsi="华文中宋" w:eastAsia="华文中宋" w:cs="华文中宋"/>
                <w:szCs w:val="21"/>
              </w:rPr>
              <w:t>以上证明材料须符合要求、有效、 完整。否则，响应无效。</w:t>
            </w:r>
          </w:p>
        </w:tc>
      </w:tr>
      <w:tr w14:paraId="37A8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35" w:type="dxa"/>
            <w:vAlign w:val="center"/>
          </w:tcPr>
          <w:p w14:paraId="410AC801">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val="en-US" w:eastAsia="zh-CN"/>
              </w:rPr>
              <w:t>5</w:t>
            </w:r>
          </w:p>
        </w:tc>
        <w:tc>
          <w:tcPr>
            <w:tcW w:w="1314" w:type="dxa"/>
            <w:vAlign w:val="center"/>
          </w:tcPr>
          <w:p w14:paraId="51556CA2">
            <w:pPr>
              <w:jc w:val="center"/>
              <w:rPr>
                <w:rFonts w:hint="eastAsia" w:ascii="华文中宋" w:hAnsi="华文中宋" w:eastAsia="华文中宋" w:cs="华文中宋"/>
                <w:szCs w:val="21"/>
              </w:rPr>
            </w:pPr>
            <w:r>
              <w:rPr>
                <w:rFonts w:hint="eastAsia" w:ascii="华文中宋" w:hAnsi="华文中宋" w:eastAsia="华文中宋" w:cs="华文中宋"/>
                <w:szCs w:val="21"/>
              </w:rPr>
              <w:t>基本资质</w:t>
            </w:r>
          </w:p>
        </w:tc>
        <w:tc>
          <w:tcPr>
            <w:tcW w:w="2336" w:type="dxa"/>
            <w:vAlign w:val="center"/>
          </w:tcPr>
          <w:p w14:paraId="4183F6EB">
            <w:pPr>
              <w:jc w:val="center"/>
              <w:rPr>
                <w:rFonts w:hint="eastAsia" w:ascii="华文中宋" w:hAnsi="华文中宋" w:eastAsia="华文中宋" w:cs="华文中宋"/>
                <w:szCs w:val="21"/>
              </w:rPr>
            </w:pPr>
            <w:r>
              <w:rPr>
                <w:rFonts w:hint="eastAsia" w:ascii="华文中宋" w:hAnsi="华文中宋" w:eastAsia="华文中宋" w:cs="华文中宋"/>
                <w:szCs w:val="21"/>
              </w:rPr>
              <w:t>有依法缴纳税收和社会保障资金的良好记录</w:t>
            </w:r>
          </w:p>
        </w:tc>
        <w:tc>
          <w:tcPr>
            <w:tcW w:w="4974" w:type="dxa"/>
            <w:vAlign w:val="center"/>
          </w:tcPr>
          <w:p w14:paraId="3ABDA932">
            <w:pPr>
              <w:rPr>
                <w:rFonts w:hint="eastAsia" w:ascii="华文中宋" w:hAnsi="华文中宋" w:eastAsia="华文中宋" w:cs="华文中宋"/>
                <w:szCs w:val="21"/>
              </w:rPr>
            </w:pPr>
            <w:r>
              <w:rPr>
                <w:rFonts w:hint="eastAsia" w:ascii="华文中宋" w:hAnsi="华文中宋" w:eastAsia="华文中宋" w:cs="华文中宋"/>
                <w:szCs w:val="21"/>
              </w:rPr>
              <w:t>提供供应商信用承诺书。</w:t>
            </w:r>
          </w:p>
          <w:p w14:paraId="210A8238">
            <w:pPr>
              <w:rPr>
                <w:rFonts w:hint="eastAsia" w:ascii="华文中宋" w:hAnsi="华文中宋" w:eastAsia="华文中宋" w:cs="华文中宋"/>
                <w:szCs w:val="21"/>
              </w:rPr>
            </w:pPr>
            <w:r>
              <w:rPr>
                <w:rFonts w:hint="eastAsia" w:ascii="华文中宋" w:hAnsi="华文中宋" w:eastAsia="华文中宋" w:cs="华文中宋"/>
                <w:szCs w:val="21"/>
              </w:rPr>
              <w:t>以上证明材料须符合要求、有效、 完整。否则，响应无效。</w:t>
            </w:r>
          </w:p>
        </w:tc>
      </w:tr>
      <w:tr w14:paraId="670A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35" w:type="dxa"/>
            <w:vAlign w:val="center"/>
          </w:tcPr>
          <w:p w14:paraId="573A84C3">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val="en-US" w:eastAsia="zh-CN"/>
              </w:rPr>
              <w:t>6</w:t>
            </w:r>
          </w:p>
        </w:tc>
        <w:tc>
          <w:tcPr>
            <w:tcW w:w="1314" w:type="dxa"/>
            <w:vAlign w:val="center"/>
          </w:tcPr>
          <w:p w14:paraId="0AA0BB73">
            <w:pPr>
              <w:jc w:val="center"/>
              <w:rPr>
                <w:rFonts w:hint="eastAsia" w:ascii="华文中宋" w:hAnsi="华文中宋" w:eastAsia="华文中宋" w:cs="华文中宋"/>
                <w:szCs w:val="21"/>
              </w:rPr>
            </w:pPr>
            <w:r>
              <w:rPr>
                <w:rFonts w:hint="eastAsia" w:ascii="华文中宋" w:hAnsi="华文中宋" w:eastAsia="华文中宋" w:cs="华文中宋"/>
                <w:szCs w:val="21"/>
              </w:rPr>
              <w:t>基本资质</w:t>
            </w:r>
          </w:p>
        </w:tc>
        <w:tc>
          <w:tcPr>
            <w:tcW w:w="2336" w:type="dxa"/>
            <w:vAlign w:val="center"/>
          </w:tcPr>
          <w:p w14:paraId="64AC4CB3">
            <w:pPr>
              <w:jc w:val="center"/>
              <w:rPr>
                <w:rFonts w:hint="eastAsia" w:ascii="华文中宋" w:hAnsi="华文中宋" w:eastAsia="华文中宋" w:cs="华文中宋"/>
                <w:szCs w:val="21"/>
              </w:rPr>
            </w:pPr>
            <w:r>
              <w:rPr>
                <w:rFonts w:hint="eastAsia" w:ascii="华文中宋" w:hAnsi="华文中宋" w:eastAsia="华文中宋" w:cs="华文中宋"/>
                <w:szCs w:val="21"/>
              </w:rPr>
              <w:t>参加政府采购活动前三年内，在经营活动中没有重大违法记录</w:t>
            </w:r>
          </w:p>
        </w:tc>
        <w:tc>
          <w:tcPr>
            <w:tcW w:w="4974" w:type="dxa"/>
            <w:vAlign w:val="center"/>
          </w:tcPr>
          <w:p w14:paraId="312011CC">
            <w:pPr>
              <w:rPr>
                <w:rFonts w:hint="eastAsia" w:ascii="华文中宋" w:hAnsi="华文中宋" w:eastAsia="华文中宋" w:cs="华文中宋"/>
                <w:szCs w:val="21"/>
              </w:rPr>
            </w:pPr>
            <w:r>
              <w:rPr>
                <w:rFonts w:hint="eastAsia" w:ascii="华文中宋" w:hAnsi="华文中宋" w:eastAsia="华文中宋" w:cs="华文中宋"/>
                <w:szCs w:val="21"/>
              </w:rPr>
              <w:t>提供供应商信用承诺书。</w:t>
            </w:r>
          </w:p>
          <w:p w14:paraId="7D19D923">
            <w:pPr>
              <w:rPr>
                <w:rFonts w:hint="eastAsia" w:ascii="华文中宋" w:hAnsi="华文中宋" w:eastAsia="华文中宋" w:cs="华文中宋"/>
                <w:szCs w:val="21"/>
              </w:rPr>
            </w:pPr>
            <w:r>
              <w:rPr>
                <w:rFonts w:hint="eastAsia" w:ascii="华文中宋" w:hAnsi="华文中宋" w:eastAsia="华文中宋" w:cs="华文中宋"/>
                <w:szCs w:val="21"/>
              </w:rPr>
              <w:t>以上证明材料须符合要求、有效、 完整。否则，响应无效。</w:t>
            </w:r>
          </w:p>
        </w:tc>
      </w:tr>
      <w:tr w14:paraId="34D8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635" w:type="dxa"/>
            <w:vAlign w:val="center"/>
          </w:tcPr>
          <w:p w14:paraId="7BD230EA">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val="en-US" w:eastAsia="zh-CN"/>
              </w:rPr>
              <w:t>7</w:t>
            </w:r>
          </w:p>
        </w:tc>
        <w:tc>
          <w:tcPr>
            <w:tcW w:w="1314" w:type="dxa"/>
            <w:vAlign w:val="center"/>
          </w:tcPr>
          <w:p w14:paraId="21D333E4">
            <w:pPr>
              <w:jc w:val="center"/>
              <w:rPr>
                <w:rFonts w:hint="eastAsia" w:ascii="华文中宋" w:hAnsi="华文中宋" w:eastAsia="华文中宋" w:cs="华文中宋"/>
                <w:szCs w:val="21"/>
              </w:rPr>
            </w:pPr>
            <w:r>
              <w:rPr>
                <w:rFonts w:hint="eastAsia" w:ascii="华文中宋" w:hAnsi="华文中宋" w:eastAsia="华文中宋" w:cs="华文中宋"/>
                <w:szCs w:val="21"/>
              </w:rPr>
              <w:t>营业执照</w:t>
            </w:r>
          </w:p>
        </w:tc>
        <w:tc>
          <w:tcPr>
            <w:tcW w:w="2336" w:type="dxa"/>
            <w:vAlign w:val="center"/>
          </w:tcPr>
          <w:p w14:paraId="0B5A5AD6">
            <w:pPr>
              <w:jc w:val="center"/>
              <w:rPr>
                <w:rFonts w:hint="eastAsia" w:ascii="华文中宋" w:hAnsi="华文中宋" w:eastAsia="华文中宋" w:cs="华文中宋"/>
                <w:szCs w:val="21"/>
              </w:rPr>
            </w:pPr>
            <w:r>
              <w:rPr>
                <w:rFonts w:hint="eastAsia" w:ascii="华文中宋" w:hAnsi="华文中宋" w:eastAsia="华文中宋" w:cs="华文中宋"/>
                <w:szCs w:val="21"/>
              </w:rPr>
              <w:t>具有独立承担民事责任的能力</w:t>
            </w:r>
          </w:p>
        </w:tc>
        <w:tc>
          <w:tcPr>
            <w:tcW w:w="4974" w:type="dxa"/>
            <w:vAlign w:val="center"/>
          </w:tcPr>
          <w:p w14:paraId="0E7C2D43">
            <w:pPr>
              <w:rPr>
                <w:rFonts w:hint="eastAsia" w:ascii="华文中宋" w:hAnsi="华文中宋" w:eastAsia="华文中宋" w:cs="华文中宋"/>
                <w:szCs w:val="21"/>
              </w:rPr>
            </w:pPr>
            <w:r>
              <w:rPr>
                <w:rFonts w:hint="eastAsia" w:ascii="华文中宋" w:hAnsi="华文中宋" w:eastAsia="华文中宋" w:cs="华文中宋"/>
                <w:szCs w:val="21"/>
              </w:rPr>
              <w:t>提供供应商信用承诺书。</w:t>
            </w:r>
          </w:p>
          <w:p w14:paraId="7D32DB1A">
            <w:pPr>
              <w:rPr>
                <w:rFonts w:hint="eastAsia" w:ascii="华文中宋" w:hAnsi="华文中宋" w:eastAsia="华文中宋" w:cs="华文中宋"/>
                <w:szCs w:val="21"/>
              </w:rPr>
            </w:pPr>
            <w:r>
              <w:rPr>
                <w:rFonts w:hint="eastAsia" w:ascii="华文中宋" w:hAnsi="华文中宋" w:eastAsia="华文中宋" w:cs="华文中宋"/>
                <w:szCs w:val="21"/>
              </w:rPr>
              <w:t>以上证明材料须符合要求、有效、 完整。否则，响应无效。</w:t>
            </w:r>
          </w:p>
        </w:tc>
      </w:tr>
      <w:tr w14:paraId="7988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635" w:type="dxa"/>
            <w:vAlign w:val="center"/>
          </w:tcPr>
          <w:p w14:paraId="0F9875C5">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val="en-US" w:eastAsia="zh-CN"/>
              </w:rPr>
              <w:t>8</w:t>
            </w:r>
          </w:p>
        </w:tc>
        <w:tc>
          <w:tcPr>
            <w:tcW w:w="1314" w:type="dxa"/>
            <w:vAlign w:val="center"/>
          </w:tcPr>
          <w:p w14:paraId="3913A9D4">
            <w:pPr>
              <w:jc w:val="center"/>
              <w:rPr>
                <w:rFonts w:hint="eastAsia" w:ascii="华文中宋" w:hAnsi="华文中宋" w:eastAsia="华文中宋" w:cs="华文中宋"/>
                <w:szCs w:val="21"/>
              </w:rPr>
            </w:pPr>
            <w:r>
              <w:rPr>
                <w:rFonts w:hint="eastAsia" w:ascii="华文中宋" w:hAnsi="华文中宋" w:eastAsia="华文中宋" w:cs="华文中宋"/>
                <w:szCs w:val="21"/>
              </w:rPr>
              <w:t>基本资质</w:t>
            </w:r>
          </w:p>
        </w:tc>
        <w:tc>
          <w:tcPr>
            <w:tcW w:w="2336" w:type="dxa"/>
            <w:vAlign w:val="center"/>
          </w:tcPr>
          <w:p w14:paraId="26585B3D">
            <w:pPr>
              <w:jc w:val="center"/>
              <w:rPr>
                <w:rFonts w:hint="eastAsia" w:ascii="华文中宋" w:hAnsi="华文中宋" w:eastAsia="华文中宋" w:cs="华文中宋"/>
                <w:szCs w:val="21"/>
              </w:rPr>
            </w:pPr>
            <w:r>
              <w:rPr>
                <w:rFonts w:hint="eastAsia" w:ascii="华文中宋" w:hAnsi="华文中宋" w:eastAsia="华文中宋" w:cs="华文中宋"/>
                <w:szCs w:val="21"/>
              </w:rPr>
              <w:t>保证金缴纳情况</w:t>
            </w:r>
          </w:p>
        </w:tc>
        <w:tc>
          <w:tcPr>
            <w:tcW w:w="4974" w:type="dxa"/>
            <w:vAlign w:val="center"/>
          </w:tcPr>
          <w:p w14:paraId="4212DABF">
            <w:pPr>
              <w:rPr>
                <w:rFonts w:hint="eastAsia" w:ascii="华文中宋" w:hAnsi="华文中宋" w:eastAsia="华文中宋" w:cs="华文中宋"/>
                <w:szCs w:val="21"/>
              </w:rPr>
            </w:pPr>
            <w:r>
              <w:rPr>
                <w:rFonts w:hint="eastAsia" w:ascii="华文中宋" w:hAnsi="华文中宋" w:eastAsia="华文中宋" w:cs="华文中宋"/>
                <w:szCs w:val="21"/>
              </w:rPr>
              <w:t>要求提交保证金的项目，投标人需提供相关保证金缴纳证明材料及基本存款账户开户许可证（已取消企业银行账户许可的提供银行证明或提供取消企业银行账户许可的相关公告）扫描件：</w:t>
            </w:r>
          </w:p>
          <w:p w14:paraId="4BA2A2B0">
            <w:pPr>
              <w:rPr>
                <w:rFonts w:hint="eastAsia" w:ascii="华文中宋" w:hAnsi="华文中宋" w:eastAsia="华文中宋" w:cs="华文中宋"/>
                <w:szCs w:val="21"/>
              </w:rPr>
            </w:pPr>
            <w:r>
              <w:rPr>
                <w:rFonts w:hint="eastAsia" w:ascii="华文中宋" w:hAnsi="华文中宋" w:eastAsia="华文中宋" w:cs="华文中宋"/>
                <w:szCs w:val="21"/>
              </w:rPr>
              <w:t>不要求提交保证金的项目：不审核此项，投标人不需提供证明材料。</w:t>
            </w:r>
          </w:p>
          <w:p w14:paraId="3CA03133">
            <w:pPr>
              <w:rPr>
                <w:rFonts w:hint="eastAsia" w:ascii="华文中宋" w:hAnsi="华文中宋" w:eastAsia="华文中宋" w:cs="华文中宋"/>
                <w:szCs w:val="21"/>
              </w:rPr>
            </w:pPr>
            <w:r>
              <w:rPr>
                <w:rFonts w:hint="eastAsia" w:ascii="华文中宋" w:hAnsi="华文中宋" w:eastAsia="华文中宋" w:cs="华文中宋"/>
                <w:szCs w:val="21"/>
              </w:rPr>
              <w:t>任意一项证明文件扫描件清晰。</w:t>
            </w:r>
          </w:p>
        </w:tc>
      </w:tr>
      <w:tr w14:paraId="24DC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35" w:type="dxa"/>
            <w:shd w:val="clear" w:color="auto" w:fill="auto"/>
            <w:vAlign w:val="center"/>
          </w:tcPr>
          <w:p w14:paraId="10D8B20F">
            <w:pPr>
              <w:jc w:val="center"/>
              <w:rPr>
                <w:rFonts w:hint="default"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szCs w:val="21"/>
                <w:highlight w:val="none"/>
                <w:lang w:val="en-US" w:eastAsia="zh-CN"/>
              </w:rPr>
              <w:t>9</w:t>
            </w:r>
          </w:p>
        </w:tc>
        <w:tc>
          <w:tcPr>
            <w:tcW w:w="1314" w:type="dxa"/>
            <w:shd w:val="clear" w:color="auto" w:fill="auto"/>
            <w:vAlign w:val="center"/>
          </w:tcPr>
          <w:p w14:paraId="5F950EFE">
            <w:pPr>
              <w:jc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szCs w:val="21"/>
                <w:highlight w:val="none"/>
                <w:lang w:val="en-US" w:eastAsia="zh-CN"/>
              </w:rPr>
              <w:t>采购政策</w:t>
            </w:r>
          </w:p>
        </w:tc>
        <w:tc>
          <w:tcPr>
            <w:tcW w:w="2336" w:type="dxa"/>
            <w:shd w:val="clear" w:color="auto" w:fill="auto"/>
            <w:vAlign w:val="center"/>
          </w:tcPr>
          <w:p w14:paraId="2D6F6ABF">
            <w:pPr>
              <w:jc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szCs w:val="21"/>
                <w:highlight w:val="none"/>
                <w:lang w:val="en-US" w:eastAsia="zh-CN"/>
              </w:rPr>
              <w:t>中小企业声明函</w:t>
            </w:r>
          </w:p>
        </w:tc>
        <w:tc>
          <w:tcPr>
            <w:tcW w:w="4974" w:type="dxa"/>
            <w:shd w:val="clear" w:color="auto" w:fill="auto"/>
            <w:vAlign w:val="center"/>
          </w:tcPr>
          <w:p w14:paraId="23223816">
            <w:pPr>
              <w:jc w:val="both"/>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szCs w:val="21"/>
                <w:highlight w:val="none"/>
                <w:lang w:val="en-US" w:eastAsia="zh-CN"/>
              </w:rPr>
              <w:t>符合要求</w:t>
            </w:r>
          </w:p>
        </w:tc>
      </w:tr>
    </w:tbl>
    <w:p w14:paraId="0E7C782F">
      <w:pPr>
        <w:spacing w:line="360" w:lineRule="exact"/>
        <w:ind w:left="1051" w:hanging="1051" w:hangingChars="500"/>
        <w:rPr>
          <w:rFonts w:hint="eastAsia" w:ascii="华文中宋" w:hAnsi="华文中宋" w:eastAsia="华文中宋" w:cs="华文中宋"/>
          <w:b/>
        </w:rPr>
      </w:pPr>
    </w:p>
    <w:p w14:paraId="3E85A531">
      <w:pPr>
        <w:spacing w:line="440" w:lineRule="exact"/>
        <w:ind w:left="1200" w:hanging="1200" w:hangingChars="500"/>
        <w:rPr>
          <w:rFonts w:hint="eastAsia" w:ascii="华文中宋" w:hAnsi="华文中宋" w:eastAsia="华文中宋" w:cs="华文中宋"/>
          <w:sz w:val="24"/>
        </w:rPr>
      </w:pPr>
      <w:r>
        <w:rPr>
          <w:rFonts w:hint="eastAsia" w:ascii="华文中宋" w:hAnsi="华文中宋" w:eastAsia="华文中宋" w:cs="华文中宋"/>
          <w:sz w:val="24"/>
        </w:rPr>
        <w:t>说明：1、资格检查的内容若有一项未提供或达不到检查标准，将导致其不具备投标资格，且不允许在开标后补正。</w:t>
      </w:r>
    </w:p>
    <w:p w14:paraId="7557BF98">
      <w:pPr>
        <w:spacing w:line="440" w:lineRule="exact"/>
        <w:ind w:left="975" w:leftChars="350" w:hanging="240" w:hangingChars="100"/>
        <w:rPr>
          <w:rFonts w:hint="eastAsia" w:ascii="华文中宋" w:hAnsi="华文中宋" w:eastAsia="华文中宋" w:cs="华文中宋"/>
          <w:sz w:val="24"/>
        </w:rPr>
      </w:pPr>
      <w:r>
        <w:rPr>
          <w:rFonts w:hint="eastAsia" w:ascii="华文中宋" w:hAnsi="华文中宋" w:eastAsia="华文中宋" w:cs="华文中宋"/>
          <w:sz w:val="24"/>
        </w:rPr>
        <w:t>2、投标人提供的其他材料，不作为资格检查的内容。</w:t>
      </w:r>
    </w:p>
    <w:p w14:paraId="77CC4D1F">
      <w:pPr>
        <w:pStyle w:val="49"/>
        <w:keepNext w:val="0"/>
        <w:keepLines w:val="0"/>
        <w:numPr>
          <w:ilvl w:val="0"/>
          <w:numId w:val="0"/>
        </w:numPr>
        <w:snapToGrid w:val="0"/>
        <w:spacing w:before="0" w:after="0"/>
        <w:rPr>
          <w:rFonts w:hint="eastAsia" w:ascii="华文中宋" w:hAnsi="华文中宋" w:eastAsia="华文中宋" w:cs="华文中宋"/>
          <w:spacing w:val="20"/>
          <w:szCs w:val="28"/>
        </w:rPr>
      </w:pPr>
      <w:bookmarkStart w:id="171" w:name="_Toc19132"/>
      <w:bookmarkStart w:id="172" w:name="_Toc26881703"/>
      <w:bookmarkStart w:id="173" w:name="_Toc28161"/>
      <w:bookmarkStart w:id="174" w:name="_Toc9229"/>
      <w:bookmarkStart w:id="175" w:name="_Toc3003"/>
    </w:p>
    <w:p w14:paraId="00AE3F6D">
      <w:pPr>
        <w:pStyle w:val="49"/>
        <w:keepNext w:val="0"/>
        <w:keepLines w:val="0"/>
        <w:numPr>
          <w:ilvl w:val="0"/>
          <w:numId w:val="0"/>
        </w:numPr>
        <w:snapToGrid w:val="0"/>
        <w:spacing w:before="0" w:after="0"/>
        <w:rPr>
          <w:rFonts w:hint="eastAsia" w:ascii="华文中宋" w:hAnsi="华文中宋" w:eastAsia="华文中宋" w:cs="华文中宋"/>
          <w:spacing w:val="20"/>
          <w:szCs w:val="28"/>
        </w:rPr>
      </w:pPr>
    </w:p>
    <w:p w14:paraId="49C83453">
      <w:pPr>
        <w:pStyle w:val="49"/>
        <w:keepNext w:val="0"/>
        <w:keepLines w:val="0"/>
        <w:numPr>
          <w:ilvl w:val="0"/>
          <w:numId w:val="0"/>
        </w:numPr>
        <w:snapToGrid w:val="0"/>
        <w:spacing w:before="0" w:after="0"/>
        <w:rPr>
          <w:rFonts w:hint="eastAsia" w:ascii="华文中宋" w:hAnsi="华文中宋" w:eastAsia="华文中宋" w:cs="华文中宋"/>
          <w:spacing w:val="20"/>
          <w:szCs w:val="28"/>
        </w:rPr>
      </w:pPr>
    </w:p>
    <w:p w14:paraId="3475B622">
      <w:pPr>
        <w:pStyle w:val="49"/>
        <w:keepNext w:val="0"/>
        <w:keepLines w:val="0"/>
        <w:numPr>
          <w:ilvl w:val="0"/>
          <w:numId w:val="0"/>
        </w:numPr>
        <w:snapToGrid w:val="0"/>
        <w:spacing w:before="0" w:after="0"/>
        <w:rPr>
          <w:rFonts w:hint="eastAsia" w:ascii="华文中宋" w:hAnsi="华文中宋" w:eastAsia="华文中宋" w:cs="华文中宋"/>
        </w:rPr>
      </w:pPr>
      <w:r>
        <w:rPr>
          <w:rFonts w:hint="eastAsia" w:ascii="华文中宋" w:hAnsi="华文中宋" w:eastAsia="华文中宋" w:cs="华文中宋"/>
          <w:spacing w:val="20"/>
          <w:szCs w:val="28"/>
        </w:rPr>
        <w:t>第六部分 评标标准和评标方法</w:t>
      </w:r>
      <w:bookmarkEnd w:id="171"/>
      <w:bookmarkEnd w:id="172"/>
      <w:bookmarkEnd w:id="173"/>
      <w:bookmarkEnd w:id="174"/>
      <w:bookmarkEnd w:id="175"/>
    </w:p>
    <w:p w14:paraId="4F81421C">
      <w:pPr>
        <w:pStyle w:val="53"/>
        <w:snapToGrid w:val="0"/>
        <w:spacing w:line="480" w:lineRule="exact"/>
        <w:ind w:firstLine="420" w:firstLineChars="200"/>
        <w:rPr>
          <w:rFonts w:hint="eastAsia" w:ascii="华文中宋" w:hAnsi="华文中宋" w:eastAsia="华文中宋" w:cs="华文中宋"/>
          <w:b/>
        </w:rPr>
      </w:pPr>
    </w:p>
    <w:p w14:paraId="0A381351">
      <w:pPr>
        <w:pStyle w:val="53"/>
        <w:snapToGrid w:val="0"/>
        <w:spacing w:line="360" w:lineRule="auto"/>
        <w:ind w:firstLine="360" w:firstLineChars="15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一、符合性审查的内容及标准</w:t>
      </w:r>
    </w:p>
    <w:tbl>
      <w:tblPr>
        <w:tblStyle w:val="28"/>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74"/>
        <w:gridCol w:w="2911"/>
        <w:gridCol w:w="5345"/>
      </w:tblGrid>
      <w:tr w14:paraId="600B6E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24ECDF7A">
            <w:pPr>
              <w:jc w:val="center"/>
              <w:rPr>
                <w:rFonts w:hint="eastAsia" w:ascii="华文中宋" w:hAnsi="华文中宋" w:eastAsia="华文中宋" w:cs="华文中宋"/>
                <w:szCs w:val="21"/>
              </w:rPr>
            </w:pPr>
            <w:r>
              <w:rPr>
                <w:rFonts w:hint="eastAsia" w:ascii="华文中宋" w:hAnsi="华文中宋" w:eastAsia="华文中宋" w:cs="华文中宋"/>
                <w:szCs w:val="21"/>
              </w:rPr>
              <w:t>序号</w:t>
            </w:r>
          </w:p>
        </w:tc>
        <w:tc>
          <w:tcPr>
            <w:tcW w:w="1576" w:type="pct"/>
            <w:tcBorders>
              <w:top w:val="single" w:color="auto" w:sz="2" w:space="0"/>
              <w:left w:val="single" w:color="auto" w:sz="2" w:space="0"/>
              <w:bottom w:val="single" w:color="auto" w:sz="2" w:space="0"/>
              <w:right w:val="single" w:color="auto" w:sz="2" w:space="0"/>
            </w:tcBorders>
          </w:tcPr>
          <w:p w14:paraId="43AE6E5E">
            <w:pPr>
              <w:jc w:val="center"/>
              <w:rPr>
                <w:rFonts w:hint="eastAsia" w:ascii="华文中宋" w:hAnsi="华文中宋" w:eastAsia="华文中宋" w:cs="华文中宋"/>
                <w:szCs w:val="21"/>
              </w:rPr>
            </w:pPr>
            <w:r>
              <w:rPr>
                <w:rFonts w:hint="eastAsia" w:ascii="华文中宋" w:hAnsi="华文中宋" w:eastAsia="华文中宋" w:cs="华文中宋"/>
                <w:szCs w:val="21"/>
              </w:rPr>
              <w:t>内容</w:t>
            </w:r>
          </w:p>
        </w:tc>
        <w:tc>
          <w:tcPr>
            <w:tcW w:w="2894" w:type="pct"/>
            <w:tcBorders>
              <w:top w:val="single" w:color="auto" w:sz="2" w:space="0"/>
              <w:left w:val="single" w:color="auto" w:sz="2" w:space="0"/>
              <w:bottom w:val="single" w:color="auto" w:sz="2" w:space="0"/>
              <w:right w:val="single" w:color="auto" w:sz="2" w:space="0"/>
            </w:tcBorders>
          </w:tcPr>
          <w:p w14:paraId="28328C07">
            <w:pPr>
              <w:rPr>
                <w:rFonts w:hint="eastAsia" w:ascii="华文中宋" w:hAnsi="华文中宋" w:eastAsia="华文中宋" w:cs="华文中宋"/>
                <w:szCs w:val="21"/>
              </w:rPr>
            </w:pPr>
            <w:r>
              <w:rPr>
                <w:rFonts w:hint="eastAsia" w:ascii="华文中宋" w:hAnsi="华文中宋" w:eastAsia="华文中宋" w:cs="华文中宋"/>
                <w:szCs w:val="21"/>
              </w:rPr>
              <w:t>标准</w:t>
            </w:r>
          </w:p>
        </w:tc>
      </w:tr>
      <w:tr w14:paraId="4688E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0EDABED1">
            <w:pPr>
              <w:jc w:val="center"/>
              <w:rPr>
                <w:rFonts w:hint="eastAsia" w:ascii="华文中宋" w:hAnsi="华文中宋" w:eastAsia="华文中宋" w:cs="华文中宋"/>
                <w:szCs w:val="21"/>
              </w:rPr>
            </w:pPr>
            <w:r>
              <w:rPr>
                <w:rFonts w:hint="eastAsia" w:ascii="华文中宋" w:hAnsi="华文中宋" w:eastAsia="华文中宋" w:cs="华文中宋"/>
                <w:szCs w:val="21"/>
              </w:rPr>
              <w:t>1</w:t>
            </w:r>
          </w:p>
        </w:tc>
        <w:tc>
          <w:tcPr>
            <w:tcW w:w="2911" w:type="dxa"/>
            <w:tcBorders>
              <w:top w:val="single" w:color="auto" w:sz="2" w:space="0"/>
              <w:left w:val="single" w:color="auto" w:sz="2" w:space="0"/>
              <w:bottom w:val="single" w:color="auto" w:sz="2" w:space="0"/>
              <w:right w:val="single" w:color="auto" w:sz="2" w:space="0"/>
            </w:tcBorders>
            <w:vAlign w:val="center"/>
          </w:tcPr>
          <w:p w14:paraId="1C539C54">
            <w:pPr>
              <w:jc w:val="center"/>
              <w:rPr>
                <w:rFonts w:hint="eastAsia" w:ascii="华文中宋" w:hAnsi="华文中宋" w:eastAsia="华文中宋" w:cs="华文中宋"/>
                <w:szCs w:val="21"/>
              </w:rPr>
            </w:pPr>
            <w:r>
              <w:rPr>
                <w:rFonts w:hint="eastAsia" w:ascii="华文中宋" w:hAnsi="华文中宋" w:eastAsia="华文中宋" w:cs="华文中宋"/>
              </w:rPr>
              <w:t>投标文件的报价</w:t>
            </w:r>
          </w:p>
        </w:tc>
        <w:tc>
          <w:tcPr>
            <w:tcW w:w="5345" w:type="dxa"/>
            <w:tcBorders>
              <w:top w:val="single" w:color="auto" w:sz="2" w:space="0"/>
              <w:left w:val="single" w:color="auto" w:sz="2" w:space="0"/>
              <w:bottom w:val="single" w:color="auto" w:sz="2" w:space="0"/>
              <w:right w:val="single" w:color="auto" w:sz="2" w:space="0"/>
            </w:tcBorders>
          </w:tcPr>
          <w:p w14:paraId="5346B23B">
            <w:pPr>
              <w:numPr>
                <w:ilvl w:val="0"/>
                <w:numId w:val="7"/>
              </w:numPr>
              <w:rPr>
                <w:rFonts w:hint="eastAsia" w:ascii="华文中宋" w:hAnsi="华文中宋" w:eastAsia="华文中宋" w:cs="华文中宋"/>
              </w:rPr>
            </w:pPr>
            <w:r>
              <w:rPr>
                <w:rFonts w:hint="eastAsia" w:ascii="华文中宋" w:hAnsi="华文中宋" w:eastAsia="华文中宋" w:cs="华文中宋"/>
              </w:rPr>
              <w:t>所有投标报价均以人民币/元为计算单位。</w:t>
            </w:r>
          </w:p>
          <w:p w14:paraId="391CDB56">
            <w:pPr>
              <w:numPr>
                <w:ilvl w:val="0"/>
                <w:numId w:val="7"/>
              </w:numPr>
              <w:rPr>
                <w:rFonts w:hint="eastAsia" w:ascii="华文中宋" w:hAnsi="华文中宋" w:eastAsia="华文中宋" w:cs="华文中宋"/>
                <w:szCs w:val="21"/>
              </w:rPr>
            </w:pPr>
            <w:r>
              <w:rPr>
                <w:rFonts w:hint="eastAsia" w:ascii="华文中宋" w:hAnsi="华文中宋" w:eastAsia="华文中宋" w:cs="华文中宋"/>
              </w:rPr>
              <w:t>不接受超出本项目预算金额或最高限价的报价。</w:t>
            </w:r>
          </w:p>
        </w:tc>
      </w:tr>
      <w:tr w14:paraId="127C1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1116B181">
            <w:pPr>
              <w:jc w:val="center"/>
              <w:rPr>
                <w:rFonts w:hint="eastAsia" w:ascii="华文中宋" w:hAnsi="华文中宋" w:eastAsia="华文中宋" w:cs="华文中宋"/>
                <w:szCs w:val="21"/>
              </w:rPr>
            </w:pPr>
            <w:r>
              <w:rPr>
                <w:rFonts w:hint="eastAsia" w:ascii="华文中宋" w:hAnsi="华文中宋" w:eastAsia="华文中宋" w:cs="华文中宋"/>
                <w:szCs w:val="21"/>
              </w:rPr>
              <w:t>2</w:t>
            </w:r>
          </w:p>
        </w:tc>
        <w:tc>
          <w:tcPr>
            <w:tcW w:w="1576" w:type="pct"/>
            <w:tcBorders>
              <w:top w:val="single" w:color="auto" w:sz="2" w:space="0"/>
              <w:left w:val="single" w:color="auto" w:sz="2" w:space="0"/>
              <w:bottom w:val="single" w:color="auto" w:sz="2" w:space="0"/>
              <w:right w:val="single" w:color="auto" w:sz="2" w:space="0"/>
            </w:tcBorders>
            <w:vAlign w:val="center"/>
          </w:tcPr>
          <w:p w14:paraId="0A8AD000">
            <w:pPr>
              <w:jc w:val="center"/>
              <w:rPr>
                <w:rFonts w:hint="eastAsia" w:ascii="华文中宋" w:hAnsi="华文中宋" w:eastAsia="华文中宋" w:cs="华文中宋"/>
                <w:szCs w:val="21"/>
              </w:rPr>
            </w:pPr>
            <w:r>
              <w:rPr>
                <w:rFonts w:hint="eastAsia" w:ascii="华文中宋" w:hAnsi="华文中宋" w:eastAsia="华文中宋" w:cs="华文中宋"/>
                <w:szCs w:val="21"/>
              </w:rPr>
              <w:t>商务要求响应内容</w:t>
            </w:r>
          </w:p>
        </w:tc>
        <w:tc>
          <w:tcPr>
            <w:tcW w:w="2894" w:type="pct"/>
            <w:tcBorders>
              <w:top w:val="single" w:color="auto" w:sz="2" w:space="0"/>
              <w:left w:val="single" w:color="auto" w:sz="2" w:space="0"/>
              <w:bottom w:val="single" w:color="auto" w:sz="2" w:space="0"/>
              <w:right w:val="single" w:color="auto" w:sz="2" w:space="0"/>
            </w:tcBorders>
          </w:tcPr>
          <w:p w14:paraId="406224B9">
            <w:pPr>
              <w:rPr>
                <w:rFonts w:hint="eastAsia" w:ascii="华文中宋" w:hAnsi="华文中宋" w:eastAsia="华文中宋" w:cs="华文中宋"/>
                <w:szCs w:val="21"/>
              </w:rPr>
            </w:pPr>
            <w:r>
              <w:rPr>
                <w:rFonts w:hint="eastAsia" w:ascii="华文中宋" w:hAnsi="华文中宋" w:eastAsia="华文中宋" w:cs="华文中宋"/>
                <w:szCs w:val="21"/>
              </w:rPr>
              <w:t>对照本文件第四部分中“商务要求”内容和响应文件的响应内容进行审查，没有做出响应的做无效投标处理。</w:t>
            </w:r>
          </w:p>
        </w:tc>
      </w:tr>
      <w:tr w14:paraId="167369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1E0218C9">
            <w:pPr>
              <w:jc w:val="center"/>
              <w:rPr>
                <w:rFonts w:hint="eastAsia" w:ascii="华文中宋" w:hAnsi="华文中宋" w:eastAsia="华文中宋" w:cs="华文中宋"/>
                <w:szCs w:val="21"/>
              </w:rPr>
            </w:pPr>
            <w:r>
              <w:rPr>
                <w:rFonts w:hint="eastAsia" w:ascii="华文中宋" w:hAnsi="华文中宋" w:eastAsia="华文中宋" w:cs="华文中宋"/>
                <w:szCs w:val="21"/>
              </w:rPr>
              <w:t>3</w:t>
            </w:r>
          </w:p>
        </w:tc>
        <w:tc>
          <w:tcPr>
            <w:tcW w:w="1576" w:type="pct"/>
            <w:tcBorders>
              <w:top w:val="single" w:color="auto" w:sz="2" w:space="0"/>
              <w:left w:val="single" w:color="auto" w:sz="2" w:space="0"/>
              <w:bottom w:val="single" w:color="auto" w:sz="2" w:space="0"/>
              <w:right w:val="single" w:color="auto" w:sz="2" w:space="0"/>
            </w:tcBorders>
          </w:tcPr>
          <w:p w14:paraId="02EF3F61">
            <w:pPr>
              <w:jc w:val="center"/>
              <w:rPr>
                <w:rFonts w:hint="eastAsia" w:ascii="华文中宋" w:hAnsi="华文中宋" w:eastAsia="华文中宋" w:cs="华文中宋"/>
                <w:szCs w:val="21"/>
              </w:rPr>
            </w:pPr>
          </w:p>
          <w:p w14:paraId="6B682AF9">
            <w:pPr>
              <w:jc w:val="center"/>
              <w:rPr>
                <w:rFonts w:hint="eastAsia" w:ascii="华文中宋" w:hAnsi="华文中宋" w:eastAsia="华文中宋" w:cs="华文中宋"/>
                <w:szCs w:val="21"/>
              </w:rPr>
            </w:pPr>
            <w:r>
              <w:rPr>
                <w:rFonts w:hint="eastAsia" w:ascii="华文中宋" w:hAnsi="华文中宋" w:eastAsia="华文中宋" w:cs="华文中宋"/>
                <w:szCs w:val="21"/>
              </w:rPr>
              <w:t>实质性要求响应内容</w:t>
            </w:r>
          </w:p>
        </w:tc>
        <w:tc>
          <w:tcPr>
            <w:tcW w:w="2894" w:type="pct"/>
            <w:tcBorders>
              <w:top w:val="single" w:color="auto" w:sz="2" w:space="0"/>
              <w:left w:val="single" w:color="auto" w:sz="2" w:space="0"/>
              <w:bottom w:val="single" w:color="auto" w:sz="2" w:space="0"/>
              <w:right w:val="single" w:color="auto" w:sz="2" w:space="0"/>
            </w:tcBorders>
          </w:tcPr>
          <w:p w14:paraId="02230239">
            <w:pPr>
              <w:rPr>
                <w:rFonts w:hint="eastAsia" w:ascii="华文中宋" w:hAnsi="华文中宋" w:eastAsia="华文中宋" w:cs="华文中宋"/>
                <w:szCs w:val="21"/>
              </w:rPr>
            </w:pPr>
            <w:r>
              <w:rPr>
                <w:rFonts w:hint="eastAsia" w:ascii="华文中宋" w:hAnsi="华文中宋" w:eastAsia="华文中宋" w:cs="华文中宋"/>
                <w:szCs w:val="21"/>
              </w:rPr>
              <w:t>对照本文件第四部分中“实质性要求”内容和响应文件的响应内容进行审查，没有做出响应的做无效投标处理。</w:t>
            </w:r>
          </w:p>
        </w:tc>
      </w:tr>
      <w:tr w14:paraId="168FE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408D5BF1">
            <w:pPr>
              <w:jc w:val="center"/>
              <w:rPr>
                <w:rFonts w:hint="eastAsia" w:ascii="华文中宋" w:hAnsi="华文中宋" w:eastAsia="华文中宋" w:cs="华文中宋"/>
                <w:szCs w:val="21"/>
              </w:rPr>
            </w:pPr>
            <w:r>
              <w:rPr>
                <w:rFonts w:hint="eastAsia" w:ascii="华文中宋" w:hAnsi="华文中宋" w:eastAsia="华文中宋" w:cs="华文中宋"/>
                <w:szCs w:val="21"/>
              </w:rPr>
              <w:t>4</w:t>
            </w:r>
          </w:p>
        </w:tc>
        <w:tc>
          <w:tcPr>
            <w:tcW w:w="1576" w:type="pct"/>
            <w:tcBorders>
              <w:top w:val="single" w:color="auto" w:sz="2" w:space="0"/>
              <w:left w:val="single" w:color="auto" w:sz="2" w:space="0"/>
              <w:bottom w:val="single" w:color="auto" w:sz="2" w:space="0"/>
              <w:right w:val="single" w:color="auto" w:sz="2" w:space="0"/>
            </w:tcBorders>
          </w:tcPr>
          <w:p w14:paraId="654E524B">
            <w:pPr>
              <w:jc w:val="center"/>
              <w:rPr>
                <w:rFonts w:hint="eastAsia" w:ascii="华文中宋" w:hAnsi="华文中宋" w:eastAsia="华文中宋" w:cs="华文中宋"/>
                <w:szCs w:val="21"/>
              </w:rPr>
            </w:pPr>
          </w:p>
          <w:p w14:paraId="0C56B702">
            <w:pPr>
              <w:jc w:val="center"/>
              <w:rPr>
                <w:rFonts w:hint="eastAsia" w:ascii="华文中宋" w:hAnsi="华文中宋" w:eastAsia="华文中宋" w:cs="华文中宋"/>
                <w:szCs w:val="21"/>
              </w:rPr>
            </w:pPr>
            <w:r>
              <w:rPr>
                <w:rFonts w:hint="eastAsia" w:ascii="华文中宋" w:hAnsi="华文中宋" w:eastAsia="华文中宋" w:cs="华文中宋"/>
                <w:szCs w:val="21"/>
              </w:rPr>
              <w:t>服务要求响应内容</w:t>
            </w:r>
          </w:p>
        </w:tc>
        <w:tc>
          <w:tcPr>
            <w:tcW w:w="2894" w:type="pct"/>
            <w:tcBorders>
              <w:top w:val="single" w:color="auto" w:sz="2" w:space="0"/>
              <w:left w:val="single" w:color="auto" w:sz="2" w:space="0"/>
              <w:bottom w:val="single" w:color="auto" w:sz="2" w:space="0"/>
              <w:right w:val="single" w:color="auto" w:sz="2" w:space="0"/>
            </w:tcBorders>
          </w:tcPr>
          <w:p w14:paraId="2C22BEB7">
            <w:pPr>
              <w:rPr>
                <w:rFonts w:hint="eastAsia" w:ascii="华文中宋" w:hAnsi="华文中宋" w:eastAsia="华文中宋" w:cs="华文中宋"/>
                <w:szCs w:val="21"/>
              </w:rPr>
            </w:pPr>
            <w:r>
              <w:rPr>
                <w:rFonts w:hint="eastAsia" w:ascii="华文中宋" w:hAnsi="华文中宋" w:eastAsia="华文中宋" w:cs="华文中宋"/>
                <w:szCs w:val="21"/>
              </w:rPr>
              <w:t>对照本文件第四部分“服务要求”中的内容和响应文件的响应内容进行审查，没有做出响应的做无效投标处理。</w:t>
            </w:r>
          </w:p>
        </w:tc>
      </w:tr>
      <w:tr w14:paraId="4C9BB5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14:paraId="75FD3B1F">
            <w:pPr>
              <w:jc w:val="center"/>
              <w:rPr>
                <w:rFonts w:hint="eastAsia" w:ascii="华文中宋" w:hAnsi="华文中宋" w:eastAsia="华文中宋" w:cs="华文中宋"/>
                <w:szCs w:val="21"/>
              </w:rPr>
            </w:pPr>
            <w:r>
              <w:rPr>
                <w:rFonts w:hint="eastAsia" w:ascii="华文中宋" w:hAnsi="华文中宋" w:eastAsia="华文中宋" w:cs="华文中宋"/>
                <w:szCs w:val="21"/>
              </w:rPr>
              <w:t>5</w:t>
            </w:r>
          </w:p>
        </w:tc>
        <w:tc>
          <w:tcPr>
            <w:tcW w:w="1576" w:type="pct"/>
            <w:tcBorders>
              <w:top w:val="single" w:color="auto" w:sz="2" w:space="0"/>
              <w:left w:val="single" w:color="auto" w:sz="2" w:space="0"/>
              <w:bottom w:val="single" w:color="auto" w:sz="2" w:space="0"/>
              <w:right w:val="single" w:color="auto" w:sz="2" w:space="0"/>
            </w:tcBorders>
            <w:vAlign w:val="center"/>
          </w:tcPr>
          <w:p w14:paraId="0AC0721D">
            <w:pPr>
              <w:jc w:val="center"/>
              <w:rPr>
                <w:rFonts w:hint="eastAsia" w:ascii="华文中宋" w:hAnsi="华文中宋" w:eastAsia="华文中宋" w:cs="华文中宋"/>
                <w:szCs w:val="21"/>
              </w:rPr>
            </w:pPr>
            <w:r>
              <w:rPr>
                <w:rFonts w:hint="eastAsia" w:ascii="华文中宋" w:hAnsi="华文中宋" w:eastAsia="华文中宋" w:cs="华文中宋"/>
                <w:szCs w:val="21"/>
              </w:rPr>
              <w:t>技术要求响应内容</w:t>
            </w:r>
          </w:p>
        </w:tc>
        <w:tc>
          <w:tcPr>
            <w:tcW w:w="2894" w:type="pct"/>
            <w:tcBorders>
              <w:top w:val="single" w:color="auto" w:sz="2" w:space="0"/>
              <w:left w:val="single" w:color="auto" w:sz="2" w:space="0"/>
              <w:bottom w:val="single" w:color="auto" w:sz="2" w:space="0"/>
              <w:right w:val="single" w:color="auto" w:sz="2" w:space="0"/>
            </w:tcBorders>
          </w:tcPr>
          <w:p w14:paraId="727336F3">
            <w:pPr>
              <w:rPr>
                <w:rFonts w:hint="eastAsia" w:ascii="华文中宋" w:hAnsi="华文中宋" w:eastAsia="华文中宋" w:cs="华文中宋"/>
                <w:szCs w:val="21"/>
              </w:rPr>
            </w:pPr>
            <w:r>
              <w:rPr>
                <w:rFonts w:hint="eastAsia" w:ascii="华文中宋" w:hAnsi="华文中宋" w:eastAsia="华文中宋" w:cs="华文中宋"/>
                <w:szCs w:val="21"/>
              </w:rPr>
              <w:t>对照本文件第四部分的“技术要求”中的内容和响应文件的响应内容进行审查，没有做出响应的做无效投标处理。</w:t>
            </w:r>
          </w:p>
        </w:tc>
      </w:tr>
    </w:tbl>
    <w:p w14:paraId="75A0F0F7">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说明：1、符合性检查的内容，经评标委员会共同认定没有做出实质性响应的，将导致投标无效。</w:t>
      </w:r>
    </w:p>
    <w:p w14:paraId="48FA7411">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2、审查时，对特殊情况的处理评标委员会要遵循招标文件第三部分投标人须知第21条规定的原则。</w:t>
      </w:r>
    </w:p>
    <w:p w14:paraId="24B12F3F">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b/>
          <w:sz w:val="24"/>
          <w:szCs w:val="24"/>
        </w:rPr>
        <w:t>二、落实政府采购政策性要求的评审内容及标准</w:t>
      </w:r>
    </w:p>
    <w:p w14:paraId="09FEFDFB">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本项目采购标的物未特别注明“进口产品”（通过中国海关报关验放进入中国境内且产自关境外的产品）字样的，均必须采购国产产品，否则投标无效；特别注明“进口产品”字样的，如无能够满足采购需求的国产产品，在综合得分相同前提下优先采购向我国企业转让技术、与我国企业签订消化吸收再创新方案的供应商的进口产品。如果有能够满足采购需求的国产产品参与，应当按照公平竞争的原则进行评审。</w:t>
      </w:r>
    </w:p>
    <w:p w14:paraId="15D95E77">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本文件列出政府强制采购产品的，投标人必须投报“节能产品政府采购品目清单”范围内的产品，需将政府强制采购产品如实填写到《政府强制采购产品明细表》（格式见第八部分），并提供处于有效期之内的节能产品认证证书扫描件。</w:t>
      </w:r>
    </w:p>
    <w:p w14:paraId="5E706BDF">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3、本文件未列出政府强制采购产品的，投标人可投报“节能产品政府采购品目清单、环境标志产品政府采购品目清单”中非政府强制采购产品或其范围以外的产品。</w:t>
      </w:r>
    </w:p>
    <w:p w14:paraId="3D5B3249">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4、投标人投报“节能产品政府采购品目清单、环境标志产品政府采购品目清单”中非政府强制采购产品的将给予适当加分。投标人需将非政府强制采购产品如实填写《非政府强制采购产品明细表》（格式自制），并提供处于有效期之内的节能产品、环境标志产品认证证书扫描件。</w:t>
      </w:r>
    </w:p>
    <w:p w14:paraId="4AC640BA">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5、承诺所投报的计算机预装正版操作系统，硬件产品内的预装软件为正版软件。</w:t>
      </w:r>
    </w:p>
    <w:p w14:paraId="3D4088A8">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6、所投报信息安全产品属于《信息安全产品强制性认证目录》中的产品，须提供有效认证证书扫描件，否则将可能导致投标无效。</w:t>
      </w:r>
    </w:p>
    <w:p w14:paraId="60C805AC">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7、小型、微型企业参加本项目的评审标准</w:t>
      </w:r>
    </w:p>
    <w:p w14:paraId="008B53FE">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14:paraId="38EB6795">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小型、微企业只有提供本企业制造的货物或者服务，或者提供其他小型、微企业制造的货物，享受投标货物10%的价格折扣。若有的话，如实填写《小微企业/残疾人福利性单位提供货物/服务明细表》（格式见第八部分）。</w:t>
      </w:r>
    </w:p>
    <w:p w14:paraId="75A78374">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（3）小型、微型企业提供的货物既有中小企业制造货物，也有大型企业制造货物的，不享受价格折扣。</w:t>
      </w:r>
    </w:p>
    <w:p w14:paraId="15B49E2D">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14:paraId="7D8A95BF">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14:paraId="64F4BE56">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8、残疾人福利性单位参加本项目的评审标准：</w:t>
      </w:r>
    </w:p>
    <w:p w14:paraId="257408C4">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须根据财库【2017】141号《关于促进残疾人就业政府采购政策的通知》的要求，如实填写残疾人福利性单位声明函（格式见第八部分附件），残疾人福利性单位参加本项目投标时，享受10%的价格折扣，用扣除后的价格参与评审。</w:t>
      </w:r>
    </w:p>
    <w:p w14:paraId="0A9E2563">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（2）享受政府采购支持政策的残疾人福利性单位应当同时满足以下条件：</w:t>
      </w:r>
    </w:p>
    <w:p w14:paraId="3DFF9926">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　A.安置的残疾人占本单位在职职工人数的比例不低于25%（含25%），并且安置的残疾人人数不少于10人（含10人）；</w:t>
      </w:r>
    </w:p>
    <w:p w14:paraId="1A13A25A">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　B.依法与安置的每位残疾人签订了一年以上（含一年）的劳动合同或服务协议；</w:t>
      </w:r>
    </w:p>
    <w:p w14:paraId="7B30D64B">
      <w:pPr>
        <w:pStyle w:val="53"/>
        <w:snapToGrid w:val="0"/>
        <w:spacing w:line="360" w:lineRule="auto"/>
        <w:ind w:firstLine="720" w:firstLineChars="300"/>
        <w:rPr>
          <w:rFonts w:hint="eastAsia" w:ascii="华文中宋" w:hAnsi="华文中宋" w:eastAsia="华文中宋" w:cs="华文中宋"/>
          <w:sz w:val="24"/>
          <w:szCs w:val="24"/>
        </w:rPr>
      </w:pPr>
      <w:r>
        <w:rPr>
          <w:rFonts w:hint="eastAsia" w:ascii="华文中宋" w:hAnsi="华文中宋" w:eastAsia="华文中宋" w:cs="华文中宋"/>
          <w:sz w:val="24"/>
          <w:szCs w:val="24"/>
        </w:rPr>
        <w:t>C.为安置的每位残疾人按月足额缴纳了基本养老保险、基本医疗保险、失业保险、工伤保险和生育保险等社会保险费；</w:t>
      </w:r>
    </w:p>
    <w:p w14:paraId="36654569">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　D.通过银行等金融机构向安置的每位残疾人，按月支付了不低于单位所在区县适用的经省级人民政府批准的月最低工资标准的工资；</w:t>
      </w:r>
    </w:p>
    <w:p w14:paraId="16D50116">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　E．提供本单位制造的货物、承担的工程或者服务（以下简称产品），或者提供其他残疾人福利性单位制造的货物（不包括使用非残疾人福利性单位注册商标的货物）。</w:t>
      </w:r>
    </w:p>
    <w:p w14:paraId="592BDF16">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F65928">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9、供应商提供的《残疾人福利性单位声明函》与事实不符的，依照《政府采购法》第七十七条第一款的规定追究法律责任。</w:t>
      </w:r>
    </w:p>
    <w:p w14:paraId="017D4CF2">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5D6429F">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10、本项目涉及创新产品、创新服务的评审标准：</w:t>
      </w:r>
    </w:p>
    <w:p w14:paraId="45839C08">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（1）投标人投标产品或服务属于《山西省创新产品和服务推荐清单》中创新产品或创新服务的，在评审时，享受投标产品10%的价格折扣，以折扣后的价格参与评审。</w:t>
      </w:r>
    </w:p>
    <w:p w14:paraId="208C03A7">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（2）投标人投标创新产品或创新服务的，应在投标文件中填写《创新产品或创新服务明细表》，并提供《山西省创新产品和服务推荐清单》。</w:t>
      </w:r>
    </w:p>
    <w:p w14:paraId="1B1B2528">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（3）创新产品或创新服务的价格折扣政策可与其他政府采购政策叠加。</w:t>
      </w:r>
    </w:p>
    <w:p w14:paraId="01C55114">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11、监狱企业参加本项目投标的要求</w:t>
      </w:r>
    </w:p>
    <w:p w14:paraId="06704C69">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（1）监狱企业参加投标视同小微企业，需提供由省级以上监狱管理局或戒毒管理局出具的属于监狱企业的证明文件。</w:t>
      </w:r>
    </w:p>
    <w:p w14:paraId="310028C2">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监狱企业只有提供本企业制造的货物或服务，或者提供其他小、微企业制造的货物，享受投标货物的价格折扣。若有的话，如实填写《小微企业/残疾人福利性单位提供货物/服务明细表》（格式见第八部分）；</w:t>
      </w:r>
    </w:p>
    <w:p w14:paraId="4566B9AD">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（3）监狱企业与中型企业组成联合体参加投标的，或者向监狱企业分包，且联合体协议或分包意向协议约定监狱企业的协议金额占到合同金额30%以上的，享受投标标的3%的价格扣除，用扣除后的价格参与评审。</w:t>
      </w:r>
    </w:p>
    <w:p w14:paraId="5E1A5E8A">
      <w:pPr>
        <w:pStyle w:val="53"/>
        <w:snapToGrid w:val="0"/>
        <w:spacing w:line="360" w:lineRule="auto"/>
        <w:ind w:firstLine="480"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三、无效投标的情形</w:t>
      </w:r>
    </w:p>
    <w:p w14:paraId="289E6808">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未通过资格性、符合性审查的投标文件为无效投标。</w:t>
      </w:r>
    </w:p>
    <w:p w14:paraId="25EFA812">
      <w:pPr>
        <w:snapToGrid w:val="0"/>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b/>
          <w:sz w:val="24"/>
        </w:rPr>
        <w:t>四、评标方法及中标条件</w:t>
      </w:r>
    </w:p>
    <w:p w14:paraId="04411CFF">
      <w:pPr>
        <w:pStyle w:val="53"/>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本项目采用综合评分法评标，评标结果按评审后得分由高到低顺序排列，得分最高的投标人为中标供应商或者是排名第一的中标候选人。得分相同的，按投标报价由低到高顺序排列。得分且投标报价相同的，由得分且报价相同的投标人授权代表，在评标委员会的监督下，采取随机抽取的方式确定中标供应商或者排名第一的中标候选人。</w:t>
      </w:r>
    </w:p>
    <w:p w14:paraId="47030CB3">
      <w:pPr>
        <w:pStyle w:val="53"/>
        <w:snapToGrid w:val="0"/>
        <w:spacing w:line="480" w:lineRule="exact"/>
        <w:ind w:left="420" w:leftChars="200" w:firstLine="480" w:firstLineChars="200"/>
        <w:rPr>
          <w:rFonts w:hint="eastAsia" w:ascii="华文中宋" w:hAnsi="华文中宋" w:eastAsia="华文中宋" w:cs="华文中宋"/>
          <w:b/>
          <w:bCs/>
          <w:sz w:val="24"/>
          <w:szCs w:val="24"/>
        </w:rPr>
      </w:pPr>
    </w:p>
    <w:p w14:paraId="416B7ADF">
      <w:pPr>
        <w:pStyle w:val="53"/>
        <w:snapToGrid w:val="0"/>
        <w:spacing w:line="480" w:lineRule="exact"/>
        <w:ind w:left="420" w:leftChars="200" w:firstLine="480" w:firstLineChars="200"/>
        <w:rPr>
          <w:rFonts w:hint="eastAsia" w:ascii="华文中宋" w:hAnsi="华文中宋" w:eastAsia="华文中宋" w:cs="华文中宋"/>
          <w:b/>
          <w:bCs/>
          <w:sz w:val="24"/>
          <w:szCs w:val="24"/>
        </w:rPr>
      </w:pPr>
    </w:p>
    <w:p w14:paraId="77EE5B30">
      <w:pPr>
        <w:pStyle w:val="53"/>
        <w:snapToGrid w:val="0"/>
        <w:spacing w:line="480" w:lineRule="exact"/>
        <w:ind w:left="420" w:leftChars="200" w:firstLine="480" w:firstLineChars="200"/>
        <w:rPr>
          <w:rFonts w:hint="eastAsia" w:ascii="华文中宋" w:hAnsi="华文中宋" w:eastAsia="华文中宋" w:cs="华文中宋"/>
          <w:b/>
          <w:bCs/>
          <w:sz w:val="24"/>
          <w:szCs w:val="24"/>
        </w:rPr>
      </w:pPr>
    </w:p>
    <w:p w14:paraId="475955A8">
      <w:pPr>
        <w:pStyle w:val="53"/>
        <w:snapToGrid w:val="0"/>
        <w:spacing w:line="480" w:lineRule="exact"/>
        <w:ind w:left="420" w:leftChars="200" w:firstLine="480" w:firstLineChars="200"/>
        <w:rPr>
          <w:rFonts w:hint="eastAsia" w:ascii="华文中宋" w:hAnsi="华文中宋" w:eastAsia="华文中宋" w:cs="华文中宋"/>
          <w:b/>
          <w:bCs/>
          <w:sz w:val="24"/>
          <w:szCs w:val="24"/>
        </w:rPr>
      </w:pPr>
    </w:p>
    <w:p w14:paraId="61E43383">
      <w:pPr>
        <w:pStyle w:val="53"/>
        <w:snapToGrid w:val="0"/>
        <w:spacing w:line="480" w:lineRule="exact"/>
        <w:ind w:left="420" w:leftChars="200" w:firstLine="480" w:firstLineChars="200"/>
        <w:rPr>
          <w:rFonts w:hint="eastAsia" w:ascii="华文中宋" w:hAnsi="华文中宋" w:eastAsia="华文中宋" w:cs="华文中宋"/>
          <w:b/>
          <w:bCs/>
          <w:sz w:val="24"/>
          <w:szCs w:val="24"/>
        </w:rPr>
      </w:pPr>
    </w:p>
    <w:p w14:paraId="333114FA">
      <w:pPr>
        <w:pStyle w:val="53"/>
        <w:snapToGrid w:val="0"/>
        <w:spacing w:line="480" w:lineRule="exact"/>
        <w:ind w:left="420" w:leftChars="200" w:firstLine="480" w:firstLineChars="200"/>
        <w:rPr>
          <w:rFonts w:hint="eastAsia" w:ascii="华文中宋" w:hAnsi="华文中宋" w:eastAsia="华文中宋" w:cs="华文中宋"/>
          <w:b/>
          <w:bCs/>
          <w:sz w:val="24"/>
          <w:szCs w:val="24"/>
        </w:rPr>
      </w:pPr>
    </w:p>
    <w:p w14:paraId="277EFB9D">
      <w:pPr>
        <w:pStyle w:val="53"/>
        <w:snapToGrid w:val="0"/>
        <w:spacing w:line="480" w:lineRule="exact"/>
        <w:ind w:left="420" w:leftChars="200" w:firstLine="480" w:firstLineChars="200"/>
        <w:rPr>
          <w:rFonts w:hint="eastAsia" w:ascii="华文中宋" w:hAnsi="华文中宋" w:eastAsia="华文中宋" w:cs="华文中宋"/>
          <w:b/>
          <w:bCs/>
          <w:sz w:val="24"/>
          <w:szCs w:val="24"/>
        </w:rPr>
      </w:pPr>
    </w:p>
    <w:p w14:paraId="58F02DF7">
      <w:pPr>
        <w:pStyle w:val="53"/>
        <w:snapToGrid w:val="0"/>
        <w:spacing w:line="480" w:lineRule="exact"/>
        <w:ind w:left="420" w:leftChars="200" w:firstLine="480" w:firstLineChars="200"/>
        <w:rPr>
          <w:rFonts w:hint="eastAsia" w:ascii="华文中宋" w:hAnsi="华文中宋" w:eastAsia="华文中宋" w:cs="华文中宋"/>
          <w:b/>
          <w:bCs/>
          <w:sz w:val="24"/>
          <w:szCs w:val="24"/>
        </w:rPr>
      </w:pPr>
    </w:p>
    <w:p w14:paraId="31198F85">
      <w:pPr>
        <w:rPr>
          <w:rFonts w:hint="eastAsia" w:ascii="华文中宋" w:hAnsi="华文中宋" w:eastAsia="华文中宋" w:cs="华文中宋"/>
        </w:rPr>
      </w:pPr>
    </w:p>
    <w:p w14:paraId="2CC87A71">
      <w:pPr>
        <w:rPr>
          <w:rFonts w:hint="eastAsia" w:ascii="华文中宋" w:hAnsi="华文中宋" w:eastAsia="华文中宋" w:cs="华文中宋"/>
        </w:rPr>
      </w:pPr>
    </w:p>
    <w:p w14:paraId="39BE8651">
      <w:pPr>
        <w:rPr>
          <w:rFonts w:hint="eastAsia" w:ascii="华文中宋" w:hAnsi="华文中宋" w:eastAsia="华文中宋" w:cs="华文中宋"/>
        </w:rPr>
      </w:pPr>
    </w:p>
    <w:p w14:paraId="77D4BE7D">
      <w:pPr>
        <w:rPr>
          <w:rFonts w:hint="eastAsia" w:ascii="华文中宋" w:hAnsi="华文中宋" w:eastAsia="华文中宋" w:cs="华文中宋"/>
        </w:rPr>
      </w:pPr>
    </w:p>
    <w:p w14:paraId="1CF4780F">
      <w:pPr>
        <w:rPr>
          <w:rFonts w:hint="eastAsia" w:ascii="华文中宋" w:hAnsi="华文中宋" w:eastAsia="华文中宋" w:cs="华文中宋"/>
        </w:rPr>
      </w:pPr>
    </w:p>
    <w:p w14:paraId="22496676">
      <w:pPr>
        <w:rPr>
          <w:rFonts w:hint="eastAsia" w:ascii="华文中宋" w:hAnsi="华文中宋" w:eastAsia="华文中宋" w:cs="华文中宋"/>
        </w:rPr>
      </w:pPr>
    </w:p>
    <w:p w14:paraId="0026CBC6">
      <w:pPr>
        <w:rPr>
          <w:rFonts w:hint="eastAsia" w:ascii="华文中宋" w:hAnsi="华文中宋" w:eastAsia="华文中宋" w:cs="华文中宋"/>
        </w:rPr>
      </w:pPr>
    </w:p>
    <w:p w14:paraId="437995F5">
      <w:pPr>
        <w:rPr>
          <w:rFonts w:hint="eastAsia" w:ascii="华文中宋" w:hAnsi="华文中宋" w:eastAsia="华文中宋" w:cs="华文中宋"/>
        </w:rPr>
      </w:pPr>
    </w:p>
    <w:p w14:paraId="05EFF1DA">
      <w:pPr>
        <w:rPr>
          <w:rFonts w:hint="eastAsia" w:ascii="华文中宋" w:hAnsi="华文中宋" w:eastAsia="华文中宋" w:cs="华文中宋"/>
        </w:rPr>
      </w:pPr>
    </w:p>
    <w:p w14:paraId="64EF1B75">
      <w:pPr>
        <w:pStyle w:val="53"/>
        <w:snapToGrid w:val="0"/>
        <w:spacing w:line="480" w:lineRule="exact"/>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综合评分法评分细则：</w:t>
      </w:r>
    </w:p>
    <w:p w14:paraId="4FC48199">
      <w:pPr>
        <w:pStyle w:val="21"/>
        <w:rPr>
          <w:rFonts w:hint="eastAsia" w:ascii="华文中宋" w:hAnsi="华文中宋" w:eastAsia="华文中宋" w:cs="华文中宋"/>
          <w:b/>
          <w:sz w:val="24"/>
          <w:szCs w:val="24"/>
        </w:rPr>
      </w:pPr>
    </w:p>
    <w:p w14:paraId="35AA61CD">
      <w:pPr>
        <w:pStyle w:val="21"/>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第一部分：商务、技术和服务评分（评审委员会共同认定）</w:t>
      </w:r>
    </w:p>
    <w:tbl>
      <w:tblPr>
        <w:tblStyle w:val="29"/>
        <w:tblpPr w:leftFromText="180" w:rightFromText="180" w:vertAnchor="text" w:horzAnchor="page" w:tblpX="1531" w:tblpY="345"/>
        <w:tblOverlap w:val="never"/>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838"/>
        <w:gridCol w:w="5405"/>
        <w:gridCol w:w="1204"/>
      </w:tblGrid>
      <w:tr w14:paraId="4EC2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4EBF6EB7">
            <w:pPr>
              <w:autoSpaceDE w:val="0"/>
              <w:autoSpaceDN w:val="0"/>
              <w:adjustRightInd w:val="0"/>
              <w:spacing w:line="300" w:lineRule="exact"/>
              <w:jc w:val="center"/>
              <w:rPr>
                <w:rFonts w:hint="eastAsia" w:ascii="华文中宋" w:hAnsi="华文中宋" w:eastAsia="华文中宋" w:cs="华文中宋"/>
                <w:b/>
                <w:bCs/>
                <w:sz w:val="24"/>
                <w:lang w:val="zh-CN"/>
              </w:rPr>
            </w:pPr>
            <w:r>
              <w:rPr>
                <w:rFonts w:hint="eastAsia" w:ascii="华文中宋" w:hAnsi="华文中宋" w:eastAsia="华文中宋" w:cs="华文中宋"/>
                <w:b/>
                <w:bCs/>
                <w:sz w:val="24"/>
                <w:lang w:val="zh-CN"/>
              </w:rPr>
              <w:t>序号</w:t>
            </w:r>
          </w:p>
        </w:tc>
        <w:tc>
          <w:tcPr>
            <w:tcW w:w="995" w:type="pct"/>
            <w:vAlign w:val="center"/>
          </w:tcPr>
          <w:p w14:paraId="5B3669C9">
            <w:pPr>
              <w:autoSpaceDE w:val="0"/>
              <w:autoSpaceDN w:val="0"/>
              <w:adjustRightInd w:val="0"/>
              <w:spacing w:line="300" w:lineRule="exact"/>
              <w:jc w:val="center"/>
              <w:rPr>
                <w:rFonts w:hint="eastAsia" w:ascii="华文中宋" w:hAnsi="华文中宋" w:eastAsia="华文中宋" w:cs="华文中宋"/>
                <w:b/>
                <w:bCs/>
                <w:sz w:val="24"/>
                <w:lang w:val="zh-CN"/>
              </w:rPr>
            </w:pPr>
            <w:r>
              <w:rPr>
                <w:rFonts w:hint="eastAsia" w:ascii="华文中宋" w:hAnsi="华文中宋" w:eastAsia="华文中宋" w:cs="华文中宋"/>
                <w:b/>
                <w:bCs/>
                <w:sz w:val="24"/>
                <w:lang w:val="zh-CN"/>
              </w:rPr>
              <w:t>评审因素</w:t>
            </w:r>
          </w:p>
        </w:tc>
        <w:tc>
          <w:tcPr>
            <w:tcW w:w="2926" w:type="pct"/>
            <w:vAlign w:val="center"/>
          </w:tcPr>
          <w:p w14:paraId="6BE65116">
            <w:pPr>
              <w:autoSpaceDE w:val="0"/>
              <w:autoSpaceDN w:val="0"/>
              <w:adjustRightInd w:val="0"/>
              <w:spacing w:line="300" w:lineRule="exact"/>
              <w:jc w:val="center"/>
              <w:rPr>
                <w:rFonts w:hint="eastAsia" w:ascii="华文中宋" w:hAnsi="华文中宋" w:eastAsia="华文中宋" w:cs="华文中宋"/>
                <w:b/>
                <w:bCs/>
                <w:sz w:val="24"/>
                <w:lang w:val="zh-CN"/>
              </w:rPr>
            </w:pPr>
            <w:r>
              <w:rPr>
                <w:rFonts w:hint="eastAsia" w:ascii="华文中宋" w:hAnsi="华文中宋" w:eastAsia="华文中宋" w:cs="华文中宋"/>
                <w:b/>
                <w:bCs/>
                <w:sz w:val="24"/>
                <w:lang w:val="zh-CN"/>
              </w:rPr>
              <w:t>评分细则</w:t>
            </w:r>
          </w:p>
        </w:tc>
        <w:tc>
          <w:tcPr>
            <w:tcW w:w="651" w:type="pct"/>
            <w:vAlign w:val="center"/>
          </w:tcPr>
          <w:p w14:paraId="20C4B611">
            <w:pPr>
              <w:autoSpaceDE w:val="0"/>
              <w:autoSpaceDN w:val="0"/>
              <w:adjustRightInd w:val="0"/>
              <w:spacing w:line="300" w:lineRule="exact"/>
              <w:jc w:val="center"/>
              <w:rPr>
                <w:rFonts w:hint="eastAsia" w:ascii="华文中宋" w:hAnsi="华文中宋" w:eastAsia="华文中宋" w:cs="华文中宋"/>
              </w:rPr>
            </w:pPr>
            <w:r>
              <w:rPr>
                <w:rFonts w:hint="eastAsia" w:ascii="华文中宋" w:hAnsi="华文中宋" w:eastAsia="华文中宋" w:cs="华文中宋"/>
                <w:b/>
                <w:bCs/>
                <w:sz w:val="24"/>
              </w:rPr>
              <w:t>分值</w:t>
            </w:r>
          </w:p>
          <w:p w14:paraId="57EFF125">
            <w:pPr>
              <w:autoSpaceDE w:val="0"/>
              <w:autoSpaceDN w:val="0"/>
              <w:adjustRightInd w:val="0"/>
              <w:spacing w:line="300" w:lineRule="exact"/>
              <w:jc w:val="center"/>
              <w:rPr>
                <w:rFonts w:hint="eastAsia" w:ascii="华文中宋" w:hAnsi="华文中宋" w:eastAsia="华文中宋" w:cs="华文中宋"/>
                <w:b/>
                <w:bCs/>
                <w:sz w:val="24"/>
              </w:rPr>
            </w:pPr>
            <w:r>
              <w:rPr>
                <w:rFonts w:hint="eastAsia" w:ascii="华文中宋" w:hAnsi="华文中宋" w:eastAsia="华文中宋" w:cs="华文中宋"/>
                <w:b/>
                <w:bCs/>
                <w:sz w:val="24"/>
              </w:rPr>
              <w:t>(共15分)</w:t>
            </w:r>
          </w:p>
        </w:tc>
      </w:tr>
      <w:tr w14:paraId="3F41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000" w:type="pct"/>
            <w:gridSpan w:val="4"/>
            <w:vAlign w:val="center"/>
          </w:tcPr>
          <w:p w14:paraId="7188D767">
            <w:pPr>
              <w:autoSpaceDE w:val="0"/>
              <w:autoSpaceDN w:val="0"/>
              <w:adjustRightInd w:val="0"/>
              <w:spacing w:line="300" w:lineRule="exact"/>
              <w:jc w:val="left"/>
              <w:rPr>
                <w:rFonts w:hint="eastAsia" w:ascii="华文中宋" w:hAnsi="华文中宋" w:eastAsia="华文中宋" w:cs="华文中宋"/>
                <w:b/>
                <w:bCs/>
                <w:sz w:val="24"/>
                <w:lang w:val="zh-CN"/>
              </w:rPr>
            </w:pPr>
            <w:r>
              <w:rPr>
                <w:rFonts w:hint="eastAsia" w:ascii="华文中宋" w:hAnsi="华文中宋" w:eastAsia="华文中宋" w:cs="华文中宋"/>
                <w:b/>
                <w:bCs/>
                <w:sz w:val="24"/>
                <w:lang w:val="zh-CN"/>
              </w:rPr>
              <w:t>一、商务部分（</w:t>
            </w:r>
            <w:r>
              <w:rPr>
                <w:rFonts w:hint="eastAsia" w:ascii="华文中宋" w:hAnsi="华文中宋" w:eastAsia="华文中宋" w:cs="华文中宋"/>
                <w:b/>
                <w:bCs/>
                <w:sz w:val="24"/>
              </w:rPr>
              <w:t>15</w:t>
            </w:r>
            <w:r>
              <w:rPr>
                <w:rFonts w:hint="eastAsia" w:ascii="华文中宋" w:hAnsi="华文中宋" w:eastAsia="华文中宋" w:cs="华文中宋"/>
                <w:b/>
                <w:bCs/>
                <w:sz w:val="24"/>
                <w:lang w:val="zh-CN"/>
              </w:rPr>
              <w:t>分）  (由评标委员会共同认定)</w:t>
            </w:r>
          </w:p>
        </w:tc>
      </w:tr>
      <w:tr w14:paraId="0F3C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vAlign w:val="center"/>
          </w:tcPr>
          <w:p w14:paraId="0D8D4D7C">
            <w:pPr>
              <w:jc w:val="center"/>
              <w:rPr>
                <w:rFonts w:hint="eastAsia" w:ascii="华文中宋" w:hAnsi="华文中宋" w:eastAsia="华文中宋" w:cs="华文中宋"/>
                <w:szCs w:val="21"/>
              </w:rPr>
            </w:pPr>
            <w:r>
              <w:rPr>
                <w:rFonts w:hint="eastAsia" w:ascii="华文中宋" w:hAnsi="华文中宋" w:eastAsia="华文中宋" w:cs="华文中宋"/>
              </w:rPr>
              <w:t>1</w:t>
            </w:r>
          </w:p>
        </w:tc>
        <w:tc>
          <w:tcPr>
            <w:tcW w:w="995" w:type="pct"/>
            <w:vAlign w:val="center"/>
          </w:tcPr>
          <w:p w14:paraId="01B22B4F">
            <w:pPr>
              <w:jc w:val="center"/>
              <w:rPr>
                <w:rFonts w:hint="eastAsia" w:ascii="华文中宋" w:hAnsi="华文中宋" w:eastAsia="华文中宋" w:cs="华文中宋"/>
                <w:szCs w:val="21"/>
              </w:rPr>
            </w:pPr>
            <w:r>
              <w:rPr>
                <w:rFonts w:hint="eastAsia" w:ascii="华文中宋" w:hAnsi="华文中宋" w:eastAsia="华文中宋" w:cs="华文中宋"/>
              </w:rPr>
              <w:t>供应商业绩</w:t>
            </w:r>
          </w:p>
        </w:tc>
        <w:tc>
          <w:tcPr>
            <w:tcW w:w="2926" w:type="pct"/>
            <w:vAlign w:val="center"/>
          </w:tcPr>
          <w:p w14:paraId="35DA0199">
            <w:pPr>
              <w:rPr>
                <w:rFonts w:hint="eastAsia" w:ascii="华文中宋" w:hAnsi="华文中宋" w:eastAsia="华文中宋" w:cs="华文中宋"/>
                <w:szCs w:val="21"/>
              </w:rPr>
            </w:pPr>
            <w:r>
              <w:rPr>
                <w:rFonts w:hint="eastAsia" w:ascii="华文中宋" w:hAnsi="华文中宋" w:eastAsia="华文中宋" w:cs="华文中宋"/>
              </w:rPr>
              <w:t>项目合同案例以报价人与用户签订的合同为准，要求必须提供与最终用户签订的合同首页、合同金额所在页、签字盖章页复印件作为证明。每提供一个在投标截止日期三个年度内签署的同类项目合同案例得</w:t>
            </w:r>
            <w:r>
              <w:rPr>
                <w:rFonts w:hint="eastAsia" w:ascii="华文中宋" w:hAnsi="华文中宋" w:eastAsia="华文中宋" w:cs="华文中宋"/>
                <w:lang w:val="en-US" w:eastAsia="zh-CN"/>
              </w:rPr>
              <w:t>1</w:t>
            </w:r>
            <w:r>
              <w:rPr>
                <w:rFonts w:hint="eastAsia" w:ascii="华文中宋" w:hAnsi="华文中宋" w:eastAsia="华文中宋" w:cs="华文中宋"/>
              </w:rPr>
              <w:t>，最高得</w:t>
            </w:r>
            <w:r>
              <w:rPr>
                <w:rFonts w:hint="eastAsia" w:ascii="华文中宋" w:hAnsi="华文中宋" w:eastAsia="华文中宋" w:cs="华文中宋"/>
                <w:lang w:val="en-US" w:eastAsia="zh-CN"/>
              </w:rPr>
              <w:t>2</w:t>
            </w:r>
            <w:r>
              <w:rPr>
                <w:rFonts w:hint="eastAsia" w:ascii="华文中宋" w:hAnsi="华文中宋" w:eastAsia="华文中宋" w:cs="华文中宋"/>
              </w:rPr>
              <w:t>分。</w:t>
            </w:r>
          </w:p>
        </w:tc>
        <w:tc>
          <w:tcPr>
            <w:tcW w:w="651" w:type="pct"/>
            <w:vAlign w:val="center"/>
          </w:tcPr>
          <w:p w14:paraId="48C4F756">
            <w:pPr>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val="en-US" w:eastAsia="zh-CN"/>
              </w:rPr>
              <w:t>2</w:t>
            </w:r>
          </w:p>
        </w:tc>
      </w:tr>
      <w:tr w14:paraId="62A3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shd w:val="clear" w:color="auto" w:fill="auto"/>
            <w:vAlign w:val="center"/>
          </w:tcPr>
          <w:p w14:paraId="1A4969BE">
            <w:pPr>
              <w:pStyle w:val="21"/>
              <w:pBdr>
                <w:top w:val="none" w:color="auto" w:sz="0" w:space="0"/>
                <w:left w:val="none" w:color="auto" w:sz="0" w:space="0"/>
                <w:bottom w:val="none" w:color="auto" w:sz="0" w:space="0"/>
                <w:right w:val="none" w:color="auto" w:sz="0" w:space="0"/>
                <w:between w:val="none" w:color="auto" w:sz="0" w:space="0"/>
              </w:pBdr>
              <w:jc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sz w:val="21"/>
                <w:szCs w:val="21"/>
                <w:highlight w:val="none"/>
                <w:lang w:val="en-US" w:eastAsia="zh-CN"/>
              </w:rPr>
              <w:t>2</w:t>
            </w:r>
          </w:p>
        </w:tc>
        <w:tc>
          <w:tcPr>
            <w:tcW w:w="995" w:type="pct"/>
            <w:shd w:val="clear" w:color="auto" w:fill="auto"/>
            <w:vAlign w:val="center"/>
          </w:tcPr>
          <w:p w14:paraId="4128720E">
            <w:pPr>
              <w:pStyle w:val="21"/>
              <w:pBdr>
                <w:top w:val="none" w:color="auto" w:sz="0" w:space="0"/>
                <w:left w:val="none" w:color="auto" w:sz="0" w:space="0"/>
                <w:bottom w:val="none" w:color="auto" w:sz="0" w:space="0"/>
                <w:right w:val="none" w:color="auto" w:sz="0" w:space="0"/>
                <w:between w:val="none" w:color="auto" w:sz="0" w:space="0"/>
              </w:pBdr>
              <w:jc w:val="center"/>
              <w:rPr>
                <w:rFonts w:hint="eastAsia" w:ascii="华文中宋" w:hAnsi="华文中宋" w:eastAsia="华文中宋" w:cs="华文中宋"/>
                <w:kern w:val="2"/>
                <w:sz w:val="21"/>
                <w:szCs w:val="21"/>
                <w:lang w:val="zh-CN" w:eastAsia="zh-CN" w:bidi="ar-SA"/>
              </w:rPr>
            </w:pPr>
            <w:r>
              <w:rPr>
                <w:rFonts w:hint="eastAsia" w:ascii="华文中宋" w:hAnsi="华文中宋" w:eastAsia="华文中宋" w:cs="华文中宋"/>
                <w:color w:val="auto"/>
                <w:kern w:val="2"/>
                <w:sz w:val="21"/>
                <w:szCs w:val="21"/>
                <w:highlight w:val="none"/>
                <w:lang w:val="en-US" w:eastAsia="zh-CN" w:bidi="ar-SA"/>
              </w:rPr>
              <w:t>售后服务组织</w:t>
            </w:r>
          </w:p>
        </w:tc>
        <w:tc>
          <w:tcPr>
            <w:tcW w:w="2926" w:type="pct"/>
            <w:shd w:val="clear" w:color="auto" w:fill="auto"/>
            <w:vAlign w:val="center"/>
          </w:tcPr>
          <w:p w14:paraId="7AAED366">
            <w:pPr>
              <w:pStyle w:val="21"/>
              <w:pBdr>
                <w:top w:val="none" w:color="auto" w:sz="0" w:space="0"/>
                <w:left w:val="none" w:color="auto" w:sz="0" w:space="0"/>
                <w:bottom w:val="none" w:color="auto" w:sz="0" w:space="0"/>
                <w:right w:val="none" w:color="auto" w:sz="0" w:space="0"/>
                <w:between w:val="none" w:color="auto" w:sz="0" w:space="0"/>
              </w:pBdr>
              <w:jc w:val="both"/>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准确提供本项目售后服务总负责人的姓名、职务、详细的地址和联系方式的得3分，否则不得分。</w:t>
            </w:r>
          </w:p>
        </w:tc>
        <w:tc>
          <w:tcPr>
            <w:tcW w:w="651" w:type="pct"/>
            <w:shd w:val="clear" w:color="auto" w:fill="auto"/>
            <w:vAlign w:val="center"/>
          </w:tcPr>
          <w:p w14:paraId="6066640C">
            <w:pPr>
              <w:pStyle w:val="21"/>
              <w:pBdr>
                <w:top w:val="none" w:color="auto" w:sz="0" w:space="0"/>
                <w:left w:val="none" w:color="auto" w:sz="0" w:space="0"/>
                <w:bottom w:val="none" w:color="auto" w:sz="0" w:space="0"/>
                <w:right w:val="none" w:color="auto" w:sz="0" w:space="0"/>
                <w:between w:val="none" w:color="auto" w:sz="0" w:space="0"/>
              </w:pBdr>
              <w:jc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3</w:t>
            </w:r>
          </w:p>
        </w:tc>
      </w:tr>
      <w:tr w14:paraId="4F2C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427" w:type="pct"/>
            <w:vAlign w:val="center"/>
          </w:tcPr>
          <w:p w14:paraId="15784BC1">
            <w:pPr>
              <w:jc w:val="center"/>
              <w:rPr>
                <w:rFonts w:hint="eastAsia" w:ascii="华文中宋" w:hAnsi="华文中宋" w:eastAsia="华文中宋" w:cs="华文中宋"/>
                <w:color w:val="auto"/>
                <w:szCs w:val="21"/>
                <w:lang w:eastAsia="zh-CN"/>
              </w:rPr>
            </w:pPr>
            <w:r>
              <w:rPr>
                <w:rFonts w:hint="eastAsia" w:ascii="华文中宋" w:hAnsi="华文中宋" w:eastAsia="华文中宋" w:cs="华文中宋"/>
                <w:color w:val="auto"/>
                <w:lang w:val="en-US" w:eastAsia="zh-CN"/>
              </w:rPr>
              <w:t>3</w:t>
            </w:r>
          </w:p>
        </w:tc>
        <w:tc>
          <w:tcPr>
            <w:tcW w:w="995" w:type="pct"/>
            <w:vAlign w:val="center"/>
          </w:tcPr>
          <w:p w14:paraId="6D278127">
            <w:pPr>
              <w:jc w:val="center"/>
              <w:rPr>
                <w:rFonts w:hint="eastAsia" w:ascii="华文中宋" w:hAnsi="华文中宋" w:eastAsia="华文中宋" w:cs="华文中宋"/>
                <w:color w:val="auto"/>
                <w:szCs w:val="21"/>
              </w:rPr>
            </w:pPr>
            <w:r>
              <w:rPr>
                <w:rFonts w:hint="eastAsia" w:ascii="华文中宋" w:hAnsi="华文中宋" w:eastAsia="华文中宋" w:cs="华文中宋"/>
                <w:color w:val="auto"/>
              </w:rPr>
              <w:t>技术参数符合招标文件要求</w:t>
            </w:r>
          </w:p>
        </w:tc>
        <w:tc>
          <w:tcPr>
            <w:tcW w:w="2926" w:type="pct"/>
            <w:vAlign w:val="center"/>
          </w:tcPr>
          <w:p w14:paraId="093D10DF">
            <w:pPr>
              <w:rPr>
                <w:rFonts w:hint="eastAsia" w:ascii="华文中宋" w:hAnsi="华文中宋" w:eastAsia="华文中宋" w:cs="华文中宋"/>
                <w:color w:val="auto"/>
              </w:rPr>
            </w:pPr>
            <w:r>
              <w:rPr>
                <w:rFonts w:hint="eastAsia" w:ascii="华文中宋" w:hAnsi="华文中宋" w:eastAsia="华文中宋" w:cs="华文中宋"/>
                <w:color w:val="auto"/>
              </w:rPr>
              <w:t>满足招标文件要求的全部技术需求的得</w:t>
            </w:r>
            <w:r>
              <w:rPr>
                <w:rFonts w:hint="eastAsia" w:ascii="华文中宋" w:hAnsi="华文中宋" w:eastAsia="华文中宋" w:cs="华文中宋"/>
                <w:color w:val="auto"/>
                <w:lang w:val="en-US" w:eastAsia="zh-CN"/>
              </w:rPr>
              <w:t>10</w:t>
            </w:r>
            <w:r>
              <w:rPr>
                <w:rFonts w:hint="eastAsia" w:ascii="华文中宋" w:hAnsi="华文中宋" w:eastAsia="华文中宋" w:cs="华文中宋"/>
                <w:color w:val="auto"/>
              </w:rPr>
              <w:t>分。</w:t>
            </w:r>
          </w:p>
          <w:p w14:paraId="2041315E">
            <w:pPr>
              <w:rPr>
                <w:rFonts w:hint="eastAsia" w:ascii="华文中宋" w:hAnsi="华文中宋" w:eastAsia="华文中宋" w:cs="华文中宋"/>
                <w:color w:val="auto"/>
                <w:lang w:eastAsia="zh-CN"/>
              </w:rPr>
            </w:pPr>
            <w:r>
              <w:rPr>
                <w:rFonts w:hint="eastAsia" w:ascii="华文中宋" w:hAnsi="华文中宋" w:eastAsia="华文中宋" w:cs="华文中宋"/>
                <w:color w:val="auto"/>
              </w:rPr>
              <w:t>主要技术指</w:t>
            </w:r>
            <w:r>
              <w:rPr>
                <w:rFonts w:hint="eastAsia" w:ascii="华文中宋" w:hAnsi="华文中宋" w:eastAsia="华文中宋" w:cs="华文中宋"/>
                <w:color w:val="auto"/>
                <w:highlight w:val="none"/>
              </w:rPr>
              <w:t>标负偏离的将导致响应文件被拒绝。</w:t>
            </w:r>
            <w:r>
              <w:rPr>
                <w:rFonts w:hint="eastAsia" w:ascii="华文中宋" w:hAnsi="华文中宋" w:eastAsia="华文中宋" w:cs="华文中宋"/>
                <w:color w:val="auto"/>
                <w:highlight w:val="none"/>
                <w:lang w:val="en-US" w:eastAsia="zh-CN"/>
              </w:rPr>
              <w:t>一般性技术指标每有一项负偏离的，</w:t>
            </w:r>
            <w:r>
              <w:rPr>
                <w:rFonts w:hint="eastAsia" w:ascii="华文中宋" w:hAnsi="华文中宋" w:eastAsia="华文中宋" w:cs="华文中宋"/>
                <w:color w:val="auto"/>
                <w:highlight w:val="none"/>
              </w:rPr>
              <w:t>有一项</w:t>
            </w:r>
            <w:r>
              <w:rPr>
                <w:rFonts w:hint="eastAsia" w:ascii="华文中宋" w:hAnsi="华文中宋" w:eastAsia="华文中宋" w:cs="华文中宋"/>
                <w:color w:val="auto"/>
                <w:highlight w:val="none"/>
                <w:lang w:val="en-US" w:eastAsia="zh-CN"/>
              </w:rPr>
              <w:t>扣0.5</w:t>
            </w:r>
            <w:r>
              <w:rPr>
                <w:rFonts w:hint="eastAsia" w:ascii="华文中宋" w:hAnsi="华文中宋" w:eastAsia="华文中宋" w:cs="华文中宋"/>
                <w:color w:val="auto"/>
                <w:highlight w:val="none"/>
              </w:rPr>
              <w:t>分，最多</w:t>
            </w:r>
            <w:r>
              <w:rPr>
                <w:rFonts w:hint="eastAsia" w:ascii="华文中宋" w:hAnsi="华文中宋" w:eastAsia="华文中宋" w:cs="华文中宋"/>
                <w:color w:val="auto"/>
                <w:highlight w:val="none"/>
                <w:lang w:val="en-US" w:eastAsia="zh-CN"/>
              </w:rPr>
              <w:t>扣</w:t>
            </w:r>
            <w:r>
              <w:rPr>
                <w:rFonts w:hint="eastAsia" w:ascii="华文中宋" w:hAnsi="华文中宋" w:eastAsia="华文中宋" w:cs="华文中宋"/>
                <w:color w:val="auto"/>
                <w:highlight w:val="none"/>
              </w:rPr>
              <w:t>2分</w:t>
            </w:r>
            <w:r>
              <w:rPr>
                <w:rFonts w:hint="eastAsia" w:ascii="华文中宋" w:hAnsi="华文中宋" w:eastAsia="华文中宋" w:cs="华文中宋"/>
                <w:color w:val="auto"/>
              </w:rPr>
              <w:t>。</w:t>
            </w:r>
          </w:p>
        </w:tc>
        <w:tc>
          <w:tcPr>
            <w:tcW w:w="651" w:type="pct"/>
            <w:vAlign w:val="center"/>
          </w:tcPr>
          <w:p w14:paraId="6DDE5574">
            <w:pPr>
              <w:jc w:val="center"/>
              <w:rPr>
                <w:rFonts w:hint="eastAsia" w:ascii="华文中宋" w:hAnsi="华文中宋" w:eastAsia="华文中宋" w:cs="华文中宋"/>
                <w:color w:val="auto"/>
              </w:rPr>
            </w:pPr>
            <w:r>
              <w:rPr>
                <w:rFonts w:hint="eastAsia" w:ascii="华文中宋" w:hAnsi="华文中宋" w:eastAsia="华文中宋" w:cs="华文中宋"/>
                <w:color w:val="auto"/>
              </w:rPr>
              <w:t>10</w:t>
            </w:r>
          </w:p>
        </w:tc>
      </w:tr>
    </w:tbl>
    <w:p w14:paraId="6AC2B6FA">
      <w:pPr>
        <w:pStyle w:val="21"/>
        <w:rPr>
          <w:rFonts w:hint="eastAsia" w:ascii="华文中宋" w:hAnsi="华文中宋" w:eastAsia="华文中宋" w:cs="华文中宋"/>
          <w:b/>
          <w:sz w:val="24"/>
          <w:szCs w:val="24"/>
        </w:rPr>
      </w:pPr>
    </w:p>
    <w:p w14:paraId="1E1E249F">
      <w:pPr>
        <w:pStyle w:val="21"/>
        <w:rPr>
          <w:rFonts w:hint="eastAsia" w:ascii="华文中宋" w:hAnsi="华文中宋" w:eastAsia="华文中宋" w:cs="华文中宋"/>
        </w:rPr>
      </w:pPr>
    </w:p>
    <w:p w14:paraId="5DCC95B0">
      <w:pPr>
        <w:pStyle w:val="21"/>
        <w:ind w:firstLine="561"/>
        <w:rPr>
          <w:rFonts w:hint="eastAsia" w:ascii="华文中宋" w:hAnsi="华文中宋" w:eastAsia="华文中宋" w:cs="华文中宋"/>
          <w:b/>
          <w:sz w:val="28"/>
          <w:szCs w:val="28"/>
        </w:rPr>
      </w:pPr>
    </w:p>
    <w:p w14:paraId="525572B8">
      <w:pPr>
        <w:pStyle w:val="21"/>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第二部分：主观评审（评审委员会成员个人认定）</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863"/>
        <w:gridCol w:w="4767"/>
        <w:gridCol w:w="1640"/>
      </w:tblGrid>
      <w:tr w14:paraId="7889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20" w:type="pct"/>
            <w:vAlign w:val="center"/>
          </w:tcPr>
          <w:p w14:paraId="3ED379BD">
            <w:pPr>
              <w:autoSpaceDE w:val="0"/>
              <w:autoSpaceDN w:val="0"/>
              <w:adjustRightInd w:val="0"/>
              <w:jc w:val="center"/>
              <w:rPr>
                <w:rFonts w:hint="eastAsia" w:ascii="华文中宋" w:hAnsi="华文中宋" w:eastAsia="华文中宋" w:cs="华文中宋"/>
                <w:b/>
                <w:bCs/>
                <w:szCs w:val="21"/>
                <w:lang w:val="zh-CN"/>
              </w:rPr>
            </w:pPr>
            <w:r>
              <w:rPr>
                <w:rFonts w:hint="eastAsia" w:ascii="华文中宋" w:hAnsi="华文中宋" w:eastAsia="华文中宋" w:cs="华文中宋"/>
                <w:b/>
                <w:bCs/>
                <w:szCs w:val="21"/>
                <w:lang w:val="zh-CN"/>
              </w:rPr>
              <w:t>序号</w:t>
            </w:r>
          </w:p>
        </w:tc>
        <w:tc>
          <w:tcPr>
            <w:tcW w:w="1009" w:type="pct"/>
            <w:vAlign w:val="center"/>
          </w:tcPr>
          <w:p w14:paraId="7794DE67">
            <w:pPr>
              <w:autoSpaceDE w:val="0"/>
              <w:autoSpaceDN w:val="0"/>
              <w:adjustRightInd w:val="0"/>
              <w:jc w:val="center"/>
              <w:rPr>
                <w:rFonts w:hint="eastAsia" w:ascii="华文中宋" w:hAnsi="华文中宋" w:eastAsia="华文中宋" w:cs="华文中宋"/>
                <w:b/>
                <w:bCs/>
                <w:szCs w:val="21"/>
                <w:lang w:val="zh-CN"/>
              </w:rPr>
            </w:pPr>
            <w:r>
              <w:rPr>
                <w:rFonts w:hint="eastAsia" w:ascii="华文中宋" w:hAnsi="华文中宋" w:eastAsia="华文中宋" w:cs="华文中宋"/>
                <w:b/>
                <w:bCs/>
                <w:szCs w:val="21"/>
                <w:lang w:val="zh-CN"/>
              </w:rPr>
              <w:t>评审因素</w:t>
            </w:r>
          </w:p>
        </w:tc>
        <w:tc>
          <w:tcPr>
            <w:tcW w:w="2582" w:type="pct"/>
            <w:vAlign w:val="center"/>
          </w:tcPr>
          <w:p w14:paraId="4B8C0044">
            <w:pPr>
              <w:autoSpaceDE w:val="0"/>
              <w:autoSpaceDN w:val="0"/>
              <w:adjustRightInd w:val="0"/>
              <w:jc w:val="center"/>
              <w:rPr>
                <w:rFonts w:hint="eastAsia" w:ascii="华文中宋" w:hAnsi="华文中宋" w:eastAsia="华文中宋" w:cs="华文中宋"/>
                <w:b/>
                <w:bCs/>
                <w:szCs w:val="21"/>
                <w:lang w:val="zh-CN"/>
              </w:rPr>
            </w:pPr>
            <w:r>
              <w:rPr>
                <w:rFonts w:hint="eastAsia" w:ascii="华文中宋" w:hAnsi="华文中宋" w:eastAsia="华文中宋" w:cs="华文中宋"/>
                <w:b/>
                <w:bCs/>
                <w:szCs w:val="21"/>
                <w:lang w:val="zh-CN"/>
              </w:rPr>
              <w:t>评分细则</w:t>
            </w:r>
          </w:p>
        </w:tc>
        <w:tc>
          <w:tcPr>
            <w:tcW w:w="888" w:type="pct"/>
            <w:vAlign w:val="center"/>
          </w:tcPr>
          <w:p w14:paraId="1F02FA6D">
            <w:pPr>
              <w:autoSpaceDE w:val="0"/>
              <w:autoSpaceDN w:val="0"/>
              <w:adjustRightInd w:val="0"/>
              <w:jc w:val="center"/>
              <w:rPr>
                <w:rFonts w:hint="eastAsia" w:ascii="华文中宋" w:hAnsi="华文中宋" w:eastAsia="华文中宋" w:cs="华文中宋"/>
                <w:b/>
                <w:bCs/>
                <w:szCs w:val="21"/>
                <w:lang w:val="zh-CN"/>
              </w:rPr>
            </w:pPr>
            <w:r>
              <w:rPr>
                <w:rFonts w:hint="eastAsia" w:ascii="华文中宋" w:hAnsi="华文中宋" w:eastAsia="华文中宋" w:cs="华文中宋"/>
                <w:b/>
                <w:bCs/>
                <w:szCs w:val="21"/>
                <w:lang w:val="zh-CN"/>
              </w:rPr>
              <w:t>分值</w:t>
            </w:r>
          </w:p>
          <w:p w14:paraId="14ECECE7">
            <w:pPr>
              <w:autoSpaceDE w:val="0"/>
              <w:autoSpaceDN w:val="0"/>
              <w:adjustRightInd w:val="0"/>
              <w:jc w:val="center"/>
              <w:rPr>
                <w:rFonts w:hint="eastAsia" w:ascii="华文中宋" w:hAnsi="华文中宋" w:eastAsia="华文中宋" w:cs="华文中宋"/>
                <w:b/>
                <w:bCs/>
                <w:szCs w:val="21"/>
                <w:lang w:val="zh-CN"/>
              </w:rPr>
            </w:pPr>
            <w:r>
              <w:rPr>
                <w:rFonts w:hint="eastAsia" w:ascii="华文中宋" w:hAnsi="华文中宋" w:eastAsia="华文中宋" w:cs="华文中宋"/>
                <w:b/>
                <w:bCs/>
                <w:szCs w:val="21"/>
                <w:lang w:val="zh-CN"/>
              </w:rPr>
              <w:t>（共</w:t>
            </w:r>
            <w:r>
              <w:rPr>
                <w:rFonts w:hint="eastAsia" w:ascii="华文中宋" w:hAnsi="华文中宋" w:eastAsia="华文中宋" w:cs="华文中宋"/>
                <w:b/>
                <w:bCs/>
                <w:szCs w:val="21"/>
              </w:rPr>
              <w:t>55分</w:t>
            </w:r>
            <w:r>
              <w:rPr>
                <w:rFonts w:hint="eastAsia" w:ascii="华文中宋" w:hAnsi="华文中宋" w:eastAsia="华文中宋" w:cs="华文中宋"/>
                <w:b/>
                <w:bCs/>
                <w:szCs w:val="21"/>
                <w:lang w:val="zh-CN"/>
              </w:rPr>
              <w:t>）</w:t>
            </w:r>
          </w:p>
        </w:tc>
      </w:tr>
      <w:tr w14:paraId="02D6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20" w:type="pct"/>
            <w:vAlign w:val="center"/>
          </w:tcPr>
          <w:p w14:paraId="7639714A">
            <w:pPr>
              <w:pStyle w:val="21"/>
              <w:ind w:firstLine="42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1</w:t>
            </w:r>
          </w:p>
        </w:tc>
        <w:tc>
          <w:tcPr>
            <w:tcW w:w="1009" w:type="pct"/>
            <w:vAlign w:val="center"/>
          </w:tcPr>
          <w:p w14:paraId="79EA7021">
            <w:pPr>
              <w:pStyle w:val="21"/>
              <w:autoSpaceDE w:val="0"/>
              <w:autoSpaceDN w:val="0"/>
              <w:spacing w:line="400" w:lineRule="exact"/>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本项目总体实施方案</w:t>
            </w:r>
          </w:p>
          <w:p w14:paraId="42E7DCE1">
            <w:pPr>
              <w:pStyle w:val="21"/>
              <w:autoSpaceDE w:val="0"/>
              <w:autoSpaceDN w:val="0"/>
              <w:spacing w:line="400" w:lineRule="exact"/>
              <w:ind w:firstLine="420"/>
              <w:jc w:val="center"/>
              <w:rPr>
                <w:rFonts w:hint="eastAsia" w:ascii="华文中宋" w:hAnsi="华文中宋" w:eastAsia="华文中宋" w:cs="华文中宋"/>
                <w:sz w:val="21"/>
                <w:szCs w:val="21"/>
              </w:rPr>
            </w:pPr>
          </w:p>
        </w:tc>
        <w:tc>
          <w:tcPr>
            <w:tcW w:w="2582" w:type="pct"/>
            <w:vAlign w:val="center"/>
          </w:tcPr>
          <w:p w14:paraId="4D55EE89">
            <w:pPr>
              <w:pStyle w:val="21"/>
              <w:autoSpaceDE w:val="0"/>
              <w:autoSpaceDN w:val="0"/>
              <w:spacing w:line="400" w:lineRule="exact"/>
              <w:ind w:firstLine="420"/>
              <w:rPr>
                <w:rFonts w:hint="eastAsia" w:ascii="华文中宋" w:hAnsi="华文中宋" w:eastAsia="华文中宋" w:cs="华文中宋"/>
                <w:sz w:val="21"/>
                <w:szCs w:val="21"/>
              </w:rPr>
            </w:pPr>
            <w:r>
              <w:rPr>
                <w:rFonts w:hint="eastAsia" w:ascii="华文中宋" w:hAnsi="华文中宋" w:eastAsia="华文中宋" w:cs="华文中宋"/>
                <w:sz w:val="21"/>
                <w:szCs w:val="21"/>
              </w:rPr>
              <w:t>根据招标文件要求和技术响应情况，对供应商提供的项目实施方案进行评价：投标人针对本项目制定相应的总体实施方案（包含但不限于：总体方案部署及方案规划思路、投标货物质量保障措施、安全保障措施、验收标准及方案），每点内容提供材料全面及逻辑性合理的得4分，每点内容提供材料相对全面，逻辑性有缺陷的得3分，每点内容提供材料不齐全，逻辑性差的得2分，不提供不得分。共16分。</w:t>
            </w:r>
          </w:p>
        </w:tc>
        <w:tc>
          <w:tcPr>
            <w:tcW w:w="888" w:type="pct"/>
            <w:vAlign w:val="center"/>
          </w:tcPr>
          <w:p w14:paraId="1E1B7C3E">
            <w:pPr>
              <w:pStyle w:val="21"/>
              <w:spacing w:line="400" w:lineRule="exact"/>
              <w:ind w:firstLine="42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16</w:t>
            </w:r>
          </w:p>
        </w:tc>
      </w:tr>
      <w:tr w14:paraId="5A90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0" w:type="pct"/>
            <w:vAlign w:val="center"/>
          </w:tcPr>
          <w:p w14:paraId="717DE114">
            <w:pPr>
              <w:pStyle w:val="21"/>
              <w:ind w:firstLine="42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2</w:t>
            </w:r>
          </w:p>
        </w:tc>
        <w:tc>
          <w:tcPr>
            <w:tcW w:w="1009" w:type="pct"/>
            <w:vAlign w:val="center"/>
          </w:tcPr>
          <w:p w14:paraId="2CA1BCF1">
            <w:pPr>
              <w:pStyle w:val="21"/>
              <w:autoSpaceDE w:val="0"/>
              <w:autoSpaceDN w:val="0"/>
              <w:spacing w:line="400" w:lineRule="exact"/>
              <w:ind w:firstLine="420"/>
              <w:jc w:val="both"/>
              <w:rPr>
                <w:rFonts w:hint="eastAsia" w:ascii="华文中宋" w:hAnsi="华文中宋" w:eastAsia="华文中宋" w:cs="华文中宋"/>
                <w:sz w:val="21"/>
                <w:szCs w:val="21"/>
              </w:rPr>
            </w:pPr>
            <w:r>
              <w:rPr>
                <w:rFonts w:hint="eastAsia" w:ascii="华文中宋" w:hAnsi="华文中宋" w:eastAsia="华文中宋" w:cs="华文中宋"/>
                <w:sz w:val="21"/>
                <w:szCs w:val="21"/>
              </w:rPr>
              <w:t>供货方案</w:t>
            </w:r>
          </w:p>
        </w:tc>
        <w:tc>
          <w:tcPr>
            <w:tcW w:w="2582" w:type="pct"/>
            <w:vAlign w:val="center"/>
          </w:tcPr>
          <w:p w14:paraId="312EF9A9">
            <w:pPr>
              <w:pStyle w:val="21"/>
              <w:autoSpaceDE w:val="0"/>
              <w:autoSpaceDN w:val="0"/>
              <w:spacing w:line="400" w:lineRule="exact"/>
              <w:ind w:firstLine="420"/>
              <w:rPr>
                <w:rFonts w:hint="eastAsia" w:ascii="华文中宋" w:hAnsi="华文中宋" w:eastAsia="华文中宋" w:cs="华文中宋"/>
                <w:sz w:val="21"/>
                <w:szCs w:val="21"/>
              </w:rPr>
            </w:pPr>
            <w:r>
              <w:rPr>
                <w:rFonts w:hint="eastAsia" w:ascii="华文中宋" w:hAnsi="华文中宋" w:eastAsia="华文中宋" w:cs="华文中宋"/>
                <w:sz w:val="21"/>
                <w:szCs w:val="21"/>
              </w:rPr>
              <w:t>根据招标文件要求和技术响应情况，对供应商提供的供货方案进行评价：投标人针对本项目制定相应的供货方案（包含但不限于：供货管理制度、运输及保障方案、项目应急方案等），每点内容提供材料全面及逻辑性合理的得4分，每点内容提供材料相对全面，逻辑性有缺陷的得3分，每点内容提供材料不齐全，逻辑性差的得1分，不提供不得分。共12分。</w:t>
            </w:r>
          </w:p>
        </w:tc>
        <w:tc>
          <w:tcPr>
            <w:tcW w:w="888" w:type="pct"/>
            <w:vAlign w:val="center"/>
          </w:tcPr>
          <w:p w14:paraId="66251A68">
            <w:pPr>
              <w:pStyle w:val="21"/>
              <w:spacing w:line="400" w:lineRule="exact"/>
              <w:ind w:firstLine="42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12</w:t>
            </w:r>
          </w:p>
        </w:tc>
      </w:tr>
      <w:tr w14:paraId="2B6D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0" w:type="pct"/>
            <w:vAlign w:val="center"/>
          </w:tcPr>
          <w:p w14:paraId="0E0038E6">
            <w:pPr>
              <w:pStyle w:val="21"/>
              <w:ind w:firstLine="42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3</w:t>
            </w:r>
          </w:p>
        </w:tc>
        <w:tc>
          <w:tcPr>
            <w:tcW w:w="1009" w:type="pct"/>
            <w:vAlign w:val="center"/>
          </w:tcPr>
          <w:p w14:paraId="1D8AF58E">
            <w:pPr>
              <w:pStyle w:val="21"/>
              <w:autoSpaceDE w:val="0"/>
              <w:autoSpaceDN w:val="0"/>
              <w:spacing w:line="400" w:lineRule="exact"/>
              <w:jc w:val="center"/>
              <w:rPr>
                <w:rFonts w:hint="eastAsia" w:ascii="华文中宋" w:hAnsi="华文中宋" w:eastAsia="华文中宋" w:cs="华文中宋"/>
                <w:sz w:val="21"/>
                <w:szCs w:val="21"/>
                <w:lang w:val="zh-TW"/>
              </w:rPr>
            </w:pPr>
            <w:r>
              <w:rPr>
                <w:rFonts w:hint="eastAsia" w:ascii="华文中宋" w:hAnsi="华文中宋" w:eastAsia="华文中宋" w:cs="华文中宋"/>
                <w:sz w:val="21"/>
                <w:szCs w:val="21"/>
                <w:lang w:val="zh-TW"/>
              </w:rPr>
              <w:t>项目实施进度方案</w:t>
            </w:r>
          </w:p>
          <w:p w14:paraId="786DC4F5">
            <w:pPr>
              <w:pStyle w:val="21"/>
              <w:autoSpaceDE w:val="0"/>
              <w:autoSpaceDN w:val="0"/>
              <w:spacing w:line="400" w:lineRule="exact"/>
              <w:ind w:firstLine="420"/>
              <w:jc w:val="center"/>
              <w:rPr>
                <w:rFonts w:hint="eastAsia" w:ascii="华文中宋" w:hAnsi="华文中宋" w:eastAsia="华文中宋" w:cs="华文中宋"/>
                <w:sz w:val="21"/>
                <w:szCs w:val="21"/>
              </w:rPr>
            </w:pPr>
          </w:p>
        </w:tc>
        <w:tc>
          <w:tcPr>
            <w:tcW w:w="2582" w:type="pct"/>
            <w:vAlign w:val="center"/>
          </w:tcPr>
          <w:p w14:paraId="42DE1853">
            <w:pPr>
              <w:pStyle w:val="21"/>
              <w:autoSpaceDE w:val="0"/>
              <w:autoSpaceDN w:val="0"/>
              <w:spacing w:line="400" w:lineRule="exact"/>
              <w:ind w:firstLine="420"/>
              <w:rPr>
                <w:rFonts w:hint="eastAsia" w:ascii="华文中宋" w:hAnsi="华文中宋" w:eastAsia="华文中宋" w:cs="华文中宋"/>
                <w:sz w:val="21"/>
                <w:szCs w:val="21"/>
              </w:rPr>
            </w:pPr>
            <w:r>
              <w:rPr>
                <w:rFonts w:hint="eastAsia" w:ascii="华文中宋" w:hAnsi="华文中宋" w:eastAsia="华文中宋" w:cs="华文中宋"/>
                <w:sz w:val="21"/>
                <w:szCs w:val="21"/>
                <w:lang w:val="zh-TW"/>
              </w:rPr>
              <w:t>投标人针对本项目制定相应的实施进度方案（包含但不限于：时间节点的明确、项目进度计划、项目进度保障等方案），每点内容提供材料全面</w:t>
            </w:r>
            <w:r>
              <w:rPr>
                <w:rFonts w:hint="eastAsia" w:ascii="华文中宋" w:hAnsi="华文中宋" w:eastAsia="华文中宋" w:cs="华文中宋"/>
                <w:sz w:val="21"/>
                <w:szCs w:val="21"/>
              </w:rPr>
              <w:t>及逻辑性合理的</w:t>
            </w:r>
            <w:r>
              <w:rPr>
                <w:rFonts w:hint="eastAsia" w:ascii="华文中宋" w:hAnsi="华文中宋" w:eastAsia="华文中宋" w:cs="华文中宋"/>
                <w:sz w:val="21"/>
                <w:szCs w:val="21"/>
                <w:lang w:val="zh-TW"/>
              </w:rPr>
              <w:t>得3分，每点内容提供材料</w:t>
            </w:r>
            <w:r>
              <w:rPr>
                <w:rFonts w:hint="eastAsia" w:ascii="华文中宋" w:hAnsi="华文中宋" w:eastAsia="华文中宋" w:cs="华文中宋"/>
                <w:sz w:val="21"/>
                <w:szCs w:val="21"/>
              </w:rPr>
              <w:t>相对全面，逻辑性</w:t>
            </w:r>
            <w:r>
              <w:rPr>
                <w:rFonts w:hint="eastAsia" w:ascii="华文中宋" w:hAnsi="华文中宋" w:eastAsia="华文中宋" w:cs="华文中宋"/>
                <w:sz w:val="21"/>
                <w:szCs w:val="21"/>
                <w:lang w:val="zh-TW"/>
              </w:rPr>
              <w:t>有缺陷的得2分，每点内容提供材料</w:t>
            </w:r>
            <w:r>
              <w:rPr>
                <w:rFonts w:hint="eastAsia" w:ascii="华文中宋" w:hAnsi="华文中宋" w:eastAsia="华文中宋" w:cs="华文中宋"/>
                <w:sz w:val="21"/>
                <w:szCs w:val="21"/>
              </w:rPr>
              <w:t>不齐全，逻辑性差</w:t>
            </w:r>
            <w:r>
              <w:rPr>
                <w:rFonts w:hint="eastAsia" w:ascii="华文中宋" w:hAnsi="华文中宋" w:eastAsia="华文中宋" w:cs="华文中宋"/>
                <w:sz w:val="21"/>
                <w:szCs w:val="21"/>
                <w:lang w:val="zh-TW"/>
              </w:rPr>
              <w:t>的得</w:t>
            </w:r>
            <w:r>
              <w:rPr>
                <w:rFonts w:hint="eastAsia" w:ascii="华文中宋" w:hAnsi="华文中宋" w:eastAsia="华文中宋" w:cs="华文中宋"/>
                <w:sz w:val="21"/>
                <w:szCs w:val="21"/>
              </w:rPr>
              <w:t>1</w:t>
            </w:r>
            <w:r>
              <w:rPr>
                <w:rFonts w:hint="eastAsia" w:ascii="华文中宋" w:hAnsi="华文中宋" w:eastAsia="华文中宋" w:cs="华文中宋"/>
                <w:sz w:val="21"/>
                <w:szCs w:val="21"/>
                <w:lang w:val="zh-TW"/>
              </w:rPr>
              <w:t>分，</w:t>
            </w:r>
            <w:r>
              <w:rPr>
                <w:rFonts w:hint="eastAsia" w:ascii="华文中宋" w:hAnsi="华文中宋" w:eastAsia="华文中宋" w:cs="华文中宋"/>
                <w:sz w:val="21"/>
                <w:szCs w:val="21"/>
              </w:rPr>
              <w:t>不提供不得分</w:t>
            </w:r>
            <w:r>
              <w:rPr>
                <w:rFonts w:hint="eastAsia" w:ascii="华文中宋" w:hAnsi="华文中宋" w:eastAsia="华文中宋" w:cs="华文中宋"/>
                <w:sz w:val="21"/>
                <w:szCs w:val="21"/>
                <w:lang w:val="zh-TW"/>
              </w:rPr>
              <w:t>。共</w:t>
            </w:r>
            <w:r>
              <w:rPr>
                <w:rFonts w:hint="eastAsia" w:ascii="华文中宋" w:hAnsi="华文中宋" w:eastAsia="华文中宋" w:cs="华文中宋"/>
                <w:sz w:val="21"/>
                <w:szCs w:val="21"/>
              </w:rPr>
              <w:t>9</w:t>
            </w:r>
            <w:r>
              <w:rPr>
                <w:rFonts w:hint="eastAsia" w:ascii="华文中宋" w:hAnsi="华文中宋" w:eastAsia="华文中宋" w:cs="华文中宋"/>
                <w:sz w:val="21"/>
                <w:szCs w:val="21"/>
                <w:lang w:val="zh-TW"/>
              </w:rPr>
              <w:t>分。</w:t>
            </w:r>
          </w:p>
        </w:tc>
        <w:tc>
          <w:tcPr>
            <w:tcW w:w="888" w:type="pct"/>
            <w:vAlign w:val="center"/>
          </w:tcPr>
          <w:p w14:paraId="3CF2590D">
            <w:pPr>
              <w:pStyle w:val="21"/>
              <w:spacing w:line="400" w:lineRule="exact"/>
              <w:ind w:firstLine="42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9</w:t>
            </w:r>
          </w:p>
        </w:tc>
      </w:tr>
      <w:tr w14:paraId="188C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0" w:type="pct"/>
            <w:vAlign w:val="center"/>
          </w:tcPr>
          <w:p w14:paraId="6DF085F4">
            <w:pPr>
              <w:pStyle w:val="21"/>
              <w:ind w:firstLine="42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4</w:t>
            </w:r>
          </w:p>
        </w:tc>
        <w:tc>
          <w:tcPr>
            <w:tcW w:w="1009" w:type="pct"/>
            <w:vAlign w:val="center"/>
          </w:tcPr>
          <w:p w14:paraId="6C421E35">
            <w:pPr>
              <w:pStyle w:val="21"/>
              <w:autoSpaceDE w:val="0"/>
              <w:autoSpaceDN w:val="0"/>
              <w:spacing w:line="400" w:lineRule="exact"/>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本项目安装调试测试方案</w:t>
            </w:r>
          </w:p>
          <w:p w14:paraId="18BDCC63">
            <w:pPr>
              <w:pStyle w:val="21"/>
              <w:autoSpaceDE w:val="0"/>
              <w:autoSpaceDN w:val="0"/>
              <w:spacing w:line="400" w:lineRule="exact"/>
              <w:ind w:firstLine="420"/>
              <w:jc w:val="center"/>
              <w:rPr>
                <w:rFonts w:hint="eastAsia" w:ascii="华文中宋" w:hAnsi="华文中宋" w:eastAsia="华文中宋" w:cs="华文中宋"/>
                <w:sz w:val="21"/>
                <w:szCs w:val="21"/>
              </w:rPr>
            </w:pPr>
          </w:p>
        </w:tc>
        <w:tc>
          <w:tcPr>
            <w:tcW w:w="2582" w:type="pct"/>
            <w:vAlign w:val="center"/>
          </w:tcPr>
          <w:p w14:paraId="7CC95A1B">
            <w:pPr>
              <w:pStyle w:val="21"/>
              <w:autoSpaceDE w:val="0"/>
              <w:autoSpaceDN w:val="0"/>
              <w:spacing w:line="400" w:lineRule="exact"/>
              <w:ind w:firstLine="420"/>
              <w:rPr>
                <w:rFonts w:hint="eastAsia" w:ascii="华文中宋" w:hAnsi="华文中宋" w:eastAsia="华文中宋" w:cs="华文中宋"/>
                <w:sz w:val="21"/>
                <w:szCs w:val="21"/>
              </w:rPr>
            </w:pPr>
            <w:r>
              <w:rPr>
                <w:rFonts w:hint="eastAsia" w:ascii="华文中宋" w:hAnsi="华文中宋" w:eastAsia="华文中宋" w:cs="华文中宋"/>
                <w:sz w:val="21"/>
                <w:szCs w:val="21"/>
              </w:rPr>
              <w:t>投标人针对本项目提供本项目安装调试测试方案（包含但不限于：系统测试、安装调试以及增值服务合理性），每点内容提供材料全面及逻辑性合理的得3分，每点内容提供材料相对全面，逻辑性有缺陷的得2分，每点内容提供材料不齐全，逻辑性差的得1分，不提供不得分。共9分。</w:t>
            </w:r>
          </w:p>
        </w:tc>
        <w:tc>
          <w:tcPr>
            <w:tcW w:w="888" w:type="pct"/>
            <w:vAlign w:val="center"/>
          </w:tcPr>
          <w:p w14:paraId="1532BFDC">
            <w:pPr>
              <w:pStyle w:val="21"/>
              <w:spacing w:line="400" w:lineRule="exact"/>
              <w:ind w:firstLine="42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9</w:t>
            </w:r>
          </w:p>
        </w:tc>
      </w:tr>
      <w:tr w14:paraId="1DB8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0" w:type="pct"/>
            <w:vAlign w:val="center"/>
          </w:tcPr>
          <w:p w14:paraId="43F8B322">
            <w:pPr>
              <w:pStyle w:val="21"/>
              <w:ind w:firstLine="42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5</w:t>
            </w:r>
          </w:p>
        </w:tc>
        <w:tc>
          <w:tcPr>
            <w:tcW w:w="1863" w:type="dxa"/>
            <w:vAlign w:val="center"/>
          </w:tcPr>
          <w:p w14:paraId="1101814F">
            <w:pPr>
              <w:pStyle w:val="21"/>
              <w:autoSpaceDE w:val="0"/>
              <w:autoSpaceDN w:val="0"/>
              <w:spacing w:line="400" w:lineRule="exact"/>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售后服务方案</w:t>
            </w:r>
          </w:p>
        </w:tc>
        <w:tc>
          <w:tcPr>
            <w:tcW w:w="4767" w:type="dxa"/>
            <w:vAlign w:val="center"/>
          </w:tcPr>
          <w:p w14:paraId="2CEA4A74">
            <w:pPr>
              <w:pStyle w:val="21"/>
              <w:autoSpaceDE w:val="0"/>
              <w:autoSpaceDN w:val="0"/>
              <w:spacing w:line="400" w:lineRule="exact"/>
              <w:ind w:firstLine="420"/>
              <w:rPr>
                <w:rFonts w:hint="eastAsia" w:ascii="华文中宋" w:hAnsi="华文中宋" w:eastAsia="华文中宋" w:cs="华文中宋"/>
                <w:sz w:val="21"/>
                <w:szCs w:val="21"/>
              </w:rPr>
            </w:pPr>
            <w:r>
              <w:rPr>
                <w:rFonts w:hint="eastAsia" w:ascii="华文中宋" w:hAnsi="华文中宋" w:eastAsia="华文中宋" w:cs="华文中宋"/>
                <w:sz w:val="21"/>
                <w:szCs w:val="21"/>
              </w:rPr>
              <w:t>投标人针对本项目制定售后服务方案（包含但不限于：售后服务网点、售后服务措施、售后服务人员安排），每提供1点且内容合理全面得3分，每点内容提供材料相对全面，逻辑性有缺陷的得2分，每点内容提供材料不齐全，逻辑性差的得1分，不提供不得分。共9分。</w:t>
            </w:r>
          </w:p>
        </w:tc>
        <w:tc>
          <w:tcPr>
            <w:tcW w:w="888" w:type="pct"/>
            <w:vAlign w:val="center"/>
          </w:tcPr>
          <w:p w14:paraId="7C92FC6A">
            <w:pPr>
              <w:pStyle w:val="21"/>
              <w:spacing w:line="400" w:lineRule="exact"/>
              <w:ind w:firstLine="420"/>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9</w:t>
            </w:r>
          </w:p>
        </w:tc>
      </w:tr>
    </w:tbl>
    <w:p w14:paraId="574BC46C">
      <w:pPr>
        <w:pStyle w:val="21"/>
        <w:rPr>
          <w:rFonts w:hint="eastAsia" w:ascii="华文中宋" w:hAnsi="华文中宋" w:eastAsia="华文中宋" w:cs="华文中宋"/>
          <w:b/>
          <w:sz w:val="24"/>
          <w:szCs w:val="24"/>
        </w:rPr>
      </w:pPr>
    </w:p>
    <w:p w14:paraId="43C53348">
      <w:pPr>
        <w:pStyle w:val="21"/>
        <w:rPr>
          <w:rFonts w:hint="eastAsia" w:ascii="华文中宋" w:hAnsi="华文中宋" w:eastAsia="华文中宋" w:cs="华文中宋"/>
          <w:b/>
          <w:sz w:val="24"/>
          <w:szCs w:val="24"/>
        </w:rPr>
      </w:pPr>
    </w:p>
    <w:p w14:paraId="694E6188">
      <w:pPr>
        <w:pStyle w:val="21"/>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第三部分：价格评审</w:t>
      </w:r>
    </w:p>
    <w:p w14:paraId="4FE91951">
      <w:pPr>
        <w:pStyle w:val="21"/>
        <w:ind w:firstLine="561"/>
        <w:rPr>
          <w:rFonts w:hint="eastAsia" w:ascii="华文中宋" w:hAnsi="华文中宋" w:eastAsia="华文中宋" w:cs="华文中宋"/>
          <w:b/>
          <w:sz w:val="28"/>
          <w:szCs w:val="28"/>
        </w:rPr>
      </w:pP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799"/>
        <w:gridCol w:w="7426"/>
      </w:tblGrid>
      <w:tr w14:paraId="09325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804" w:type="dxa"/>
            <w:gridSpan w:val="2"/>
            <w:vAlign w:val="center"/>
          </w:tcPr>
          <w:p w14:paraId="3D5BDDCF">
            <w:pPr>
              <w:autoSpaceDE w:val="0"/>
              <w:autoSpaceDN w:val="0"/>
              <w:adjustRightInd w:val="0"/>
              <w:jc w:val="center"/>
              <w:rPr>
                <w:rFonts w:hint="eastAsia" w:ascii="华文中宋" w:hAnsi="华文中宋" w:eastAsia="华文中宋" w:cs="华文中宋"/>
                <w:b/>
                <w:bCs/>
                <w:sz w:val="24"/>
                <w:lang w:val="zh-CN"/>
              </w:rPr>
            </w:pPr>
            <w:r>
              <w:rPr>
                <w:rFonts w:hint="eastAsia" w:ascii="华文中宋" w:hAnsi="华文中宋" w:eastAsia="华文中宋" w:cs="华文中宋"/>
                <w:b/>
                <w:bCs/>
                <w:sz w:val="24"/>
                <w:lang w:val="zh-CN"/>
              </w:rPr>
              <w:t>评审项目</w:t>
            </w:r>
          </w:p>
        </w:tc>
        <w:tc>
          <w:tcPr>
            <w:tcW w:w="7426" w:type="dxa"/>
            <w:vAlign w:val="center"/>
          </w:tcPr>
          <w:p w14:paraId="183B1972">
            <w:pPr>
              <w:autoSpaceDE w:val="0"/>
              <w:autoSpaceDN w:val="0"/>
              <w:adjustRightInd w:val="0"/>
              <w:jc w:val="center"/>
              <w:rPr>
                <w:rFonts w:hint="eastAsia" w:ascii="华文中宋" w:hAnsi="华文中宋" w:eastAsia="华文中宋" w:cs="华文中宋"/>
                <w:b/>
                <w:bCs/>
                <w:sz w:val="24"/>
                <w:lang w:val="zh-CN"/>
              </w:rPr>
            </w:pPr>
            <w:r>
              <w:rPr>
                <w:rFonts w:hint="eastAsia" w:ascii="华文中宋" w:hAnsi="华文中宋" w:eastAsia="华文中宋" w:cs="华文中宋"/>
                <w:b/>
                <w:bCs/>
                <w:sz w:val="24"/>
                <w:lang w:val="zh-CN"/>
              </w:rPr>
              <w:t>评分标准</w:t>
            </w:r>
          </w:p>
        </w:tc>
      </w:tr>
      <w:tr w14:paraId="48FAA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04" w:type="dxa"/>
            <w:gridSpan w:val="2"/>
            <w:vMerge w:val="restart"/>
            <w:vAlign w:val="center"/>
          </w:tcPr>
          <w:p w14:paraId="52EFCA87">
            <w:pPr>
              <w:autoSpaceDE w:val="0"/>
              <w:autoSpaceDN w:val="0"/>
              <w:adjustRightInd w:val="0"/>
              <w:ind w:firstLine="440"/>
              <w:jc w:val="center"/>
              <w:rPr>
                <w:rFonts w:hint="eastAsia" w:ascii="华文中宋" w:hAnsi="华文中宋" w:eastAsia="华文中宋" w:cs="华文中宋"/>
                <w:sz w:val="22"/>
                <w:lang w:val="zh-CN"/>
              </w:rPr>
            </w:pPr>
            <w:r>
              <w:rPr>
                <w:rFonts w:hint="eastAsia" w:ascii="华文中宋" w:hAnsi="华文中宋" w:eastAsia="华文中宋" w:cs="华文中宋"/>
                <w:sz w:val="22"/>
                <w:lang w:val="zh-CN"/>
              </w:rPr>
              <w:t>投标报价</w:t>
            </w:r>
          </w:p>
          <w:p w14:paraId="6BCCA1CF">
            <w:pPr>
              <w:pStyle w:val="21"/>
              <w:ind w:firstLine="110" w:firstLineChars="50"/>
              <w:rPr>
                <w:rFonts w:hint="eastAsia" w:ascii="华文中宋" w:hAnsi="华文中宋" w:eastAsia="华文中宋" w:cs="华文中宋"/>
                <w:sz w:val="22"/>
                <w:szCs w:val="24"/>
                <w:lang w:val="zh-CN"/>
              </w:rPr>
            </w:pPr>
            <w:r>
              <w:rPr>
                <w:rFonts w:hint="eastAsia" w:ascii="华文中宋" w:hAnsi="华文中宋" w:eastAsia="华文中宋" w:cs="华文中宋"/>
                <w:sz w:val="22"/>
                <w:szCs w:val="24"/>
                <w:lang w:val="zh-CN"/>
              </w:rPr>
              <w:t>（满分</w:t>
            </w:r>
            <w:r>
              <w:rPr>
                <w:rFonts w:hint="eastAsia" w:ascii="华文中宋" w:hAnsi="华文中宋" w:eastAsia="华文中宋" w:cs="华文中宋"/>
                <w:sz w:val="22"/>
                <w:szCs w:val="24"/>
              </w:rPr>
              <w:t>30</w:t>
            </w:r>
            <w:r>
              <w:rPr>
                <w:rFonts w:hint="eastAsia" w:ascii="华文中宋" w:hAnsi="华文中宋" w:eastAsia="华文中宋" w:cs="华文中宋"/>
                <w:sz w:val="22"/>
                <w:szCs w:val="24"/>
                <w:lang w:val="zh-CN"/>
              </w:rPr>
              <w:t>分）</w:t>
            </w:r>
          </w:p>
        </w:tc>
        <w:tc>
          <w:tcPr>
            <w:tcW w:w="7426" w:type="dxa"/>
            <w:vAlign w:val="center"/>
          </w:tcPr>
          <w:p w14:paraId="7232195A">
            <w:pPr>
              <w:spacing w:line="360" w:lineRule="exact"/>
              <w:ind w:firstLine="210" w:firstLineChars="100"/>
              <w:rPr>
                <w:rFonts w:hint="eastAsia" w:ascii="华文中宋" w:hAnsi="华文中宋" w:eastAsia="华文中宋" w:cs="华文中宋"/>
                <w:szCs w:val="21"/>
                <w:lang w:val="zh-CN"/>
              </w:rPr>
            </w:pPr>
            <w:r>
              <w:rPr>
                <w:rFonts w:hint="eastAsia" w:ascii="华文中宋" w:hAnsi="华文中宋" w:eastAsia="华文中宋" w:cs="华文中宋"/>
                <w:szCs w:val="21"/>
                <w:lang w:val="zh-CN"/>
              </w:rPr>
              <w:t>评标基准价即满足招标文件要求且投标价格最低的投标报价。</w:t>
            </w:r>
          </w:p>
          <w:p w14:paraId="3DF1B26D">
            <w:pPr>
              <w:spacing w:line="360" w:lineRule="exact"/>
              <w:ind w:firstLine="210" w:firstLineChars="100"/>
              <w:rPr>
                <w:rFonts w:hint="eastAsia" w:ascii="华文中宋" w:hAnsi="华文中宋" w:eastAsia="华文中宋" w:cs="华文中宋"/>
                <w:szCs w:val="21"/>
                <w:lang w:val="zh-CN"/>
              </w:rPr>
            </w:pPr>
            <w:r>
              <w:rPr>
                <w:rFonts w:hint="eastAsia" w:ascii="华文中宋" w:hAnsi="华文中宋" w:eastAsia="华文中宋" w:cs="华文中宋"/>
                <w:szCs w:val="21"/>
                <w:lang w:val="zh-CN"/>
              </w:rPr>
              <w:t>投标报价得分=（评标基准价/投标报价）×分值</w:t>
            </w:r>
          </w:p>
        </w:tc>
      </w:tr>
      <w:tr w14:paraId="6A402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1804" w:type="dxa"/>
            <w:gridSpan w:val="2"/>
            <w:vMerge w:val="continue"/>
            <w:vAlign w:val="center"/>
          </w:tcPr>
          <w:p w14:paraId="226100E5">
            <w:pPr>
              <w:autoSpaceDE w:val="0"/>
              <w:autoSpaceDN w:val="0"/>
              <w:adjustRightInd w:val="0"/>
              <w:ind w:firstLine="440"/>
              <w:jc w:val="center"/>
              <w:rPr>
                <w:rFonts w:hint="eastAsia" w:ascii="华文中宋" w:hAnsi="华文中宋" w:eastAsia="华文中宋" w:cs="华文中宋"/>
                <w:sz w:val="22"/>
                <w:lang w:val="zh-CN"/>
              </w:rPr>
            </w:pPr>
          </w:p>
        </w:tc>
        <w:tc>
          <w:tcPr>
            <w:tcW w:w="7426" w:type="dxa"/>
            <w:vAlign w:val="center"/>
          </w:tcPr>
          <w:p w14:paraId="59942439">
            <w:pPr>
              <w:spacing w:line="360" w:lineRule="exact"/>
              <w:ind w:firstLine="210" w:firstLineChars="100"/>
              <w:rPr>
                <w:rFonts w:hint="eastAsia" w:ascii="华文中宋" w:hAnsi="华文中宋" w:eastAsia="华文中宋" w:cs="华文中宋"/>
                <w:szCs w:val="21"/>
                <w:lang w:val="zh-CN"/>
              </w:rPr>
            </w:pPr>
            <w:r>
              <w:rPr>
                <w:rFonts w:hint="eastAsia" w:ascii="华文中宋" w:hAnsi="华文中宋" w:eastAsia="华文中宋" w:cs="华文中宋"/>
                <w:szCs w:val="21"/>
                <w:lang w:val="zh-CN"/>
              </w:rPr>
              <w:t>因落实政府采购政策进行价格调整的，以调整后的价格计算评标基准价和投标报价。</w:t>
            </w:r>
          </w:p>
        </w:tc>
      </w:tr>
      <w:tr w14:paraId="2DEC1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restart"/>
            <w:vAlign w:val="center"/>
          </w:tcPr>
          <w:p w14:paraId="0A444F9C">
            <w:pPr>
              <w:ind w:firstLine="440"/>
              <w:jc w:val="center"/>
              <w:rPr>
                <w:rFonts w:hint="eastAsia" w:ascii="华文中宋" w:hAnsi="华文中宋" w:eastAsia="华文中宋" w:cs="华文中宋"/>
                <w:sz w:val="22"/>
              </w:rPr>
            </w:pPr>
            <w:r>
              <w:rPr>
                <w:rFonts w:hint="eastAsia" w:ascii="华文中宋" w:hAnsi="华文中宋" w:eastAsia="华文中宋" w:cs="华文中宋"/>
                <w:sz w:val="22"/>
              </w:rPr>
              <w:t>政府采购价格折扣政策说明</w:t>
            </w:r>
          </w:p>
        </w:tc>
        <w:tc>
          <w:tcPr>
            <w:tcW w:w="799" w:type="dxa"/>
            <w:vAlign w:val="center"/>
          </w:tcPr>
          <w:p w14:paraId="5D920EA3">
            <w:pPr>
              <w:ind w:firstLine="440"/>
              <w:jc w:val="center"/>
              <w:rPr>
                <w:rFonts w:hint="eastAsia" w:ascii="华文中宋" w:hAnsi="华文中宋" w:eastAsia="华文中宋" w:cs="华文中宋"/>
                <w:sz w:val="22"/>
              </w:rPr>
            </w:pPr>
            <w:r>
              <w:rPr>
                <w:rFonts w:hint="eastAsia" w:ascii="华文中宋" w:hAnsi="华文中宋" w:eastAsia="华文中宋" w:cs="华文中宋"/>
                <w:sz w:val="22"/>
              </w:rPr>
              <w:t>中小企业</w:t>
            </w:r>
          </w:p>
        </w:tc>
        <w:tc>
          <w:tcPr>
            <w:tcW w:w="7426" w:type="dxa"/>
            <w:vAlign w:val="center"/>
          </w:tcPr>
          <w:p w14:paraId="6DE22F65">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14:paraId="47F9214A">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2）小型、微企业只有提供本企业制造的货物或者服务，或者提供其他小型、微企业制造的货物，享受投标货物10%的价格折扣。若有的话，如实填写《小微企业/残疾人福利性单位提供货物/服务明细表》（格式见第八部分）。</w:t>
            </w:r>
          </w:p>
          <w:p w14:paraId="4700B5CE">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（3）小型、微型企业提供的货物既有中小企业制造货物，也有大型企业制造货物的，不享受价格折扣。</w:t>
            </w:r>
          </w:p>
          <w:p w14:paraId="1AB3D0C5">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14:paraId="37600A64">
            <w:pPr>
              <w:spacing w:line="360" w:lineRule="exact"/>
              <w:ind w:firstLine="210" w:firstLineChars="100"/>
              <w:rPr>
                <w:rFonts w:hint="eastAsia" w:ascii="华文中宋" w:hAnsi="华文中宋" w:eastAsia="华文中宋" w:cs="华文中宋"/>
                <w:bCs/>
                <w:sz w:val="22"/>
              </w:rPr>
            </w:pPr>
            <w:r>
              <w:rPr>
                <w:rFonts w:hint="eastAsia" w:ascii="华文中宋" w:hAnsi="华文中宋" w:eastAsia="华文中宋" w:cs="华文中宋"/>
                <w:szCs w:val="21"/>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tc>
      </w:tr>
      <w:tr w14:paraId="24340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14:paraId="065595E9">
            <w:pPr>
              <w:ind w:firstLine="440"/>
              <w:jc w:val="center"/>
              <w:rPr>
                <w:rFonts w:hint="eastAsia" w:ascii="华文中宋" w:hAnsi="华文中宋" w:eastAsia="华文中宋" w:cs="华文中宋"/>
                <w:sz w:val="22"/>
              </w:rPr>
            </w:pPr>
          </w:p>
        </w:tc>
        <w:tc>
          <w:tcPr>
            <w:tcW w:w="799" w:type="dxa"/>
            <w:vAlign w:val="center"/>
          </w:tcPr>
          <w:p w14:paraId="21521237">
            <w:pPr>
              <w:ind w:firstLine="440"/>
              <w:jc w:val="center"/>
              <w:rPr>
                <w:rFonts w:hint="eastAsia" w:ascii="华文中宋" w:hAnsi="华文中宋" w:eastAsia="华文中宋" w:cs="华文中宋"/>
                <w:sz w:val="22"/>
              </w:rPr>
            </w:pPr>
            <w:r>
              <w:rPr>
                <w:rFonts w:hint="eastAsia" w:ascii="华文中宋" w:hAnsi="华文中宋" w:eastAsia="华文中宋" w:cs="华文中宋"/>
                <w:sz w:val="22"/>
              </w:rPr>
              <w:t>监狱企业</w:t>
            </w:r>
          </w:p>
        </w:tc>
        <w:tc>
          <w:tcPr>
            <w:tcW w:w="7426" w:type="dxa"/>
            <w:vAlign w:val="center"/>
          </w:tcPr>
          <w:p w14:paraId="513F449A">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（1）监狱企业参加投标视同小微企业，需提供由省级以上监狱管理局或戒毒管理局出具的属于监狱企业的证明文件。</w:t>
            </w:r>
          </w:p>
          <w:p w14:paraId="0297A003">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2）监狱企业只有提供本企业制造的货物或服务，或者提供其他小、微企业制造的货物，享受投标货物的价格折扣。若有的话，如实填写《小微企业/残疾人福利性单位提供货物/服务明细表》（格式见第八部分）；</w:t>
            </w:r>
          </w:p>
          <w:p w14:paraId="434F8F2C">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（3）监狱企业与中型企业组成联合体参加投标的，或者向监狱企业分包，且联合体协议或分包意向协议约定监狱企业的协议金额占到合同金额30%以上的，享受投标标的3%的价格扣除，用扣除后的价格参与评审。</w:t>
            </w:r>
          </w:p>
        </w:tc>
      </w:tr>
      <w:tr w14:paraId="34F22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14:paraId="272602CB">
            <w:pPr>
              <w:ind w:firstLine="440"/>
              <w:jc w:val="center"/>
              <w:rPr>
                <w:rFonts w:hint="eastAsia" w:ascii="华文中宋" w:hAnsi="华文中宋" w:eastAsia="华文中宋" w:cs="华文中宋"/>
                <w:sz w:val="22"/>
              </w:rPr>
            </w:pPr>
          </w:p>
        </w:tc>
        <w:tc>
          <w:tcPr>
            <w:tcW w:w="799" w:type="dxa"/>
            <w:vAlign w:val="center"/>
          </w:tcPr>
          <w:p w14:paraId="5337EE1F">
            <w:pPr>
              <w:ind w:firstLine="440"/>
              <w:jc w:val="center"/>
              <w:rPr>
                <w:rFonts w:hint="eastAsia" w:ascii="华文中宋" w:hAnsi="华文中宋" w:eastAsia="华文中宋" w:cs="华文中宋"/>
                <w:sz w:val="22"/>
              </w:rPr>
            </w:pPr>
            <w:r>
              <w:rPr>
                <w:rFonts w:hint="eastAsia" w:ascii="华文中宋" w:hAnsi="华文中宋" w:eastAsia="华文中宋" w:cs="华文中宋"/>
                <w:sz w:val="22"/>
              </w:rPr>
              <w:t>残疾人福利性单位</w:t>
            </w:r>
          </w:p>
        </w:tc>
        <w:tc>
          <w:tcPr>
            <w:tcW w:w="7426" w:type="dxa"/>
            <w:vAlign w:val="center"/>
          </w:tcPr>
          <w:p w14:paraId="7FD6FEE4">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1）须根据财库【2017】141号《关于促进残疾人就业政府采购政策的通知》的要求，如实填写残疾人福利性单位声明函（格式见第八部分附件），残疾人福利性单位参加本项目投标时，享受10%的价格折扣，用扣除后的价格参与评审。</w:t>
            </w:r>
          </w:p>
          <w:p w14:paraId="23CF1327">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（2）享受政府采购支持政策的残疾人福利性单位应当同时满足以下条件：</w:t>
            </w:r>
          </w:p>
          <w:p w14:paraId="32413D74">
            <w:pPr>
              <w:spacing w:line="360" w:lineRule="exact"/>
              <w:ind w:left="315" w:leftChars="150"/>
              <w:rPr>
                <w:rFonts w:hint="eastAsia" w:ascii="华文中宋" w:hAnsi="华文中宋" w:eastAsia="华文中宋" w:cs="华文中宋"/>
                <w:szCs w:val="21"/>
              </w:rPr>
            </w:pPr>
            <w:r>
              <w:rPr>
                <w:rFonts w:hint="eastAsia" w:ascii="华文中宋" w:hAnsi="华文中宋" w:eastAsia="华文中宋" w:cs="华文中宋"/>
                <w:szCs w:val="21"/>
              </w:rPr>
              <w:t>　A.安置的残疾人占本单位在职职工人数的比例不低于25%（含25%），并且安置的残疾人人数不少于10人（含10人）；</w:t>
            </w:r>
          </w:p>
          <w:p w14:paraId="787F9689">
            <w:pPr>
              <w:spacing w:line="360" w:lineRule="exact"/>
              <w:ind w:left="315" w:leftChars="150"/>
              <w:rPr>
                <w:rFonts w:hint="eastAsia" w:ascii="华文中宋" w:hAnsi="华文中宋" w:eastAsia="华文中宋" w:cs="华文中宋"/>
                <w:szCs w:val="21"/>
              </w:rPr>
            </w:pPr>
            <w:r>
              <w:rPr>
                <w:rFonts w:hint="eastAsia" w:ascii="华文中宋" w:hAnsi="华文中宋" w:eastAsia="华文中宋" w:cs="华文中宋"/>
                <w:szCs w:val="21"/>
              </w:rPr>
              <w:t>　B.依法与安置的每位残疾人签订了一年以上（含一年）的劳动合同或服务协议；</w:t>
            </w:r>
          </w:p>
          <w:p w14:paraId="05E30BF9">
            <w:pPr>
              <w:spacing w:line="360" w:lineRule="exact"/>
              <w:ind w:left="315" w:leftChars="150"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C.为安置的每位残疾人按月足额缴纳了基本养老保险、基本医疗保险、失业保险、工伤保险和生育保险等社会保险费；</w:t>
            </w:r>
          </w:p>
          <w:p w14:paraId="1D0654C2">
            <w:pPr>
              <w:spacing w:line="360" w:lineRule="exact"/>
              <w:ind w:left="315" w:leftChars="150"/>
              <w:rPr>
                <w:rFonts w:hint="eastAsia" w:ascii="华文中宋" w:hAnsi="华文中宋" w:eastAsia="华文中宋" w:cs="华文中宋"/>
                <w:szCs w:val="21"/>
              </w:rPr>
            </w:pPr>
            <w:r>
              <w:rPr>
                <w:rFonts w:hint="eastAsia" w:ascii="华文中宋" w:hAnsi="华文中宋" w:eastAsia="华文中宋" w:cs="华文中宋"/>
                <w:szCs w:val="21"/>
              </w:rPr>
              <w:t>　D.通过银行等金融机构向安置的每位残疾人，按月支付了不低于单位所在区县适用的经省级人民政府批准的月最低工资标准的工资；</w:t>
            </w:r>
          </w:p>
          <w:p w14:paraId="0DE6BCA0">
            <w:pPr>
              <w:spacing w:line="360" w:lineRule="exact"/>
              <w:ind w:left="315" w:leftChars="150"/>
              <w:rPr>
                <w:rFonts w:hint="eastAsia" w:ascii="华文中宋" w:hAnsi="华文中宋" w:eastAsia="华文中宋" w:cs="华文中宋"/>
                <w:szCs w:val="21"/>
              </w:rPr>
            </w:pPr>
            <w:r>
              <w:rPr>
                <w:rFonts w:hint="eastAsia" w:ascii="华文中宋" w:hAnsi="华文中宋" w:eastAsia="华文中宋" w:cs="华文中宋"/>
                <w:szCs w:val="21"/>
              </w:rPr>
              <w:t>　E．提供本单位制造的货物、承担的工程或者服务（以下简称产品），或者提供其他残疾人福利性单位制造的货物（不包括使用非残疾人福利性单位注册商标的货物）。</w:t>
            </w:r>
          </w:p>
          <w:p w14:paraId="2DC37835">
            <w:pPr>
              <w:spacing w:line="360" w:lineRule="exact"/>
              <w:ind w:left="315" w:leftChars="150"/>
              <w:rPr>
                <w:rFonts w:hint="eastAsia" w:ascii="华文中宋" w:hAnsi="华文中宋" w:eastAsia="华文中宋" w:cs="华文中宋"/>
                <w:szCs w:val="21"/>
              </w:rPr>
            </w:pPr>
            <w:r>
              <w:rPr>
                <w:rFonts w:hint="eastAsia" w:ascii="华文中宋" w:hAnsi="华文中宋" w:eastAsia="华文中宋" w:cs="华文中宋"/>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046972D">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（3）残疾人福利性单位属于小型、微型企业的，不重复享受政策。</w:t>
            </w:r>
          </w:p>
        </w:tc>
      </w:tr>
      <w:tr w14:paraId="2D0E6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14:paraId="1BA72C42">
            <w:pPr>
              <w:ind w:firstLine="440"/>
              <w:jc w:val="center"/>
              <w:rPr>
                <w:rFonts w:hint="eastAsia" w:ascii="华文中宋" w:hAnsi="华文中宋" w:eastAsia="华文中宋" w:cs="华文中宋"/>
                <w:sz w:val="22"/>
              </w:rPr>
            </w:pPr>
          </w:p>
        </w:tc>
        <w:tc>
          <w:tcPr>
            <w:tcW w:w="799" w:type="dxa"/>
            <w:vAlign w:val="center"/>
          </w:tcPr>
          <w:p w14:paraId="38B3D4E8">
            <w:pPr>
              <w:ind w:firstLine="440"/>
              <w:jc w:val="center"/>
              <w:rPr>
                <w:rFonts w:hint="eastAsia" w:ascii="华文中宋" w:hAnsi="华文中宋" w:eastAsia="华文中宋" w:cs="华文中宋"/>
                <w:sz w:val="22"/>
              </w:rPr>
            </w:pPr>
            <w:r>
              <w:rPr>
                <w:rFonts w:hint="eastAsia" w:ascii="华文中宋" w:hAnsi="华文中宋" w:eastAsia="华文中宋" w:cs="华文中宋"/>
                <w:sz w:val="22"/>
              </w:rPr>
              <w:t>创新产品</w:t>
            </w:r>
          </w:p>
          <w:p w14:paraId="7E10E40F">
            <w:pPr>
              <w:ind w:firstLine="440"/>
              <w:jc w:val="center"/>
              <w:rPr>
                <w:rFonts w:hint="eastAsia" w:ascii="华文中宋" w:hAnsi="华文中宋" w:eastAsia="华文中宋" w:cs="华文中宋"/>
                <w:sz w:val="22"/>
              </w:rPr>
            </w:pPr>
            <w:r>
              <w:rPr>
                <w:rFonts w:hint="eastAsia" w:ascii="华文中宋" w:hAnsi="华文中宋" w:eastAsia="华文中宋" w:cs="华文中宋"/>
                <w:sz w:val="22"/>
              </w:rPr>
              <w:t>创新服务</w:t>
            </w:r>
          </w:p>
        </w:tc>
        <w:tc>
          <w:tcPr>
            <w:tcW w:w="7426" w:type="dxa"/>
            <w:vAlign w:val="center"/>
          </w:tcPr>
          <w:p w14:paraId="228042A6">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（1）投标人投标产品或服务属于《山西省创新产品和服务推荐清单》中创新产品或创新服务的，在评审时，享受投标产品10%的价格折扣，以折扣后的价格参与评审。</w:t>
            </w:r>
          </w:p>
          <w:p w14:paraId="37E6B003">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（2）投标人投标创新产品或创新服务的，应在投标文件中填写《创新产品或创新服务明细表》，并提供《山西省创新产品和服务推荐清单》。</w:t>
            </w:r>
          </w:p>
          <w:p w14:paraId="4E67876E">
            <w:pPr>
              <w:spacing w:line="360" w:lineRule="exact"/>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rPr>
              <w:t>（3）创新产品或创新服务的价格折扣政策可与其他政府采购政策叠加。</w:t>
            </w:r>
          </w:p>
        </w:tc>
      </w:tr>
      <w:bookmarkEnd w:id="170"/>
    </w:tbl>
    <w:p w14:paraId="4EF31473">
      <w:pPr>
        <w:spacing w:line="360" w:lineRule="auto"/>
        <w:ind w:firstLine="561"/>
        <w:jc w:val="center"/>
        <w:rPr>
          <w:rFonts w:hint="eastAsia" w:ascii="华文中宋" w:hAnsi="华文中宋" w:eastAsia="华文中宋" w:cs="华文中宋"/>
          <w:b/>
          <w:bCs/>
          <w:sz w:val="28"/>
          <w:szCs w:val="28"/>
        </w:rPr>
      </w:pPr>
      <w:bookmarkStart w:id="176" w:name="_Toc424378697"/>
      <w:bookmarkStart w:id="177" w:name="_Toc352761952"/>
      <w:bookmarkStart w:id="178" w:name="_Toc26881704"/>
      <w:bookmarkStart w:id="179" w:name="_Toc5560"/>
    </w:p>
    <w:p w14:paraId="01AB2699">
      <w:pPr>
        <w:spacing w:line="360" w:lineRule="auto"/>
        <w:ind w:firstLine="561"/>
        <w:jc w:val="center"/>
        <w:rPr>
          <w:rFonts w:hint="eastAsia" w:ascii="华文中宋" w:hAnsi="华文中宋" w:eastAsia="华文中宋" w:cs="华文中宋"/>
          <w:b/>
          <w:bCs/>
          <w:sz w:val="28"/>
          <w:szCs w:val="28"/>
        </w:rPr>
      </w:pPr>
    </w:p>
    <w:p w14:paraId="4E70ED4D">
      <w:pPr>
        <w:spacing w:line="360" w:lineRule="auto"/>
        <w:ind w:firstLine="561"/>
        <w:jc w:val="center"/>
        <w:rPr>
          <w:rFonts w:hint="eastAsia" w:ascii="华文中宋" w:hAnsi="华文中宋" w:eastAsia="华文中宋" w:cs="华文中宋"/>
          <w:b/>
          <w:bCs/>
          <w:sz w:val="28"/>
          <w:szCs w:val="28"/>
        </w:rPr>
      </w:pPr>
    </w:p>
    <w:p w14:paraId="660527DB">
      <w:pPr>
        <w:spacing w:line="360" w:lineRule="auto"/>
        <w:ind w:firstLine="561"/>
        <w:jc w:val="center"/>
        <w:rPr>
          <w:rFonts w:hint="eastAsia" w:ascii="华文中宋" w:hAnsi="华文中宋" w:eastAsia="华文中宋" w:cs="华文中宋"/>
          <w:b/>
          <w:bCs/>
          <w:sz w:val="28"/>
          <w:szCs w:val="28"/>
        </w:rPr>
      </w:pPr>
    </w:p>
    <w:p w14:paraId="1A6C1482">
      <w:pPr>
        <w:spacing w:line="360" w:lineRule="auto"/>
        <w:ind w:firstLine="561"/>
        <w:jc w:val="center"/>
        <w:rPr>
          <w:rFonts w:hint="eastAsia" w:ascii="华文中宋" w:hAnsi="华文中宋" w:eastAsia="华文中宋" w:cs="华文中宋"/>
          <w:b/>
          <w:bCs/>
          <w:sz w:val="28"/>
          <w:szCs w:val="28"/>
        </w:rPr>
      </w:pPr>
    </w:p>
    <w:p w14:paraId="32F1C218">
      <w:pPr>
        <w:spacing w:line="360" w:lineRule="auto"/>
        <w:ind w:firstLine="561"/>
        <w:jc w:val="center"/>
        <w:rPr>
          <w:rFonts w:hint="eastAsia" w:ascii="华文中宋" w:hAnsi="华文中宋" w:eastAsia="华文中宋" w:cs="华文中宋"/>
          <w:b/>
          <w:bCs/>
          <w:sz w:val="28"/>
          <w:szCs w:val="28"/>
        </w:rPr>
      </w:pPr>
    </w:p>
    <w:p w14:paraId="25EFC4A8">
      <w:pPr>
        <w:spacing w:line="360" w:lineRule="auto"/>
        <w:ind w:firstLine="561"/>
        <w:jc w:val="center"/>
        <w:rPr>
          <w:rFonts w:hint="eastAsia" w:ascii="华文中宋" w:hAnsi="华文中宋" w:eastAsia="华文中宋" w:cs="华文中宋"/>
          <w:b/>
          <w:bCs/>
          <w:sz w:val="28"/>
          <w:szCs w:val="28"/>
        </w:rPr>
      </w:pPr>
    </w:p>
    <w:p w14:paraId="15CCF169">
      <w:pPr>
        <w:pStyle w:val="12"/>
        <w:ind w:firstLine="0" w:firstLineChars="0"/>
        <w:rPr>
          <w:rFonts w:hint="eastAsia" w:ascii="华文中宋" w:hAnsi="华文中宋" w:eastAsia="华文中宋" w:cs="华文中宋"/>
          <w:b/>
          <w:bCs/>
          <w:sz w:val="28"/>
          <w:szCs w:val="28"/>
        </w:rPr>
      </w:pPr>
    </w:p>
    <w:p w14:paraId="4AD416E3">
      <w:pPr>
        <w:spacing w:line="360" w:lineRule="auto"/>
        <w:ind w:firstLine="561"/>
        <w:jc w:val="center"/>
        <w:rPr>
          <w:rFonts w:hint="eastAsia" w:ascii="华文中宋" w:hAnsi="华文中宋" w:eastAsia="华文中宋" w:cs="华文中宋"/>
          <w:b/>
          <w:bCs/>
          <w:sz w:val="28"/>
          <w:szCs w:val="28"/>
        </w:rPr>
      </w:pPr>
    </w:p>
    <w:p w14:paraId="1BB6471B">
      <w:pPr>
        <w:spacing w:line="360" w:lineRule="auto"/>
        <w:ind w:firstLine="561"/>
        <w:jc w:val="center"/>
        <w:rPr>
          <w:rFonts w:hint="eastAsia" w:ascii="华文中宋" w:hAnsi="华文中宋" w:eastAsia="华文中宋" w:cs="华文中宋"/>
          <w:b/>
          <w:bCs/>
          <w:sz w:val="28"/>
          <w:szCs w:val="28"/>
        </w:rPr>
      </w:pPr>
    </w:p>
    <w:p w14:paraId="0F3C1E8B">
      <w:pPr>
        <w:spacing w:line="360" w:lineRule="auto"/>
        <w:ind w:firstLine="561"/>
        <w:jc w:val="center"/>
        <w:rPr>
          <w:rFonts w:hint="eastAsia" w:ascii="华文中宋" w:hAnsi="华文中宋" w:eastAsia="华文中宋" w:cs="华文中宋"/>
          <w:b/>
          <w:bCs/>
          <w:sz w:val="28"/>
          <w:szCs w:val="28"/>
        </w:rPr>
      </w:pPr>
    </w:p>
    <w:p w14:paraId="71F5B0A9">
      <w:pPr>
        <w:spacing w:line="360" w:lineRule="auto"/>
        <w:ind w:firstLine="561"/>
        <w:jc w:val="center"/>
        <w:rPr>
          <w:rFonts w:hint="eastAsia" w:ascii="华文中宋" w:hAnsi="华文中宋" w:eastAsia="华文中宋" w:cs="华文中宋"/>
          <w:b/>
          <w:bCs/>
          <w:sz w:val="28"/>
          <w:szCs w:val="28"/>
        </w:rPr>
      </w:pPr>
    </w:p>
    <w:p w14:paraId="59044229">
      <w:pPr>
        <w:spacing w:line="360" w:lineRule="auto"/>
        <w:ind w:firstLine="561"/>
        <w:jc w:val="center"/>
        <w:rPr>
          <w:rFonts w:hint="eastAsia" w:ascii="华文中宋" w:hAnsi="华文中宋" w:eastAsia="华文中宋" w:cs="华文中宋"/>
          <w:b/>
          <w:bCs/>
          <w:sz w:val="28"/>
          <w:szCs w:val="28"/>
        </w:rPr>
      </w:pPr>
    </w:p>
    <w:p w14:paraId="26FE0A73">
      <w:pPr>
        <w:spacing w:line="360" w:lineRule="auto"/>
        <w:ind w:firstLine="561"/>
        <w:jc w:val="center"/>
        <w:rPr>
          <w:rFonts w:hint="eastAsia" w:ascii="华文中宋" w:hAnsi="华文中宋" w:eastAsia="华文中宋" w:cs="华文中宋"/>
          <w:b/>
          <w:bCs/>
          <w:sz w:val="28"/>
          <w:szCs w:val="28"/>
        </w:rPr>
      </w:pPr>
    </w:p>
    <w:p w14:paraId="747E2818">
      <w:pPr>
        <w:spacing w:line="360" w:lineRule="auto"/>
        <w:ind w:firstLine="561"/>
        <w:jc w:val="center"/>
        <w:rPr>
          <w:rFonts w:hint="eastAsia" w:ascii="华文中宋" w:hAnsi="华文中宋" w:eastAsia="华文中宋" w:cs="华文中宋"/>
          <w:b/>
          <w:bCs/>
          <w:sz w:val="28"/>
          <w:szCs w:val="28"/>
        </w:rPr>
      </w:pPr>
    </w:p>
    <w:p w14:paraId="59CEE6D9">
      <w:pPr>
        <w:spacing w:line="360" w:lineRule="auto"/>
        <w:ind w:firstLine="561"/>
        <w:jc w:val="center"/>
        <w:rPr>
          <w:rFonts w:hint="eastAsia" w:ascii="华文中宋" w:hAnsi="华文中宋" w:eastAsia="华文中宋" w:cs="华文中宋"/>
          <w:b/>
          <w:bCs/>
          <w:sz w:val="28"/>
          <w:szCs w:val="28"/>
        </w:rPr>
      </w:pPr>
    </w:p>
    <w:p w14:paraId="04B6EE48">
      <w:pPr>
        <w:spacing w:line="360" w:lineRule="auto"/>
        <w:ind w:firstLine="561"/>
        <w:jc w:val="center"/>
        <w:rPr>
          <w:rFonts w:hint="eastAsia" w:ascii="华文中宋" w:hAnsi="华文中宋" w:eastAsia="华文中宋" w:cs="华文中宋"/>
          <w:b/>
          <w:bCs/>
          <w:sz w:val="28"/>
          <w:szCs w:val="28"/>
        </w:rPr>
      </w:pPr>
    </w:p>
    <w:p w14:paraId="694EDA1A">
      <w:pPr>
        <w:spacing w:line="360" w:lineRule="auto"/>
        <w:ind w:firstLine="561"/>
        <w:jc w:val="center"/>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第七部分   合同文本（可修改）</w:t>
      </w:r>
    </w:p>
    <w:bookmarkEnd w:id="176"/>
    <w:bookmarkEnd w:id="177"/>
    <w:bookmarkEnd w:id="178"/>
    <w:bookmarkEnd w:id="179"/>
    <w:p w14:paraId="7FCD1444">
      <w:pPr>
        <w:spacing w:line="520" w:lineRule="exact"/>
        <w:rPr>
          <w:rFonts w:hint="eastAsia" w:ascii="华文中宋" w:hAnsi="华文中宋" w:eastAsia="华文中宋" w:cs="华文中宋"/>
          <w:sz w:val="24"/>
          <w:u w:val="single"/>
        </w:rPr>
      </w:pPr>
      <w:r>
        <w:rPr>
          <w:rFonts w:hint="eastAsia" w:ascii="华文中宋" w:hAnsi="华文中宋" w:eastAsia="华文中宋" w:cs="华文中宋"/>
          <w:sz w:val="24"/>
        </w:rPr>
        <w:t>需</w:t>
      </w:r>
      <w:r>
        <w:rPr>
          <w:rFonts w:hint="eastAsia" w:ascii="华文中宋" w:hAnsi="华文中宋" w:eastAsia="华文中宋" w:cs="华文中宋"/>
          <w:sz w:val="24"/>
        </w:rPr>
        <w:tab/>
      </w:r>
      <w:r>
        <w:rPr>
          <w:rFonts w:hint="eastAsia" w:ascii="华文中宋" w:hAnsi="华文中宋" w:eastAsia="华文中宋" w:cs="华文中宋"/>
          <w:sz w:val="24"/>
        </w:rPr>
        <w:t>方：</w:t>
      </w:r>
    </w:p>
    <w:p w14:paraId="61CED9A6">
      <w:pPr>
        <w:spacing w:line="520" w:lineRule="exact"/>
        <w:rPr>
          <w:rFonts w:hint="eastAsia" w:ascii="华文中宋" w:hAnsi="华文中宋" w:eastAsia="华文中宋" w:cs="华文中宋"/>
          <w:sz w:val="24"/>
        </w:rPr>
      </w:pPr>
      <w:r>
        <w:rPr>
          <w:rFonts w:hint="eastAsia" w:ascii="华文中宋" w:hAnsi="华文中宋" w:eastAsia="华文中宋" w:cs="华文中宋"/>
          <w:sz w:val="24"/>
        </w:rPr>
        <w:t>供</w:t>
      </w:r>
      <w:r>
        <w:rPr>
          <w:rFonts w:hint="eastAsia" w:ascii="华文中宋" w:hAnsi="华文中宋" w:eastAsia="华文中宋" w:cs="华文中宋"/>
          <w:sz w:val="24"/>
        </w:rPr>
        <w:tab/>
      </w:r>
      <w:r>
        <w:rPr>
          <w:rFonts w:hint="eastAsia" w:ascii="华文中宋" w:hAnsi="华文中宋" w:eastAsia="华文中宋" w:cs="华文中宋"/>
          <w:sz w:val="24"/>
        </w:rPr>
        <w:t>方：</w:t>
      </w:r>
    </w:p>
    <w:p w14:paraId="4BAFFEAD">
      <w:pPr>
        <w:spacing w:line="520" w:lineRule="exact"/>
        <w:rPr>
          <w:rFonts w:hint="eastAsia" w:ascii="华文中宋" w:hAnsi="华文中宋" w:eastAsia="华文中宋" w:cs="华文中宋"/>
          <w:sz w:val="24"/>
        </w:rPr>
      </w:pPr>
    </w:p>
    <w:p w14:paraId="78757A2C">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供方在****组织的****项目公开招标采购中中标，经双方协商一致，签订本合同。</w:t>
      </w:r>
    </w:p>
    <w:p w14:paraId="171F978D">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rPr>
        <w:t>一、货物条款</w:t>
      </w:r>
    </w:p>
    <w:p w14:paraId="26C926F9">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供方向需方提供以下货物</w:t>
      </w:r>
    </w:p>
    <w:p w14:paraId="4A80EA3A">
      <w:pPr>
        <w:spacing w:line="520" w:lineRule="exact"/>
        <w:ind w:firstLine="360" w:firstLineChars="150"/>
        <w:rPr>
          <w:rFonts w:hint="eastAsia" w:ascii="华文中宋" w:hAnsi="华文中宋" w:eastAsia="华文中宋" w:cs="华文中宋"/>
          <w:sz w:val="24"/>
        </w:rPr>
      </w:pPr>
      <w:r>
        <w:rPr>
          <w:rFonts w:hint="eastAsia" w:ascii="华文中宋" w:hAnsi="华文中宋" w:eastAsia="华文中宋" w:cs="华文中宋"/>
          <w:sz w:val="24"/>
        </w:rPr>
        <w:t>（具体品牌、数量、技术参数及质保期等清单后附）</w:t>
      </w:r>
    </w:p>
    <w:p w14:paraId="5D8BDE5B">
      <w:pPr>
        <w:spacing w:line="520" w:lineRule="exact"/>
        <w:rPr>
          <w:rFonts w:hint="eastAsia" w:ascii="华文中宋" w:hAnsi="华文中宋" w:eastAsia="华文中宋" w:cs="华文中宋"/>
          <w:b/>
          <w:sz w:val="24"/>
        </w:rPr>
      </w:pPr>
      <w:bookmarkStart w:id="180" w:name="bookmark0"/>
      <w:r>
        <w:rPr>
          <w:rFonts w:hint="eastAsia" w:ascii="华文中宋" w:hAnsi="华文中宋" w:eastAsia="华文中宋" w:cs="华文中宋"/>
          <w:b/>
          <w:sz w:val="24"/>
        </w:rPr>
        <w:t>二</w:t>
      </w:r>
      <w:bookmarkEnd w:id="180"/>
      <w:r>
        <w:rPr>
          <w:rFonts w:hint="eastAsia" w:ascii="华文中宋" w:hAnsi="华文中宋" w:eastAsia="华文中宋" w:cs="华文中宋"/>
          <w:b/>
          <w:sz w:val="24"/>
        </w:rPr>
        <w:t>、合同总金额</w:t>
      </w:r>
    </w:p>
    <w:p w14:paraId="112F0017">
      <w:pPr>
        <w:spacing w:line="520" w:lineRule="exact"/>
        <w:ind w:firstLine="480" w:firstLineChars="200"/>
        <w:rPr>
          <w:rFonts w:hint="eastAsia" w:ascii="华文中宋" w:hAnsi="华文中宋" w:eastAsia="华文中宋" w:cs="华文中宋"/>
          <w:sz w:val="24"/>
          <w:u w:val="single"/>
        </w:rPr>
      </w:pPr>
      <w:r>
        <w:rPr>
          <w:rFonts w:hint="eastAsia" w:ascii="华文中宋" w:hAnsi="华文中宋" w:eastAsia="华文中宋" w:cs="华文中宋"/>
          <w:sz w:val="24"/>
        </w:rPr>
        <w:t>人民币（大写）：</w:t>
      </w:r>
    </w:p>
    <w:p w14:paraId="4ACF1E43">
      <w:pPr>
        <w:spacing w:line="520" w:lineRule="exact"/>
        <w:ind w:firstLine="1200" w:firstLineChars="500"/>
        <w:rPr>
          <w:rFonts w:hint="eastAsia" w:ascii="华文中宋" w:hAnsi="华文中宋" w:eastAsia="华文中宋" w:cs="华文中宋"/>
          <w:sz w:val="24"/>
        </w:rPr>
      </w:pPr>
      <w:r>
        <w:rPr>
          <w:rFonts w:hint="eastAsia" w:ascii="华文中宋" w:hAnsi="华文中宋" w:eastAsia="华文中宋" w:cs="华文中宋"/>
          <w:sz w:val="24"/>
        </w:rPr>
        <w:t>（小写）：Y</w:t>
      </w:r>
    </w:p>
    <w:p w14:paraId="4597D9D7">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合同总金额包含包装、仓储、运输、装卸、安装调试、税费、保险费、供方应当提供的伴随服务/售后服务费用以及验收合格之前与质保期内备品备件发生的所有费用。此价格为合同执行不变价，不因国家政策变化而变化。</w:t>
      </w:r>
    </w:p>
    <w:p w14:paraId="7A66B9C5">
      <w:pPr>
        <w:spacing w:line="520" w:lineRule="exact"/>
        <w:rPr>
          <w:rFonts w:hint="eastAsia" w:ascii="华文中宋" w:hAnsi="华文中宋" w:eastAsia="华文中宋" w:cs="华文中宋"/>
          <w:b/>
          <w:sz w:val="24"/>
        </w:rPr>
      </w:pPr>
      <w:bookmarkStart w:id="181" w:name="bookmark1"/>
      <w:r>
        <w:rPr>
          <w:rFonts w:hint="eastAsia" w:ascii="华文中宋" w:hAnsi="华文中宋" w:eastAsia="华文中宋" w:cs="华文中宋"/>
          <w:b/>
          <w:sz w:val="24"/>
        </w:rPr>
        <w:t>三</w:t>
      </w:r>
      <w:bookmarkEnd w:id="181"/>
      <w:r>
        <w:rPr>
          <w:rFonts w:hint="eastAsia" w:ascii="华文中宋" w:hAnsi="华文中宋" w:eastAsia="华文中宋" w:cs="华文中宋"/>
          <w:b/>
          <w:sz w:val="24"/>
        </w:rPr>
        <w:t>、合同资金支付</w:t>
      </w:r>
    </w:p>
    <w:p w14:paraId="2BA24681">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资金支付方式：</w:t>
      </w:r>
    </w:p>
    <w:p w14:paraId="309F583C">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资金支付条件及时间：验收合格后由需方负责办理货款支付手续。需方自收到发票后30日内，按合同规定将款项支付到约定的供应商账户。</w:t>
      </w:r>
    </w:p>
    <w:p w14:paraId="08A7B031">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lang w:val="en-US" w:eastAsia="zh-CN"/>
        </w:rPr>
        <w:t>四</w:t>
      </w:r>
      <w:r>
        <w:rPr>
          <w:rFonts w:hint="eastAsia" w:ascii="华文中宋" w:hAnsi="华文中宋" w:eastAsia="华文中宋" w:cs="华文中宋"/>
          <w:b/>
          <w:sz w:val="24"/>
        </w:rPr>
        <w:t>、售后服务及承诺</w:t>
      </w:r>
    </w:p>
    <w:p w14:paraId="11FD52D0">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供方向需方承诺：</w:t>
      </w:r>
    </w:p>
    <w:p w14:paraId="07CF169C">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lang w:val="en-US" w:eastAsia="zh-CN"/>
        </w:rPr>
        <w:t>五</w:t>
      </w:r>
      <w:r>
        <w:rPr>
          <w:rFonts w:hint="eastAsia" w:ascii="华文中宋" w:hAnsi="华文中宋" w:eastAsia="华文中宋" w:cs="华文中宋"/>
          <w:b/>
          <w:sz w:val="24"/>
        </w:rPr>
        <w:t>、交货</w:t>
      </w:r>
    </w:p>
    <w:p w14:paraId="581AE839">
      <w:pPr>
        <w:spacing w:line="520" w:lineRule="exact"/>
        <w:ind w:firstLine="480" w:firstLineChars="200"/>
        <w:rPr>
          <w:rFonts w:hint="eastAsia" w:ascii="华文中宋" w:hAnsi="华文中宋" w:eastAsia="华文中宋" w:cs="华文中宋"/>
          <w:sz w:val="24"/>
        </w:rPr>
      </w:pPr>
      <w:bookmarkStart w:id="182" w:name="bookmark5"/>
      <w:r>
        <w:rPr>
          <w:rFonts w:hint="eastAsia" w:ascii="华文中宋" w:hAnsi="华文中宋" w:eastAsia="华文中宋" w:cs="华文中宋"/>
          <w:sz w:val="24"/>
        </w:rPr>
        <w:t>1</w:t>
      </w:r>
      <w:bookmarkEnd w:id="182"/>
      <w:r>
        <w:rPr>
          <w:rFonts w:hint="eastAsia" w:ascii="华文中宋" w:hAnsi="华文中宋" w:eastAsia="华文中宋" w:cs="华文中宋"/>
          <w:sz w:val="24"/>
        </w:rPr>
        <w:t>、交货期限：</w:t>
      </w:r>
    </w:p>
    <w:p w14:paraId="315F4E1B">
      <w:pPr>
        <w:spacing w:line="520" w:lineRule="exact"/>
        <w:ind w:firstLine="480" w:firstLineChars="200"/>
        <w:rPr>
          <w:rFonts w:hint="eastAsia" w:ascii="华文中宋" w:hAnsi="华文中宋" w:eastAsia="华文中宋" w:cs="华文中宋"/>
          <w:sz w:val="24"/>
        </w:rPr>
      </w:pPr>
      <w:bookmarkStart w:id="183" w:name="bookmark6"/>
      <w:r>
        <w:rPr>
          <w:rFonts w:hint="eastAsia" w:ascii="华文中宋" w:hAnsi="华文中宋" w:eastAsia="华文中宋" w:cs="华文中宋"/>
          <w:sz w:val="24"/>
        </w:rPr>
        <w:t>2</w:t>
      </w:r>
      <w:bookmarkEnd w:id="183"/>
      <w:r>
        <w:rPr>
          <w:rFonts w:hint="eastAsia" w:ascii="华文中宋" w:hAnsi="华文中宋" w:eastAsia="华文中宋" w:cs="华文中宋"/>
          <w:sz w:val="24"/>
        </w:rPr>
        <w:t>、交货地点：</w:t>
      </w:r>
    </w:p>
    <w:p w14:paraId="46370152">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lang w:val="en-US" w:eastAsia="zh-CN"/>
        </w:rPr>
        <w:t>六</w:t>
      </w:r>
      <w:r>
        <w:rPr>
          <w:rFonts w:hint="eastAsia" w:ascii="华文中宋" w:hAnsi="华文中宋" w:eastAsia="华文中宋" w:cs="华文中宋"/>
          <w:b/>
          <w:sz w:val="24"/>
        </w:rPr>
        <w:t>、交验</w:t>
      </w:r>
    </w:p>
    <w:p w14:paraId="7D6DB3F6">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1、验收由需方组织进行，必要时可邀请国家认可的质量检测机构参加验收工作，需方验收供方所交的货物后要制作填写“合同履约情况验收报告”。验收结果须供需双方共同确认。</w:t>
      </w:r>
    </w:p>
    <w:p w14:paraId="0FF1365F">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交货时供方就所投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14:paraId="3EAA6202">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3、供方交付产品中的软件应无知识产权纠纷，若出现知识产权纠纷等法律问题，由供方自行承担。</w:t>
      </w:r>
    </w:p>
    <w:p w14:paraId="594E8F89">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4、需方要按照招标文件中的验收标准来进行验收，按照与履约验收挂钩的资金支付条件及时间执行。</w:t>
      </w:r>
    </w:p>
    <w:p w14:paraId="7C106872">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lang w:val="en-US" w:eastAsia="zh-CN"/>
        </w:rPr>
        <w:t>七</w:t>
      </w:r>
      <w:r>
        <w:rPr>
          <w:rFonts w:hint="eastAsia" w:ascii="华文中宋" w:hAnsi="华文中宋" w:eastAsia="华文中宋" w:cs="华文中宋"/>
          <w:b/>
          <w:sz w:val="24"/>
        </w:rPr>
        <w:t>、需方责任</w:t>
      </w:r>
    </w:p>
    <w:p w14:paraId="1ABC8789">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1、及时办理付款手续。不得以机构变动、人员更替、政策调整等为由延迟付款，不得将采购文件和合同中未规定的义务作为向供应商付款的条件。</w:t>
      </w:r>
    </w:p>
    <w:p w14:paraId="7E06270F">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2、负责提供工作场地，协助供方办理有关事宜。</w:t>
      </w:r>
    </w:p>
    <w:p w14:paraId="7AFA1F1C">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3、对合同条款及价格负有保密义务。</w:t>
      </w:r>
    </w:p>
    <w:p w14:paraId="400EB475">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lang w:val="en-US" w:eastAsia="zh-CN"/>
        </w:rPr>
        <w:t>八</w:t>
      </w:r>
      <w:r>
        <w:rPr>
          <w:rFonts w:hint="eastAsia" w:ascii="华文中宋" w:hAnsi="华文中宋" w:eastAsia="华文中宋" w:cs="华文中宋"/>
          <w:b/>
          <w:sz w:val="24"/>
        </w:rPr>
        <w:t>、供方责任</w:t>
      </w:r>
    </w:p>
    <w:p w14:paraId="63392E18">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1、保证所供货物均为标书承诺的，符合相关质量检测标准，具有该产品的出厂标准或国家鉴定证书。</w:t>
      </w:r>
    </w:p>
    <w:p w14:paraId="2B26885F">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2、保证售后服务，严格依据投标文件及相关承诺，进行保修、维护等服务。</w:t>
      </w:r>
    </w:p>
    <w:p w14:paraId="60DA15E0">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lang w:val="en-US" w:eastAsia="zh-CN"/>
        </w:rPr>
        <w:t>九</w:t>
      </w:r>
      <w:r>
        <w:rPr>
          <w:rFonts w:hint="eastAsia" w:ascii="华文中宋" w:hAnsi="华文中宋" w:eastAsia="华文中宋" w:cs="华文中宋"/>
          <w:b/>
          <w:sz w:val="24"/>
        </w:rPr>
        <w:t>、违约责任</w:t>
      </w:r>
    </w:p>
    <w:p w14:paraId="07C63603">
      <w:pPr>
        <w:spacing w:line="520" w:lineRule="exact"/>
        <w:ind w:firstLine="480" w:firstLineChars="200"/>
        <w:rPr>
          <w:rFonts w:hint="eastAsia" w:ascii="华文中宋" w:hAnsi="华文中宋" w:eastAsia="华文中宋" w:cs="华文中宋"/>
          <w:sz w:val="24"/>
        </w:rPr>
      </w:pPr>
      <w:bookmarkStart w:id="184" w:name="bookmark8"/>
      <w:r>
        <w:rPr>
          <w:rFonts w:hint="eastAsia" w:ascii="华文中宋" w:hAnsi="华文中宋" w:eastAsia="华文中宋" w:cs="华文中宋"/>
          <w:sz w:val="24"/>
        </w:rPr>
        <w:t>1</w:t>
      </w:r>
      <w:bookmarkEnd w:id="184"/>
      <w:r>
        <w:rPr>
          <w:rFonts w:hint="eastAsia" w:ascii="华文中宋" w:hAnsi="华文中宋" w:eastAsia="华文中宋" w:cs="华文中宋"/>
          <w:sz w:val="24"/>
        </w:rPr>
        <w:t xml:space="preserve">、需方无正当理由逾期支付货款的，每逾期一日向供方偿付合同款总额 </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%的违约金，逾期付款超过</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日，供方有权解除合同，届时需方向供方退还已收到的货物及履约保证金，并赔偿由此给供方造成的全部经济损失。</w:t>
      </w:r>
    </w:p>
    <w:p w14:paraId="5F213075">
      <w:pPr>
        <w:spacing w:line="520" w:lineRule="exact"/>
        <w:ind w:firstLine="480" w:firstLineChars="200"/>
        <w:rPr>
          <w:rFonts w:hint="eastAsia" w:ascii="华文中宋" w:hAnsi="华文中宋" w:eastAsia="华文中宋" w:cs="华文中宋"/>
          <w:sz w:val="24"/>
        </w:rPr>
      </w:pPr>
      <w:bookmarkStart w:id="185" w:name="bookmark9"/>
      <w:r>
        <w:rPr>
          <w:rFonts w:hint="eastAsia" w:ascii="华文中宋" w:hAnsi="华文中宋" w:eastAsia="华文中宋" w:cs="华文中宋"/>
          <w:sz w:val="24"/>
        </w:rPr>
        <w:t>2</w:t>
      </w:r>
      <w:bookmarkEnd w:id="185"/>
      <w:r>
        <w:rPr>
          <w:rFonts w:hint="eastAsia" w:ascii="华文中宋" w:hAnsi="华文中宋" w:eastAsia="华文中宋" w:cs="华文中宋"/>
          <w:sz w:val="24"/>
        </w:rPr>
        <w:t>、供方所交的货物品种、型号、规格、质量不符合合同规定标准，需方有权拒收。同时，供方向需方支付合同款总额</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的违约金。</w:t>
      </w:r>
    </w:p>
    <w:p w14:paraId="46AF479D">
      <w:pPr>
        <w:spacing w:line="520" w:lineRule="exact"/>
        <w:ind w:firstLine="480" w:firstLineChars="200"/>
        <w:rPr>
          <w:rFonts w:hint="eastAsia" w:ascii="华文中宋" w:hAnsi="华文中宋" w:eastAsia="华文中宋" w:cs="华文中宋"/>
          <w:sz w:val="24"/>
        </w:rPr>
      </w:pPr>
      <w:bookmarkStart w:id="186" w:name="bookmark10"/>
      <w:r>
        <w:rPr>
          <w:rFonts w:hint="eastAsia" w:ascii="华文中宋" w:hAnsi="华文中宋" w:eastAsia="华文中宋" w:cs="华文中宋"/>
          <w:sz w:val="24"/>
        </w:rPr>
        <w:t>3</w:t>
      </w:r>
      <w:bookmarkEnd w:id="186"/>
      <w:r>
        <w:rPr>
          <w:rFonts w:hint="eastAsia" w:ascii="华文中宋" w:hAnsi="华文中宋" w:eastAsia="华文中宋" w:cs="华文中宋"/>
          <w:sz w:val="24"/>
        </w:rPr>
        <w:t>、供方不能交付货物时，供方向需方偿付合同款总额</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的违约金。</w:t>
      </w:r>
    </w:p>
    <w:p w14:paraId="7D893021">
      <w:pPr>
        <w:spacing w:line="520" w:lineRule="exact"/>
        <w:ind w:firstLine="480" w:firstLineChars="200"/>
        <w:rPr>
          <w:rFonts w:hint="eastAsia" w:ascii="华文中宋" w:hAnsi="华文中宋" w:eastAsia="华文中宋" w:cs="华文中宋"/>
          <w:sz w:val="24"/>
        </w:rPr>
      </w:pPr>
      <w:bookmarkStart w:id="187" w:name="bookmark11"/>
      <w:r>
        <w:rPr>
          <w:rFonts w:hint="eastAsia" w:ascii="华文中宋" w:hAnsi="华文中宋" w:eastAsia="华文中宋" w:cs="华文中宋"/>
          <w:sz w:val="24"/>
        </w:rPr>
        <w:t>4</w:t>
      </w:r>
      <w:bookmarkEnd w:id="187"/>
      <w:r>
        <w:rPr>
          <w:rFonts w:hint="eastAsia" w:ascii="华文中宋" w:hAnsi="华文中宋" w:eastAsia="华文中宋" w:cs="华文中宋"/>
          <w:sz w:val="24"/>
        </w:rPr>
        <w:t>、供方逾期交付货物时，每逾1日供方向需方偿付合同款总额</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的滞纳金。逾期交货超过 30天后，需方有权决定是否继续履行合同。</w:t>
      </w:r>
    </w:p>
    <w:p w14:paraId="686DA1C6">
      <w:pPr>
        <w:spacing w:line="520" w:lineRule="exact"/>
        <w:ind w:firstLine="480" w:firstLineChars="200"/>
        <w:rPr>
          <w:rFonts w:hint="eastAsia" w:ascii="华文中宋" w:hAnsi="华文中宋" w:eastAsia="华文中宋" w:cs="华文中宋"/>
          <w:sz w:val="24"/>
        </w:rPr>
      </w:pPr>
      <w:bookmarkStart w:id="188" w:name="bookmark12"/>
      <w:r>
        <w:rPr>
          <w:rFonts w:hint="eastAsia" w:ascii="华文中宋" w:hAnsi="华文中宋" w:eastAsia="华文中宋" w:cs="华文中宋"/>
          <w:sz w:val="24"/>
        </w:rPr>
        <w:t>5</w:t>
      </w:r>
      <w:bookmarkEnd w:id="188"/>
      <w:r>
        <w:rPr>
          <w:rFonts w:hint="eastAsia" w:ascii="华文中宋" w:hAnsi="华文中宋" w:eastAsia="华文中宋" w:cs="华文中宋"/>
          <w:sz w:val="24"/>
        </w:rPr>
        <w:t>、供方在履约中，未履行供方责任的，履约保证金不予退还。</w:t>
      </w:r>
    </w:p>
    <w:p w14:paraId="6A522B03">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6、供方在履约中，未完全履行供方责任的，需方可按</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 xml:space="preserve">扣除履约保证金。 </w:t>
      </w:r>
    </w:p>
    <w:p w14:paraId="709CEAAB">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7、因需方错告或变更到货地点而绐供方造成的损失，由需方负担。</w:t>
      </w:r>
    </w:p>
    <w:p w14:paraId="1904ACC6">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8、因需方原因导致合同变更、中止或者终止政府釆购合同的，需方应当对供方受到的损失予以赔偿或者补供，贴偿或者补偿金额：</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w:t>
      </w:r>
    </w:p>
    <w:p w14:paraId="4B8C3C59">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9、符合履约保证金退还的条件及时间，需方逾期退还履约保证金的，每逾1日需方向供方偿付履约保证金总额</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的滞纳金。</w:t>
      </w:r>
    </w:p>
    <w:p w14:paraId="5EEC5F29">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rPr>
        <w:t>十、不可抗力</w:t>
      </w:r>
    </w:p>
    <w:p w14:paraId="304B9338">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14:paraId="7F3B7CF5">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rPr>
        <w:t>十</w:t>
      </w:r>
      <w:r>
        <w:rPr>
          <w:rFonts w:hint="eastAsia" w:ascii="华文中宋" w:hAnsi="华文中宋" w:eastAsia="华文中宋" w:cs="华文中宋"/>
          <w:b/>
          <w:sz w:val="24"/>
          <w:lang w:val="en-US" w:eastAsia="zh-CN"/>
        </w:rPr>
        <w:t>一</w:t>
      </w:r>
      <w:r>
        <w:rPr>
          <w:rFonts w:hint="eastAsia" w:ascii="华文中宋" w:hAnsi="华文中宋" w:eastAsia="华文中宋" w:cs="华文中宋"/>
          <w:b/>
          <w:sz w:val="24"/>
        </w:rPr>
        <w:t>、争议解决</w:t>
      </w:r>
    </w:p>
    <w:p w14:paraId="5200A332">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供需双方在执行合同中发生争议，应通过协商解决。如协商不成，双方均可向需方住所地有管辖权的人民法院提起诉讼。</w:t>
      </w:r>
    </w:p>
    <w:p w14:paraId="383F9E61">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rPr>
        <w:t>十</w:t>
      </w:r>
      <w:r>
        <w:rPr>
          <w:rFonts w:hint="eastAsia" w:ascii="华文中宋" w:hAnsi="华文中宋" w:eastAsia="华文中宋" w:cs="华文中宋"/>
          <w:b/>
          <w:sz w:val="24"/>
          <w:lang w:val="en-US" w:eastAsia="zh-CN"/>
        </w:rPr>
        <w:t>二</w:t>
      </w:r>
      <w:r>
        <w:rPr>
          <w:rFonts w:hint="eastAsia" w:ascii="华文中宋" w:hAnsi="华文中宋" w:eastAsia="华文中宋" w:cs="华文中宋"/>
          <w:b/>
          <w:sz w:val="24"/>
        </w:rPr>
        <w:t>、合同生效及其他</w:t>
      </w:r>
    </w:p>
    <w:p w14:paraId="36AC3E1E">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1、合同由供、需双方法定代表人或授权代表签字并加盖公章或合同专用章之日起生效。</w:t>
      </w:r>
    </w:p>
    <w:p w14:paraId="2ADB9E57">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2、本合同一式</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份。</w:t>
      </w:r>
    </w:p>
    <w:p w14:paraId="388D6961">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3、合同执行过程中出现的未尽事宜，双方在不违背合同和招标文件的前提下协商解决。协商结果以“纪要”形式供需双方签字盖章确认，作为合同附件，与合同具有同等效力。</w:t>
      </w:r>
    </w:p>
    <w:p w14:paraId="445290F0">
      <w:pPr>
        <w:spacing w:line="520" w:lineRule="exact"/>
        <w:rPr>
          <w:rFonts w:hint="eastAsia" w:ascii="华文中宋" w:hAnsi="华文中宋" w:eastAsia="华文中宋" w:cs="华文中宋"/>
          <w:b/>
          <w:sz w:val="24"/>
        </w:rPr>
      </w:pPr>
      <w:r>
        <w:rPr>
          <w:rFonts w:hint="eastAsia" w:ascii="华文中宋" w:hAnsi="华文中宋" w:eastAsia="华文中宋" w:cs="华文中宋"/>
          <w:b/>
          <w:sz w:val="24"/>
        </w:rPr>
        <w:t>十四、下列文件为本合同不可分割部分</w:t>
      </w:r>
    </w:p>
    <w:p w14:paraId="4D1C1465">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1、招标文件（含澄清或修改文件）</w:t>
      </w:r>
    </w:p>
    <w:p w14:paraId="5ADB6869">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2、投标文件（含澄清或说明文件）</w:t>
      </w:r>
    </w:p>
    <w:p w14:paraId="1016FE71">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3、投标人所做的其他承诺</w:t>
      </w:r>
    </w:p>
    <w:p w14:paraId="2A9B20C1">
      <w:pPr>
        <w:spacing w:line="520" w:lineRule="exact"/>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4、项目验收标准、程序</w:t>
      </w:r>
    </w:p>
    <w:p w14:paraId="6457839F">
      <w:pPr>
        <w:spacing w:line="520" w:lineRule="exact"/>
        <w:rPr>
          <w:rFonts w:hint="eastAsia" w:ascii="华文中宋" w:hAnsi="华文中宋" w:eastAsia="华文中宋" w:cs="华文中宋"/>
          <w:sz w:val="24"/>
        </w:rPr>
      </w:pPr>
      <w:r>
        <w:rPr>
          <w:rFonts w:hint="eastAsia" w:ascii="华文中宋" w:hAnsi="华文中宋" w:eastAsia="华文中宋" w:cs="华文中宋"/>
          <w:sz w:val="24"/>
        </w:rPr>
        <w:t>需方(章):                                      供方(章)：</w:t>
      </w:r>
    </w:p>
    <w:p w14:paraId="6F2E266B">
      <w:pPr>
        <w:spacing w:line="520" w:lineRule="exact"/>
        <w:rPr>
          <w:rFonts w:hint="eastAsia" w:ascii="华文中宋" w:hAnsi="华文中宋" w:eastAsia="华文中宋" w:cs="华文中宋"/>
          <w:sz w:val="24"/>
        </w:rPr>
      </w:pPr>
      <w:r>
        <w:rPr>
          <w:rFonts w:hint="eastAsia" w:ascii="华文中宋" w:hAnsi="华文中宋" w:eastAsia="华文中宋" w:cs="华文中宋"/>
          <w:sz w:val="24"/>
        </w:rPr>
        <w:t>法定代表人:                                   法定代表人:</w:t>
      </w:r>
    </w:p>
    <w:p w14:paraId="1B9FEF58">
      <w:pPr>
        <w:spacing w:line="520" w:lineRule="exact"/>
        <w:rPr>
          <w:rFonts w:hint="eastAsia" w:ascii="华文中宋" w:hAnsi="华文中宋" w:eastAsia="华文中宋" w:cs="华文中宋"/>
          <w:sz w:val="24"/>
        </w:rPr>
      </w:pPr>
      <w:r>
        <w:rPr>
          <w:rFonts w:hint="eastAsia" w:ascii="华文中宋" w:hAnsi="华文中宋" w:eastAsia="华文中宋" w:cs="华文中宋"/>
          <w:sz w:val="24"/>
        </w:rPr>
        <w:t>授权代表:                                     授权代表:</w:t>
      </w:r>
    </w:p>
    <w:p w14:paraId="7C2ECD52">
      <w:pPr>
        <w:spacing w:line="520" w:lineRule="exact"/>
        <w:rPr>
          <w:rFonts w:hint="eastAsia" w:ascii="华文中宋" w:hAnsi="华文中宋" w:eastAsia="华文中宋" w:cs="华文中宋"/>
          <w:sz w:val="24"/>
        </w:rPr>
      </w:pPr>
      <w:r>
        <w:rPr>
          <w:rFonts w:hint="eastAsia" w:ascii="华文中宋" w:hAnsi="华文中宋" w:eastAsia="华文中宋" w:cs="华文中宋"/>
          <w:sz w:val="24"/>
        </w:rPr>
        <w:t>地址：                                        地址：</w:t>
      </w:r>
    </w:p>
    <w:p w14:paraId="69EEAC5F">
      <w:pPr>
        <w:spacing w:line="520" w:lineRule="exact"/>
        <w:rPr>
          <w:rFonts w:hint="eastAsia" w:ascii="华文中宋" w:hAnsi="华文中宋" w:eastAsia="华文中宋" w:cs="华文中宋"/>
          <w:sz w:val="24"/>
        </w:rPr>
      </w:pPr>
      <w:r>
        <w:rPr>
          <w:rFonts w:hint="eastAsia" w:ascii="华文中宋" w:hAnsi="华文中宋" w:eastAsia="华文中宋" w:cs="华文中宋"/>
          <w:sz w:val="24"/>
        </w:rPr>
        <w:t>电话：                                        电话：</w:t>
      </w:r>
    </w:p>
    <w:p w14:paraId="79B27A7A">
      <w:pPr>
        <w:spacing w:line="520" w:lineRule="exact"/>
        <w:rPr>
          <w:rFonts w:hint="eastAsia" w:ascii="华文中宋" w:hAnsi="华文中宋" w:eastAsia="华文中宋" w:cs="华文中宋"/>
          <w:sz w:val="24"/>
        </w:rPr>
      </w:pPr>
      <w:r>
        <w:rPr>
          <w:rFonts w:hint="eastAsia" w:ascii="华文中宋" w:hAnsi="华文中宋" w:eastAsia="华文中宋" w:cs="华文中宋"/>
          <w:sz w:val="24"/>
        </w:rPr>
        <w:t>开户俱行:                                     开户银行:</w:t>
      </w:r>
    </w:p>
    <w:p w14:paraId="37C51ABF">
      <w:pPr>
        <w:spacing w:line="520" w:lineRule="exact"/>
        <w:rPr>
          <w:rFonts w:hint="eastAsia" w:ascii="华文中宋" w:hAnsi="华文中宋" w:eastAsia="华文中宋" w:cs="华文中宋"/>
          <w:sz w:val="24"/>
        </w:rPr>
      </w:pPr>
      <w:r>
        <w:rPr>
          <w:rFonts w:hint="eastAsia" w:ascii="华文中宋" w:hAnsi="华文中宋" w:eastAsia="华文中宋" w:cs="华文中宋"/>
          <w:sz w:val="24"/>
        </w:rPr>
        <w:t>账号：                                        账号：</w:t>
      </w:r>
    </w:p>
    <w:p w14:paraId="0BA8D455">
      <w:pPr>
        <w:spacing w:line="520" w:lineRule="exact"/>
        <w:rPr>
          <w:rFonts w:hint="eastAsia" w:ascii="华文中宋" w:hAnsi="华文中宋" w:eastAsia="华文中宋" w:cs="华文中宋"/>
          <w:sz w:val="24"/>
        </w:rPr>
      </w:pPr>
      <w:r>
        <w:rPr>
          <w:rFonts w:hint="eastAsia" w:ascii="华文中宋" w:hAnsi="华文中宋" w:eastAsia="华文中宋" w:cs="华文中宋"/>
          <w:sz w:val="24"/>
        </w:rPr>
        <w:t xml:space="preserve">本合同的签署地: </w:t>
      </w:r>
    </w:p>
    <w:p w14:paraId="09357FA4">
      <w:pPr>
        <w:spacing w:line="520" w:lineRule="exact"/>
        <w:jc w:val="right"/>
        <w:rPr>
          <w:rFonts w:hint="eastAsia" w:ascii="华文中宋" w:hAnsi="华文中宋" w:eastAsia="华文中宋" w:cs="华文中宋"/>
          <w:sz w:val="24"/>
        </w:rPr>
      </w:pPr>
      <w:r>
        <w:rPr>
          <w:rFonts w:hint="eastAsia" w:ascii="华文中宋" w:hAnsi="华文中宋" w:eastAsia="华文中宋" w:cs="华文中宋"/>
          <w:sz w:val="24"/>
        </w:rPr>
        <w:t>日期：       年    月     日</w:t>
      </w:r>
    </w:p>
    <w:p w14:paraId="0BC90EBA">
      <w:pPr>
        <w:rPr>
          <w:rFonts w:hint="eastAsia" w:ascii="华文中宋" w:hAnsi="华文中宋" w:eastAsia="华文中宋" w:cs="华文中宋"/>
        </w:rPr>
      </w:pPr>
      <w:r>
        <w:rPr>
          <w:rFonts w:hint="eastAsia" w:ascii="华文中宋" w:hAnsi="华文中宋" w:eastAsia="华文中宋" w:cs="华文中宋"/>
        </w:rPr>
        <w:br w:type="page"/>
      </w:r>
    </w:p>
    <w:p w14:paraId="549715B4">
      <w:pPr>
        <w:pStyle w:val="49"/>
        <w:numPr>
          <w:ilvl w:val="0"/>
          <w:numId w:val="0"/>
        </w:numPr>
        <w:snapToGrid w:val="0"/>
        <w:spacing w:before="0" w:after="0" w:line="360" w:lineRule="auto"/>
        <w:rPr>
          <w:rFonts w:hint="eastAsia" w:ascii="华文中宋" w:hAnsi="华文中宋" w:eastAsia="华文中宋" w:cs="华文中宋"/>
          <w:spacing w:val="20"/>
          <w:sz w:val="15"/>
          <w:szCs w:val="15"/>
        </w:rPr>
      </w:pPr>
      <w:bookmarkStart w:id="189" w:name="_Toc4492"/>
      <w:bookmarkStart w:id="190" w:name="_Toc26881705"/>
    </w:p>
    <w:p w14:paraId="20D88A8E">
      <w:pPr>
        <w:pStyle w:val="25"/>
        <w:keepNext/>
        <w:keepLines/>
        <w:widowControl w:val="0"/>
        <w:adjustRightInd w:val="0"/>
        <w:snapToGrid w:val="0"/>
        <w:spacing w:before="0" w:beforeAutospacing="0" w:after="0" w:afterAutospacing="0"/>
        <w:ind w:firstLine="641"/>
        <w:jc w:val="center"/>
        <w:outlineLvl w:val="0"/>
        <w:rPr>
          <w:rFonts w:hint="eastAsia" w:ascii="华文中宋" w:hAnsi="华文中宋" w:eastAsia="华文中宋" w:cs="华文中宋"/>
          <w:spacing w:val="20"/>
          <w:szCs w:val="28"/>
        </w:rPr>
      </w:pPr>
      <w:bookmarkStart w:id="191" w:name="_Toc16991"/>
      <w:bookmarkStart w:id="192" w:name="_Toc27881"/>
      <w:bookmarkStart w:id="193" w:name="_Toc12949"/>
      <w:r>
        <w:rPr>
          <w:rFonts w:hint="eastAsia" w:ascii="华文中宋" w:hAnsi="华文中宋" w:eastAsia="华文中宋" w:cs="华文中宋"/>
          <w:b/>
          <w:spacing w:val="20"/>
          <w:kern w:val="44"/>
          <w:sz w:val="28"/>
          <w:szCs w:val="28"/>
        </w:rPr>
        <w:t>第八部分  投标文件内容要求及格式</w:t>
      </w:r>
      <w:bookmarkEnd w:id="189"/>
      <w:bookmarkEnd w:id="190"/>
      <w:bookmarkEnd w:id="191"/>
      <w:bookmarkEnd w:id="192"/>
      <w:bookmarkEnd w:id="193"/>
    </w:p>
    <w:p w14:paraId="4E36519A">
      <w:pPr>
        <w:spacing w:line="480" w:lineRule="exact"/>
        <w:ind w:firstLine="480"/>
        <w:rPr>
          <w:rFonts w:hint="eastAsia" w:ascii="华文中宋" w:hAnsi="华文中宋" w:eastAsia="华文中宋" w:cs="华文中宋"/>
          <w:b/>
          <w:szCs w:val="21"/>
        </w:rPr>
      </w:pPr>
      <w:bookmarkStart w:id="194" w:name="_Toc326248014"/>
      <w:bookmarkStart w:id="195" w:name="_Toc175644062"/>
      <w:bookmarkStart w:id="196" w:name="_Toc86202633"/>
    </w:p>
    <w:p w14:paraId="6E8F5B27">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b/>
          <w:sz w:val="24"/>
        </w:rPr>
        <w:t>投标人提交文件须知</w:t>
      </w:r>
      <w:bookmarkEnd w:id="194"/>
      <w:bookmarkEnd w:id="195"/>
      <w:bookmarkEnd w:id="196"/>
    </w:p>
    <w:p w14:paraId="158A4181">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1、投标人按照本部分的顺序编排投标文件（资格证明文件）、投标文件（商务技术文件），编排中涉及格式资料的，应按照本部分提供的内容和格式（所有表格的格式可扩展）填写提交。</w:t>
      </w:r>
    </w:p>
    <w:p w14:paraId="242AD16D">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2、全部声明和问题的回答及所附材料必须是真实的、准确的和完整的。</w:t>
      </w:r>
    </w:p>
    <w:p w14:paraId="4D0B037A">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3、按招标文件要求“格式”提供的材料，如有调整，内容及签署必须完整、有效，且没有本文件不可接受的条件。</w:t>
      </w:r>
    </w:p>
    <w:p w14:paraId="3D988152">
      <w:pPr>
        <w:spacing w:line="360" w:lineRule="auto"/>
        <w:ind w:firstLine="560" w:firstLineChars="200"/>
        <w:rPr>
          <w:rFonts w:hint="eastAsia" w:ascii="华文中宋" w:hAnsi="华文中宋" w:eastAsia="华文中宋" w:cs="华文中宋"/>
          <w:b/>
          <w:spacing w:val="20"/>
          <w:sz w:val="24"/>
        </w:rPr>
      </w:pPr>
      <w:r>
        <w:rPr>
          <w:rFonts w:hint="eastAsia" w:ascii="华文中宋" w:hAnsi="华文中宋" w:eastAsia="华文中宋" w:cs="华文中宋"/>
          <w:b/>
          <w:spacing w:val="20"/>
          <w:sz w:val="24"/>
        </w:rPr>
        <w:br w:type="page"/>
      </w:r>
    </w:p>
    <w:p w14:paraId="0B05E479">
      <w:pPr>
        <w:spacing w:line="360" w:lineRule="auto"/>
        <w:ind w:firstLine="560"/>
        <w:rPr>
          <w:rFonts w:hint="eastAsia" w:ascii="华文中宋" w:hAnsi="华文中宋" w:eastAsia="华文中宋" w:cs="华文中宋"/>
          <w:b/>
          <w:spacing w:val="20"/>
          <w:sz w:val="24"/>
        </w:rPr>
      </w:pPr>
      <w:r>
        <w:rPr>
          <w:rFonts w:hint="eastAsia" w:ascii="华文中宋" w:hAnsi="华文中宋" w:eastAsia="华文中宋" w:cs="华文中宋"/>
          <w:b/>
          <w:spacing w:val="20"/>
          <w:sz w:val="24"/>
        </w:rPr>
        <w:t>资格证明文件格式</w:t>
      </w:r>
    </w:p>
    <w:p w14:paraId="6AB3BE49">
      <w:pPr>
        <w:spacing w:line="360" w:lineRule="auto"/>
        <w:ind w:firstLine="560"/>
        <w:rPr>
          <w:rFonts w:hint="eastAsia" w:ascii="华文中宋" w:hAnsi="华文中宋" w:eastAsia="华文中宋" w:cs="华文中宋"/>
          <w:b/>
          <w:spacing w:val="20"/>
          <w:sz w:val="24"/>
        </w:rPr>
      </w:pPr>
    </w:p>
    <w:p w14:paraId="214536A9">
      <w:pPr>
        <w:spacing w:line="360" w:lineRule="auto"/>
        <w:ind w:firstLine="560"/>
        <w:rPr>
          <w:rFonts w:hint="eastAsia" w:ascii="华文中宋" w:hAnsi="华文中宋" w:eastAsia="华文中宋" w:cs="华文中宋"/>
          <w:b/>
          <w:sz w:val="24"/>
        </w:rPr>
      </w:pPr>
      <w:r>
        <w:rPr>
          <w:rFonts w:hint="eastAsia" w:ascii="华文中宋" w:hAnsi="华文中宋" w:eastAsia="华文中宋" w:cs="华文中宋"/>
          <w:b/>
          <w:spacing w:val="20"/>
          <w:sz w:val="24"/>
        </w:rPr>
        <w:t>投标文件（资格证明文件）</w:t>
      </w:r>
      <w:r>
        <w:rPr>
          <w:rFonts w:hint="eastAsia" w:ascii="华文中宋" w:hAnsi="华文中宋" w:eastAsia="华文中宋" w:cs="华文中宋"/>
          <w:b/>
          <w:sz w:val="24"/>
        </w:rPr>
        <w:t>封面及目录格式</w:t>
      </w:r>
    </w:p>
    <w:p w14:paraId="6992C1CF">
      <w:pPr>
        <w:jc w:val="center"/>
        <w:rPr>
          <w:rFonts w:hint="eastAsia" w:ascii="华文中宋" w:hAnsi="华文中宋" w:eastAsia="华文中宋" w:cs="华文中宋"/>
          <w:szCs w:val="21"/>
        </w:rPr>
      </w:pPr>
    </w:p>
    <w:p w14:paraId="50954492">
      <w:pPr>
        <w:ind w:firstLine="1922"/>
        <w:jc w:val="center"/>
        <w:rPr>
          <w:rFonts w:hint="eastAsia"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14:paraId="19476D61">
      <w:pPr>
        <w:ind w:firstLine="1281"/>
        <w:jc w:val="center"/>
        <w:rPr>
          <w:rFonts w:hint="eastAsia" w:ascii="华文中宋" w:hAnsi="华文中宋" w:eastAsia="华文中宋" w:cs="华文中宋"/>
          <w:b/>
          <w:spacing w:val="60"/>
          <w:sz w:val="52"/>
          <w:szCs w:val="52"/>
        </w:rPr>
      </w:pPr>
      <w:r>
        <w:rPr>
          <w:rFonts w:hint="eastAsia" w:ascii="华文中宋" w:hAnsi="华文中宋" w:eastAsia="华文中宋" w:cs="华文中宋"/>
          <w:b/>
          <w:spacing w:val="60"/>
          <w:sz w:val="52"/>
          <w:szCs w:val="52"/>
        </w:rPr>
        <w:t>（资格证明文件）</w:t>
      </w:r>
    </w:p>
    <w:p w14:paraId="68A4E465">
      <w:pPr>
        <w:ind w:firstLine="540" w:firstLineChars="150"/>
        <w:rPr>
          <w:rFonts w:hint="eastAsia" w:ascii="华文中宋" w:hAnsi="华文中宋" w:eastAsia="华文中宋" w:cs="华文中宋"/>
          <w:b/>
          <w:spacing w:val="20"/>
          <w:sz w:val="32"/>
          <w:szCs w:val="32"/>
        </w:rPr>
      </w:pPr>
    </w:p>
    <w:p w14:paraId="685DEA8C">
      <w:pPr>
        <w:ind w:firstLine="540" w:firstLineChars="150"/>
        <w:rPr>
          <w:rFonts w:hint="eastAsia" w:ascii="华文中宋" w:hAnsi="华文中宋" w:eastAsia="华文中宋" w:cs="华文中宋"/>
          <w:b/>
          <w:spacing w:val="20"/>
          <w:sz w:val="32"/>
          <w:szCs w:val="32"/>
        </w:rPr>
      </w:pPr>
    </w:p>
    <w:p w14:paraId="5774D692">
      <w:pPr>
        <w:ind w:firstLine="540" w:firstLineChars="150"/>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项目名称:</w:t>
      </w:r>
    </w:p>
    <w:p w14:paraId="7049CFF8">
      <w:pPr>
        <w:ind w:firstLine="540" w:firstLineChars="150"/>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项目编号：</w:t>
      </w:r>
    </w:p>
    <w:p w14:paraId="48E5F283">
      <w:pPr>
        <w:ind w:firstLine="540" w:firstLineChars="150"/>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   号：</w:t>
      </w:r>
    </w:p>
    <w:p w14:paraId="1F4A055C">
      <w:pPr>
        <w:ind w:firstLine="540" w:firstLineChars="150"/>
        <w:rPr>
          <w:rFonts w:hint="eastAsia" w:ascii="华文中宋" w:hAnsi="华文中宋" w:eastAsia="华文中宋" w:cs="华文中宋"/>
          <w:b/>
          <w:spacing w:val="20"/>
          <w:sz w:val="32"/>
          <w:szCs w:val="32"/>
        </w:rPr>
      </w:pPr>
    </w:p>
    <w:p w14:paraId="3E9AC761">
      <w:pPr>
        <w:ind w:firstLine="641"/>
        <w:jc w:val="center"/>
        <w:rPr>
          <w:rFonts w:hint="eastAsia" w:ascii="华文中宋" w:hAnsi="华文中宋" w:eastAsia="华文中宋" w:cs="华文中宋"/>
          <w:b/>
          <w:sz w:val="32"/>
          <w:szCs w:val="32"/>
        </w:rPr>
      </w:pPr>
    </w:p>
    <w:p w14:paraId="16F8BFD3">
      <w:pPr>
        <w:ind w:firstLine="641"/>
        <w:jc w:val="center"/>
        <w:rPr>
          <w:rFonts w:hint="eastAsia" w:ascii="华文中宋" w:hAnsi="华文中宋" w:eastAsia="华文中宋" w:cs="华文中宋"/>
          <w:b/>
          <w:sz w:val="32"/>
          <w:szCs w:val="32"/>
        </w:rPr>
      </w:pPr>
    </w:p>
    <w:p w14:paraId="6C80D175">
      <w:pPr>
        <w:ind w:firstLine="641"/>
        <w:jc w:val="center"/>
        <w:rPr>
          <w:rFonts w:hint="eastAsia" w:ascii="华文中宋" w:hAnsi="华文中宋" w:eastAsia="华文中宋" w:cs="华文中宋"/>
          <w:b/>
          <w:sz w:val="32"/>
          <w:szCs w:val="32"/>
        </w:rPr>
      </w:pPr>
    </w:p>
    <w:p w14:paraId="6BE39458">
      <w:pPr>
        <w:ind w:firstLine="721"/>
        <w:jc w:val="center"/>
        <w:rPr>
          <w:rFonts w:hint="eastAsia" w:ascii="华文中宋" w:hAnsi="华文中宋" w:eastAsia="华文中宋" w:cs="华文中宋"/>
          <w:b/>
          <w:spacing w:val="20"/>
          <w:sz w:val="32"/>
          <w:szCs w:val="32"/>
        </w:rPr>
      </w:pPr>
    </w:p>
    <w:p w14:paraId="14C391E5">
      <w:pPr>
        <w:ind w:firstLine="721"/>
        <w:jc w:val="center"/>
        <w:rPr>
          <w:rFonts w:hint="eastAsia" w:ascii="华文中宋" w:hAnsi="华文中宋" w:eastAsia="华文中宋" w:cs="华文中宋"/>
          <w:b/>
          <w:spacing w:val="20"/>
          <w:sz w:val="32"/>
          <w:szCs w:val="32"/>
        </w:rPr>
      </w:pPr>
    </w:p>
    <w:p w14:paraId="61E62556">
      <w:pPr>
        <w:ind w:firstLine="721"/>
        <w:jc w:val="center"/>
        <w:rPr>
          <w:rFonts w:hint="eastAsia" w:ascii="华文中宋" w:hAnsi="华文中宋" w:eastAsia="华文中宋" w:cs="华文中宋"/>
          <w:b/>
          <w:spacing w:val="20"/>
          <w:sz w:val="32"/>
          <w:szCs w:val="32"/>
        </w:rPr>
      </w:pPr>
    </w:p>
    <w:p w14:paraId="0B779475">
      <w:pPr>
        <w:spacing w:line="360" w:lineRule="auto"/>
        <w:ind w:firstLine="1441" w:firstLineChars="400"/>
        <w:jc w:val="left"/>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投标供应商单位名称：</w:t>
      </w:r>
    </w:p>
    <w:p w14:paraId="7875AF58">
      <w:pPr>
        <w:ind w:firstLine="721"/>
        <w:jc w:val="center"/>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（加盖法人电子签章）</w:t>
      </w:r>
    </w:p>
    <w:p w14:paraId="1A25B736">
      <w:pPr>
        <w:ind w:firstLine="641"/>
        <w:jc w:val="center"/>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14:paraId="431D7974">
      <w:pPr>
        <w:ind w:firstLine="721"/>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br w:type="page"/>
      </w:r>
    </w:p>
    <w:p w14:paraId="1E49A97B">
      <w:pPr>
        <w:rPr>
          <w:rFonts w:hint="eastAsia" w:ascii="华文中宋" w:hAnsi="华文中宋" w:eastAsia="华文中宋" w:cs="华文中宋"/>
          <w:b/>
        </w:rPr>
      </w:pPr>
    </w:p>
    <w:p w14:paraId="34F9EF66">
      <w:pPr>
        <w:spacing w:line="360" w:lineRule="auto"/>
        <w:jc w:val="center"/>
        <w:rPr>
          <w:rFonts w:hint="eastAsia" w:ascii="华文中宋" w:hAnsi="华文中宋" w:eastAsia="华文中宋" w:cs="华文中宋"/>
          <w:b/>
          <w:sz w:val="24"/>
        </w:rPr>
      </w:pPr>
      <w:r>
        <w:rPr>
          <w:rFonts w:hint="eastAsia" w:ascii="华文中宋" w:hAnsi="华文中宋" w:eastAsia="华文中宋" w:cs="华文中宋"/>
          <w:b/>
          <w:sz w:val="24"/>
        </w:rPr>
        <w:t>资  格  证  明  文  件</w:t>
      </w:r>
    </w:p>
    <w:p w14:paraId="6AFE3067">
      <w:pPr>
        <w:spacing w:line="360" w:lineRule="auto"/>
        <w:jc w:val="center"/>
        <w:rPr>
          <w:rFonts w:hint="eastAsia" w:ascii="华文中宋" w:hAnsi="华文中宋" w:eastAsia="华文中宋" w:cs="华文中宋"/>
          <w:b/>
          <w:sz w:val="24"/>
        </w:rPr>
      </w:pPr>
      <w:r>
        <w:rPr>
          <w:rFonts w:hint="eastAsia" w:ascii="华文中宋" w:hAnsi="华文中宋" w:eastAsia="华文中宋" w:cs="华文中宋"/>
          <w:b/>
          <w:sz w:val="24"/>
        </w:rPr>
        <w:t>目    录</w:t>
      </w:r>
    </w:p>
    <w:p w14:paraId="5FF70806">
      <w:pPr>
        <w:pStyle w:val="25"/>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1、投标人代表的证明</w:t>
      </w:r>
    </w:p>
    <w:p w14:paraId="3ABBEB23">
      <w:pPr>
        <w:pStyle w:val="25"/>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2、投标函</w:t>
      </w:r>
    </w:p>
    <w:p w14:paraId="6E270AC6">
      <w:pPr>
        <w:pStyle w:val="25"/>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3、具有履行合同所必需的设备和专业技术能力</w:t>
      </w:r>
    </w:p>
    <w:p w14:paraId="7BD92F3F">
      <w:pPr>
        <w:pStyle w:val="25"/>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4、具有良好的商业信誉和健全的财务会计制度</w:t>
      </w:r>
    </w:p>
    <w:p w14:paraId="1B630413">
      <w:pPr>
        <w:pStyle w:val="25"/>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5、有依法缴纳税收和社会保障资金的良好记录</w:t>
      </w:r>
    </w:p>
    <w:p w14:paraId="54AA9837">
      <w:pPr>
        <w:pStyle w:val="25"/>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6、参加政府采购活动前三年，在经营活动中没有重大违法记录</w:t>
      </w:r>
    </w:p>
    <w:p w14:paraId="0655CF33">
      <w:pPr>
        <w:pStyle w:val="25"/>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7、具有独立承担民事责任的能力</w:t>
      </w:r>
    </w:p>
    <w:p w14:paraId="260C81C0">
      <w:pPr>
        <w:pStyle w:val="25"/>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8、保证金缴纳情况</w:t>
      </w:r>
    </w:p>
    <w:p w14:paraId="6B791A3D">
      <w:pPr>
        <w:pStyle w:val="25"/>
        <w:widowControl w:val="0"/>
        <w:snapToGrid w:val="0"/>
        <w:spacing w:before="0" w:beforeAutospacing="0" w:after="0" w:afterAutospacing="0" w:line="360" w:lineRule="auto"/>
        <w:jc w:val="both"/>
        <w:rPr>
          <w:rFonts w:hint="eastAsia" w:ascii="华文中宋" w:hAnsi="华文中宋" w:eastAsia="华文中宋" w:cs="华文中宋"/>
          <w:color w:val="auto"/>
          <w:highlight w:val="none"/>
          <w:lang w:val="en-US" w:eastAsia="zh-CN"/>
        </w:rPr>
      </w:pPr>
      <w:r>
        <w:rPr>
          <w:rFonts w:hint="eastAsia" w:ascii="华文中宋" w:hAnsi="华文中宋" w:eastAsia="华文中宋" w:cs="华文中宋"/>
          <w:color w:val="auto"/>
          <w:highlight w:val="none"/>
          <w:lang w:val="en-US" w:eastAsia="zh-CN"/>
        </w:rPr>
        <w:t>9、中小企业声明函</w:t>
      </w:r>
    </w:p>
    <w:p w14:paraId="516852DD">
      <w:pPr>
        <w:pStyle w:val="25"/>
        <w:widowControl w:val="0"/>
        <w:snapToGrid w:val="0"/>
        <w:spacing w:before="0" w:beforeAutospacing="0" w:after="0" w:afterAutospacing="0" w:line="360" w:lineRule="auto"/>
        <w:jc w:val="both"/>
        <w:rPr>
          <w:rFonts w:hint="eastAsia" w:ascii="华文中宋" w:hAnsi="华文中宋" w:eastAsia="华文中宋" w:cs="华文中宋"/>
        </w:rPr>
      </w:pPr>
    </w:p>
    <w:p w14:paraId="66193A82">
      <w:pPr>
        <w:pStyle w:val="25"/>
        <w:widowControl w:val="0"/>
        <w:snapToGrid w:val="0"/>
        <w:spacing w:before="0" w:beforeAutospacing="0" w:after="0" w:afterAutospacing="0" w:line="360" w:lineRule="auto"/>
        <w:jc w:val="both"/>
        <w:rPr>
          <w:rFonts w:hint="eastAsia" w:ascii="华文中宋" w:hAnsi="华文中宋" w:eastAsia="华文中宋" w:cs="华文中宋"/>
        </w:rPr>
      </w:pPr>
    </w:p>
    <w:p w14:paraId="1E8D901B">
      <w:pPr>
        <w:rPr>
          <w:rFonts w:hint="eastAsia" w:ascii="华文中宋" w:hAnsi="华文中宋" w:eastAsia="华文中宋" w:cs="华文中宋"/>
          <w:b/>
          <w:szCs w:val="21"/>
        </w:rPr>
      </w:pPr>
    </w:p>
    <w:p w14:paraId="04F792DE">
      <w:pPr>
        <w:snapToGrid w:val="0"/>
        <w:spacing w:line="360" w:lineRule="auto"/>
        <w:ind w:left="601" w:hanging="601" w:hangingChars="200"/>
        <w:rPr>
          <w:rFonts w:hint="eastAsia" w:ascii="华文中宋" w:hAnsi="华文中宋" w:eastAsia="华文中宋" w:cs="华文中宋"/>
          <w:b/>
          <w:sz w:val="24"/>
        </w:rPr>
      </w:pPr>
      <w:r>
        <w:rPr>
          <w:rFonts w:hint="eastAsia" w:ascii="华文中宋" w:hAnsi="华文中宋" w:eastAsia="华文中宋" w:cs="华文中宋"/>
          <w:b/>
          <w:sz w:val="30"/>
        </w:rPr>
        <w:br w:type="page"/>
      </w:r>
      <w:r>
        <w:rPr>
          <w:rFonts w:hint="eastAsia" w:ascii="华文中宋" w:hAnsi="华文中宋" w:eastAsia="华文中宋" w:cs="华文中宋"/>
          <w:b/>
          <w:sz w:val="24"/>
        </w:rPr>
        <w:t>（一）投标人</w:t>
      </w:r>
      <w:r>
        <w:rPr>
          <w:rFonts w:hint="eastAsia" w:ascii="华文中宋" w:hAnsi="华文中宋" w:eastAsia="华文中宋" w:cs="华文中宋"/>
          <w:b/>
          <w:bCs/>
          <w:spacing w:val="20"/>
          <w:sz w:val="24"/>
        </w:rPr>
        <w:t>代表的证明</w:t>
      </w:r>
      <w:r>
        <w:rPr>
          <w:rFonts w:hint="eastAsia" w:ascii="华文中宋" w:hAnsi="华文中宋" w:eastAsia="华文中宋" w:cs="华文中宋"/>
          <w:b/>
          <w:sz w:val="24"/>
        </w:rPr>
        <w:t>格式</w:t>
      </w:r>
    </w:p>
    <w:p w14:paraId="128598A6">
      <w:pPr>
        <w:snapToGrid w:val="0"/>
        <w:spacing w:line="360" w:lineRule="auto"/>
        <w:ind w:left="560" w:hanging="560" w:hangingChars="200"/>
        <w:jc w:val="left"/>
        <w:rPr>
          <w:rFonts w:hint="eastAsia" w:ascii="华文中宋" w:hAnsi="华文中宋" w:eastAsia="华文中宋" w:cs="华文中宋"/>
          <w:bCs/>
          <w:spacing w:val="6"/>
          <w:sz w:val="24"/>
        </w:rPr>
      </w:pPr>
      <w:r>
        <w:rPr>
          <w:rFonts w:hint="eastAsia" w:ascii="华文中宋" w:hAnsi="华文中宋" w:eastAsia="华文中宋" w:cs="华文中宋"/>
          <w:b/>
          <w:bCs/>
          <w:spacing w:val="20"/>
          <w:sz w:val="24"/>
        </w:rPr>
        <w:t>法定代表人（负责人）身份证明书格式</w:t>
      </w:r>
    </w:p>
    <w:p w14:paraId="69E6735E">
      <w:pPr>
        <w:snapToGrid w:val="0"/>
        <w:spacing w:line="360" w:lineRule="auto"/>
        <w:ind w:left="560" w:hanging="560" w:hangingChars="200"/>
        <w:jc w:val="center"/>
        <w:rPr>
          <w:rFonts w:hint="eastAsia" w:ascii="华文中宋" w:hAnsi="华文中宋" w:eastAsia="华文中宋" w:cs="华文中宋"/>
          <w:b/>
          <w:bCs/>
          <w:spacing w:val="20"/>
          <w:sz w:val="24"/>
        </w:rPr>
      </w:pPr>
    </w:p>
    <w:p w14:paraId="593CA99C">
      <w:pPr>
        <w:snapToGrid w:val="0"/>
        <w:spacing w:line="360" w:lineRule="auto"/>
        <w:ind w:left="560" w:hanging="560" w:hangingChars="200"/>
        <w:jc w:val="center"/>
        <w:rPr>
          <w:rFonts w:hint="eastAsia" w:ascii="华文中宋" w:hAnsi="华文中宋" w:eastAsia="华文中宋" w:cs="华文中宋"/>
          <w:bCs/>
          <w:spacing w:val="6"/>
          <w:sz w:val="24"/>
        </w:rPr>
      </w:pPr>
      <w:r>
        <w:rPr>
          <w:rFonts w:hint="eastAsia" w:ascii="华文中宋" w:hAnsi="华文中宋" w:eastAsia="华文中宋" w:cs="华文中宋"/>
          <w:b/>
          <w:spacing w:val="20"/>
          <w:sz w:val="24"/>
        </w:rPr>
        <w:t>法定代表人（负责人）身份证明书</w:t>
      </w:r>
    </w:p>
    <w:p w14:paraId="174A51A6">
      <w:pPr>
        <w:spacing w:line="360" w:lineRule="auto"/>
        <w:ind w:firstLine="504"/>
        <w:rPr>
          <w:rFonts w:hint="eastAsia" w:ascii="华文中宋" w:hAnsi="华文中宋" w:eastAsia="华文中宋" w:cs="华文中宋"/>
          <w:spacing w:val="6"/>
          <w:sz w:val="24"/>
          <w:u w:val="single"/>
        </w:rPr>
      </w:pPr>
      <w:r>
        <w:rPr>
          <w:rFonts w:hint="eastAsia" w:ascii="华文中宋" w:hAnsi="华文中宋" w:eastAsia="华文中宋" w:cs="华文中宋"/>
          <w:spacing w:val="6"/>
          <w:sz w:val="24"/>
        </w:rPr>
        <w:t>单位名称：</w:t>
      </w:r>
    </w:p>
    <w:p w14:paraId="7190E4C0">
      <w:pPr>
        <w:spacing w:line="360" w:lineRule="auto"/>
        <w:ind w:firstLine="504"/>
        <w:rPr>
          <w:rFonts w:hint="eastAsia" w:ascii="华文中宋" w:hAnsi="华文中宋" w:eastAsia="华文中宋" w:cs="华文中宋"/>
          <w:spacing w:val="6"/>
          <w:sz w:val="24"/>
          <w:u w:val="single"/>
        </w:rPr>
      </w:pPr>
      <w:r>
        <w:rPr>
          <w:rFonts w:hint="eastAsia" w:ascii="华文中宋" w:hAnsi="华文中宋" w:eastAsia="华文中宋" w:cs="华文中宋"/>
          <w:spacing w:val="6"/>
          <w:sz w:val="24"/>
        </w:rPr>
        <w:t>单位性质：</w:t>
      </w:r>
    </w:p>
    <w:p w14:paraId="72343B45">
      <w:pPr>
        <w:spacing w:line="360" w:lineRule="auto"/>
        <w:ind w:firstLine="504"/>
        <w:rPr>
          <w:rFonts w:hint="eastAsia" w:ascii="华文中宋" w:hAnsi="华文中宋" w:eastAsia="华文中宋" w:cs="华文中宋"/>
          <w:spacing w:val="6"/>
          <w:sz w:val="24"/>
        </w:rPr>
      </w:pPr>
      <w:r>
        <w:rPr>
          <w:rFonts w:hint="eastAsia" w:ascii="华文中宋" w:hAnsi="华文中宋" w:eastAsia="华文中宋" w:cs="华文中宋"/>
          <w:spacing w:val="6"/>
          <w:sz w:val="24"/>
        </w:rPr>
        <w:t>地    址：</w:t>
      </w:r>
    </w:p>
    <w:p w14:paraId="17344E22">
      <w:pPr>
        <w:spacing w:line="360" w:lineRule="auto"/>
        <w:ind w:firstLine="504"/>
        <w:rPr>
          <w:rFonts w:hint="eastAsia" w:ascii="华文中宋" w:hAnsi="华文中宋" w:eastAsia="华文中宋" w:cs="华文中宋"/>
          <w:spacing w:val="6"/>
          <w:sz w:val="24"/>
        </w:rPr>
      </w:pPr>
      <w:r>
        <w:rPr>
          <w:rFonts w:hint="eastAsia" w:ascii="华文中宋" w:hAnsi="华文中宋" w:eastAsia="华文中宋" w:cs="华文中宋"/>
          <w:spacing w:val="6"/>
          <w:sz w:val="24"/>
        </w:rPr>
        <w:t>成立时间：      年    月    日</w:t>
      </w:r>
    </w:p>
    <w:p w14:paraId="7B4E74EA">
      <w:pPr>
        <w:spacing w:line="360" w:lineRule="auto"/>
        <w:ind w:firstLine="504"/>
        <w:rPr>
          <w:rFonts w:hint="eastAsia" w:ascii="华文中宋" w:hAnsi="华文中宋" w:eastAsia="华文中宋" w:cs="华文中宋"/>
          <w:spacing w:val="6"/>
          <w:sz w:val="24"/>
        </w:rPr>
      </w:pPr>
      <w:r>
        <w:rPr>
          <w:rFonts w:hint="eastAsia" w:ascii="华文中宋" w:hAnsi="华文中宋" w:eastAsia="华文中宋" w:cs="华文中宋"/>
          <w:spacing w:val="6"/>
          <w:sz w:val="24"/>
        </w:rPr>
        <w:t xml:space="preserve">经营期限：    </w:t>
      </w:r>
    </w:p>
    <w:p w14:paraId="6A045AEC">
      <w:pPr>
        <w:spacing w:line="360" w:lineRule="auto"/>
        <w:ind w:firstLine="504"/>
        <w:rPr>
          <w:rFonts w:hint="eastAsia" w:ascii="华文中宋" w:hAnsi="华文中宋" w:eastAsia="华文中宋" w:cs="华文中宋"/>
          <w:spacing w:val="6"/>
          <w:sz w:val="24"/>
        </w:rPr>
      </w:pPr>
      <w:r>
        <w:rPr>
          <w:rFonts w:hint="eastAsia" w:ascii="华文中宋" w:hAnsi="华文中宋" w:eastAsia="华文中宋" w:cs="华文中宋"/>
          <w:spacing w:val="6"/>
          <w:sz w:val="24"/>
        </w:rPr>
        <w:t xml:space="preserve">姓    名：                      性  别：                 </w:t>
      </w:r>
    </w:p>
    <w:p w14:paraId="2C0FEC1C">
      <w:pPr>
        <w:spacing w:line="360" w:lineRule="auto"/>
        <w:ind w:firstLine="504"/>
        <w:rPr>
          <w:rFonts w:hint="eastAsia" w:ascii="华文中宋" w:hAnsi="华文中宋" w:eastAsia="华文中宋" w:cs="华文中宋"/>
          <w:spacing w:val="6"/>
          <w:sz w:val="24"/>
        </w:rPr>
      </w:pPr>
      <w:r>
        <w:rPr>
          <w:rFonts w:hint="eastAsia" w:ascii="华文中宋" w:hAnsi="华文中宋" w:eastAsia="华文中宋" w:cs="华文中宋"/>
          <w:spacing w:val="6"/>
          <w:sz w:val="24"/>
        </w:rPr>
        <w:t xml:space="preserve">身份证号：                      职  务：         </w:t>
      </w:r>
    </w:p>
    <w:p w14:paraId="13065248">
      <w:pPr>
        <w:spacing w:line="360" w:lineRule="auto"/>
        <w:ind w:firstLine="504"/>
        <w:rPr>
          <w:rFonts w:hint="eastAsia" w:ascii="华文中宋" w:hAnsi="华文中宋" w:eastAsia="华文中宋" w:cs="华文中宋"/>
          <w:spacing w:val="6"/>
          <w:sz w:val="24"/>
        </w:rPr>
      </w:pPr>
      <w:r>
        <w:rPr>
          <w:rFonts w:hint="eastAsia" w:ascii="华文中宋" w:hAnsi="华文中宋" w:eastAsia="华文中宋" w:cs="华文中宋"/>
          <w:spacing w:val="6"/>
          <w:sz w:val="24"/>
        </w:rPr>
        <w:t xml:space="preserve">系 </w:t>
      </w:r>
      <w:r>
        <w:rPr>
          <w:rFonts w:hint="eastAsia" w:ascii="华文中宋" w:hAnsi="华文中宋" w:eastAsia="华文中宋" w:cs="华文中宋"/>
          <w:spacing w:val="6"/>
          <w:sz w:val="24"/>
          <w:u w:val="single"/>
        </w:rPr>
        <w:t xml:space="preserve">      （投标人名称）          </w:t>
      </w:r>
      <w:r>
        <w:rPr>
          <w:rFonts w:hint="eastAsia" w:ascii="华文中宋" w:hAnsi="华文中宋" w:eastAsia="华文中宋" w:cs="华文中宋"/>
          <w:spacing w:val="6"/>
          <w:sz w:val="24"/>
        </w:rPr>
        <w:t xml:space="preserve">的法定代表人（负责人）。 </w:t>
      </w:r>
    </w:p>
    <w:p w14:paraId="009A1ABC">
      <w:pPr>
        <w:spacing w:line="360" w:lineRule="auto"/>
        <w:ind w:firstLine="504" w:firstLineChars="200"/>
        <w:rPr>
          <w:rFonts w:hint="eastAsia" w:ascii="华文中宋" w:hAnsi="华文中宋" w:eastAsia="华文中宋" w:cs="华文中宋"/>
          <w:spacing w:val="6"/>
          <w:sz w:val="24"/>
        </w:rPr>
      </w:pPr>
      <w:r>
        <w:rPr>
          <w:rFonts w:hint="eastAsia" w:ascii="华文中宋" w:hAnsi="华文中宋" w:eastAsia="华文中宋" w:cs="华文中宋"/>
          <w:spacing w:val="6"/>
          <w:sz w:val="24"/>
        </w:rPr>
        <w:t xml:space="preserve">特此证明。   </w:t>
      </w:r>
    </w:p>
    <w:p w14:paraId="59BA758D">
      <w:pPr>
        <w:tabs>
          <w:tab w:val="left" w:pos="4000"/>
        </w:tabs>
        <w:snapToGrid w:val="0"/>
        <w:spacing w:line="360" w:lineRule="auto"/>
        <w:ind w:firstLine="560"/>
        <w:rPr>
          <w:rFonts w:hint="eastAsia" w:ascii="华文中宋" w:hAnsi="华文中宋" w:eastAsia="华文中宋" w:cs="华文中宋"/>
          <w:spacing w:val="20"/>
          <w:sz w:val="24"/>
        </w:rPr>
      </w:pPr>
      <w:r>
        <w:rPr>
          <w:rFonts w:hint="eastAsia" w:ascii="华文中宋" w:hAnsi="华文中宋" w:eastAsia="华文中宋" w:cs="华文中宋"/>
          <w:spacing w:val="20"/>
          <w:sz w:val="24"/>
        </w:rPr>
        <w:tab/>
      </w:r>
      <w:r>
        <w:rPr>
          <w:rFonts w:hint="eastAsia" w:ascii="华文中宋" w:hAnsi="华文中宋" w:eastAsia="华文中宋" w:cs="华文中宋"/>
          <w:spacing w:val="20"/>
          <w:sz w:val="24"/>
        </w:rPr>
        <w:t>投标人：(法人电子签章)</w:t>
      </w:r>
    </w:p>
    <w:p w14:paraId="3DD165BE">
      <w:pPr>
        <w:tabs>
          <w:tab w:val="left" w:pos="4490"/>
        </w:tabs>
        <w:snapToGrid w:val="0"/>
        <w:spacing w:line="360" w:lineRule="auto"/>
        <w:ind w:firstLine="560"/>
        <w:rPr>
          <w:rFonts w:hint="eastAsia" w:ascii="华文中宋" w:hAnsi="华文中宋" w:eastAsia="华文中宋" w:cs="华文中宋"/>
          <w:sz w:val="24"/>
        </w:rPr>
      </w:pPr>
      <w:r>
        <w:rPr>
          <w:rFonts w:hint="eastAsia" w:ascii="华文中宋" w:hAnsi="华文中宋" w:eastAsia="华文中宋" w:cs="华文中宋"/>
          <w:spacing w:val="20"/>
          <w:sz w:val="24"/>
        </w:rPr>
        <w:tab/>
      </w:r>
      <w:r>
        <w:rPr>
          <w:rFonts w:hint="eastAsia" w:ascii="华文中宋" w:hAnsi="华文中宋" w:eastAsia="华文中宋" w:cs="华文中宋"/>
          <w:spacing w:val="20"/>
          <w:sz w:val="24"/>
        </w:rPr>
        <w:t>年   月   日</w:t>
      </w:r>
    </w:p>
    <w:p w14:paraId="44A9796C">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附法定代表人有效的身份证正反两面扫描件</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5"/>
      </w:tblGrid>
      <w:tr w14:paraId="0435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2500" w:type="pct"/>
            <w:tcBorders>
              <w:top w:val="single" w:color="auto" w:sz="4" w:space="0"/>
              <w:left w:val="single" w:color="auto" w:sz="4" w:space="0"/>
              <w:bottom w:val="single" w:color="auto" w:sz="4" w:space="0"/>
              <w:right w:val="single" w:color="auto" w:sz="4" w:space="0"/>
            </w:tcBorders>
            <w:shd w:val="clear" w:color="auto" w:fill="auto"/>
          </w:tcPr>
          <w:p w14:paraId="3DB341B9">
            <w:pPr>
              <w:spacing w:line="276" w:lineRule="auto"/>
              <w:rPr>
                <w:rFonts w:hint="eastAsia" w:ascii="华文中宋" w:hAnsi="华文中宋" w:eastAsia="华文中宋" w:cs="华文中宋"/>
                <w:b/>
                <w:szCs w:val="21"/>
              </w:rPr>
            </w:pPr>
          </w:p>
        </w:tc>
        <w:tc>
          <w:tcPr>
            <w:tcW w:w="2500" w:type="pct"/>
            <w:tcBorders>
              <w:top w:val="single" w:color="auto" w:sz="4" w:space="0"/>
              <w:left w:val="single" w:color="auto" w:sz="4" w:space="0"/>
              <w:bottom w:val="single" w:color="auto" w:sz="4" w:space="0"/>
              <w:right w:val="single" w:color="auto" w:sz="4" w:space="0"/>
            </w:tcBorders>
            <w:shd w:val="clear" w:color="auto" w:fill="auto"/>
          </w:tcPr>
          <w:p w14:paraId="6ABC3A13">
            <w:pPr>
              <w:spacing w:line="276" w:lineRule="auto"/>
              <w:rPr>
                <w:rFonts w:hint="eastAsia" w:ascii="华文中宋" w:hAnsi="华文中宋" w:eastAsia="华文中宋" w:cs="华文中宋"/>
                <w:b/>
                <w:szCs w:val="21"/>
              </w:rPr>
            </w:pPr>
          </w:p>
        </w:tc>
      </w:tr>
    </w:tbl>
    <w:p w14:paraId="035306BA">
      <w:pPr>
        <w:snapToGrid w:val="0"/>
        <w:spacing w:before="100" w:beforeAutospacing="1" w:after="100" w:afterAutospacing="1" w:line="360" w:lineRule="auto"/>
        <w:rPr>
          <w:rFonts w:hint="eastAsia" w:ascii="华文中宋" w:hAnsi="华文中宋" w:eastAsia="华文中宋" w:cs="华文中宋"/>
          <w:b/>
          <w:bCs/>
          <w:sz w:val="24"/>
        </w:rPr>
      </w:pPr>
    </w:p>
    <w:p w14:paraId="1DD26D23">
      <w:pPr>
        <w:rPr>
          <w:rFonts w:hint="eastAsia" w:ascii="华文中宋" w:hAnsi="华文中宋" w:eastAsia="华文中宋" w:cs="华文中宋"/>
          <w:b/>
          <w:sz w:val="24"/>
        </w:rPr>
      </w:pPr>
      <w:r>
        <w:rPr>
          <w:rFonts w:hint="eastAsia" w:ascii="华文中宋" w:hAnsi="华文中宋" w:eastAsia="华文中宋" w:cs="华文中宋"/>
          <w:b/>
          <w:sz w:val="24"/>
        </w:rPr>
        <w:br w:type="page"/>
      </w:r>
    </w:p>
    <w:p w14:paraId="7221B9D5">
      <w:pPr>
        <w:snapToGrid w:val="0"/>
        <w:spacing w:line="360" w:lineRule="auto"/>
        <w:rPr>
          <w:rFonts w:hint="eastAsia" w:ascii="华文中宋" w:hAnsi="华文中宋" w:eastAsia="华文中宋" w:cs="华文中宋"/>
          <w:b/>
          <w:bCs/>
          <w:sz w:val="24"/>
        </w:rPr>
      </w:pPr>
      <w:r>
        <w:rPr>
          <w:rFonts w:hint="eastAsia" w:ascii="华文中宋" w:hAnsi="华文中宋" w:eastAsia="华文中宋" w:cs="华文中宋"/>
          <w:b/>
          <w:sz w:val="24"/>
        </w:rPr>
        <w:t>法定代表人（负责人）授权委托书格式</w:t>
      </w:r>
    </w:p>
    <w:p w14:paraId="7B03A92E">
      <w:pPr>
        <w:snapToGrid w:val="0"/>
        <w:spacing w:line="360" w:lineRule="auto"/>
        <w:ind w:left="480" w:hanging="480" w:hangingChars="200"/>
        <w:jc w:val="center"/>
        <w:rPr>
          <w:rFonts w:hint="eastAsia" w:ascii="华文中宋" w:hAnsi="华文中宋" w:eastAsia="华文中宋" w:cs="华文中宋"/>
          <w:b/>
          <w:sz w:val="24"/>
        </w:rPr>
      </w:pPr>
      <w:r>
        <w:rPr>
          <w:rFonts w:hint="eastAsia" w:ascii="华文中宋" w:hAnsi="华文中宋" w:eastAsia="华文中宋" w:cs="华文中宋"/>
          <w:b/>
          <w:sz w:val="24"/>
        </w:rPr>
        <w:t xml:space="preserve"> 法定代表人（负责人）授权委托书   </w:t>
      </w:r>
    </w:p>
    <w:p w14:paraId="03994DBF">
      <w:pPr>
        <w:snapToGrid w:val="0"/>
        <w:spacing w:line="360" w:lineRule="auto"/>
        <w:rPr>
          <w:rFonts w:hint="eastAsia" w:ascii="华文中宋" w:hAnsi="华文中宋" w:eastAsia="华文中宋" w:cs="华文中宋"/>
          <w:sz w:val="24"/>
        </w:rPr>
      </w:pPr>
    </w:p>
    <w:p w14:paraId="3F1407D7">
      <w:pPr>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 xml:space="preserve">    本授权委托书声明：注册于（投标人住址）的（投标人名称）法定代表人（法定代表人姓名、职务、身份证号）代表本公司授权（投标人代表姓名、职务、身份证号）为本公司的合法代理人，就贵方组织</w:t>
      </w:r>
      <w:r>
        <w:rPr>
          <w:rFonts w:hint="eastAsia" w:ascii="华文中宋" w:hAnsi="华文中宋" w:eastAsia="华文中宋" w:cs="华文中宋"/>
          <w:spacing w:val="6"/>
          <w:sz w:val="24"/>
          <w:u w:val="single"/>
        </w:rPr>
        <w:t xml:space="preserve">           </w:t>
      </w:r>
      <w:r>
        <w:rPr>
          <w:rFonts w:hint="eastAsia" w:ascii="华文中宋" w:hAnsi="华文中宋" w:eastAsia="华文中宋" w:cs="华文中宋"/>
          <w:sz w:val="24"/>
        </w:rPr>
        <w:t>项目，项目编号：</w:t>
      </w:r>
      <w:r>
        <w:rPr>
          <w:rFonts w:hint="eastAsia" w:ascii="华文中宋" w:hAnsi="华文中宋" w:eastAsia="华文中宋" w:cs="华文中宋"/>
          <w:spacing w:val="6"/>
          <w:sz w:val="24"/>
          <w:u w:val="single"/>
        </w:rPr>
        <w:t xml:space="preserve">           </w:t>
      </w:r>
      <w:r>
        <w:rPr>
          <w:rFonts w:hint="eastAsia" w:ascii="华文中宋" w:hAnsi="华文中宋" w:eastAsia="华文中宋" w:cs="华文中宋"/>
          <w:sz w:val="24"/>
        </w:rPr>
        <w:t>，以本公司名义处理一切与之有关的事务。</w:t>
      </w:r>
    </w:p>
    <w:p w14:paraId="105C3B7A">
      <w:pPr>
        <w:snapToGrid w:val="0"/>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 xml:space="preserve">本授权书于    年  月  日生效，特此声明。                                  </w:t>
      </w:r>
    </w:p>
    <w:p w14:paraId="1F1BD18B">
      <w:pPr>
        <w:snapToGrid w:val="0"/>
        <w:spacing w:line="360" w:lineRule="auto"/>
        <w:jc w:val="right"/>
        <w:rPr>
          <w:rFonts w:hint="eastAsia" w:ascii="华文中宋" w:hAnsi="华文中宋" w:eastAsia="华文中宋" w:cs="华文中宋"/>
          <w:sz w:val="24"/>
        </w:rPr>
      </w:pPr>
      <w:r>
        <w:rPr>
          <w:rFonts w:hint="eastAsia" w:ascii="华文中宋" w:hAnsi="华文中宋" w:eastAsia="华文中宋" w:cs="华文中宋"/>
          <w:sz w:val="24"/>
        </w:rPr>
        <w:t>投标人：（</w:t>
      </w:r>
      <w:r>
        <w:rPr>
          <w:rFonts w:hint="eastAsia" w:ascii="华文中宋" w:hAnsi="华文中宋" w:eastAsia="华文中宋" w:cs="华文中宋"/>
          <w:spacing w:val="20"/>
          <w:sz w:val="24"/>
        </w:rPr>
        <w:t>法人电子签章</w:t>
      </w:r>
      <w:r>
        <w:rPr>
          <w:rFonts w:hint="eastAsia" w:ascii="华文中宋" w:hAnsi="华文中宋" w:eastAsia="华文中宋" w:cs="华文中宋"/>
          <w:sz w:val="24"/>
        </w:rPr>
        <w:t>）</w:t>
      </w:r>
    </w:p>
    <w:p w14:paraId="7034BD35">
      <w:pPr>
        <w:snapToGrid w:val="0"/>
        <w:spacing w:line="360" w:lineRule="auto"/>
        <w:ind w:left="5940" w:leftChars="200" w:hanging="5520" w:hangingChars="2300"/>
        <w:jc w:val="right"/>
        <w:rPr>
          <w:rFonts w:hint="eastAsia" w:ascii="华文中宋" w:hAnsi="华文中宋" w:eastAsia="华文中宋" w:cs="华文中宋"/>
          <w:sz w:val="24"/>
        </w:rPr>
      </w:pPr>
      <w:r>
        <w:rPr>
          <w:rFonts w:hint="eastAsia" w:ascii="华文中宋" w:hAnsi="华文中宋" w:eastAsia="华文中宋" w:cs="华文中宋"/>
          <w:sz w:val="24"/>
        </w:rPr>
        <w:t xml:space="preserve">法定代表人（负责人）：（法定代表人电子签章） </w:t>
      </w:r>
    </w:p>
    <w:p w14:paraId="526D8E70">
      <w:pPr>
        <w:snapToGrid w:val="0"/>
        <w:spacing w:line="360" w:lineRule="auto"/>
        <w:ind w:left="5940" w:leftChars="200" w:hanging="5520" w:hangingChars="2300"/>
        <w:jc w:val="right"/>
        <w:rPr>
          <w:rFonts w:hint="eastAsia" w:ascii="华文中宋" w:hAnsi="华文中宋" w:eastAsia="华文中宋" w:cs="华文中宋"/>
          <w:sz w:val="24"/>
        </w:rPr>
      </w:pPr>
      <w:r>
        <w:rPr>
          <w:rFonts w:hint="eastAsia" w:ascii="华文中宋" w:hAnsi="华文中宋" w:eastAsia="华文中宋" w:cs="华文中宋"/>
          <w:sz w:val="24"/>
        </w:rPr>
        <w:t>代理人：（代理人电子签章）                                                                              年  月  日</w:t>
      </w:r>
    </w:p>
    <w:p w14:paraId="025A5CDD">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附投标人代表有效的身份证正反两面扫描件</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5"/>
      </w:tblGrid>
      <w:tr w14:paraId="3679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2500" w:type="pct"/>
            <w:tcBorders>
              <w:top w:val="single" w:color="auto" w:sz="4" w:space="0"/>
              <w:left w:val="single" w:color="auto" w:sz="4" w:space="0"/>
              <w:bottom w:val="single" w:color="auto" w:sz="4" w:space="0"/>
              <w:right w:val="single" w:color="auto" w:sz="4" w:space="0"/>
            </w:tcBorders>
            <w:shd w:val="clear" w:color="auto" w:fill="auto"/>
          </w:tcPr>
          <w:p w14:paraId="1F7637AA">
            <w:pPr>
              <w:spacing w:line="276" w:lineRule="auto"/>
              <w:rPr>
                <w:rFonts w:hint="eastAsia" w:ascii="华文中宋" w:hAnsi="华文中宋" w:eastAsia="华文中宋" w:cs="华文中宋"/>
                <w:b/>
                <w:szCs w:val="21"/>
              </w:rPr>
            </w:pPr>
          </w:p>
        </w:tc>
        <w:tc>
          <w:tcPr>
            <w:tcW w:w="2500" w:type="pct"/>
            <w:tcBorders>
              <w:top w:val="single" w:color="auto" w:sz="4" w:space="0"/>
              <w:left w:val="single" w:color="auto" w:sz="4" w:space="0"/>
              <w:bottom w:val="single" w:color="auto" w:sz="4" w:space="0"/>
              <w:right w:val="single" w:color="auto" w:sz="4" w:space="0"/>
            </w:tcBorders>
            <w:shd w:val="clear" w:color="auto" w:fill="auto"/>
          </w:tcPr>
          <w:p w14:paraId="3AF6D296">
            <w:pPr>
              <w:spacing w:line="276" w:lineRule="auto"/>
              <w:rPr>
                <w:rFonts w:hint="eastAsia" w:ascii="华文中宋" w:hAnsi="华文中宋" w:eastAsia="华文中宋" w:cs="华文中宋"/>
                <w:b/>
                <w:szCs w:val="21"/>
              </w:rPr>
            </w:pPr>
          </w:p>
        </w:tc>
      </w:tr>
    </w:tbl>
    <w:p w14:paraId="0B9EDDDF">
      <w:pPr>
        <w:spacing w:line="360" w:lineRule="auto"/>
        <w:rPr>
          <w:rFonts w:hint="eastAsia" w:ascii="华文中宋" w:hAnsi="华文中宋" w:eastAsia="华文中宋" w:cs="华文中宋"/>
          <w:bCs/>
          <w:sz w:val="24"/>
        </w:rPr>
      </w:pPr>
      <w:r>
        <w:rPr>
          <w:rFonts w:hint="eastAsia" w:ascii="华文中宋" w:hAnsi="华文中宋" w:eastAsia="华文中宋" w:cs="华文中宋"/>
          <w:b/>
          <w:szCs w:val="21"/>
        </w:rPr>
        <w:br w:type="page"/>
      </w:r>
      <w:r>
        <w:rPr>
          <w:rFonts w:hint="eastAsia" w:ascii="华文中宋" w:hAnsi="华文中宋" w:eastAsia="华文中宋" w:cs="华文中宋"/>
          <w:b/>
          <w:sz w:val="24"/>
        </w:rPr>
        <w:t>（二） 投标函格式</w:t>
      </w:r>
    </w:p>
    <w:p w14:paraId="4D4A3592">
      <w:pPr>
        <w:spacing w:line="360" w:lineRule="auto"/>
        <w:jc w:val="center"/>
        <w:rPr>
          <w:rFonts w:hint="eastAsia" w:ascii="华文中宋" w:hAnsi="华文中宋" w:eastAsia="华文中宋" w:cs="华文中宋"/>
          <w:bCs/>
          <w:sz w:val="24"/>
        </w:rPr>
      </w:pPr>
      <w:r>
        <w:rPr>
          <w:rFonts w:hint="eastAsia" w:ascii="华文中宋" w:hAnsi="华文中宋" w:eastAsia="华文中宋" w:cs="华文中宋"/>
          <w:b/>
          <w:sz w:val="24"/>
        </w:rPr>
        <w:t>投  标  函</w:t>
      </w:r>
    </w:p>
    <w:p w14:paraId="2FB31568">
      <w:pPr>
        <w:tabs>
          <w:tab w:val="left" w:pos="4860"/>
        </w:tabs>
        <w:spacing w:line="360" w:lineRule="auto"/>
        <w:rPr>
          <w:rFonts w:hint="eastAsia" w:ascii="华文中宋" w:hAnsi="华文中宋" w:eastAsia="华文中宋" w:cs="华文中宋"/>
          <w:sz w:val="24"/>
        </w:rPr>
      </w:pPr>
    </w:p>
    <w:p w14:paraId="7087B0A4">
      <w:pPr>
        <w:pStyle w:val="25"/>
        <w:widowControl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kern w:val="2"/>
        </w:rPr>
        <w:t>(投标人全称)授权(投标人代表姓名)(职务、职称)为我方代表，参加贵方组织的(项目名称、项目编号)招标的有关活动，并对此项目进行投标。为此：</w:t>
      </w:r>
    </w:p>
    <w:p w14:paraId="08E387EC">
      <w:pPr>
        <w:pStyle w:val="25"/>
        <w:widowControl w:val="0"/>
        <w:tabs>
          <w:tab w:val="left" w:pos="1711"/>
        </w:tabs>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1、我方已仔细研究了本项目招标文件的全部内容，愿意以以下投标报价，按照招标文件要求及合同约定完成项目。</w:t>
      </w:r>
    </w:p>
    <w:p w14:paraId="0E6808CA">
      <w:pPr>
        <w:pStyle w:val="53"/>
        <w:tabs>
          <w:tab w:val="left" w:pos="1711"/>
        </w:tabs>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第一包：人民币（大写）</w:t>
      </w: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rPr>
        <w:t xml:space="preserve">元（￥ </w:t>
      </w: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rPr>
        <w:t>元）</w:t>
      </w:r>
    </w:p>
    <w:p w14:paraId="41FB5D41">
      <w:pPr>
        <w:pStyle w:val="53"/>
        <w:tabs>
          <w:tab w:val="left" w:pos="1711"/>
        </w:tabs>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第二包：人民币（大写）</w:t>
      </w: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rPr>
        <w:t>元（￥</w:t>
      </w: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rPr>
        <w:t>元）</w:t>
      </w:r>
    </w:p>
    <w:p w14:paraId="0C23E46C">
      <w:pPr>
        <w:pStyle w:val="25"/>
        <w:widowControl w:val="0"/>
        <w:tabs>
          <w:tab w:val="left" w:pos="1711"/>
        </w:tabs>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u w:val="single"/>
        </w:rPr>
      </w:pPr>
      <w:r>
        <w:rPr>
          <w:rFonts w:hint="eastAsia" w:ascii="华文中宋" w:hAnsi="华文中宋" w:eastAsia="华文中宋" w:cs="华文中宋"/>
        </w:rPr>
        <w:t>……</w:t>
      </w:r>
    </w:p>
    <w:p w14:paraId="06FF6B63">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2、我方同意在本项目招标文件中规定的投标文件有效期</w:t>
      </w:r>
      <w:r>
        <w:rPr>
          <w:rFonts w:hint="eastAsia" w:ascii="华文中宋" w:hAnsi="华文中宋" w:eastAsia="华文中宋" w:cs="华文中宋"/>
          <w:lang w:val="en-US" w:eastAsia="zh-CN"/>
        </w:rPr>
        <w:t xml:space="preserve"> </w:t>
      </w:r>
      <w:bookmarkStart w:id="197" w:name="_GoBack"/>
      <w:bookmarkEnd w:id="197"/>
      <w:r>
        <w:rPr>
          <w:rFonts w:hint="eastAsia" w:ascii="华文中宋" w:hAnsi="华文中宋" w:eastAsia="华文中宋" w:cs="华文中宋"/>
        </w:rPr>
        <w:t>个日历天内（自递交投标文件之日起计算）遵守本投标文件中的承诺且在此期限期满之前均具有约束力。如果中标，投标文件有效期延长至合同履约完毕。</w:t>
      </w:r>
    </w:p>
    <w:p w14:paraId="5342954F">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3、我方承诺已经具备《中华人民共和国政府采购法》中规定的参加政府采购活动的供应商应当具备的全部条件和本招标文件规定的特定资质要求。</w:t>
      </w:r>
    </w:p>
    <w:p w14:paraId="344650E7">
      <w:pPr>
        <w:snapToGrid w:val="0"/>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4、提供投标须知规定的全部投标文件。</w:t>
      </w:r>
    </w:p>
    <w:p w14:paraId="23E14942">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5、按招标文件要求提供和交付的货物的投标报价详见开标报价一览表。</w:t>
      </w:r>
    </w:p>
    <w:p w14:paraId="0B397B94">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6、我方承诺：完全理解投标报价超过招标文件公布的预算金额或最高限价时，导致投标无效。</w:t>
      </w:r>
    </w:p>
    <w:p w14:paraId="75B8A44A">
      <w:pPr>
        <w:pStyle w:val="25"/>
        <w:widowControl w:val="0"/>
        <w:tabs>
          <w:tab w:val="left" w:pos="1680"/>
        </w:tabs>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7、保证忠实地执行双方所签订的合同，并承担合同规定的责任和义务。</w:t>
      </w:r>
    </w:p>
    <w:p w14:paraId="56D0FC66">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8、承诺完全满足和响应招标文件中的各项商务和技术要求。</w:t>
      </w:r>
    </w:p>
    <w:p w14:paraId="2A484B1E">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9、保证遵守招标文件的所有规定。</w:t>
      </w:r>
    </w:p>
    <w:p w14:paraId="6B190F37">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10、保证在开标解密截止时间前，对所递交的投标文件进行补充、修改或者撤回时，我方会以加盖投标人电子签章的形式在政府采购系统中通知采购代理机构，否则可视为无效。</w:t>
      </w:r>
    </w:p>
    <w:p w14:paraId="5059251B">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11、对贵方在本次招标公告刊登的媒体上发布的公告或与本项目有关的通知，我方会及时查看获取。若因线路故障等其他原因导致通知延迟获取或无法获取，责任由我方自负。</w:t>
      </w:r>
    </w:p>
    <w:p w14:paraId="7A6E0B7D">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12、如果在开标后规定的投标有效期内撤回投标，我方的投标保证金可被贵方没收。</w:t>
      </w:r>
    </w:p>
    <w:p w14:paraId="6B19A23B">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13、我方完全理解贵方不一定接受最低价的投标或收到的任何投标。</w:t>
      </w:r>
    </w:p>
    <w:p w14:paraId="60D51D00">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14、我方愿意向贵方提供任何与本项投标有关的数据、情况和技术资料。若贵方需要，我方愿意提供我方做出的一切承诺的证明材料。</w:t>
      </w:r>
    </w:p>
    <w:p w14:paraId="198B95C4">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15、我方已详细审核全部投标文件，包括投标文件修改书（如有的话）、参考资料及有关附件，确认无误。</w:t>
      </w:r>
    </w:p>
    <w:p w14:paraId="7B35179F">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16、我方承诺：采购人若需追加采购本项目招标文件所列货物及相关服务的，在不改变合同其他实质性条款的前提下，按相同或更优惠的折扣率保证供货。</w:t>
      </w:r>
    </w:p>
    <w:p w14:paraId="7DD9ECA5">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17、我方承诺接受招标文件中合同全部条款且无任何异议。</w:t>
      </w:r>
    </w:p>
    <w:p w14:paraId="34A105AA">
      <w:pPr>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所有有关本次投标的一切往来联系方式为：</w:t>
      </w:r>
    </w:p>
    <w:p w14:paraId="2C54C7F6">
      <w:pPr>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地址：</w:t>
      </w:r>
      <w:r>
        <w:rPr>
          <w:rFonts w:hint="eastAsia" w:ascii="华文中宋" w:hAnsi="华文中宋" w:eastAsia="华文中宋" w:cs="华文中宋"/>
          <w:sz w:val="24"/>
        </w:rPr>
        <w:tab/>
      </w:r>
      <w:r>
        <w:rPr>
          <w:rFonts w:hint="eastAsia" w:ascii="华文中宋" w:hAnsi="华文中宋" w:eastAsia="华文中宋" w:cs="华文中宋"/>
          <w:sz w:val="24"/>
        </w:rPr>
        <w:t xml:space="preserve">                            邮编：</w:t>
      </w:r>
      <w:r>
        <w:rPr>
          <w:rFonts w:hint="eastAsia" w:ascii="华文中宋" w:hAnsi="华文中宋" w:eastAsia="华文中宋" w:cs="华文中宋"/>
          <w:sz w:val="24"/>
        </w:rPr>
        <w:tab/>
      </w:r>
    </w:p>
    <w:p w14:paraId="6AF12CA1">
      <w:pPr>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电话：</w:t>
      </w:r>
      <w:r>
        <w:rPr>
          <w:rFonts w:hint="eastAsia" w:ascii="华文中宋" w:hAnsi="华文中宋" w:eastAsia="华文中宋" w:cs="华文中宋"/>
          <w:sz w:val="24"/>
        </w:rPr>
        <w:tab/>
      </w:r>
      <w:r>
        <w:rPr>
          <w:rFonts w:hint="eastAsia" w:ascii="华文中宋" w:hAnsi="华文中宋" w:eastAsia="华文中宋" w:cs="华文中宋"/>
          <w:sz w:val="24"/>
        </w:rPr>
        <w:t xml:space="preserve">                            传真：</w:t>
      </w:r>
    </w:p>
    <w:p w14:paraId="5A2304D1">
      <w:pPr>
        <w:tabs>
          <w:tab w:val="left" w:pos="480"/>
        </w:tabs>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投标人代表姓名：</w:t>
      </w:r>
    </w:p>
    <w:p w14:paraId="09BC5E46">
      <w:pPr>
        <w:tabs>
          <w:tab w:val="left" w:pos="480"/>
        </w:tabs>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投标人代表联系电话：      （办公）           （手机）</w:t>
      </w:r>
    </w:p>
    <w:p w14:paraId="262D783D">
      <w:pPr>
        <w:tabs>
          <w:tab w:val="left" w:pos="480"/>
        </w:tabs>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E-mail：</w:t>
      </w:r>
    </w:p>
    <w:p w14:paraId="068A7719">
      <w:pPr>
        <w:snapToGrid w:val="0"/>
        <w:spacing w:line="360" w:lineRule="auto"/>
        <w:ind w:firstLine="4440" w:firstLineChars="1850"/>
        <w:jc w:val="right"/>
        <w:rPr>
          <w:rFonts w:hint="eastAsia" w:ascii="华文中宋" w:hAnsi="华文中宋" w:eastAsia="华文中宋" w:cs="华文中宋"/>
          <w:sz w:val="24"/>
        </w:rPr>
      </w:pPr>
      <w:r>
        <w:rPr>
          <w:rFonts w:hint="eastAsia" w:ascii="华文中宋" w:hAnsi="华文中宋" w:eastAsia="华文中宋" w:cs="华文中宋"/>
          <w:sz w:val="24"/>
        </w:rPr>
        <w:t>投标人：（</w:t>
      </w:r>
      <w:r>
        <w:rPr>
          <w:rFonts w:hint="eastAsia" w:ascii="华文中宋" w:hAnsi="华文中宋" w:eastAsia="华文中宋" w:cs="华文中宋"/>
          <w:spacing w:val="20"/>
          <w:sz w:val="24"/>
        </w:rPr>
        <w:t>法人电子签章</w:t>
      </w:r>
      <w:r>
        <w:rPr>
          <w:rFonts w:hint="eastAsia" w:ascii="华文中宋" w:hAnsi="华文中宋" w:eastAsia="华文中宋" w:cs="华文中宋"/>
          <w:sz w:val="24"/>
        </w:rPr>
        <w:t xml:space="preserve">）                                                                                </w:t>
      </w:r>
    </w:p>
    <w:p w14:paraId="23A56DB9">
      <w:pPr>
        <w:snapToGrid w:val="0"/>
        <w:spacing w:line="360" w:lineRule="auto"/>
        <w:ind w:left="2040" w:hanging="2040" w:hangingChars="850"/>
        <w:jc w:val="right"/>
        <w:rPr>
          <w:rFonts w:hint="eastAsia" w:ascii="华文中宋" w:hAnsi="华文中宋" w:eastAsia="华文中宋" w:cs="华文中宋"/>
          <w:sz w:val="24"/>
        </w:rPr>
      </w:pPr>
      <w:r>
        <w:rPr>
          <w:rFonts w:hint="eastAsia" w:ascii="华文中宋" w:hAnsi="华文中宋" w:eastAsia="华文中宋" w:cs="华文中宋"/>
          <w:sz w:val="24"/>
        </w:rPr>
        <w:t>年  月  日</w:t>
      </w:r>
    </w:p>
    <w:p w14:paraId="14FBA293">
      <w:pPr>
        <w:spacing w:line="360" w:lineRule="auto"/>
        <w:rPr>
          <w:rFonts w:hint="eastAsia" w:ascii="华文中宋" w:hAnsi="华文中宋" w:eastAsia="华文中宋" w:cs="华文中宋"/>
          <w:b/>
          <w:sz w:val="24"/>
        </w:rPr>
      </w:pPr>
    </w:p>
    <w:p w14:paraId="6930F59C">
      <w:pPr>
        <w:spacing w:line="360" w:lineRule="auto"/>
        <w:rPr>
          <w:rFonts w:hint="eastAsia" w:ascii="华文中宋" w:hAnsi="华文中宋" w:eastAsia="华文中宋" w:cs="华文中宋"/>
          <w:b/>
          <w:sz w:val="24"/>
        </w:rPr>
      </w:pPr>
    </w:p>
    <w:p w14:paraId="3E25A5DC">
      <w:pPr>
        <w:spacing w:line="360" w:lineRule="auto"/>
        <w:rPr>
          <w:rFonts w:hint="eastAsia" w:ascii="华文中宋" w:hAnsi="华文中宋" w:eastAsia="华文中宋" w:cs="华文中宋"/>
          <w:b/>
          <w:sz w:val="24"/>
        </w:rPr>
      </w:pPr>
    </w:p>
    <w:p w14:paraId="7A57FB19">
      <w:pPr>
        <w:spacing w:line="360" w:lineRule="auto"/>
        <w:rPr>
          <w:rFonts w:hint="eastAsia" w:ascii="华文中宋" w:hAnsi="华文中宋" w:eastAsia="华文中宋" w:cs="华文中宋"/>
          <w:b/>
          <w:sz w:val="24"/>
        </w:rPr>
      </w:pPr>
    </w:p>
    <w:p w14:paraId="5A6D497D">
      <w:pPr>
        <w:spacing w:line="360" w:lineRule="auto"/>
        <w:rPr>
          <w:rFonts w:hint="eastAsia" w:ascii="华文中宋" w:hAnsi="华文中宋" w:eastAsia="华文中宋" w:cs="华文中宋"/>
          <w:b/>
          <w:sz w:val="24"/>
        </w:rPr>
      </w:pPr>
    </w:p>
    <w:p w14:paraId="6578C636">
      <w:pPr>
        <w:spacing w:line="360" w:lineRule="auto"/>
        <w:rPr>
          <w:rFonts w:hint="eastAsia" w:ascii="华文中宋" w:hAnsi="华文中宋" w:eastAsia="华文中宋" w:cs="华文中宋"/>
          <w:b/>
          <w:sz w:val="24"/>
        </w:rPr>
      </w:pPr>
    </w:p>
    <w:p w14:paraId="3D077614">
      <w:pPr>
        <w:spacing w:line="360" w:lineRule="auto"/>
        <w:rPr>
          <w:rFonts w:hint="eastAsia" w:ascii="华文中宋" w:hAnsi="华文中宋" w:eastAsia="华文中宋" w:cs="华文中宋"/>
          <w:b/>
          <w:sz w:val="24"/>
        </w:rPr>
      </w:pPr>
    </w:p>
    <w:p w14:paraId="65605A56">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（三）具有履行合同所必需的设备和专业技术能力</w:t>
      </w:r>
    </w:p>
    <w:p w14:paraId="337CBF7C">
      <w:pPr>
        <w:spacing w:line="360" w:lineRule="auto"/>
        <w:ind w:firstLine="560"/>
        <w:jc w:val="center"/>
        <w:rPr>
          <w:rFonts w:hint="eastAsia" w:ascii="华文中宋" w:hAnsi="华文中宋" w:eastAsia="华文中宋" w:cs="华文中宋"/>
          <w:b/>
          <w:spacing w:val="20"/>
          <w:sz w:val="24"/>
        </w:rPr>
      </w:pPr>
    </w:p>
    <w:p w14:paraId="6BD87686">
      <w:pPr>
        <w:spacing w:line="360" w:lineRule="auto"/>
        <w:jc w:val="center"/>
        <w:rPr>
          <w:rFonts w:hint="eastAsia" w:ascii="华文中宋" w:hAnsi="华文中宋" w:eastAsia="华文中宋" w:cs="华文中宋"/>
          <w:b/>
          <w:spacing w:val="20"/>
          <w:sz w:val="24"/>
        </w:rPr>
      </w:pPr>
      <w:r>
        <w:rPr>
          <w:rFonts w:hint="eastAsia" w:ascii="华文中宋" w:hAnsi="华文中宋" w:eastAsia="华文中宋" w:cs="华文中宋"/>
          <w:b/>
          <w:sz w:val="24"/>
        </w:rPr>
        <w:t>承诺书</w:t>
      </w:r>
    </w:p>
    <w:p w14:paraId="100233A4">
      <w:pPr>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采购代理机构：</w:t>
      </w:r>
    </w:p>
    <w:p w14:paraId="33607E71">
      <w:pPr>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 xml:space="preserve">     本投标供应商现参与</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项目（项目编号：</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包号：</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，）的采购活动，现承诺具备履行合同所必需的设备和专业技术能力。</w:t>
      </w:r>
    </w:p>
    <w:p w14:paraId="4F37AE7A">
      <w:pPr>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 xml:space="preserve">     如上述承诺不真实，愿意按照政府采购有关法律法规的规定接受处罚。</w:t>
      </w:r>
    </w:p>
    <w:p w14:paraId="58D68BFB">
      <w:pPr>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特此声明</w:t>
      </w:r>
    </w:p>
    <w:p w14:paraId="5CFFBB89">
      <w:pPr>
        <w:snapToGrid w:val="0"/>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 xml:space="preserve">                                 投标供应商：</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 xml:space="preserve">（盖章）  </w:t>
      </w:r>
    </w:p>
    <w:p w14:paraId="7F252328">
      <w:pPr>
        <w:spacing w:line="360" w:lineRule="auto"/>
        <w:rPr>
          <w:rFonts w:hint="eastAsia" w:ascii="华文中宋" w:hAnsi="华文中宋" w:eastAsia="华文中宋" w:cs="华文中宋"/>
          <w:b/>
          <w:sz w:val="24"/>
        </w:rPr>
      </w:pPr>
      <w:r>
        <w:rPr>
          <w:rFonts w:hint="eastAsia" w:ascii="华文中宋" w:hAnsi="华文中宋" w:eastAsia="华文中宋" w:cs="华文中宋"/>
          <w:sz w:val="24"/>
        </w:rPr>
        <w:t xml:space="preserve">                                                    年  月  日</w:t>
      </w:r>
    </w:p>
    <w:p w14:paraId="62A5FBF4">
      <w:pPr>
        <w:spacing w:line="360" w:lineRule="auto"/>
        <w:rPr>
          <w:rFonts w:hint="eastAsia" w:ascii="华文中宋" w:hAnsi="华文中宋" w:eastAsia="华文中宋" w:cs="华文中宋"/>
          <w:b/>
          <w:sz w:val="24"/>
        </w:rPr>
      </w:pPr>
    </w:p>
    <w:p w14:paraId="608919B5">
      <w:pPr>
        <w:spacing w:line="360" w:lineRule="auto"/>
        <w:rPr>
          <w:rFonts w:hint="eastAsia" w:ascii="华文中宋" w:hAnsi="华文中宋" w:eastAsia="华文中宋" w:cs="华文中宋"/>
          <w:b/>
          <w:kern w:val="0"/>
          <w:sz w:val="24"/>
        </w:rPr>
      </w:pPr>
      <w:r>
        <w:rPr>
          <w:rFonts w:hint="eastAsia" w:ascii="华文中宋" w:hAnsi="华文中宋" w:eastAsia="华文中宋" w:cs="华文中宋"/>
          <w:b/>
          <w:sz w:val="24"/>
        </w:rPr>
        <w:t>（</w:t>
      </w:r>
      <w:r>
        <w:rPr>
          <w:rFonts w:hint="eastAsia" w:ascii="华文中宋" w:hAnsi="华文中宋" w:eastAsia="华文中宋" w:cs="华文中宋"/>
          <w:b/>
          <w:kern w:val="0"/>
          <w:sz w:val="24"/>
        </w:rPr>
        <w:t>四）具有良好的商业信誉和健全的财务会计制度</w:t>
      </w:r>
    </w:p>
    <w:p w14:paraId="0B79C5B6">
      <w:pPr>
        <w:spacing w:line="360" w:lineRule="auto"/>
        <w:ind w:firstLine="480"/>
        <w:rPr>
          <w:rFonts w:hint="eastAsia" w:ascii="华文中宋" w:hAnsi="华文中宋" w:eastAsia="华文中宋" w:cs="华文中宋"/>
          <w:sz w:val="24"/>
        </w:rPr>
      </w:pPr>
    </w:p>
    <w:p w14:paraId="4F72AC4F">
      <w:pPr>
        <w:pStyle w:val="19"/>
        <w:jc w:val="center"/>
        <w:rPr>
          <w:rFonts w:hint="eastAsia" w:ascii="华文中宋" w:hAnsi="华文中宋" w:eastAsia="华文中宋" w:cs="华文中宋"/>
          <w:sz w:val="24"/>
          <w:szCs w:val="24"/>
        </w:rPr>
      </w:pPr>
      <w:r>
        <w:rPr>
          <w:rFonts w:hint="eastAsia" w:ascii="华文中宋" w:hAnsi="华文中宋" w:eastAsia="华文中宋" w:cs="华文中宋"/>
          <w:sz w:val="24"/>
          <w:szCs w:val="24"/>
        </w:rPr>
        <w:t>承诺书</w:t>
      </w:r>
    </w:p>
    <w:p w14:paraId="13D21FF4">
      <w:pPr>
        <w:pStyle w:val="19"/>
        <w:jc w:val="center"/>
        <w:rPr>
          <w:rFonts w:hint="eastAsia" w:ascii="华文中宋" w:hAnsi="华文中宋" w:eastAsia="华文中宋" w:cs="华文中宋"/>
          <w:sz w:val="24"/>
          <w:szCs w:val="24"/>
        </w:rPr>
      </w:pPr>
    </w:p>
    <w:p w14:paraId="66996727">
      <w:pPr>
        <w:spacing w:line="360" w:lineRule="auto"/>
        <w:ind w:firstLine="480"/>
        <w:rPr>
          <w:rFonts w:hint="eastAsia" w:ascii="华文中宋" w:hAnsi="华文中宋" w:eastAsia="华文中宋" w:cs="华文中宋"/>
          <w:kern w:val="0"/>
          <w:sz w:val="24"/>
        </w:rPr>
      </w:pPr>
      <w:r>
        <w:rPr>
          <w:rFonts w:hint="eastAsia" w:ascii="华文中宋" w:hAnsi="华文中宋" w:eastAsia="华文中宋" w:cs="华文中宋"/>
          <w:sz w:val="24"/>
        </w:rPr>
        <w:t>我公司参加贵方组织的</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项目采购活动</w:t>
      </w:r>
      <w:r>
        <w:rPr>
          <w:rFonts w:hint="eastAsia" w:ascii="华文中宋" w:hAnsi="华文中宋" w:eastAsia="华文中宋" w:cs="华文中宋"/>
          <w:kern w:val="0"/>
          <w:sz w:val="24"/>
        </w:rPr>
        <w:t>，依据采购文件相关规定，郑重承诺：本公司具有良好的商业信誉和健全的财务会计制度，符合本项目采购文件规定的供应商资格要求。</w:t>
      </w:r>
    </w:p>
    <w:p w14:paraId="38E0E802">
      <w:pPr>
        <w:spacing w:line="360" w:lineRule="auto"/>
        <w:ind w:firstLine="480"/>
        <w:rPr>
          <w:rFonts w:hint="eastAsia" w:ascii="华文中宋" w:hAnsi="华文中宋" w:eastAsia="华文中宋" w:cs="华文中宋"/>
          <w:kern w:val="0"/>
          <w:sz w:val="24"/>
        </w:rPr>
      </w:pPr>
      <w:r>
        <w:rPr>
          <w:rFonts w:hint="eastAsia" w:ascii="华文中宋" w:hAnsi="华文中宋" w:eastAsia="华文中宋" w:cs="华文中宋"/>
          <w:kern w:val="0"/>
          <w:sz w:val="24"/>
        </w:rPr>
        <w:t>如有虚假或隐瞒，我方愿意承担一切后果，并不再寻求任何旨在减轻或免除法律责任的辩解。</w:t>
      </w:r>
    </w:p>
    <w:p w14:paraId="47973C74">
      <w:pPr>
        <w:tabs>
          <w:tab w:val="left" w:pos="5580"/>
        </w:tabs>
        <w:spacing w:line="360" w:lineRule="auto"/>
        <w:ind w:firstLine="480"/>
        <w:rPr>
          <w:rFonts w:hint="eastAsia" w:ascii="华文中宋" w:hAnsi="华文中宋" w:eastAsia="华文中宋" w:cs="华文中宋"/>
          <w:b/>
          <w:sz w:val="24"/>
        </w:rPr>
      </w:pPr>
      <w:r>
        <w:rPr>
          <w:rFonts w:hint="eastAsia" w:ascii="华文中宋" w:hAnsi="华文中宋" w:eastAsia="华文中宋" w:cs="华文中宋"/>
          <w:kern w:val="0"/>
          <w:sz w:val="24"/>
        </w:rPr>
        <w:t>特此承诺！</w:t>
      </w:r>
    </w:p>
    <w:p w14:paraId="00188F2C">
      <w:pPr>
        <w:spacing w:line="360" w:lineRule="auto"/>
        <w:ind w:left="420" w:leftChars="200"/>
        <w:rPr>
          <w:rFonts w:hint="eastAsia" w:ascii="华文中宋" w:hAnsi="华文中宋" w:eastAsia="华文中宋" w:cs="华文中宋"/>
          <w:sz w:val="24"/>
        </w:rPr>
      </w:pPr>
    </w:p>
    <w:p w14:paraId="57ED816C">
      <w:pPr>
        <w:pStyle w:val="13"/>
        <w:ind w:firstLine="480"/>
        <w:rPr>
          <w:rFonts w:hint="eastAsia" w:ascii="华文中宋" w:hAnsi="华文中宋" w:eastAsia="华文中宋" w:cs="华文中宋"/>
        </w:rPr>
      </w:pPr>
    </w:p>
    <w:p w14:paraId="73DEFB66">
      <w:pPr>
        <w:tabs>
          <w:tab w:val="left" w:pos="5580"/>
        </w:tabs>
        <w:spacing w:line="360" w:lineRule="auto"/>
        <w:ind w:left="540" w:leftChars="257" w:firstLine="2222" w:firstLineChars="926"/>
        <w:rPr>
          <w:rFonts w:hint="eastAsia" w:ascii="华文中宋" w:hAnsi="华文中宋" w:eastAsia="华文中宋" w:cs="华文中宋"/>
          <w:sz w:val="24"/>
          <w:szCs w:val="21"/>
        </w:rPr>
      </w:pPr>
      <w:r>
        <w:rPr>
          <w:rFonts w:hint="eastAsia" w:ascii="华文中宋" w:hAnsi="华文中宋" w:eastAsia="华文中宋" w:cs="华文中宋"/>
          <w:sz w:val="24"/>
          <w:szCs w:val="21"/>
        </w:rPr>
        <w:t>投标供应商（加盖公章）：</w:t>
      </w:r>
      <w:r>
        <w:rPr>
          <w:rFonts w:hint="eastAsia" w:ascii="华文中宋" w:hAnsi="华文中宋" w:eastAsia="华文中宋" w:cs="华文中宋"/>
          <w:sz w:val="24"/>
          <w:szCs w:val="21"/>
          <w:u w:val="single"/>
        </w:rPr>
        <w:t xml:space="preserve">                       </w:t>
      </w:r>
    </w:p>
    <w:p w14:paraId="4631D030">
      <w:pPr>
        <w:spacing w:line="360" w:lineRule="auto"/>
        <w:ind w:firstLine="5040" w:firstLineChars="2100"/>
        <w:jc w:val="left"/>
        <w:rPr>
          <w:rFonts w:hint="eastAsia" w:ascii="华文中宋" w:hAnsi="华文中宋" w:eastAsia="华文中宋" w:cs="华文中宋"/>
          <w:sz w:val="24"/>
          <w:szCs w:val="21"/>
          <w:u w:val="single"/>
        </w:rPr>
      </w:pPr>
      <w:r>
        <w:rPr>
          <w:rFonts w:hint="eastAsia" w:ascii="华文中宋" w:hAnsi="华文中宋" w:eastAsia="华文中宋" w:cs="华文中宋"/>
          <w:sz w:val="24"/>
          <w:szCs w:val="21"/>
        </w:rPr>
        <w:t>日期：</w:t>
      </w:r>
      <w:r>
        <w:rPr>
          <w:rFonts w:hint="eastAsia" w:ascii="华文中宋" w:hAnsi="华文中宋" w:eastAsia="华文中宋" w:cs="华文中宋"/>
          <w:sz w:val="24"/>
          <w:szCs w:val="21"/>
          <w:u w:val="single"/>
        </w:rPr>
        <w:t xml:space="preserve">                 </w:t>
      </w:r>
    </w:p>
    <w:p w14:paraId="4CF8B571">
      <w:pPr>
        <w:pStyle w:val="19"/>
        <w:rPr>
          <w:rFonts w:hint="eastAsia" w:ascii="华文中宋" w:hAnsi="华文中宋" w:eastAsia="华文中宋" w:cs="华文中宋"/>
          <w:sz w:val="24"/>
          <w:u w:val="single"/>
        </w:rPr>
      </w:pPr>
    </w:p>
    <w:p w14:paraId="5D92DE21">
      <w:pPr>
        <w:pStyle w:val="19"/>
        <w:rPr>
          <w:rFonts w:hint="eastAsia" w:ascii="华文中宋" w:hAnsi="华文中宋" w:eastAsia="华文中宋" w:cs="华文中宋"/>
          <w:sz w:val="24"/>
          <w:u w:val="single"/>
        </w:rPr>
      </w:pPr>
    </w:p>
    <w:p w14:paraId="35105D2E">
      <w:pPr>
        <w:pStyle w:val="19"/>
        <w:rPr>
          <w:rFonts w:hint="eastAsia" w:ascii="华文中宋" w:hAnsi="华文中宋" w:eastAsia="华文中宋" w:cs="华文中宋"/>
          <w:sz w:val="24"/>
          <w:u w:val="single"/>
        </w:rPr>
      </w:pPr>
    </w:p>
    <w:p w14:paraId="27B013C8">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（五）有依法缴纳税收和社会保障资金的良好记录</w:t>
      </w:r>
    </w:p>
    <w:p w14:paraId="114D5F26">
      <w:pPr>
        <w:spacing w:line="360" w:lineRule="auto"/>
        <w:ind w:firstLine="480"/>
        <w:jc w:val="center"/>
        <w:rPr>
          <w:rFonts w:hint="eastAsia" w:ascii="华文中宋" w:hAnsi="华文中宋" w:eastAsia="华文中宋" w:cs="华文中宋"/>
          <w:sz w:val="24"/>
        </w:rPr>
      </w:pPr>
      <w:r>
        <w:rPr>
          <w:rFonts w:hint="eastAsia" w:ascii="华文中宋" w:hAnsi="华文中宋" w:eastAsia="华文中宋" w:cs="华文中宋"/>
          <w:sz w:val="24"/>
        </w:rPr>
        <w:t>承诺书</w:t>
      </w:r>
    </w:p>
    <w:p w14:paraId="10DA1BEC">
      <w:pPr>
        <w:spacing w:line="360" w:lineRule="auto"/>
        <w:ind w:firstLine="480"/>
        <w:rPr>
          <w:rFonts w:hint="eastAsia" w:ascii="华文中宋" w:hAnsi="华文中宋" w:eastAsia="华文中宋" w:cs="华文中宋"/>
          <w:kern w:val="0"/>
          <w:sz w:val="24"/>
        </w:rPr>
      </w:pPr>
      <w:r>
        <w:rPr>
          <w:rFonts w:hint="eastAsia" w:ascii="华文中宋" w:hAnsi="华文中宋" w:eastAsia="华文中宋" w:cs="华文中宋"/>
          <w:sz w:val="24"/>
        </w:rPr>
        <w:t>我公司参加贵方组织的</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项目采购活动</w:t>
      </w:r>
      <w:r>
        <w:rPr>
          <w:rFonts w:hint="eastAsia" w:ascii="华文中宋" w:hAnsi="华文中宋" w:eastAsia="华文中宋" w:cs="华文中宋"/>
          <w:kern w:val="0"/>
          <w:sz w:val="24"/>
        </w:rPr>
        <w:t>，依据采购文件相关规定，郑重承诺：本公司具</w:t>
      </w:r>
      <w:r>
        <w:rPr>
          <w:rFonts w:hint="eastAsia" w:ascii="华文中宋" w:hAnsi="华文中宋" w:eastAsia="华文中宋" w:cs="华文中宋"/>
          <w:sz w:val="24"/>
        </w:rPr>
        <w:t>有依法缴纳税收和社会保障资金的良好记录</w:t>
      </w:r>
      <w:r>
        <w:rPr>
          <w:rFonts w:hint="eastAsia" w:ascii="华文中宋" w:hAnsi="华文中宋" w:eastAsia="华文中宋" w:cs="华文中宋"/>
          <w:kern w:val="0"/>
          <w:sz w:val="24"/>
        </w:rPr>
        <w:t>，符合本项目采购文件规定的供应商资格要求。</w:t>
      </w:r>
    </w:p>
    <w:p w14:paraId="3DE20241">
      <w:pPr>
        <w:spacing w:line="360" w:lineRule="auto"/>
        <w:ind w:firstLine="480"/>
        <w:rPr>
          <w:rFonts w:hint="eastAsia" w:ascii="华文中宋" w:hAnsi="华文中宋" w:eastAsia="华文中宋" w:cs="华文中宋"/>
          <w:kern w:val="0"/>
          <w:sz w:val="24"/>
        </w:rPr>
      </w:pPr>
      <w:r>
        <w:rPr>
          <w:rFonts w:hint="eastAsia" w:ascii="华文中宋" w:hAnsi="华文中宋" w:eastAsia="华文中宋" w:cs="华文中宋"/>
          <w:kern w:val="0"/>
          <w:sz w:val="24"/>
        </w:rPr>
        <w:t>如有虚假或隐瞒，我方愿意承担一切后果，并不再寻求任何旨在减轻或免除法律责任的辩解。</w:t>
      </w:r>
    </w:p>
    <w:p w14:paraId="5D5D610C">
      <w:pPr>
        <w:tabs>
          <w:tab w:val="left" w:pos="5580"/>
        </w:tabs>
        <w:spacing w:line="360" w:lineRule="auto"/>
        <w:ind w:firstLine="480"/>
        <w:rPr>
          <w:rFonts w:hint="eastAsia" w:ascii="华文中宋" w:hAnsi="华文中宋" w:eastAsia="华文中宋" w:cs="华文中宋"/>
          <w:b/>
          <w:sz w:val="24"/>
        </w:rPr>
      </w:pPr>
      <w:r>
        <w:rPr>
          <w:rFonts w:hint="eastAsia" w:ascii="华文中宋" w:hAnsi="华文中宋" w:eastAsia="华文中宋" w:cs="华文中宋"/>
          <w:kern w:val="0"/>
          <w:sz w:val="24"/>
        </w:rPr>
        <w:t>特此承诺！</w:t>
      </w:r>
    </w:p>
    <w:p w14:paraId="2346AA65">
      <w:pPr>
        <w:spacing w:line="360" w:lineRule="auto"/>
        <w:ind w:left="420" w:leftChars="200"/>
        <w:rPr>
          <w:rFonts w:hint="eastAsia" w:ascii="华文中宋" w:hAnsi="华文中宋" w:eastAsia="华文中宋" w:cs="华文中宋"/>
          <w:sz w:val="24"/>
        </w:rPr>
      </w:pPr>
    </w:p>
    <w:p w14:paraId="746F34F7">
      <w:pPr>
        <w:pStyle w:val="13"/>
        <w:ind w:firstLine="480"/>
        <w:rPr>
          <w:rFonts w:hint="eastAsia" w:ascii="华文中宋" w:hAnsi="华文中宋" w:eastAsia="华文中宋" w:cs="华文中宋"/>
        </w:rPr>
      </w:pPr>
    </w:p>
    <w:p w14:paraId="140EC412">
      <w:pPr>
        <w:tabs>
          <w:tab w:val="left" w:pos="5580"/>
        </w:tabs>
        <w:spacing w:line="360" w:lineRule="auto"/>
        <w:ind w:left="540" w:leftChars="257" w:firstLine="2942" w:firstLineChars="1226"/>
        <w:rPr>
          <w:rFonts w:hint="eastAsia" w:ascii="华文中宋" w:hAnsi="华文中宋" w:eastAsia="华文中宋" w:cs="华文中宋"/>
          <w:sz w:val="24"/>
          <w:szCs w:val="21"/>
          <w:u w:val="single"/>
        </w:rPr>
      </w:pPr>
      <w:r>
        <w:rPr>
          <w:rFonts w:hint="eastAsia" w:ascii="华文中宋" w:hAnsi="华文中宋" w:eastAsia="华文中宋" w:cs="华文中宋"/>
          <w:sz w:val="24"/>
          <w:szCs w:val="21"/>
        </w:rPr>
        <w:t>投标供应商（加盖公章）：</w:t>
      </w:r>
      <w:r>
        <w:rPr>
          <w:rFonts w:hint="eastAsia" w:ascii="华文中宋" w:hAnsi="华文中宋" w:eastAsia="华文中宋" w:cs="华文中宋"/>
          <w:sz w:val="24"/>
          <w:szCs w:val="21"/>
          <w:u w:val="single"/>
        </w:rPr>
        <w:t xml:space="preserve">                       </w:t>
      </w:r>
    </w:p>
    <w:p w14:paraId="65FEAB22">
      <w:pPr>
        <w:pStyle w:val="19"/>
        <w:tabs>
          <w:tab w:val="left" w:pos="5580"/>
        </w:tabs>
        <w:spacing w:line="360" w:lineRule="auto"/>
        <w:ind w:firstLine="5280" w:firstLineChars="2200"/>
        <w:rPr>
          <w:rFonts w:hint="eastAsia" w:ascii="华文中宋" w:hAnsi="华文中宋" w:eastAsia="华文中宋" w:cs="华文中宋"/>
          <w:b/>
        </w:rPr>
      </w:pPr>
      <w:r>
        <w:rPr>
          <w:rFonts w:hint="eastAsia" w:ascii="华文中宋" w:hAnsi="华文中宋" w:eastAsia="华文中宋" w:cs="华文中宋"/>
          <w:sz w:val="24"/>
        </w:rPr>
        <w:t xml:space="preserve">日期：   </w:t>
      </w:r>
      <w:r>
        <w:rPr>
          <w:rFonts w:hint="eastAsia" w:ascii="华文中宋" w:hAnsi="华文中宋" w:eastAsia="华文中宋" w:cs="华文中宋"/>
          <w:u w:val="single"/>
        </w:rPr>
        <w:t xml:space="preserve">              </w:t>
      </w:r>
    </w:p>
    <w:p w14:paraId="708FD989">
      <w:pPr>
        <w:spacing w:line="360" w:lineRule="auto"/>
        <w:jc w:val="left"/>
        <w:rPr>
          <w:rFonts w:hint="eastAsia" w:ascii="华文中宋" w:hAnsi="华文中宋" w:eastAsia="华文中宋" w:cs="华文中宋"/>
        </w:rPr>
      </w:pPr>
    </w:p>
    <w:p w14:paraId="74987772">
      <w:pPr>
        <w:spacing w:line="360" w:lineRule="auto"/>
        <w:rPr>
          <w:rFonts w:hint="eastAsia" w:ascii="华文中宋" w:hAnsi="华文中宋" w:eastAsia="华文中宋" w:cs="华文中宋"/>
          <w:b/>
          <w:spacing w:val="20"/>
          <w:sz w:val="24"/>
        </w:rPr>
      </w:pPr>
      <w:r>
        <w:rPr>
          <w:rFonts w:hint="eastAsia" w:ascii="华文中宋" w:hAnsi="华文中宋" w:eastAsia="华文中宋" w:cs="华文中宋"/>
          <w:b/>
          <w:sz w:val="24"/>
        </w:rPr>
        <w:t>（六）参加政府采购活动前三年，在经营活动中没有重大违法记录</w:t>
      </w:r>
    </w:p>
    <w:p w14:paraId="043D5F1F">
      <w:pPr>
        <w:spacing w:line="360" w:lineRule="auto"/>
        <w:ind w:firstLine="560"/>
        <w:jc w:val="center"/>
        <w:rPr>
          <w:rFonts w:hint="eastAsia" w:ascii="华文中宋" w:hAnsi="华文中宋" w:eastAsia="华文中宋" w:cs="华文中宋"/>
          <w:b/>
          <w:spacing w:val="20"/>
          <w:sz w:val="24"/>
        </w:rPr>
      </w:pPr>
    </w:p>
    <w:p w14:paraId="4021D52A">
      <w:pPr>
        <w:pStyle w:val="25"/>
        <w:widowControl w:val="0"/>
        <w:adjustRightInd w:val="0"/>
        <w:snapToGrid w:val="0"/>
        <w:spacing w:before="0" w:beforeAutospacing="0" w:after="0" w:afterAutospacing="0" w:line="360" w:lineRule="auto"/>
        <w:ind w:firstLine="560"/>
        <w:jc w:val="center"/>
        <w:rPr>
          <w:rFonts w:hint="eastAsia" w:ascii="华文中宋" w:hAnsi="华文中宋" w:eastAsia="华文中宋" w:cs="华文中宋"/>
          <w:b/>
          <w:spacing w:val="20"/>
        </w:rPr>
      </w:pPr>
      <w:r>
        <w:rPr>
          <w:rFonts w:hint="eastAsia" w:ascii="华文中宋" w:hAnsi="华文中宋" w:eastAsia="华文中宋" w:cs="华文中宋"/>
          <w:b/>
          <w:spacing w:val="20"/>
        </w:rPr>
        <w:t>承诺书</w:t>
      </w:r>
    </w:p>
    <w:p w14:paraId="35A68131">
      <w:pPr>
        <w:pStyle w:val="25"/>
        <w:widowControl w:val="0"/>
        <w:adjustRightInd w:val="0"/>
        <w:snapToGrid w:val="0"/>
        <w:spacing w:before="0" w:beforeAutospacing="0" w:after="0" w:afterAutospacing="0" w:line="360" w:lineRule="auto"/>
        <w:ind w:firstLine="560"/>
        <w:jc w:val="center"/>
        <w:rPr>
          <w:rFonts w:hint="eastAsia" w:ascii="华文中宋" w:hAnsi="华文中宋" w:eastAsia="华文中宋" w:cs="华文中宋"/>
          <w:b/>
          <w:spacing w:val="20"/>
        </w:rPr>
      </w:pPr>
    </w:p>
    <w:p w14:paraId="1EAA7B81">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本投标供应商现参与项目</w:t>
      </w:r>
      <w:r>
        <w:rPr>
          <w:rFonts w:hint="eastAsia" w:ascii="华文中宋" w:hAnsi="华文中宋" w:eastAsia="华文中宋" w:cs="华文中宋"/>
          <w:u w:val="single"/>
        </w:rPr>
        <w:t xml:space="preserve">        </w:t>
      </w:r>
      <w:r>
        <w:rPr>
          <w:rFonts w:hint="eastAsia" w:ascii="华文中宋" w:hAnsi="华文中宋" w:eastAsia="华文中宋" w:cs="华文中宋"/>
        </w:rPr>
        <w:t>（项目编号：</w:t>
      </w:r>
      <w:r>
        <w:rPr>
          <w:rFonts w:hint="eastAsia" w:ascii="华文中宋" w:hAnsi="华文中宋" w:eastAsia="华文中宋" w:cs="华文中宋"/>
          <w:u w:val="single"/>
        </w:rPr>
        <w:t xml:space="preserve">           </w:t>
      </w:r>
      <w:r>
        <w:rPr>
          <w:rFonts w:hint="eastAsia" w:ascii="华文中宋" w:hAnsi="华文中宋" w:eastAsia="华文中宋" w:cs="华文中宋"/>
        </w:rPr>
        <w:t>包号：</w:t>
      </w:r>
      <w:r>
        <w:rPr>
          <w:rFonts w:hint="eastAsia" w:ascii="华文中宋" w:hAnsi="华文中宋" w:eastAsia="华文中宋" w:cs="华文中宋"/>
          <w:u w:val="single"/>
        </w:rPr>
        <w:t xml:space="preserve">   </w:t>
      </w:r>
      <w:r>
        <w:rPr>
          <w:rFonts w:hint="eastAsia" w:ascii="华文中宋" w:hAnsi="华文中宋" w:eastAsia="华文中宋" w:cs="华文中宋"/>
        </w:rPr>
        <w:t>）的采购活动，在参加本次政府采购活动前三年内，在经营活动中没有重大违法记录（因违法经营受到刑事处罚或者责令停产停业、吊销许可证或者执照、较大数额罚款等行政处罚。），在投标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14:paraId="57034BA2">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如上述声明不真实，愿意按照政府采购有关法律法规的规定接受处罚。</w:t>
      </w:r>
    </w:p>
    <w:p w14:paraId="7B01C7DE">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rPr>
        <w:t>特此声明</w:t>
      </w:r>
    </w:p>
    <w:p w14:paraId="461DB3DE">
      <w:pPr>
        <w:spacing w:line="360" w:lineRule="auto"/>
        <w:ind w:left="360" w:hanging="360" w:hangingChars="150"/>
        <w:rPr>
          <w:rFonts w:hint="eastAsia" w:ascii="华文中宋" w:hAnsi="华文中宋" w:eastAsia="华文中宋" w:cs="华文中宋"/>
          <w:sz w:val="24"/>
        </w:rPr>
      </w:pPr>
      <w:r>
        <w:rPr>
          <w:rFonts w:hint="eastAsia" w:ascii="华文中宋" w:hAnsi="华文中宋" w:eastAsia="华文中宋" w:cs="华文中宋"/>
          <w:sz w:val="24"/>
        </w:rPr>
        <w:t xml:space="preserve">                             投标供应商：（</w:t>
      </w:r>
      <w:r>
        <w:rPr>
          <w:rFonts w:hint="eastAsia" w:ascii="华文中宋" w:hAnsi="华文中宋" w:eastAsia="华文中宋" w:cs="华文中宋"/>
          <w:spacing w:val="20"/>
          <w:sz w:val="24"/>
        </w:rPr>
        <w:t>加盖公章</w:t>
      </w:r>
      <w:r>
        <w:rPr>
          <w:rFonts w:hint="eastAsia" w:ascii="华文中宋" w:hAnsi="华文中宋" w:eastAsia="华文中宋" w:cs="华文中宋"/>
          <w:sz w:val="24"/>
        </w:rPr>
        <w:t>）</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 xml:space="preserve">                             </w:t>
      </w:r>
    </w:p>
    <w:p w14:paraId="1DB6EBDE">
      <w:pPr>
        <w:pStyle w:val="19"/>
        <w:wordWrap w:val="0"/>
        <w:jc w:val="center"/>
        <w:rPr>
          <w:rFonts w:hint="eastAsia" w:ascii="华文中宋" w:hAnsi="华文中宋" w:eastAsia="华文中宋" w:cs="华文中宋"/>
          <w:sz w:val="24"/>
          <w:szCs w:val="24"/>
        </w:rPr>
      </w:pPr>
      <w:r>
        <w:rPr>
          <w:rFonts w:hint="eastAsia" w:ascii="华文中宋" w:hAnsi="华文中宋" w:eastAsia="华文中宋" w:cs="华文中宋"/>
          <w:sz w:val="24"/>
          <w:szCs w:val="24"/>
        </w:rPr>
        <w:t xml:space="preserve">                 日期：</w:t>
      </w: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rPr>
        <w:t xml:space="preserve">       </w:t>
      </w:r>
    </w:p>
    <w:p w14:paraId="029F8704">
      <w:pPr>
        <w:pStyle w:val="11"/>
        <w:ind w:left="0" w:leftChars="0"/>
        <w:rPr>
          <w:rFonts w:hint="eastAsia" w:ascii="华文中宋" w:hAnsi="华文中宋" w:eastAsia="华文中宋" w:cs="华文中宋"/>
        </w:rPr>
      </w:pPr>
    </w:p>
    <w:p w14:paraId="2B947249">
      <w:pPr>
        <w:pStyle w:val="11"/>
        <w:rPr>
          <w:rFonts w:hint="eastAsia" w:ascii="华文中宋" w:hAnsi="华文中宋" w:eastAsia="华文中宋" w:cs="华文中宋"/>
        </w:rPr>
      </w:pPr>
    </w:p>
    <w:p w14:paraId="08DF9701">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（七）具有独立承担民事责任的能力</w:t>
      </w:r>
    </w:p>
    <w:p w14:paraId="6A178ABA">
      <w:pPr>
        <w:spacing w:line="360" w:lineRule="auto"/>
        <w:ind w:firstLine="480"/>
        <w:jc w:val="center"/>
        <w:rPr>
          <w:rFonts w:hint="eastAsia" w:ascii="华文中宋" w:hAnsi="华文中宋" w:eastAsia="华文中宋" w:cs="华文中宋"/>
          <w:sz w:val="24"/>
        </w:rPr>
      </w:pPr>
      <w:r>
        <w:rPr>
          <w:rFonts w:hint="eastAsia" w:ascii="华文中宋" w:hAnsi="华文中宋" w:eastAsia="华文中宋" w:cs="华文中宋"/>
          <w:sz w:val="24"/>
        </w:rPr>
        <w:t>承诺书</w:t>
      </w:r>
    </w:p>
    <w:p w14:paraId="7DFC8948">
      <w:pPr>
        <w:spacing w:line="360" w:lineRule="auto"/>
        <w:ind w:firstLine="480"/>
        <w:rPr>
          <w:rFonts w:hint="eastAsia" w:ascii="华文中宋" w:hAnsi="华文中宋" w:eastAsia="华文中宋" w:cs="华文中宋"/>
          <w:kern w:val="0"/>
          <w:sz w:val="24"/>
        </w:rPr>
      </w:pPr>
      <w:r>
        <w:rPr>
          <w:rFonts w:hint="eastAsia" w:ascii="华文中宋" w:hAnsi="华文中宋" w:eastAsia="华文中宋" w:cs="华文中宋"/>
          <w:sz w:val="24"/>
        </w:rPr>
        <w:t>我公司参加贵方组织的</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项目采购活动</w:t>
      </w:r>
      <w:r>
        <w:rPr>
          <w:rFonts w:hint="eastAsia" w:ascii="华文中宋" w:hAnsi="华文中宋" w:eastAsia="华文中宋" w:cs="华文中宋"/>
          <w:kern w:val="0"/>
          <w:sz w:val="24"/>
        </w:rPr>
        <w:t>，依据采购文件相关规定，郑重承诺：本公司具有有效的营业执照或事业单位法人证书或其他非企业组织证明，证件号为：</w:t>
      </w:r>
      <w:r>
        <w:rPr>
          <w:rFonts w:hint="eastAsia" w:ascii="华文中宋" w:hAnsi="华文中宋" w:eastAsia="华文中宋" w:cs="华文中宋"/>
          <w:kern w:val="0"/>
          <w:sz w:val="24"/>
          <w:u w:val="single"/>
        </w:rPr>
        <w:t xml:space="preserve">           </w:t>
      </w:r>
      <w:r>
        <w:rPr>
          <w:rFonts w:hint="eastAsia" w:ascii="华文中宋" w:hAnsi="华文中宋" w:eastAsia="华文中宋" w:cs="华文中宋"/>
          <w:kern w:val="0"/>
          <w:sz w:val="24"/>
        </w:rPr>
        <w:t>，基本开户行为：</w:t>
      </w:r>
      <w:r>
        <w:rPr>
          <w:rFonts w:hint="eastAsia" w:ascii="华文中宋" w:hAnsi="华文中宋" w:eastAsia="华文中宋" w:cs="华文中宋"/>
          <w:kern w:val="0"/>
          <w:sz w:val="24"/>
          <w:u w:val="single"/>
        </w:rPr>
        <w:t xml:space="preserve">           </w:t>
      </w:r>
      <w:r>
        <w:rPr>
          <w:rFonts w:hint="eastAsia" w:ascii="华文中宋" w:hAnsi="华文中宋" w:eastAsia="华文中宋" w:cs="华文中宋"/>
          <w:kern w:val="0"/>
          <w:sz w:val="24"/>
        </w:rPr>
        <w:t>，账户号码为：</w:t>
      </w:r>
      <w:r>
        <w:rPr>
          <w:rFonts w:hint="eastAsia" w:ascii="华文中宋" w:hAnsi="华文中宋" w:eastAsia="华文中宋" w:cs="华文中宋"/>
          <w:kern w:val="0"/>
          <w:sz w:val="24"/>
          <w:u w:val="single"/>
        </w:rPr>
        <w:t xml:space="preserve">            </w:t>
      </w:r>
      <w:r>
        <w:rPr>
          <w:rFonts w:hint="eastAsia" w:ascii="华文中宋" w:hAnsi="华文中宋" w:eastAsia="华文中宋" w:cs="华文中宋"/>
          <w:kern w:val="0"/>
          <w:sz w:val="24"/>
        </w:rPr>
        <w:t>，具有独立承担民事责任的能力，符合本项目采购文件规定的供应商资格要求。</w:t>
      </w:r>
    </w:p>
    <w:p w14:paraId="1C036106">
      <w:pPr>
        <w:spacing w:line="360" w:lineRule="auto"/>
        <w:ind w:firstLine="480"/>
        <w:rPr>
          <w:rFonts w:hint="eastAsia" w:ascii="华文中宋" w:hAnsi="华文中宋" w:eastAsia="华文中宋" w:cs="华文中宋"/>
          <w:kern w:val="0"/>
          <w:sz w:val="24"/>
        </w:rPr>
      </w:pPr>
      <w:r>
        <w:rPr>
          <w:rFonts w:hint="eastAsia" w:ascii="华文中宋" w:hAnsi="华文中宋" w:eastAsia="华文中宋" w:cs="华文中宋"/>
          <w:kern w:val="0"/>
          <w:sz w:val="24"/>
        </w:rPr>
        <w:t>如有虚假或隐瞒，我方愿意承担一切后果，并不再寻求任何旨在减轻或免除法律责任的辩解。</w:t>
      </w:r>
    </w:p>
    <w:p w14:paraId="078435EF">
      <w:pPr>
        <w:spacing w:line="360" w:lineRule="auto"/>
        <w:ind w:firstLine="480"/>
        <w:rPr>
          <w:rFonts w:hint="eastAsia" w:ascii="华文中宋" w:hAnsi="华文中宋" w:eastAsia="华文中宋" w:cs="华文中宋"/>
          <w:kern w:val="0"/>
          <w:sz w:val="24"/>
        </w:rPr>
      </w:pPr>
      <w:r>
        <w:rPr>
          <w:rFonts w:hint="eastAsia" w:ascii="华文中宋" w:hAnsi="华文中宋" w:eastAsia="华文中宋" w:cs="华文中宋"/>
          <w:kern w:val="0"/>
          <w:sz w:val="24"/>
        </w:rPr>
        <w:t>特此承诺！</w:t>
      </w:r>
    </w:p>
    <w:p w14:paraId="51984B1D">
      <w:pPr>
        <w:pStyle w:val="19"/>
        <w:tabs>
          <w:tab w:val="left" w:pos="5580"/>
        </w:tabs>
        <w:spacing w:line="360" w:lineRule="auto"/>
        <w:rPr>
          <w:rFonts w:hint="eastAsia" w:ascii="华文中宋" w:hAnsi="华文中宋" w:eastAsia="华文中宋" w:cs="华文中宋"/>
          <w:b/>
          <w:bCs/>
        </w:rPr>
      </w:pPr>
    </w:p>
    <w:p w14:paraId="379B44EF">
      <w:pPr>
        <w:spacing w:line="360" w:lineRule="auto"/>
        <w:ind w:left="420" w:leftChars="200"/>
        <w:rPr>
          <w:rFonts w:hint="eastAsia" w:ascii="华文中宋" w:hAnsi="华文中宋" w:eastAsia="华文中宋" w:cs="华文中宋"/>
          <w:sz w:val="24"/>
        </w:rPr>
      </w:pPr>
    </w:p>
    <w:p w14:paraId="45149B50">
      <w:pPr>
        <w:spacing w:before="120"/>
        <w:ind w:firstLine="480"/>
        <w:rPr>
          <w:rFonts w:hint="eastAsia" w:ascii="华文中宋" w:hAnsi="华文中宋" w:eastAsia="华文中宋" w:cs="华文中宋"/>
          <w:sz w:val="24"/>
        </w:rPr>
      </w:pPr>
    </w:p>
    <w:p w14:paraId="6256A44E">
      <w:pPr>
        <w:tabs>
          <w:tab w:val="left" w:pos="5580"/>
        </w:tabs>
        <w:spacing w:line="360" w:lineRule="auto"/>
        <w:ind w:left="540" w:leftChars="257" w:firstLine="3902" w:firstLineChars="1626"/>
        <w:rPr>
          <w:rFonts w:hint="eastAsia" w:ascii="华文中宋" w:hAnsi="华文中宋" w:eastAsia="华文中宋" w:cs="华文中宋"/>
          <w:sz w:val="24"/>
          <w:szCs w:val="21"/>
        </w:rPr>
      </w:pPr>
      <w:r>
        <w:rPr>
          <w:rFonts w:hint="eastAsia" w:ascii="华文中宋" w:hAnsi="华文中宋" w:eastAsia="华文中宋" w:cs="华文中宋"/>
          <w:sz w:val="24"/>
          <w:szCs w:val="21"/>
        </w:rPr>
        <w:t>供应商（加盖公章）：</w:t>
      </w:r>
      <w:r>
        <w:rPr>
          <w:rFonts w:hint="eastAsia" w:ascii="华文中宋" w:hAnsi="华文中宋" w:eastAsia="华文中宋" w:cs="华文中宋"/>
          <w:sz w:val="24"/>
          <w:szCs w:val="21"/>
          <w:u w:val="single"/>
        </w:rPr>
        <w:t xml:space="preserve">                       </w:t>
      </w:r>
    </w:p>
    <w:p w14:paraId="180A27BA">
      <w:pPr>
        <w:spacing w:line="360" w:lineRule="auto"/>
        <w:ind w:firstLine="4560" w:firstLineChars="1900"/>
        <w:rPr>
          <w:rFonts w:hint="eastAsia" w:ascii="华文中宋" w:hAnsi="华文中宋" w:eastAsia="华文中宋" w:cs="华文中宋"/>
          <w:u w:val="single"/>
        </w:rPr>
      </w:pPr>
      <w:r>
        <w:rPr>
          <w:rFonts w:hint="eastAsia" w:ascii="华文中宋" w:hAnsi="华文中宋" w:eastAsia="华文中宋" w:cs="华文中宋"/>
          <w:sz w:val="24"/>
          <w:szCs w:val="21"/>
        </w:rPr>
        <w:t>日期：</w:t>
      </w:r>
      <w:r>
        <w:rPr>
          <w:rFonts w:hint="eastAsia" w:ascii="华文中宋" w:hAnsi="华文中宋" w:eastAsia="华文中宋" w:cs="华文中宋"/>
          <w:u w:val="single"/>
        </w:rPr>
        <w:t xml:space="preserve">                 </w:t>
      </w:r>
    </w:p>
    <w:p w14:paraId="24719771">
      <w:pPr>
        <w:pStyle w:val="19"/>
        <w:rPr>
          <w:rFonts w:hint="eastAsia" w:ascii="华文中宋" w:hAnsi="华文中宋" w:eastAsia="华文中宋" w:cs="华文中宋"/>
        </w:rPr>
      </w:pPr>
    </w:p>
    <w:p w14:paraId="019F91B5">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（八）保证金缴纳情况</w:t>
      </w:r>
    </w:p>
    <w:p w14:paraId="1DF9C386">
      <w:pPr>
        <w:pStyle w:val="15"/>
        <w:ind w:firstLine="561"/>
        <w:rPr>
          <w:rFonts w:hint="eastAsia" w:ascii="华文中宋" w:hAnsi="华文中宋" w:eastAsia="华文中宋" w:cs="华文中宋"/>
          <w:b/>
          <w:bCs/>
          <w:szCs w:val="24"/>
        </w:rPr>
      </w:pPr>
    </w:p>
    <w:p w14:paraId="4AD66904">
      <w:pPr>
        <w:spacing w:line="360" w:lineRule="auto"/>
        <w:rPr>
          <w:rFonts w:hint="eastAsia" w:ascii="华文中宋" w:hAnsi="华文中宋" w:eastAsia="华文中宋" w:cs="华文中宋"/>
          <w:b/>
          <w:color w:val="000000"/>
          <w:sz w:val="24"/>
          <w:szCs w:val="24"/>
          <w:highlight w:val="none"/>
          <w:lang w:val="en-US" w:eastAsia="zh-CN"/>
        </w:rPr>
      </w:pPr>
      <w:r>
        <w:rPr>
          <w:rFonts w:hint="eastAsia" w:ascii="华文中宋" w:hAnsi="华文中宋" w:eastAsia="华文中宋" w:cs="华文中宋"/>
          <w:b/>
          <w:color w:val="000000"/>
          <w:sz w:val="24"/>
          <w:szCs w:val="24"/>
          <w:highlight w:val="none"/>
          <w:lang w:val="en-US" w:eastAsia="zh-CN"/>
        </w:rPr>
        <w:t>（九）中小企业声明函</w:t>
      </w:r>
    </w:p>
    <w:p w14:paraId="3D60E356">
      <w:pPr>
        <w:pStyle w:val="21"/>
        <w:rPr>
          <w:rFonts w:hint="eastAsia" w:ascii="华文中宋" w:hAnsi="华文中宋" w:eastAsia="华文中宋" w:cs="华文中宋"/>
          <w:b/>
          <w:color w:val="auto"/>
          <w:szCs w:val="21"/>
        </w:rPr>
      </w:pPr>
    </w:p>
    <w:p w14:paraId="18217DBD">
      <w:pPr>
        <w:pStyle w:val="21"/>
        <w:rPr>
          <w:rFonts w:hint="eastAsia" w:ascii="华文中宋" w:hAnsi="华文中宋" w:eastAsia="华文中宋" w:cs="华文中宋"/>
          <w:b/>
          <w:color w:val="auto"/>
          <w:szCs w:val="21"/>
        </w:rPr>
      </w:pPr>
    </w:p>
    <w:p w14:paraId="49C3009A">
      <w:pPr>
        <w:tabs>
          <w:tab w:val="left" w:pos="1680"/>
        </w:tabs>
        <w:snapToGrid w:val="0"/>
        <w:spacing w:line="360" w:lineRule="auto"/>
        <w:jc w:val="center"/>
        <w:rPr>
          <w:rFonts w:hint="eastAsia"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中小企业声明函（</w:t>
      </w:r>
      <w:r>
        <w:rPr>
          <w:rFonts w:hint="eastAsia" w:ascii="华文中宋" w:hAnsi="华文中宋" w:eastAsia="华文中宋" w:cs="华文中宋"/>
          <w:b/>
          <w:color w:val="auto"/>
          <w:sz w:val="24"/>
          <w:highlight w:val="none"/>
          <w:lang w:val="en-US" w:eastAsia="zh-CN"/>
        </w:rPr>
        <w:t>货物</w:t>
      </w:r>
      <w:r>
        <w:rPr>
          <w:rFonts w:hint="eastAsia" w:ascii="华文中宋" w:hAnsi="华文中宋" w:eastAsia="华文中宋" w:cs="华文中宋"/>
          <w:b/>
          <w:color w:val="auto"/>
          <w:sz w:val="24"/>
          <w:highlight w:val="none"/>
        </w:rPr>
        <w:t>）</w:t>
      </w:r>
    </w:p>
    <w:p w14:paraId="6A5DAD69">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36FED279">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 xml:space="preserve">1. （ 标 的 名 称 ） ， 属于 （ 采 购 文 件 中 明 确 的 所 属 行 业  ） 行业；制造商为（企业名称），从业人员 </w:t>
      </w:r>
      <w:r>
        <w:rPr>
          <w:rFonts w:hint="eastAsia" w:ascii="华文中宋" w:hAnsi="华文中宋" w:eastAsia="华文中宋" w:cs="华文中宋"/>
          <w:color w:val="000000" w:themeColor="text1"/>
          <w:sz w:val="24"/>
          <w:szCs w:val="24"/>
          <w14:textFill>
            <w14:solidFill>
              <w14:schemeClr w14:val="tx1"/>
            </w14:solidFill>
          </w14:textFill>
        </w:rPr>
        <w:tab/>
      </w:r>
      <w:r>
        <w:rPr>
          <w:rFonts w:hint="eastAsia" w:ascii="华文中宋" w:hAnsi="华文中宋" w:eastAsia="华文中宋" w:cs="华文中宋"/>
          <w:color w:val="000000" w:themeColor="text1"/>
          <w:sz w:val="24"/>
          <w:szCs w:val="24"/>
          <w14:textFill>
            <w14:solidFill>
              <w14:schemeClr w14:val="tx1"/>
            </w14:solidFill>
          </w14:textFill>
        </w:rPr>
        <w:t xml:space="preserve">人，营业收入为 </w:t>
      </w:r>
      <w:r>
        <w:rPr>
          <w:rFonts w:hint="eastAsia" w:ascii="华文中宋" w:hAnsi="华文中宋" w:eastAsia="华文中宋" w:cs="华文中宋"/>
          <w:color w:val="000000" w:themeColor="text1"/>
          <w:sz w:val="24"/>
          <w:szCs w:val="24"/>
          <w14:textFill>
            <w14:solidFill>
              <w14:schemeClr w14:val="tx1"/>
            </w14:solidFill>
          </w14:textFill>
        </w:rPr>
        <w:tab/>
      </w:r>
      <w:r>
        <w:rPr>
          <w:rFonts w:hint="eastAsia" w:ascii="华文中宋" w:hAnsi="华文中宋" w:eastAsia="华文中宋" w:cs="华文中宋"/>
          <w:color w:val="000000" w:themeColor="text1"/>
          <w:sz w:val="24"/>
          <w:szCs w:val="24"/>
          <w14:textFill>
            <w14:solidFill>
              <w14:schemeClr w14:val="tx1"/>
            </w14:solidFill>
          </w14:textFill>
        </w:rPr>
        <w:t xml:space="preserve">万元，资产总额为 </w:t>
      </w:r>
      <w:r>
        <w:rPr>
          <w:rFonts w:hint="eastAsia" w:ascii="华文中宋" w:hAnsi="华文中宋" w:eastAsia="华文中宋" w:cs="华文中宋"/>
          <w:color w:val="000000" w:themeColor="text1"/>
          <w:sz w:val="24"/>
          <w:szCs w:val="24"/>
          <w14:textFill>
            <w14:solidFill>
              <w14:schemeClr w14:val="tx1"/>
            </w14:solidFill>
          </w14:textFill>
        </w:rPr>
        <w:tab/>
      </w:r>
      <w:r>
        <w:rPr>
          <w:rFonts w:hint="eastAsia" w:ascii="华文中宋" w:hAnsi="华文中宋" w:eastAsia="华文中宋" w:cs="华文中宋"/>
          <w:color w:val="000000" w:themeColor="text1"/>
          <w:sz w:val="24"/>
          <w:szCs w:val="24"/>
          <w14:textFill>
            <w14:solidFill>
              <w14:schemeClr w14:val="tx1"/>
            </w14:solidFill>
          </w14:textFill>
        </w:rPr>
        <w:t>万元，属于（中型企业、小型企业、微型企业）；</w:t>
      </w:r>
    </w:p>
    <w:p w14:paraId="288B8B59">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 xml:space="preserve">2. （ 标 的 名 称 ） ， 属 于 （ 采 购 文 件 中 明 确 的 所 属 行 业 ） 行业；制造商为（企业名称），从业人员 </w:t>
      </w:r>
      <w:r>
        <w:rPr>
          <w:rFonts w:hint="eastAsia" w:ascii="华文中宋" w:hAnsi="华文中宋" w:eastAsia="华文中宋" w:cs="华文中宋"/>
          <w:color w:val="000000" w:themeColor="text1"/>
          <w:sz w:val="24"/>
          <w:szCs w:val="24"/>
          <w14:textFill>
            <w14:solidFill>
              <w14:schemeClr w14:val="tx1"/>
            </w14:solidFill>
          </w14:textFill>
        </w:rPr>
        <w:tab/>
      </w:r>
      <w:r>
        <w:rPr>
          <w:rFonts w:hint="eastAsia" w:ascii="华文中宋" w:hAnsi="华文中宋" w:eastAsia="华文中宋" w:cs="华文中宋"/>
          <w:color w:val="000000" w:themeColor="text1"/>
          <w:sz w:val="24"/>
          <w:szCs w:val="24"/>
          <w14:textFill>
            <w14:solidFill>
              <w14:schemeClr w14:val="tx1"/>
            </w14:solidFill>
          </w14:textFill>
        </w:rPr>
        <w:t xml:space="preserve">人，营业收入为 </w:t>
      </w:r>
      <w:r>
        <w:rPr>
          <w:rFonts w:hint="eastAsia" w:ascii="华文中宋" w:hAnsi="华文中宋" w:eastAsia="华文中宋" w:cs="华文中宋"/>
          <w:color w:val="000000" w:themeColor="text1"/>
          <w:sz w:val="24"/>
          <w:szCs w:val="24"/>
          <w14:textFill>
            <w14:solidFill>
              <w14:schemeClr w14:val="tx1"/>
            </w14:solidFill>
          </w14:textFill>
        </w:rPr>
        <w:tab/>
      </w:r>
      <w:r>
        <w:rPr>
          <w:rFonts w:hint="eastAsia" w:ascii="华文中宋" w:hAnsi="华文中宋" w:eastAsia="华文中宋" w:cs="华文中宋"/>
          <w:color w:val="000000" w:themeColor="text1"/>
          <w:sz w:val="24"/>
          <w:szCs w:val="24"/>
          <w14:textFill>
            <w14:solidFill>
              <w14:schemeClr w14:val="tx1"/>
            </w14:solidFill>
          </w14:textFill>
        </w:rPr>
        <w:t xml:space="preserve">万元，资产总额为 </w:t>
      </w:r>
      <w:r>
        <w:rPr>
          <w:rFonts w:hint="eastAsia" w:ascii="华文中宋" w:hAnsi="华文中宋" w:eastAsia="华文中宋" w:cs="华文中宋"/>
          <w:color w:val="000000" w:themeColor="text1"/>
          <w:sz w:val="24"/>
          <w:szCs w:val="24"/>
          <w14:textFill>
            <w14:solidFill>
              <w14:schemeClr w14:val="tx1"/>
            </w14:solidFill>
          </w14:textFill>
        </w:rPr>
        <w:tab/>
      </w:r>
      <w:r>
        <w:rPr>
          <w:rFonts w:hint="eastAsia" w:ascii="华文中宋" w:hAnsi="华文中宋" w:eastAsia="华文中宋" w:cs="华文中宋"/>
          <w:color w:val="000000" w:themeColor="text1"/>
          <w:sz w:val="24"/>
          <w:szCs w:val="24"/>
          <w14:textFill>
            <w14:solidFill>
              <w14:schemeClr w14:val="tx1"/>
            </w14:solidFill>
          </w14:textFill>
        </w:rPr>
        <w:t>万元，属于（中型企业、小型企业、微型企业）；</w:t>
      </w:r>
    </w:p>
    <w:p w14:paraId="326066C5">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w:t>
      </w:r>
    </w:p>
    <w:p w14:paraId="52D9E2B1">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14:paraId="7A1419DE">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本企业对上述声明内容的真实性负责。如有虚假，将依法承担相应责任。</w:t>
      </w:r>
    </w:p>
    <w:p w14:paraId="03887071">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从业人员、营业收入、资产总额填报上一年度数据，无上一年度数据的新成立企业可不填报。</w:t>
      </w:r>
    </w:p>
    <w:p w14:paraId="48275F68">
      <w:pPr>
        <w:spacing w:line="360" w:lineRule="auto"/>
        <w:rPr>
          <w:rFonts w:hint="eastAsia" w:ascii="华文中宋" w:hAnsi="华文中宋" w:eastAsia="华文中宋" w:cs="华文中宋"/>
          <w:color w:val="000000" w:themeColor="text1"/>
          <w:sz w:val="24"/>
          <w:szCs w:val="24"/>
          <w14:textFill>
            <w14:solidFill>
              <w14:schemeClr w14:val="tx1"/>
            </w14:solidFill>
          </w14:textFill>
        </w:rPr>
      </w:pPr>
    </w:p>
    <w:p w14:paraId="43B36740">
      <w:pPr>
        <w:spacing w:line="360" w:lineRule="auto"/>
        <w:rPr>
          <w:rFonts w:hint="eastAsia" w:ascii="华文中宋" w:hAnsi="华文中宋" w:eastAsia="华文中宋" w:cs="华文中宋"/>
          <w:color w:val="000000" w:themeColor="text1"/>
          <w:sz w:val="24"/>
          <w:szCs w:val="24"/>
          <w14:textFill>
            <w14:solidFill>
              <w14:schemeClr w14:val="tx1"/>
            </w14:solidFill>
          </w14:textFill>
        </w:rPr>
      </w:pPr>
    </w:p>
    <w:p w14:paraId="5BB2B9C4">
      <w:pPr>
        <w:spacing w:line="360" w:lineRule="auto"/>
        <w:jc w:val="center"/>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 xml:space="preserve">                                 企业名称（电子签章）：</w:t>
      </w:r>
    </w:p>
    <w:p w14:paraId="30E28FE0">
      <w:pPr>
        <w:spacing w:line="360" w:lineRule="auto"/>
        <w:jc w:val="right"/>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 xml:space="preserve">  日 期：   年   月   日</w:t>
      </w:r>
    </w:p>
    <w:p w14:paraId="07760398">
      <w:pPr>
        <w:spacing w:line="360" w:lineRule="auto"/>
        <w:rPr>
          <w:rFonts w:hint="eastAsia" w:ascii="华文中宋" w:hAnsi="华文中宋" w:eastAsia="华文中宋" w:cs="华文中宋"/>
          <w:b/>
          <w:bCs/>
          <w:color w:val="000000" w:themeColor="text1"/>
          <w:sz w:val="24"/>
          <w:szCs w:val="24"/>
          <w14:textFill>
            <w14:solidFill>
              <w14:schemeClr w14:val="tx1"/>
            </w14:solidFill>
          </w14:textFill>
        </w:rPr>
      </w:pPr>
    </w:p>
    <w:p w14:paraId="50ACA454">
      <w:pPr>
        <w:spacing w:line="360" w:lineRule="auto"/>
        <w:jc w:val="center"/>
        <w:rPr>
          <w:rFonts w:hint="eastAsia" w:ascii="华文中宋" w:hAnsi="华文中宋" w:eastAsia="华文中宋" w:cs="华文中宋"/>
          <w:b/>
          <w:bCs/>
          <w:color w:val="000000" w:themeColor="text1"/>
          <w:sz w:val="24"/>
          <w:szCs w:val="24"/>
          <w14:textFill>
            <w14:solidFill>
              <w14:schemeClr w14:val="tx1"/>
            </w14:solidFill>
          </w14:textFill>
        </w:rPr>
      </w:pPr>
      <w:r>
        <w:rPr>
          <w:rFonts w:hint="eastAsia" w:ascii="华文中宋" w:hAnsi="华文中宋" w:eastAsia="华文中宋" w:cs="华文中宋"/>
          <w:b/>
          <w:bCs/>
          <w:color w:val="000000" w:themeColor="text1"/>
          <w:sz w:val="24"/>
          <w:szCs w:val="24"/>
          <w14:textFill>
            <w14:solidFill>
              <w14:schemeClr w14:val="tx1"/>
            </w14:solidFill>
          </w14:textFill>
        </w:rPr>
        <w:t>残疾人福利性单位声明函（格式）</w:t>
      </w:r>
    </w:p>
    <w:p w14:paraId="14D8E569">
      <w:pPr>
        <w:rPr>
          <w:rFonts w:hint="eastAsia" w:ascii="华文中宋" w:hAnsi="华文中宋" w:eastAsia="华文中宋" w:cs="华文中宋"/>
          <w:b/>
          <w:color w:val="000000" w:themeColor="text1"/>
          <w14:textFill>
            <w14:solidFill>
              <w14:schemeClr w14:val="tx1"/>
            </w14:solidFill>
          </w14:textFill>
        </w:rPr>
      </w:pPr>
    </w:p>
    <w:p w14:paraId="60081890">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 xml:space="preserve">本公司郑重声明，根据《促进残疾人就业政府采购政策的通知》（财库〔2017〕141号）的规定，本公司为残疾人福利性单位。即，本公司同时满足以下条件： </w:t>
      </w:r>
    </w:p>
    <w:p w14:paraId="60922801">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1．安置的残疾人占本单位在职职工人数的比例不低于25%（含25%），并且安置的残疾人人数不少于10人（含10人）；</w:t>
      </w:r>
    </w:p>
    <w:p w14:paraId="5192D1D8">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2．依法与安置的每位残疾人签订了一年以上（含一年）的劳动合同或服务协议；</w:t>
      </w:r>
    </w:p>
    <w:p w14:paraId="0D83E9D5">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3．为安置的每位残疾人按月足额缴纳了基本养老保险、基本医疗保险、失业保险、工伤保险和生育保险等社会保险费；</w:t>
      </w:r>
    </w:p>
    <w:p w14:paraId="1EFA0E24">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4．通过银行等金融机构向安置的每位残疾人，按月支付了不低于单位所在区县适用的经省级人民政府批准的月最低工资标准的工资；</w:t>
      </w:r>
    </w:p>
    <w:p w14:paraId="251901F7">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7D67D75D">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本公司同意残疾人福利性单位属于小型、微型企业的，不重复享受政策。</w:t>
      </w:r>
    </w:p>
    <w:p w14:paraId="760B52B0">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本公司对上述声明的真实性负责。如有虚假，将依法承担相应责任</w:t>
      </w:r>
    </w:p>
    <w:p w14:paraId="34A7524A">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p>
    <w:p w14:paraId="1591996A">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（如不属于无需提供）</w:t>
      </w:r>
    </w:p>
    <w:p w14:paraId="1FC6866E">
      <w:pPr>
        <w:spacing w:line="360" w:lineRule="auto"/>
        <w:ind w:firstLine="480" w:firstLineChars="200"/>
        <w:rPr>
          <w:rFonts w:hint="eastAsia" w:ascii="华文中宋" w:hAnsi="华文中宋" w:eastAsia="华文中宋" w:cs="华文中宋"/>
          <w:color w:val="000000" w:themeColor="text1"/>
          <w:sz w:val="24"/>
          <w:szCs w:val="24"/>
          <w14:textFill>
            <w14:solidFill>
              <w14:schemeClr w14:val="tx1"/>
            </w14:solidFill>
          </w14:textFill>
        </w:rPr>
      </w:pPr>
    </w:p>
    <w:p w14:paraId="1614F0FA">
      <w:pPr>
        <w:spacing w:line="360" w:lineRule="auto"/>
        <w:ind w:firstLine="480" w:firstLineChars="200"/>
        <w:jc w:val="center"/>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 xml:space="preserve">                   企业名称（电子签章）：</w:t>
      </w:r>
    </w:p>
    <w:p w14:paraId="6C99671C">
      <w:pPr>
        <w:spacing w:line="360" w:lineRule="auto"/>
        <w:ind w:firstLine="480" w:firstLineChars="200"/>
        <w:jc w:val="right"/>
        <w:rPr>
          <w:rFonts w:hint="eastAsia"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color w:val="000000" w:themeColor="text1"/>
          <w:sz w:val="24"/>
          <w:szCs w:val="24"/>
          <w14:textFill>
            <w14:solidFill>
              <w14:schemeClr w14:val="tx1"/>
            </w14:solidFill>
          </w14:textFill>
        </w:rPr>
        <w:t xml:space="preserve">  日 期：    年    月    日</w:t>
      </w:r>
    </w:p>
    <w:p w14:paraId="232592C7">
      <w:pPr>
        <w:pStyle w:val="15"/>
        <w:ind w:firstLine="561"/>
        <w:rPr>
          <w:rFonts w:hint="eastAsia" w:ascii="华文中宋" w:hAnsi="华文中宋" w:eastAsia="华文中宋" w:cs="华文中宋"/>
          <w:b/>
          <w:bCs/>
          <w:szCs w:val="24"/>
        </w:rPr>
      </w:pPr>
    </w:p>
    <w:p w14:paraId="338784D6">
      <w:pPr>
        <w:pStyle w:val="15"/>
        <w:ind w:firstLine="561"/>
        <w:rPr>
          <w:rFonts w:hint="eastAsia" w:ascii="华文中宋" w:hAnsi="华文中宋" w:eastAsia="华文中宋" w:cs="华文中宋"/>
          <w:b/>
          <w:bCs/>
          <w:szCs w:val="24"/>
        </w:rPr>
      </w:pPr>
    </w:p>
    <w:p w14:paraId="6BE577E0">
      <w:pPr>
        <w:pStyle w:val="15"/>
        <w:ind w:firstLine="561"/>
        <w:rPr>
          <w:rFonts w:hint="eastAsia" w:ascii="华文中宋" w:hAnsi="华文中宋" w:eastAsia="华文中宋" w:cs="华文中宋"/>
          <w:b/>
          <w:bCs/>
          <w:szCs w:val="24"/>
        </w:rPr>
      </w:pPr>
    </w:p>
    <w:p w14:paraId="6FF5396A">
      <w:pPr>
        <w:pStyle w:val="15"/>
        <w:ind w:firstLine="561"/>
        <w:rPr>
          <w:rFonts w:hint="eastAsia" w:ascii="华文中宋" w:hAnsi="华文中宋" w:eastAsia="华文中宋" w:cs="华文中宋"/>
          <w:b/>
          <w:bCs/>
          <w:szCs w:val="24"/>
        </w:rPr>
      </w:pPr>
    </w:p>
    <w:p w14:paraId="13F9ED7C">
      <w:pPr>
        <w:pStyle w:val="15"/>
        <w:ind w:firstLine="561"/>
        <w:rPr>
          <w:rFonts w:hint="eastAsia" w:ascii="华文中宋" w:hAnsi="华文中宋" w:eastAsia="华文中宋" w:cs="华文中宋"/>
          <w:b/>
          <w:bCs/>
          <w:szCs w:val="24"/>
        </w:rPr>
      </w:pPr>
    </w:p>
    <w:p w14:paraId="039ABFEF">
      <w:pPr>
        <w:pStyle w:val="15"/>
        <w:ind w:firstLine="561"/>
        <w:rPr>
          <w:rFonts w:hint="eastAsia" w:ascii="华文中宋" w:hAnsi="华文中宋" w:eastAsia="华文中宋" w:cs="华文中宋"/>
          <w:b/>
          <w:bCs/>
          <w:szCs w:val="24"/>
        </w:rPr>
      </w:pPr>
    </w:p>
    <w:p w14:paraId="7640C122">
      <w:pPr>
        <w:pStyle w:val="15"/>
        <w:ind w:firstLine="561"/>
        <w:rPr>
          <w:rFonts w:hint="eastAsia" w:ascii="华文中宋" w:hAnsi="华文中宋" w:eastAsia="华文中宋" w:cs="华文中宋"/>
          <w:b/>
          <w:bCs/>
          <w:szCs w:val="24"/>
        </w:rPr>
      </w:pPr>
    </w:p>
    <w:p w14:paraId="7BE974DE">
      <w:pPr>
        <w:pStyle w:val="15"/>
        <w:ind w:firstLine="561"/>
        <w:rPr>
          <w:rFonts w:hint="eastAsia" w:ascii="华文中宋" w:hAnsi="华文中宋" w:eastAsia="华文中宋" w:cs="华文中宋"/>
          <w:b/>
          <w:bCs/>
          <w:szCs w:val="24"/>
        </w:rPr>
      </w:pPr>
    </w:p>
    <w:p w14:paraId="61A2F744">
      <w:pPr>
        <w:pStyle w:val="15"/>
        <w:ind w:firstLine="561"/>
        <w:rPr>
          <w:rFonts w:hint="eastAsia" w:ascii="华文中宋" w:hAnsi="华文中宋" w:eastAsia="华文中宋" w:cs="华文中宋"/>
          <w:b/>
          <w:bCs/>
          <w:szCs w:val="24"/>
        </w:rPr>
      </w:pPr>
    </w:p>
    <w:p w14:paraId="15DEF339">
      <w:pPr>
        <w:pStyle w:val="15"/>
        <w:ind w:firstLine="561"/>
        <w:rPr>
          <w:rFonts w:hint="eastAsia" w:ascii="华文中宋" w:hAnsi="华文中宋" w:eastAsia="华文中宋" w:cs="华文中宋"/>
          <w:b/>
          <w:bCs/>
          <w:szCs w:val="24"/>
        </w:rPr>
      </w:pPr>
    </w:p>
    <w:p w14:paraId="1CAAB9CA">
      <w:pPr>
        <w:pStyle w:val="15"/>
        <w:ind w:firstLine="561"/>
        <w:rPr>
          <w:rFonts w:hint="eastAsia" w:ascii="华文中宋" w:hAnsi="华文中宋" w:eastAsia="华文中宋" w:cs="华文中宋"/>
          <w:b/>
          <w:bCs/>
          <w:szCs w:val="24"/>
        </w:rPr>
      </w:pPr>
    </w:p>
    <w:p w14:paraId="58EFFA4F">
      <w:pPr>
        <w:pStyle w:val="15"/>
        <w:ind w:firstLine="561"/>
        <w:rPr>
          <w:rFonts w:hint="eastAsia" w:ascii="华文中宋" w:hAnsi="华文中宋" w:eastAsia="华文中宋" w:cs="华文中宋"/>
          <w:b/>
          <w:bCs/>
          <w:szCs w:val="24"/>
        </w:rPr>
      </w:pPr>
    </w:p>
    <w:p w14:paraId="375BECE3">
      <w:pPr>
        <w:pStyle w:val="15"/>
        <w:ind w:firstLine="561"/>
        <w:rPr>
          <w:rFonts w:hint="eastAsia" w:ascii="华文中宋" w:hAnsi="华文中宋" w:eastAsia="华文中宋" w:cs="华文中宋"/>
          <w:b/>
          <w:bCs/>
          <w:szCs w:val="24"/>
        </w:rPr>
      </w:pPr>
    </w:p>
    <w:p w14:paraId="22F26D5C">
      <w:pPr>
        <w:pStyle w:val="15"/>
        <w:ind w:firstLine="561"/>
        <w:rPr>
          <w:rFonts w:hint="eastAsia" w:ascii="华文中宋" w:hAnsi="华文中宋" w:eastAsia="华文中宋" w:cs="华文中宋"/>
          <w:b/>
          <w:bCs/>
          <w:szCs w:val="24"/>
        </w:rPr>
      </w:pPr>
    </w:p>
    <w:p w14:paraId="06BC5B49">
      <w:pPr>
        <w:pStyle w:val="15"/>
        <w:ind w:firstLine="561"/>
        <w:rPr>
          <w:rFonts w:hint="eastAsia" w:ascii="华文中宋" w:hAnsi="华文中宋" w:eastAsia="华文中宋" w:cs="华文中宋"/>
          <w:b/>
          <w:bCs/>
          <w:szCs w:val="24"/>
        </w:rPr>
      </w:pPr>
    </w:p>
    <w:p w14:paraId="57189BBD">
      <w:pPr>
        <w:pStyle w:val="15"/>
        <w:ind w:firstLine="561"/>
        <w:rPr>
          <w:rFonts w:hint="eastAsia" w:ascii="华文中宋" w:hAnsi="华文中宋" w:eastAsia="华文中宋" w:cs="华文中宋"/>
          <w:b/>
          <w:bCs/>
          <w:szCs w:val="24"/>
        </w:rPr>
      </w:pPr>
    </w:p>
    <w:p w14:paraId="69AD993E">
      <w:pPr>
        <w:pStyle w:val="15"/>
        <w:ind w:firstLine="561"/>
        <w:rPr>
          <w:rFonts w:hint="eastAsia" w:ascii="华文中宋" w:hAnsi="华文中宋" w:eastAsia="华文中宋" w:cs="华文中宋"/>
          <w:b/>
          <w:bCs/>
          <w:szCs w:val="24"/>
        </w:rPr>
      </w:pPr>
    </w:p>
    <w:p w14:paraId="28B84A9F">
      <w:pPr>
        <w:pStyle w:val="15"/>
        <w:ind w:firstLine="561"/>
        <w:rPr>
          <w:rFonts w:hint="eastAsia" w:ascii="华文中宋" w:hAnsi="华文中宋" w:eastAsia="华文中宋" w:cs="华文中宋"/>
          <w:b/>
          <w:bCs/>
          <w:szCs w:val="24"/>
        </w:rPr>
      </w:pPr>
    </w:p>
    <w:p w14:paraId="62FFF8A9">
      <w:pPr>
        <w:pStyle w:val="15"/>
        <w:ind w:firstLine="561"/>
        <w:rPr>
          <w:rFonts w:hint="eastAsia" w:ascii="华文中宋" w:hAnsi="华文中宋" w:eastAsia="华文中宋" w:cs="华文中宋"/>
          <w:b/>
          <w:bCs/>
          <w:szCs w:val="24"/>
        </w:rPr>
      </w:pPr>
    </w:p>
    <w:p w14:paraId="45A6D79A">
      <w:pPr>
        <w:pStyle w:val="15"/>
        <w:ind w:firstLine="561"/>
        <w:rPr>
          <w:rFonts w:hint="eastAsia" w:ascii="华文中宋" w:hAnsi="华文中宋" w:eastAsia="华文中宋" w:cs="华文中宋"/>
          <w:b/>
          <w:bCs/>
          <w:szCs w:val="24"/>
        </w:rPr>
      </w:pPr>
    </w:p>
    <w:p w14:paraId="6CF8FD87">
      <w:pPr>
        <w:ind w:firstLine="560"/>
        <w:rPr>
          <w:rFonts w:hint="eastAsia" w:ascii="华文中宋" w:hAnsi="华文中宋" w:eastAsia="华文中宋" w:cs="华文中宋"/>
          <w:b/>
          <w:spacing w:val="20"/>
          <w:sz w:val="24"/>
        </w:rPr>
      </w:pPr>
      <w:r>
        <w:rPr>
          <w:rFonts w:hint="eastAsia" w:ascii="华文中宋" w:hAnsi="华文中宋" w:eastAsia="华文中宋" w:cs="华文中宋"/>
          <w:b/>
          <w:spacing w:val="20"/>
          <w:sz w:val="24"/>
        </w:rPr>
        <w:t>商务技术文件格式</w:t>
      </w:r>
    </w:p>
    <w:p w14:paraId="2C3BF838">
      <w:pPr>
        <w:ind w:firstLine="560"/>
        <w:rPr>
          <w:rFonts w:hint="eastAsia" w:ascii="华文中宋" w:hAnsi="华文中宋" w:eastAsia="华文中宋" w:cs="华文中宋"/>
          <w:b/>
          <w:spacing w:val="20"/>
          <w:sz w:val="24"/>
        </w:rPr>
      </w:pPr>
    </w:p>
    <w:p w14:paraId="7F222E13">
      <w:pPr>
        <w:ind w:firstLine="560"/>
        <w:rPr>
          <w:rFonts w:hint="eastAsia" w:ascii="华文中宋" w:hAnsi="华文中宋" w:eastAsia="华文中宋" w:cs="华文中宋"/>
          <w:b/>
          <w:sz w:val="24"/>
        </w:rPr>
      </w:pPr>
      <w:r>
        <w:rPr>
          <w:rFonts w:hint="eastAsia" w:ascii="华文中宋" w:hAnsi="华文中宋" w:eastAsia="华文中宋" w:cs="华文中宋"/>
          <w:b/>
          <w:spacing w:val="20"/>
          <w:sz w:val="24"/>
        </w:rPr>
        <w:t>投标文件（商务技术文件）</w:t>
      </w:r>
      <w:r>
        <w:rPr>
          <w:rFonts w:hint="eastAsia" w:ascii="华文中宋" w:hAnsi="华文中宋" w:eastAsia="华文中宋" w:cs="华文中宋"/>
          <w:b/>
          <w:sz w:val="24"/>
        </w:rPr>
        <w:t>封面及目录格式</w:t>
      </w:r>
    </w:p>
    <w:p w14:paraId="01A76C75">
      <w:pPr>
        <w:jc w:val="right"/>
        <w:rPr>
          <w:rFonts w:hint="eastAsia" w:ascii="华文中宋" w:hAnsi="华文中宋" w:eastAsia="华文中宋" w:cs="华文中宋"/>
          <w:szCs w:val="21"/>
        </w:rPr>
      </w:pPr>
    </w:p>
    <w:p w14:paraId="724F6604">
      <w:pPr>
        <w:ind w:firstLine="1922"/>
        <w:jc w:val="center"/>
        <w:rPr>
          <w:rFonts w:hint="eastAsia"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14:paraId="36E40923">
      <w:pPr>
        <w:ind w:firstLine="1201"/>
        <w:jc w:val="center"/>
        <w:rPr>
          <w:rFonts w:hint="eastAsia" w:ascii="华文中宋" w:hAnsi="华文中宋" w:eastAsia="华文中宋" w:cs="华文中宋"/>
          <w:b/>
          <w:spacing w:val="60"/>
          <w:sz w:val="48"/>
          <w:szCs w:val="48"/>
        </w:rPr>
      </w:pPr>
      <w:r>
        <w:rPr>
          <w:rFonts w:hint="eastAsia" w:ascii="华文中宋" w:hAnsi="华文中宋" w:eastAsia="华文中宋" w:cs="华文中宋"/>
          <w:b/>
          <w:spacing w:val="60"/>
          <w:sz w:val="48"/>
          <w:szCs w:val="48"/>
        </w:rPr>
        <w:t>（商务技术文件）</w:t>
      </w:r>
    </w:p>
    <w:p w14:paraId="64220D2D">
      <w:pPr>
        <w:ind w:firstLine="881"/>
        <w:rPr>
          <w:rFonts w:hint="eastAsia" w:ascii="华文中宋" w:hAnsi="华文中宋" w:eastAsia="华文中宋" w:cs="华文中宋"/>
          <w:b/>
          <w:sz w:val="44"/>
          <w:szCs w:val="44"/>
        </w:rPr>
      </w:pPr>
    </w:p>
    <w:p w14:paraId="21E7CDC8">
      <w:pPr>
        <w:ind w:firstLine="540" w:firstLineChars="150"/>
        <w:rPr>
          <w:rFonts w:hint="eastAsia" w:ascii="华文中宋" w:hAnsi="华文中宋" w:eastAsia="华文中宋" w:cs="华文中宋"/>
          <w:b/>
          <w:sz w:val="44"/>
          <w:szCs w:val="44"/>
        </w:rPr>
      </w:pPr>
      <w:r>
        <w:rPr>
          <w:rFonts w:hint="eastAsia" w:ascii="华文中宋" w:hAnsi="华文中宋" w:eastAsia="华文中宋" w:cs="华文中宋"/>
          <w:b/>
          <w:spacing w:val="20"/>
          <w:sz w:val="32"/>
          <w:szCs w:val="32"/>
        </w:rPr>
        <w:t>项目名称</w:t>
      </w:r>
      <w:r>
        <w:rPr>
          <w:rFonts w:hint="eastAsia" w:ascii="华文中宋" w:hAnsi="华文中宋" w:eastAsia="华文中宋" w:cs="华文中宋"/>
          <w:b/>
          <w:sz w:val="32"/>
          <w:szCs w:val="32"/>
        </w:rPr>
        <w:t>：</w:t>
      </w:r>
    </w:p>
    <w:p w14:paraId="2573A188">
      <w:pPr>
        <w:ind w:firstLine="540" w:firstLineChars="150"/>
        <w:rPr>
          <w:rFonts w:hint="eastAsia" w:ascii="华文中宋" w:hAnsi="华文中宋" w:eastAsia="华文中宋" w:cs="华文中宋"/>
          <w:b/>
          <w:sz w:val="44"/>
          <w:szCs w:val="44"/>
        </w:rPr>
      </w:pPr>
      <w:r>
        <w:rPr>
          <w:rFonts w:hint="eastAsia" w:ascii="华文中宋" w:hAnsi="华文中宋" w:eastAsia="华文中宋" w:cs="华文中宋"/>
          <w:b/>
          <w:spacing w:val="20"/>
          <w:sz w:val="32"/>
          <w:szCs w:val="32"/>
        </w:rPr>
        <w:t>项目编号：</w:t>
      </w:r>
    </w:p>
    <w:p w14:paraId="0A64565D">
      <w:pPr>
        <w:ind w:firstLine="540" w:firstLineChars="150"/>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    号：</w:t>
      </w:r>
    </w:p>
    <w:p w14:paraId="3E978F3F">
      <w:pPr>
        <w:ind w:firstLine="641"/>
        <w:jc w:val="center"/>
        <w:rPr>
          <w:rFonts w:hint="eastAsia" w:ascii="华文中宋" w:hAnsi="华文中宋" w:eastAsia="华文中宋" w:cs="华文中宋"/>
          <w:b/>
          <w:sz w:val="32"/>
          <w:szCs w:val="32"/>
        </w:rPr>
      </w:pPr>
    </w:p>
    <w:p w14:paraId="0E737310">
      <w:pPr>
        <w:ind w:firstLine="641"/>
        <w:jc w:val="center"/>
        <w:rPr>
          <w:rFonts w:hint="eastAsia" w:ascii="华文中宋" w:hAnsi="华文中宋" w:eastAsia="华文中宋" w:cs="华文中宋"/>
          <w:b/>
          <w:sz w:val="32"/>
          <w:szCs w:val="32"/>
        </w:rPr>
      </w:pPr>
    </w:p>
    <w:p w14:paraId="5D73B948">
      <w:pPr>
        <w:ind w:firstLine="641"/>
        <w:jc w:val="center"/>
        <w:rPr>
          <w:rFonts w:hint="eastAsia" w:ascii="华文中宋" w:hAnsi="华文中宋" w:eastAsia="华文中宋" w:cs="华文中宋"/>
          <w:b/>
          <w:sz w:val="32"/>
          <w:szCs w:val="32"/>
        </w:rPr>
      </w:pPr>
    </w:p>
    <w:p w14:paraId="7536EB58">
      <w:pPr>
        <w:ind w:firstLine="641"/>
        <w:jc w:val="center"/>
        <w:rPr>
          <w:rFonts w:hint="eastAsia" w:ascii="华文中宋" w:hAnsi="华文中宋" w:eastAsia="华文中宋" w:cs="华文中宋"/>
          <w:b/>
          <w:sz w:val="32"/>
          <w:szCs w:val="32"/>
        </w:rPr>
      </w:pPr>
    </w:p>
    <w:p w14:paraId="6527E4C8">
      <w:pPr>
        <w:ind w:firstLine="721"/>
        <w:jc w:val="center"/>
        <w:rPr>
          <w:rFonts w:hint="eastAsia" w:ascii="华文中宋" w:hAnsi="华文中宋" w:eastAsia="华文中宋" w:cs="华文中宋"/>
          <w:b/>
          <w:spacing w:val="20"/>
          <w:sz w:val="32"/>
          <w:szCs w:val="32"/>
        </w:rPr>
      </w:pPr>
    </w:p>
    <w:p w14:paraId="1BDE958E">
      <w:pPr>
        <w:ind w:firstLine="721"/>
        <w:jc w:val="center"/>
        <w:rPr>
          <w:rFonts w:hint="eastAsia" w:ascii="华文中宋" w:hAnsi="华文中宋" w:eastAsia="华文中宋" w:cs="华文中宋"/>
          <w:b/>
          <w:spacing w:val="20"/>
          <w:sz w:val="32"/>
          <w:szCs w:val="32"/>
        </w:rPr>
      </w:pPr>
    </w:p>
    <w:p w14:paraId="3B6ACDDA">
      <w:pPr>
        <w:ind w:firstLine="721"/>
        <w:jc w:val="center"/>
        <w:rPr>
          <w:rFonts w:hint="eastAsia" w:ascii="华文中宋" w:hAnsi="华文中宋" w:eastAsia="华文中宋" w:cs="华文中宋"/>
          <w:b/>
          <w:spacing w:val="20"/>
          <w:sz w:val="32"/>
          <w:szCs w:val="32"/>
        </w:rPr>
      </w:pPr>
    </w:p>
    <w:p w14:paraId="3786D44C">
      <w:pPr>
        <w:spacing w:line="360" w:lineRule="auto"/>
        <w:ind w:firstLine="1441" w:firstLineChars="400"/>
        <w:jc w:val="left"/>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投标供应商单位名称：</w:t>
      </w:r>
    </w:p>
    <w:p w14:paraId="0552CEC4">
      <w:pPr>
        <w:ind w:firstLine="721"/>
        <w:jc w:val="center"/>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（加盖法人电子签章）</w:t>
      </w:r>
    </w:p>
    <w:p w14:paraId="65322DEE">
      <w:pPr>
        <w:ind w:firstLine="641"/>
        <w:jc w:val="center"/>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14:paraId="4E6B0FA9">
      <w:pPr>
        <w:ind w:firstLine="721"/>
        <w:rPr>
          <w:rFonts w:hint="eastAsia"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br w:type="page"/>
      </w:r>
    </w:p>
    <w:p w14:paraId="7C15CAEB">
      <w:pPr>
        <w:spacing w:line="360" w:lineRule="auto"/>
        <w:ind w:firstLine="561"/>
        <w:jc w:val="center"/>
        <w:rPr>
          <w:rFonts w:hint="eastAsia" w:ascii="华文中宋" w:hAnsi="华文中宋" w:eastAsia="华文中宋" w:cs="华文中宋"/>
          <w:b/>
          <w:sz w:val="24"/>
        </w:rPr>
      </w:pPr>
      <w:r>
        <w:rPr>
          <w:rFonts w:hint="eastAsia" w:ascii="华文中宋" w:hAnsi="华文中宋" w:eastAsia="华文中宋" w:cs="华文中宋"/>
          <w:b/>
          <w:sz w:val="28"/>
          <w:szCs w:val="28"/>
        </w:rPr>
        <w:t>商务技术文件（符合性检查文件）</w:t>
      </w:r>
    </w:p>
    <w:p w14:paraId="530B347B">
      <w:pPr>
        <w:spacing w:line="360" w:lineRule="auto"/>
        <w:ind w:firstLine="3995" w:firstLineChars="1663"/>
        <w:rPr>
          <w:rFonts w:hint="eastAsia" w:ascii="华文中宋" w:hAnsi="华文中宋" w:eastAsia="华文中宋" w:cs="华文中宋"/>
          <w:b/>
          <w:sz w:val="24"/>
        </w:rPr>
      </w:pPr>
      <w:r>
        <w:rPr>
          <w:rFonts w:hint="eastAsia" w:ascii="华文中宋" w:hAnsi="华文中宋" w:eastAsia="华文中宋" w:cs="华文中宋"/>
          <w:b/>
          <w:sz w:val="24"/>
        </w:rPr>
        <w:t>目    录</w:t>
      </w:r>
    </w:p>
    <w:p w14:paraId="7AF05315">
      <w:pPr>
        <w:pStyle w:val="19"/>
        <w:snapToGrid w:val="0"/>
        <w:spacing w:line="360" w:lineRule="auto"/>
        <w:rPr>
          <w:rFonts w:hint="eastAsia" w:ascii="华文中宋" w:hAnsi="华文中宋" w:eastAsia="华文中宋" w:cs="华文中宋"/>
          <w:kern w:val="0"/>
          <w:sz w:val="24"/>
          <w:szCs w:val="24"/>
        </w:rPr>
      </w:pPr>
    </w:p>
    <w:p w14:paraId="72D03881">
      <w:pPr>
        <w:pStyle w:val="19"/>
        <w:numPr>
          <w:ilvl w:val="0"/>
          <w:numId w:val="8"/>
        </w:numPr>
        <w:snapToGrid w:val="0"/>
        <w:spacing w:line="360" w:lineRule="auto"/>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对商务要求的响应内容</w:t>
      </w:r>
    </w:p>
    <w:p w14:paraId="1C19CBD0">
      <w:pPr>
        <w:pStyle w:val="19"/>
        <w:numPr>
          <w:ilvl w:val="0"/>
          <w:numId w:val="8"/>
        </w:numPr>
        <w:snapToGrid w:val="0"/>
        <w:spacing w:line="360" w:lineRule="auto"/>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对实质性要求的响应内容</w:t>
      </w:r>
    </w:p>
    <w:p w14:paraId="230314EE">
      <w:pPr>
        <w:pStyle w:val="19"/>
        <w:numPr>
          <w:ilvl w:val="0"/>
          <w:numId w:val="8"/>
        </w:numPr>
        <w:snapToGrid w:val="0"/>
        <w:spacing w:line="360" w:lineRule="auto"/>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对服务要求的响应内容</w:t>
      </w:r>
    </w:p>
    <w:p w14:paraId="7FD91459">
      <w:pPr>
        <w:pStyle w:val="19"/>
        <w:numPr>
          <w:ilvl w:val="0"/>
          <w:numId w:val="8"/>
        </w:numPr>
        <w:snapToGrid w:val="0"/>
        <w:spacing w:line="360" w:lineRule="auto"/>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对技术要求的响应内容</w:t>
      </w:r>
    </w:p>
    <w:p w14:paraId="5B7CAFE2">
      <w:pPr>
        <w:pStyle w:val="19"/>
        <w:snapToGrid w:val="0"/>
        <w:spacing w:line="360" w:lineRule="auto"/>
        <w:ind w:firstLine="480" w:firstLineChars="200"/>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（1）货物、服务技术偏离表</w:t>
      </w:r>
    </w:p>
    <w:p w14:paraId="3F8A3783">
      <w:pPr>
        <w:pStyle w:val="19"/>
        <w:snapToGrid w:val="0"/>
        <w:spacing w:line="360" w:lineRule="auto"/>
        <w:ind w:firstLine="480"/>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（2）其他响应文件</w:t>
      </w:r>
    </w:p>
    <w:p w14:paraId="5D21E2DC">
      <w:pPr>
        <w:pStyle w:val="19"/>
        <w:snapToGrid w:val="0"/>
        <w:spacing w:line="360" w:lineRule="auto"/>
        <w:ind w:firstLine="480" w:firstLineChars="200"/>
        <w:rPr>
          <w:rFonts w:hint="eastAsia" w:ascii="华文中宋" w:hAnsi="华文中宋" w:eastAsia="华文中宋" w:cs="华文中宋"/>
          <w:kern w:val="0"/>
          <w:sz w:val="24"/>
          <w:szCs w:val="24"/>
        </w:rPr>
      </w:pPr>
    </w:p>
    <w:p w14:paraId="58348F5F">
      <w:pPr>
        <w:pStyle w:val="19"/>
        <w:snapToGrid w:val="0"/>
        <w:spacing w:line="360" w:lineRule="auto"/>
        <w:ind w:firstLine="480"/>
        <w:rPr>
          <w:rFonts w:hint="eastAsia" w:ascii="华文中宋" w:hAnsi="华文中宋" w:eastAsia="华文中宋" w:cs="华文中宋"/>
          <w:kern w:val="0"/>
          <w:sz w:val="24"/>
          <w:szCs w:val="24"/>
        </w:rPr>
      </w:pPr>
    </w:p>
    <w:p w14:paraId="0DCE4018">
      <w:pPr>
        <w:pStyle w:val="19"/>
        <w:snapToGrid w:val="0"/>
        <w:spacing w:line="360" w:lineRule="auto"/>
        <w:ind w:firstLine="480" w:firstLineChars="200"/>
        <w:rPr>
          <w:rFonts w:hint="eastAsia" w:ascii="华文中宋" w:hAnsi="华文中宋" w:eastAsia="华文中宋" w:cs="华文中宋"/>
          <w:kern w:val="0"/>
          <w:sz w:val="24"/>
          <w:szCs w:val="24"/>
        </w:rPr>
      </w:pPr>
    </w:p>
    <w:p w14:paraId="38169608">
      <w:pPr>
        <w:pStyle w:val="19"/>
        <w:snapToGrid w:val="0"/>
        <w:spacing w:line="360" w:lineRule="auto"/>
        <w:ind w:firstLine="480" w:firstLineChars="200"/>
        <w:rPr>
          <w:rFonts w:hint="eastAsia" w:ascii="华文中宋" w:hAnsi="华文中宋" w:eastAsia="华文中宋" w:cs="华文中宋"/>
          <w:kern w:val="0"/>
          <w:sz w:val="24"/>
          <w:szCs w:val="24"/>
        </w:rPr>
      </w:pPr>
    </w:p>
    <w:p w14:paraId="2E6EE156">
      <w:pPr>
        <w:pStyle w:val="19"/>
        <w:snapToGrid w:val="0"/>
        <w:spacing w:line="360" w:lineRule="auto"/>
        <w:ind w:firstLine="480" w:firstLineChars="200"/>
        <w:rPr>
          <w:rFonts w:hint="eastAsia" w:ascii="华文中宋" w:hAnsi="华文中宋" w:eastAsia="华文中宋" w:cs="华文中宋"/>
          <w:sz w:val="24"/>
          <w:szCs w:val="24"/>
        </w:rPr>
      </w:pPr>
    </w:p>
    <w:p w14:paraId="1441E8CE">
      <w:pPr>
        <w:pStyle w:val="19"/>
        <w:snapToGrid w:val="0"/>
        <w:spacing w:line="360" w:lineRule="auto"/>
        <w:ind w:firstLine="480" w:firstLineChars="200"/>
        <w:rPr>
          <w:rFonts w:hint="eastAsia" w:ascii="华文中宋" w:hAnsi="华文中宋" w:eastAsia="华文中宋" w:cs="华文中宋"/>
          <w:sz w:val="24"/>
          <w:szCs w:val="24"/>
        </w:rPr>
      </w:pPr>
    </w:p>
    <w:p w14:paraId="6ED0390F">
      <w:pPr>
        <w:pStyle w:val="19"/>
        <w:snapToGrid w:val="0"/>
        <w:spacing w:line="360" w:lineRule="auto"/>
        <w:ind w:firstLine="480" w:firstLineChars="200"/>
        <w:rPr>
          <w:rFonts w:hint="eastAsia" w:ascii="华文中宋" w:hAnsi="华文中宋" w:eastAsia="华文中宋" w:cs="华文中宋"/>
          <w:sz w:val="24"/>
          <w:szCs w:val="24"/>
        </w:rPr>
      </w:pPr>
    </w:p>
    <w:p w14:paraId="7756E000">
      <w:pPr>
        <w:pStyle w:val="19"/>
        <w:snapToGrid w:val="0"/>
        <w:spacing w:line="360" w:lineRule="auto"/>
        <w:ind w:firstLine="480" w:firstLineChars="200"/>
        <w:rPr>
          <w:rFonts w:hint="eastAsia" w:ascii="华文中宋" w:hAnsi="华文中宋" w:eastAsia="华文中宋" w:cs="华文中宋"/>
          <w:sz w:val="24"/>
          <w:szCs w:val="24"/>
        </w:rPr>
      </w:pPr>
    </w:p>
    <w:p w14:paraId="33A2B873">
      <w:pPr>
        <w:pStyle w:val="19"/>
        <w:snapToGrid w:val="0"/>
        <w:spacing w:line="360" w:lineRule="auto"/>
        <w:ind w:firstLine="480" w:firstLineChars="200"/>
        <w:rPr>
          <w:rFonts w:hint="eastAsia" w:ascii="华文中宋" w:hAnsi="华文中宋" w:eastAsia="华文中宋" w:cs="华文中宋"/>
          <w:sz w:val="24"/>
          <w:szCs w:val="24"/>
        </w:rPr>
      </w:pPr>
    </w:p>
    <w:p w14:paraId="75FE5F7B">
      <w:pPr>
        <w:pStyle w:val="19"/>
        <w:snapToGrid w:val="0"/>
        <w:spacing w:line="360" w:lineRule="auto"/>
        <w:ind w:firstLine="480" w:firstLineChars="200"/>
        <w:rPr>
          <w:rFonts w:hint="eastAsia" w:ascii="华文中宋" w:hAnsi="华文中宋" w:eastAsia="华文中宋" w:cs="华文中宋"/>
          <w:sz w:val="24"/>
          <w:szCs w:val="24"/>
        </w:rPr>
      </w:pPr>
    </w:p>
    <w:p w14:paraId="545CFCC4">
      <w:pPr>
        <w:pStyle w:val="19"/>
        <w:snapToGrid w:val="0"/>
        <w:spacing w:line="360" w:lineRule="auto"/>
        <w:ind w:firstLine="480" w:firstLineChars="200"/>
        <w:rPr>
          <w:rFonts w:hint="eastAsia" w:ascii="华文中宋" w:hAnsi="华文中宋" w:eastAsia="华文中宋" w:cs="华文中宋"/>
          <w:sz w:val="24"/>
          <w:szCs w:val="24"/>
        </w:rPr>
      </w:pPr>
    </w:p>
    <w:p w14:paraId="18CC37B0">
      <w:pPr>
        <w:pStyle w:val="19"/>
        <w:snapToGrid w:val="0"/>
        <w:spacing w:line="360" w:lineRule="auto"/>
        <w:ind w:firstLine="480" w:firstLineChars="200"/>
        <w:rPr>
          <w:rFonts w:hint="eastAsia" w:ascii="华文中宋" w:hAnsi="华文中宋" w:eastAsia="华文中宋" w:cs="华文中宋"/>
          <w:sz w:val="24"/>
          <w:szCs w:val="24"/>
        </w:rPr>
      </w:pPr>
    </w:p>
    <w:p w14:paraId="0E04050E">
      <w:pPr>
        <w:pStyle w:val="19"/>
        <w:snapToGrid w:val="0"/>
        <w:spacing w:line="360" w:lineRule="auto"/>
        <w:ind w:firstLine="480" w:firstLineChars="200"/>
        <w:rPr>
          <w:rFonts w:hint="eastAsia" w:ascii="华文中宋" w:hAnsi="华文中宋" w:eastAsia="华文中宋" w:cs="华文中宋"/>
          <w:sz w:val="24"/>
          <w:szCs w:val="24"/>
        </w:rPr>
      </w:pPr>
    </w:p>
    <w:p w14:paraId="27E4F1BB">
      <w:pPr>
        <w:widowControl/>
        <w:jc w:val="left"/>
        <w:rPr>
          <w:rFonts w:hint="eastAsia" w:ascii="华文中宋" w:hAnsi="华文中宋" w:eastAsia="华文中宋" w:cs="华文中宋"/>
          <w:b/>
          <w:sz w:val="24"/>
          <w:lang w:bidi="ar"/>
        </w:rPr>
      </w:pPr>
      <w:r>
        <w:rPr>
          <w:rFonts w:hint="eastAsia" w:ascii="华文中宋" w:hAnsi="华文中宋" w:eastAsia="华文中宋" w:cs="华文中宋"/>
          <w:b/>
          <w:sz w:val="24"/>
          <w:lang w:bidi="ar"/>
        </w:rPr>
        <w:br w:type="page"/>
      </w:r>
    </w:p>
    <w:p w14:paraId="58B36D92">
      <w:pPr>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b/>
          <w:sz w:val="24"/>
          <w:lang w:bidi="ar"/>
        </w:rPr>
        <w:t>（一）对商务要求的响应内容；</w:t>
      </w:r>
    </w:p>
    <w:p w14:paraId="3E508A4D">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lang w:bidi="ar"/>
        </w:rPr>
        <w:t>根据本文件第四部分商务要求中的内容进行响应。</w:t>
      </w:r>
    </w:p>
    <w:p w14:paraId="40F28373">
      <w:pPr>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b/>
          <w:sz w:val="24"/>
          <w:lang w:bidi="ar"/>
        </w:rPr>
        <w:t>（二）对实质性要求的响应内容；</w:t>
      </w:r>
    </w:p>
    <w:p w14:paraId="5B0CEB2F">
      <w:pPr>
        <w:spacing w:line="360" w:lineRule="auto"/>
        <w:rPr>
          <w:rFonts w:hint="eastAsia" w:ascii="华文中宋" w:hAnsi="华文中宋" w:eastAsia="华文中宋" w:cs="华文中宋"/>
          <w:sz w:val="24"/>
          <w:lang w:bidi="ar"/>
        </w:rPr>
      </w:pPr>
      <w:r>
        <w:rPr>
          <w:rFonts w:hint="eastAsia" w:ascii="华文中宋" w:hAnsi="华文中宋" w:eastAsia="华文中宋" w:cs="华文中宋"/>
          <w:sz w:val="24"/>
          <w:lang w:bidi="ar"/>
        </w:rPr>
        <w:t>根据本文件第四部分实质性要求中的内容进行响应。</w:t>
      </w:r>
    </w:p>
    <w:p w14:paraId="25EFFFF9">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rPr>
        <w:t>《政府强制采购产品明细表</w:t>
      </w:r>
      <w:r>
        <w:rPr>
          <w:rFonts w:hint="eastAsia" w:ascii="华文中宋" w:hAnsi="华文中宋" w:eastAsia="华文中宋" w:cs="华文中宋"/>
          <w:b/>
          <w:bCs/>
          <w:sz w:val="24"/>
        </w:rPr>
        <w:t>》</w:t>
      </w:r>
      <w:r>
        <w:rPr>
          <w:rFonts w:hint="eastAsia" w:ascii="华文中宋" w:hAnsi="华文中宋" w:eastAsia="华文中宋" w:cs="华文中宋"/>
          <w:b/>
          <w:sz w:val="24"/>
        </w:rPr>
        <w:t>格式（若有的话，以包为单位分别填写）</w:t>
      </w:r>
    </w:p>
    <w:p w14:paraId="52F99427">
      <w:pPr>
        <w:tabs>
          <w:tab w:val="left" w:pos="1680"/>
        </w:tabs>
        <w:snapToGrid w:val="0"/>
        <w:spacing w:line="360" w:lineRule="auto"/>
        <w:ind w:firstLine="480" w:firstLineChars="200"/>
        <w:jc w:val="center"/>
        <w:rPr>
          <w:rFonts w:hint="eastAsia" w:ascii="华文中宋" w:hAnsi="华文中宋" w:eastAsia="华文中宋" w:cs="华文中宋"/>
          <w:b/>
          <w:sz w:val="24"/>
        </w:rPr>
      </w:pPr>
      <w:r>
        <w:rPr>
          <w:rFonts w:hint="eastAsia" w:ascii="华文中宋" w:hAnsi="华文中宋" w:eastAsia="华文中宋" w:cs="华文中宋"/>
          <w:b/>
          <w:sz w:val="24"/>
        </w:rPr>
        <w:t>政府强制采购产品明细表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619"/>
        <w:gridCol w:w="1001"/>
        <w:gridCol w:w="1854"/>
        <w:gridCol w:w="1789"/>
        <w:gridCol w:w="2123"/>
      </w:tblGrid>
      <w:tr w14:paraId="52D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14:paraId="7307BF74">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包号</w:t>
            </w:r>
          </w:p>
        </w:tc>
        <w:tc>
          <w:tcPr>
            <w:tcW w:w="877" w:type="pct"/>
            <w:tcBorders>
              <w:top w:val="single" w:color="auto" w:sz="4" w:space="0"/>
              <w:left w:val="single" w:color="auto" w:sz="4" w:space="0"/>
              <w:bottom w:val="single" w:color="auto" w:sz="4" w:space="0"/>
              <w:right w:val="single" w:color="auto" w:sz="4" w:space="0"/>
            </w:tcBorders>
            <w:vAlign w:val="center"/>
          </w:tcPr>
          <w:p w14:paraId="225BF895">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产品名称</w:t>
            </w:r>
          </w:p>
        </w:tc>
        <w:tc>
          <w:tcPr>
            <w:tcW w:w="542" w:type="pct"/>
            <w:tcBorders>
              <w:top w:val="single" w:color="auto" w:sz="4" w:space="0"/>
              <w:left w:val="single" w:color="auto" w:sz="4" w:space="0"/>
              <w:bottom w:val="single" w:color="auto" w:sz="4" w:space="0"/>
              <w:right w:val="single" w:color="auto" w:sz="4" w:space="0"/>
            </w:tcBorders>
            <w:vAlign w:val="center"/>
          </w:tcPr>
          <w:p w14:paraId="24050A3C">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制造商</w:t>
            </w:r>
          </w:p>
        </w:tc>
        <w:tc>
          <w:tcPr>
            <w:tcW w:w="1004" w:type="pct"/>
            <w:tcBorders>
              <w:top w:val="single" w:color="auto" w:sz="4" w:space="0"/>
              <w:left w:val="single" w:color="auto" w:sz="4" w:space="0"/>
              <w:bottom w:val="single" w:color="auto" w:sz="4" w:space="0"/>
              <w:right w:val="single" w:color="auto" w:sz="4" w:space="0"/>
            </w:tcBorders>
            <w:vAlign w:val="center"/>
          </w:tcPr>
          <w:p w14:paraId="0B98E107">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产品型号</w:t>
            </w:r>
          </w:p>
        </w:tc>
        <w:tc>
          <w:tcPr>
            <w:tcW w:w="969" w:type="pct"/>
            <w:tcBorders>
              <w:top w:val="single" w:color="auto" w:sz="4" w:space="0"/>
              <w:left w:val="single" w:color="auto" w:sz="4" w:space="0"/>
              <w:bottom w:val="single" w:color="auto" w:sz="4" w:space="0"/>
              <w:right w:val="single" w:color="auto" w:sz="4" w:space="0"/>
            </w:tcBorders>
            <w:vAlign w:val="center"/>
          </w:tcPr>
          <w:p w14:paraId="545160F0">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认证证书编号</w:t>
            </w:r>
          </w:p>
        </w:tc>
        <w:tc>
          <w:tcPr>
            <w:tcW w:w="1149" w:type="pct"/>
            <w:tcBorders>
              <w:top w:val="single" w:color="auto" w:sz="4" w:space="0"/>
              <w:left w:val="single" w:color="auto" w:sz="4" w:space="0"/>
              <w:bottom w:val="single" w:color="auto" w:sz="4" w:space="0"/>
              <w:right w:val="single" w:color="auto" w:sz="4" w:space="0"/>
            </w:tcBorders>
            <w:vAlign w:val="center"/>
          </w:tcPr>
          <w:p w14:paraId="10DF7632">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认证证书有</w:t>
            </w:r>
          </w:p>
          <w:p w14:paraId="0ACDD04A">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效截止日期</w:t>
            </w:r>
          </w:p>
        </w:tc>
      </w:tr>
      <w:tr w14:paraId="00CC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5" w:type="pct"/>
            <w:tcBorders>
              <w:top w:val="single" w:color="auto" w:sz="4" w:space="0"/>
              <w:left w:val="single" w:color="auto" w:sz="4" w:space="0"/>
              <w:bottom w:val="single" w:color="auto" w:sz="4" w:space="0"/>
              <w:right w:val="single" w:color="auto" w:sz="4" w:space="0"/>
            </w:tcBorders>
          </w:tcPr>
          <w:p w14:paraId="3608DAFD">
            <w:pPr>
              <w:spacing w:line="360" w:lineRule="auto"/>
              <w:rPr>
                <w:rFonts w:hint="eastAsia" w:ascii="华文中宋" w:hAnsi="华文中宋" w:eastAsia="华文中宋" w:cs="华文中宋"/>
                <w:szCs w:val="21"/>
              </w:rPr>
            </w:pPr>
          </w:p>
        </w:tc>
        <w:tc>
          <w:tcPr>
            <w:tcW w:w="877" w:type="pct"/>
            <w:tcBorders>
              <w:top w:val="single" w:color="auto" w:sz="4" w:space="0"/>
              <w:left w:val="single" w:color="auto" w:sz="4" w:space="0"/>
              <w:bottom w:val="single" w:color="auto" w:sz="4" w:space="0"/>
              <w:right w:val="single" w:color="auto" w:sz="4" w:space="0"/>
            </w:tcBorders>
          </w:tcPr>
          <w:p w14:paraId="38CFEC27">
            <w:pPr>
              <w:spacing w:line="360" w:lineRule="auto"/>
              <w:rPr>
                <w:rFonts w:hint="eastAsia" w:ascii="华文中宋" w:hAnsi="华文中宋" w:eastAsia="华文中宋" w:cs="华文中宋"/>
                <w:szCs w:val="21"/>
              </w:rPr>
            </w:pPr>
          </w:p>
        </w:tc>
        <w:tc>
          <w:tcPr>
            <w:tcW w:w="542" w:type="pct"/>
            <w:tcBorders>
              <w:top w:val="single" w:color="auto" w:sz="4" w:space="0"/>
              <w:left w:val="single" w:color="auto" w:sz="4" w:space="0"/>
              <w:bottom w:val="single" w:color="auto" w:sz="4" w:space="0"/>
              <w:right w:val="single" w:color="auto" w:sz="4" w:space="0"/>
            </w:tcBorders>
          </w:tcPr>
          <w:p w14:paraId="370E85AB">
            <w:pPr>
              <w:spacing w:line="360" w:lineRule="auto"/>
              <w:rPr>
                <w:rFonts w:hint="eastAsia" w:ascii="华文中宋" w:hAnsi="华文中宋" w:eastAsia="华文中宋" w:cs="华文中宋"/>
                <w:szCs w:val="21"/>
              </w:rPr>
            </w:pPr>
          </w:p>
        </w:tc>
        <w:tc>
          <w:tcPr>
            <w:tcW w:w="1004" w:type="pct"/>
            <w:tcBorders>
              <w:top w:val="single" w:color="auto" w:sz="4" w:space="0"/>
              <w:left w:val="single" w:color="auto" w:sz="4" w:space="0"/>
              <w:bottom w:val="single" w:color="auto" w:sz="4" w:space="0"/>
              <w:right w:val="single" w:color="auto" w:sz="4" w:space="0"/>
            </w:tcBorders>
          </w:tcPr>
          <w:p w14:paraId="3DE769E8">
            <w:pPr>
              <w:spacing w:line="360" w:lineRule="auto"/>
              <w:rPr>
                <w:rFonts w:hint="eastAsia" w:ascii="华文中宋" w:hAnsi="华文中宋" w:eastAsia="华文中宋" w:cs="华文中宋"/>
                <w:szCs w:val="21"/>
              </w:rPr>
            </w:pPr>
          </w:p>
        </w:tc>
        <w:tc>
          <w:tcPr>
            <w:tcW w:w="969" w:type="pct"/>
            <w:tcBorders>
              <w:top w:val="single" w:color="auto" w:sz="4" w:space="0"/>
              <w:left w:val="single" w:color="auto" w:sz="4" w:space="0"/>
              <w:bottom w:val="single" w:color="auto" w:sz="4" w:space="0"/>
              <w:right w:val="single" w:color="auto" w:sz="4" w:space="0"/>
            </w:tcBorders>
          </w:tcPr>
          <w:p w14:paraId="387AEF71">
            <w:pPr>
              <w:spacing w:line="360" w:lineRule="auto"/>
              <w:rPr>
                <w:rFonts w:hint="eastAsia" w:ascii="华文中宋" w:hAnsi="华文中宋" w:eastAsia="华文中宋" w:cs="华文中宋"/>
                <w:szCs w:val="21"/>
              </w:rPr>
            </w:pPr>
          </w:p>
        </w:tc>
        <w:tc>
          <w:tcPr>
            <w:tcW w:w="1149" w:type="pct"/>
            <w:tcBorders>
              <w:top w:val="single" w:color="auto" w:sz="4" w:space="0"/>
              <w:left w:val="single" w:color="auto" w:sz="4" w:space="0"/>
              <w:bottom w:val="single" w:color="auto" w:sz="4" w:space="0"/>
              <w:right w:val="single" w:color="auto" w:sz="4" w:space="0"/>
            </w:tcBorders>
          </w:tcPr>
          <w:p w14:paraId="04AB747A">
            <w:pPr>
              <w:spacing w:line="360" w:lineRule="auto"/>
              <w:rPr>
                <w:rFonts w:hint="eastAsia" w:ascii="华文中宋" w:hAnsi="华文中宋" w:eastAsia="华文中宋" w:cs="华文中宋"/>
                <w:szCs w:val="21"/>
              </w:rPr>
            </w:pPr>
          </w:p>
        </w:tc>
      </w:tr>
      <w:tr w14:paraId="54FF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5" w:type="pct"/>
            <w:tcBorders>
              <w:top w:val="single" w:color="auto" w:sz="4" w:space="0"/>
              <w:left w:val="single" w:color="auto" w:sz="4" w:space="0"/>
              <w:bottom w:val="single" w:color="auto" w:sz="4" w:space="0"/>
              <w:right w:val="single" w:color="auto" w:sz="4" w:space="0"/>
            </w:tcBorders>
          </w:tcPr>
          <w:p w14:paraId="6C3DCAA9">
            <w:pPr>
              <w:spacing w:line="360" w:lineRule="auto"/>
              <w:rPr>
                <w:rFonts w:hint="eastAsia" w:ascii="华文中宋" w:hAnsi="华文中宋" w:eastAsia="华文中宋" w:cs="华文中宋"/>
                <w:szCs w:val="21"/>
              </w:rPr>
            </w:pPr>
          </w:p>
        </w:tc>
        <w:tc>
          <w:tcPr>
            <w:tcW w:w="877" w:type="pct"/>
            <w:tcBorders>
              <w:top w:val="single" w:color="auto" w:sz="4" w:space="0"/>
              <w:left w:val="single" w:color="auto" w:sz="4" w:space="0"/>
              <w:bottom w:val="single" w:color="auto" w:sz="4" w:space="0"/>
              <w:right w:val="single" w:color="auto" w:sz="4" w:space="0"/>
            </w:tcBorders>
          </w:tcPr>
          <w:p w14:paraId="2D99657E">
            <w:pPr>
              <w:spacing w:line="360" w:lineRule="auto"/>
              <w:rPr>
                <w:rFonts w:hint="eastAsia" w:ascii="华文中宋" w:hAnsi="华文中宋" w:eastAsia="华文中宋" w:cs="华文中宋"/>
                <w:szCs w:val="21"/>
              </w:rPr>
            </w:pPr>
          </w:p>
        </w:tc>
        <w:tc>
          <w:tcPr>
            <w:tcW w:w="542" w:type="pct"/>
            <w:tcBorders>
              <w:top w:val="single" w:color="auto" w:sz="4" w:space="0"/>
              <w:left w:val="single" w:color="auto" w:sz="4" w:space="0"/>
              <w:bottom w:val="single" w:color="auto" w:sz="4" w:space="0"/>
              <w:right w:val="single" w:color="auto" w:sz="4" w:space="0"/>
            </w:tcBorders>
          </w:tcPr>
          <w:p w14:paraId="77DC983C">
            <w:pPr>
              <w:spacing w:line="360" w:lineRule="auto"/>
              <w:rPr>
                <w:rFonts w:hint="eastAsia" w:ascii="华文中宋" w:hAnsi="华文中宋" w:eastAsia="华文中宋" w:cs="华文中宋"/>
                <w:szCs w:val="21"/>
              </w:rPr>
            </w:pPr>
          </w:p>
        </w:tc>
        <w:tc>
          <w:tcPr>
            <w:tcW w:w="1004" w:type="pct"/>
            <w:tcBorders>
              <w:top w:val="single" w:color="auto" w:sz="4" w:space="0"/>
              <w:left w:val="single" w:color="auto" w:sz="4" w:space="0"/>
              <w:bottom w:val="single" w:color="auto" w:sz="4" w:space="0"/>
              <w:right w:val="single" w:color="auto" w:sz="4" w:space="0"/>
            </w:tcBorders>
          </w:tcPr>
          <w:p w14:paraId="442FE398">
            <w:pPr>
              <w:spacing w:line="360" w:lineRule="auto"/>
              <w:rPr>
                <w:rFonts w:hint="eastAsia" w:ascii="华文中宋" w:hAnsi="华文中宋" w:eastAsia="华文中宋" w:cs="华文中宋"/>
                <w:szCs w:val="21"/>
              </w:rPr>
            </w:pPr>
          </w:p>
        </w:tc>
        <w:tc>
          <w:tcPr>
            <w:tcW w:w="969" w:type="pct"/>
            <w:tcBorders>
              <w:top w:val="single" w:color="auto" w:sz="4" w:space="0"/>
              <w:left w:val="single" w:color="auto" w:sz="4" w:space="0"/>
              <w:bottom w:val="single" w:color="auto" w:sz="4" w:space="0"/>
              <w:right w:val="single" w:color="auto" w:sz="4" w:space="0"/>
            </w:tcBorders>
          </w:tcPr>
          <w:p w14:paraId="2EB087FC">
            <w:pPr>
              <w:spacing w:line="360" w:lineRule="auto"/>
              <w:rPr>
                <w:rFonts w:hint="eastAsia" w:ascii="华文中宋" w:hAnsi="华文中宋" w:eastAsia="华文中宋" w:cs="华文中宋"/>
                <w:szCs w:val="21"/>
              </w:rPr>
            </w:pPr>
          </w:p>
        </w:tc>
        <w:tc>
          <w:tcPr>
            <w:tcW w:w="1149" w:type="pct"/>
            <w:tcBorders>
              <w:top w:val="single" w:color="auto" w:sz="4" w:space="0"/>
              <w:left w:val="single" w:color="auto" w:sz="4" w:space="0"/>
              <w:bottom w:val="single" w:color="auto" w:sz="4" w:space="0"/>
              <w:right w:val="single" w:color="auto" w:sz="4" w:space="0"/>
            </w:tcBorders>
          </w:tcPr>
          <w:p w14:paraId="49ACBBC7">
            <w:pPr>
              <w:spacing w:line="360" w:lineRule="auto"/>
              <w:rPr>
                <w:rFonts w:hint="eastAsia" w:ascii="华文中宋" w:hAnsi="华文中宋" w:eastAsia="华文中宋" w:cs="华文中宋"/>
                <w:szCs w:val="21"/>
              </w:rPr>
            </w:pPr>
          </w:p>
        </w:tc>
      </w:tr>
      <w:tr w14:paraId="3BFB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5" w:type="pct"/>
            <w:tcBorders>
              <w:top w:val="single" w:color="auto" w:sz="4" w:space="0"/>
              <w:left w:val="single" w:color="auto" w:sz="4" w:space="0"/>
              <w:bottom w:val="single" w:color="auto" w:sz="4" w:space="0"/>
              <w:right w:val="single" w:color="auto" w:sz="4" w:space="0"/>
            </w:tcBorders>
          </w:tcPr>
          <w:p w14:paraId="74D55B7B">
            <w:pPr>
              <w:spacing w:line="360" w:lineRule="auto"/>
              <w:rPr>
                <w:rFonts w:hint="eastAsia" w:ascii="华文中宋" w:hAnsi="华文中宋" w:eastAsia="华文中宋" w:cs="华文中宋"/>
                <w:szCs w:val="21"/>
              </w:rPr>
            </w:pPr>
          </w:p>
        </w:tc>
        <w:tc>
          <w:tcPr>
            <w:tcW w:w="877" w:type="pct"/>
            <w:tcBorders>
              <w:top w:val="single" w:color="auto" w:sz="4" w:space="0"/>
              <w:left w:val="single" w:color="auto" w:sz="4" w:space="0"/>
              <w:bottom w:val="single" w:color="auto" w:sz="4" w:space="0"/>
              <w:right w:val="single" w:color="auto" w:sz="4" w:space="0"/>
            </w:tcBorders>
          </w:tcPr>
          <w:p w14:paraId="12BF4038">
            <w:pPr>
              <w:spacing w:line="360" w:lineRule="auto"/>
              <w:rPr>
                <w:rFonts w:hint="eastAsia" w:ascii="华文中宋" w:hAnsi="华文中宋" w:eastAsia="华文中宋" w:cs="华文中宋"/>
                <w:szCs w:val="21"/>
              </w:rPr>
            </w:pPr>
          </w:p>
        </w:tc>
        <w:tc>
          <w:tcPr>
            <w:tcW w:w="542" w:type="pct"/>
            <w:tcBorders>
              <w:top w:val="single" w:color="auto" w:sz="4" w:space="0"/>
              <w:left w:val="single" w:color="auto" w:sz="4" w:space="0"/>
              <w:bottom w:val="single" w:color="auto" w:sz="4" w:space="0"/>
              <w:right w:val="single" w:color="auto" w:sz="4" w:space="0"/>
            </w:tcBorders>
          </w:tcPr>
          <w:p w14:paraId="59F462C8">
            <w:pPr>
              <w:spacing w:line="360" w:lineRule="auto"/>
              <w:rPr>
                <w:rFonts w:hint="eastAsia" w:ascii="华文中宋" w:hAnsi="华文中宋" w:eastAsia="华文中宋" w:cs="华文中宋"/>
                <w:szCs w:val="21"/>
              </w:rPr>
            </w:pPr>
          </w:p>
        </w:tc>
        <w:tc>
          <w:tcPr>
            <w:tcW w:w="1004" w:type="pct"/>
            <w:tcBorders>
              <w:top w:val="single" w:color="auto" w:sz="4" w:space="0"/>
              <w:left w:val="single" w:color="auto" w:sz="4" w:space="0"/>
              <w:bottom w:val="single" w:color="auto" w:sz="4" w:space="0"/>
              <w:right w:val="single" w:color="auto" w:sz="4" w:space="0"/>
            </w:tcBorders>
          </w:tcPr>
          <w:p w14:paraId="5B2F57F3">
            <w:pPr>
              <w:spacing w:line="360" w:lineRule="auto"/>
              <w:rPr>
                <w:rFonts w:hint="eastAsia" w:ascii="华文中宋" w:hAnsi="华文中宋" w:eastAsia="华文中宋" w:cs="华文中宋"/>
                <w:szCs w:val="21"/>
              </w:rPr>
            </w:pPr>
          </w:p>
        </w:tc>
        <w:tc>
          <w:tcPr>
            <w:tcW w:w="969" w:type="pct"/>
            <w:tcBorders>
              <w:top w:val="single" w:color="auto" w:sz="4" w:space="0"/>
              <w:left w:val="single" w:color="auto" w:sz="4" w:space="0"/>
              <w:bottom w:val="single" w:color="auto" w:sz="4" w:space="0"/>
              <w:right w:val="single" w:color="auto" w:sz="4" w:space="0"/>
            </w:tcBorders>
          </w:tcPr>
          <w:p w14:paraId="408E90E7">
            <w:pPr>
              <w:spacing w:line="360" w:lineRule="auto"/>
              <w:rPr>
                <w:rFonts w:hint="eastAsia" w:ascii="华文中宋" w:hAnsi="华文中宋" w:eastAsia="华文中宋" w:cs="华文中宋"/>
                <w:szCs w:val="21"/>
              </w:rPr>
            </w:pPr>
          </w:p>
        </w:tc>
        <w:tc>
          <w:tcPr>
            <w:tcW w:w="1149" w:type="pct"/>
            <w:tcBorders>
              <w:top w:val="single" w:color="auto" w:sz="4" w:space="0"/>
              <w:left w:val="single" w:color="auto" w:sz="4" w:space="0"/>
              <w:bottom w:val="single" w:color="auto" w:sz="4" w:space="0"/>
              <w:right w:val="single" w:color="auto" w:sz="4" w:space="0"/>
            </w:tcBorders>
          </w:tcPr>
          <w:p w14:paraId="4CEC55A9">
            <w:pPr>
              <w:spacing w:line="360" w:lineRule="auto"/>
              <w:rPr>
                <w:rFonts w:hint="eastAsia" w:ascii="华文中宋" w:hAnsi="华文中宋" w:eastAsia="华文中宋" w:cs="华文中宋"/>
                <w:szCs w:val="21"/>
              </w:rPr>
            </w:pPr>
          </w:p>
        </w:tc>
      </w:tr>
      <w:tr w14:paraId="62AE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5" w:type="pct"/>
            <w:tcBorders>
              <w:top w:val="single" w:color="auto" w:sz="4" w:space="0"/>
              <w:left w:val="single" w:color="auto" w:sz="4" w:space="0"/>
              <w:bottom w:val="single" w:color="auto" w:sz="4" w:space="0"/>
              <w:right w:val="single" w:color="auto" w:sz="4" w:space="0"/>
            </w:tcBorders>
          </w:tcPr>
          <w:p w14:paraId="3A276D25">
            <w:pPr>
              <w:spacing w:line="360" w:lineRule="auto"/>
              <w:rPr>
                <w:rFonts w:hint="eastAsia" w:ascii="华文中宋" w:hAnsi="华文中宋" w:eastAsia="华文中宋" w:cs="华文中宋"/>
                <w:szCs w:val="21"/>
              </w:rPr>
            </w:pPr>
          </w:p>
        </w:tc>
        <w:tc>
          <w:tcPr>
            <w:tcW w:w="877" w:type="pct"/>
            <w:tcBorders>
              <w:top w:val="single" w:color="auto" w:sz="4" w:space="0"/>
              <w:left w:val="single" w:color="auto" w:sz="4" w:space="0"/>
              <w:bottom w:val="single" w:color="auto" w:sz="4" w:space="0"/>
              <w:right w:val="single" w:color="auto" w:sz="4" w:space="0"/>
            </w:tcBorders>
          </w:tcPr>
          <w:p w14:paraId="1656FD68">
            <w:pPr>
              <w:spacing w:line="360" w:lineRule="auto"/>
              <w:rPr>
                <w:rFonts w:hint="eastAsia" w:ascii="华文中宋" w:hAnsi="华文中宋" w:eastAsia="华文中宋" w:cs="华文中宋"/>
                <w:szCs w:val="21"/>
              </w:rPr>
            </w:pPr>
          </w:p>
        </w:tc>
        <w:tc>
          <w:tcPr>
            <w:tcW w:w="542" w:type="pct"/>
            <w:tcBorders>
              <w:top w:val="single" w:color="auto" w:sz="4" w:space="0"/>
              <w:left w:val="single" w:color="auto" w:sz="4" w:space="0"/>
              <w:bottom w:val="single" w:color="auto" w:sz="4" w:space="0"/>
              <w:right w:val="single" w:color="auto" w:sz="4" w:space="0"/>
            </w:tcBorders>
          </w:tcPr>
          <w:p w14:paraId="6F04E2B1">
            <w:pPr>
              <w:spacing w:line="360" w:lineRule="auto"/>
              <w:rPr>
                <w:rFonts w:hint="eastAsia" w:ascii="华文中宋" w:hAnsi="华文中宋" w:eastAsia="华文中宋" w:cs="华文中宋"/>
                <w:szCs w:val="21"/>
              </w:rPr>
            </w:pPr>
          </w:p>
        </w:tc>
        <w:tc>
          <w:tcPr>
            <w:tcW w:w="1004" w:type="pct"/>
            <w:tcBorders>
              <w:top w:val="single" w:color="auto" w:sz="4" w:space="0"/>
              <w:left w:val="single" w:color="auto" w:sz="4" w:space="0"/>
              <w:bottom w:val="single" w:color="auto" w:sz="4" w:space="0"/>
              <w:right w:val="single" w:color="auto" w:sz="4" w:space="0"/>
            </w:tcBorders>
          </w:tcPr>
          <w:p w14:paraId="1C94B55D">
            <w:pPr>
              <w:spacing w:line="360" w:lineRule="auto"/>
              <w:rPr>
                <w:rFonts w:hint="eastAsia" w:ascii="华文中宋" w:hAnsi="华文中宋" w:eastAsia="华文中宋" w:cs="华文中宋"/>
                <w:szCs w:val="21"/>
              </w:rPr>
            </w:pPr>
          </w:p>
        </w:tc>
        <w:tc>
          <w:tcPr>
            <w:tcW w:w="969" w:type="pct"/>
            <w:tcBorders>
              <w:top w:val="single" w:color="auto" w:sz="4" w:space="0"/>
              <w:left w:val="single" w:color="auto" w:sz="4" w:space="0"/>
              <w:bottom w:val="single" w:color="auto" w:sz="4" w:space="0"/>
              <w:right w:val="single" w:color="auto" w:sz="4" w:space="0"/>
            </w:tcBorders>
          </w:tcPr>
          <w:p w14:paraId="02A61B85">
            <w:pPr>
              <w:spacing w:line="360" w:lineRule="auto"/>
              <w:rPr>
                <w:rFonts w:hint="eastAsia" w:ascii="华文中宋" w:hAnsi="华文中宋" w:eastAsia="华文中宋" w:cs="华文中宋"/>
                <w:szCs w:val="21"/>
              </w:rPr>
            </w:pPr>
          </w:p>
        </w:tc>
        <w:tc>
          <w:tcPr>
            <w:tcW w:w="1149" w:type="pct"/>
            <w:tcBorders>
              <w:top w:val="single" w:color="auto" w:sz="4" w:space="0"/>
              <w:left w:val="single" w:color="auto" w:sz="4" w:space="0"/>
              <w:bottom w:val="single" w:color="auto" w:sz="4" w:space="0"/>
              <w:right w:val="single" w:color="auto" w:sz="4" w:space="0"/>
            </w:tcBorders>
          </w:tcPr>
          <w:p w14:paraId="48CF25B6">
            <w:pPr>
              <w:spacing w:line="360" w:lineRule="auto"/>
              <w:rPr>
                <w:rFonts w:hint="eastAsia" w:ascii="华文中宋" w:hAnsi="华文中宋" w:eastAsia="华文中宋" w:cs="华文中宋"/>
                <w:szCs w:val="21"/>
              </w:rPr>
            </w:pPr>
          </w:p>
        </w:tc>
      </w:tr>
    </w:tbl>
    <w:p w14:paraId="1C4675DA">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1、本文件未列出政府强制采购产品的，响应人可投报“节能产品政府采购品目清单、环境标志产品政府采购品目清单”中非政府强制采购产品或其范围以外的产品。</w:t>
      </w:r>
    </w:p>
    <w:p w14:paraId="65E0A486">
      <w:pPr>
        <w:spacing w:line="360" w:lineRule="auto"/>
        <w:ind w:firstLine="480" w:firstLineChars="200"/>
        <w:rPr>
          <w:rFonts w:hint="eastAsia" w:ascii="华文中宋" w:hAnsi="华文中宋" w:eastAsia="华文中宋" w:cs="华文中宋"/>
          <w:sz w:val="24"/>
        </w:rPr>
      </w:pPr>
      <w:r>
        <w:rPr>
          <w:rFonts w:hint="eastAsia" w:ascii="华文中宋" w:hAnsi="华文中宋" w:eastAsia="华文中宋" w:cs="华文中宋"/>
          <w:sz w:val="24"/>
        </w:rPr>
        <w:t>2、认证证书附后（有效期之内的节能产品认证证书扫描件）。</w:t>
      </w:r>
    </w:p>
    <w:p w14:paraId="0D0F566B">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lang w:bidi="ar"/>
        </w:rPr>
        <w:t>正版软件承诺格式（若有的话，以包为单位分别填写）</w:t>
      </w:r>
    </w:p>
    <w:p w14:paraId="4F29DEAA">
      <w:pPr>
        <w:spacing w:line="360" w:lineRule="auto"/>
        <w:ind w:firstLine="3258" w:firstLineChars="1356"/>
        <w:rPr>
          <w:rFonts w:hint="eastAsia" w:ascii="华文中宋" w:hAnsi="华文中宋" w:eastAsia="华文中宋" w:cs="华文中宋"/>
          <w:sz w:val="24"/>
        </w:rPr>
      </w:pPr>
      <w:r>
        <w:rPr>
          <w:rFonts w:hint="eastAsia" w:ascii="华文中宋" w:hAnsi="华文中宋" w:eastAsia="华文中宋" w:cs="华文中宋"/>
          <w:b/>
          <w:sz w:val="24"/>
          <w:lang w:bidi="ar"/>
        </w:rPr>
        <w:t>正 版 软 件 承 诺</w:t>
      </w:r>
    </w:p>
    <w:p w14:paraId="6B6EDD0A">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lang w:bidi="ar"/>
        </w:rPr>
        <w:t>本响应人现参与</w:t>
      </w:r>
      <w:r>
        <w:rPr>
          <w:rFonts w:hint="eastAsia" w:ascii="华文中宋" w:hAnsi="华文中宋" w:eastAsia="华文中宋" w:cs="华文中宋"/>
          <w:u w:val="single"/>
          <w:lang w:bidi="ar"/>
        </w:rPr>
        <w:t xml:space="preserve">                             </w:t>
      </w:r>
      <w:r>
        <w:rPr>
          <w:rFonts w:hint="eastAsia" w:ascii="华文中宋" w:hAnsi="华文中宋" w:eastAsia="华文中宋" w:cs="华文中宋"/>
          <w:lang w:bidi="ar"/>
        </w:rPr>
        <w:t>项目（项目编号：</w:t>
      </w:r>
      <w:r>
        <w:rPr>
          <w:rFonts w:hint="eastAsia" w:ascii="华文中宋" w:hAnsi="华文中宋" w:eastAsia="华文中宋" w:cs="华文中宋"/>
          <w:u w:val="single"/>
          <w:lang w:bidi="ar"/>
        </w:rPr>
        <w:t xml:space="preserve">             </w:t>
      </w:r>
      <w:r>
        <w:rPr>
          <w:rFonts w:hint="eastAsia" w:ascii="华文中宋" w:hAnsi="华文中宋" w:eastAsia="华文中宋" w:cs="华文中宋"/>
          <w:lang w:bidi="ar"/>
        </w:rPr>
        <w:t>）的采购活动，本公司承诺投报的计算机产品预装正版操作系统，投报的硬件产品内的预装软件为正版软件。</w:t>
      </w:r>
    </w:p>
    <w:p w14:paraId="52EB7A9F">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lang w:bidi="ar"/>
        </w:rPr>
        <w:t>如上述声明不真实，愿意按照政府采购有关法律法规的规定接受处罚。</w:t>
      </w:r>
    </w:p>
    <w:p w14:paraId="0B5364E5">
      <w:pPr>
        <w:pStyle w:val="25"/>
        <w:widowControl w:val="0"/>
        <w:adjustRightInd w:val="0"/>
        <w:snapToGrid w:val="0"/>
        <w:spacing w:before="0" w:beforeAutospacing="0" w:after="0" w:afterAutospacing="0" w:line="360" w:lineRule="auto"/>
        <w:ind w:firstLine="480" w:firstLineChars="200"/>
        <w:jc w:val="both"/>
        <w:rPr>
          <w:rFonts w:hint="eastAsia" w:ascii="华文中宋" w:hAnsi="华文中宋" w:eastAsia="华文中宋" w:cs="华文中宋"/>
        </w:rPr>
      </w:pPr>
      <w:r>
        <w:rPr>
          <w:rFonts w:hint="eastAsia" w:ascii="华文中宋" w:hAnsi="华文中宋" w:eastAsia="华文中宋" w:cs="华文中宋"/>
          <w:lang w:bidi="ar"/>
        </w:rPr>
        <w:t>特此声明</w:t>
      </w:r>
    </w:p>
    <w:p w14:paraId="686DA731">
      <w:pPr>
        <w:snapToGrid w:val="0"/>
        <w:spacing w:line="360" w:lineRule="auto"/>
        <w:rPr>
          <w:rFonts w:hint="eastAsia" w:ascii="华文中宋" w:hAnsi="华文中宋" w:eastAsia="华文中宋" w:cs="华文中宋"/>
          <w:szCs w:val="21"/>
        </w:rPr>
      </w:pPr>
      <w:r>
        <w:rPr>
          <w:rFonts w:hint="eastAsia" w:ascii="华文中宋" w:hAnsi="华文中宋" w:eastAsia="华文中宋" w:cs="华文中宋"/>
          <w:sz w:val="24"/>
          <w:lang w:bidi="ar"/>
        </w:rPr>
        <w:t>　　　　　　　　　　　　响应人：</w:t>
      </w:r>
      <w:r>
        <w:rPr>
          <w:rFonts w:hint="eastAsia" w:ascii="华文中宋" w:hAnsi="华文中宋" w:eastAsia="华文中宋" w:cs="华文中宋"/>
          <w:sz w:val="24"/>
          <w:u w:val="single"/>
          <w:lang w:bidi="ar"/>
        </w:rPr>
        <w:t xml:space="preserve">                            </w:t>
      </w:r>
      <w:r>
        <w:rPr>
          <w:rFonts w:hint="eastAsia" w:ascii="华文中宋" w:hAnsi="华文中宋" w:eastAsia="华文中宋" w:cs="华文中宋"/>
          <w:sz w:val="24"/>
          <w:lang w:bidi="ar"/>
        </w:rPr>
        <w:t>（</w:t>
      </w:r>
      <w:r>
        <w:rPr>
          <w:rFonts w:hint="eastAsia" w:ascii="华文中宋" w:hAnsi="华文中宋" w:eastAsia="华文中宋" w:cs="华文中宋"/>
          <w:spacing w:val="20"/>
          <w:sz w:val="24"/>
        </w:rPr>
        <w:t>法人</w:t>
      </w:r>
      <w:r>
        <w:rPr>
          <w:rFonts w:hint="eastAsia" w:ascii="华文中宋" w:hAnsi="华文中宋" w:eastAsia="华文中宋" w:cs="华文中宋"/>
          <w:spacing w:val="20"/>
          <w:szCs w:val="21"/>
        </w:rPr>
        <w:t>电子签章</w:t>
      </w:r>
      <w:r>
        <w:rPr>
          <w:rFonts w:hint="eastAsia" w:ascii="华文中宋" w:hAnsi="华文中宋" w:eastAsia="华文中宋" w:cs="华文中宋"/>
          <w:szCs w:val="21"/>
          <w:lang w:bidi="ar"/>
        </w:rPr>
        <w:t>）</w:t>
      </w:r>
    </w:p>
    <w:p w14:paraId="704C05E0">
      <w:pPr>
        <w:snapToGrid w:val="0"/>
        <w:spacing w:line="480" w:lineRule="exact"/>
        <w:ind w:firstLine="420" w:firstLineChars="200"/>
        <w:rPr>
          <w:rFonts w:hint="eastAsia" w:ascii="华文中宋" w:hAnsi="华文中宋" w:eastAsia="华文中宋" w:cs="华文中宋"/>
          <w:szCs w:val="21"/>
        </w:rPr>
      </w:pPr>
      <w:r>
        <w:rPr>
          <w:rFonts w:hint="eastAsia" w:ascii="华文中宋" w:hAnsi="华文中宋" w:eastAsia="华文中宋" w:cs="华文中宋"/>
          <w:szCs w:val="21"/>
          <w:lang w:bidi="ar"/>
        </w:rPr>
        <w:t xml:space="preserve">                                                    年  月  日</w:t>
      </w:r>
    </w:p>
    <w:p w14:paraId="3212FD37">
      <w:pPr>
        <w:spacing w:line="480" w:lineRule="exact"/>
        <w:rPr>
          <w:rFonts w:hint="eastAsia" w:ascii="华文中宋" w:hAnsi="华文中宋" w:eastAsia="华文中宋" w:cs="华文中宋"/>
          <w:b/>
          <w:sz w:val="24"/>
          <w:lang w:bidi="ar"/>
        </w:rPr>
      </w:pPr>
    </w:p>
    <w:p w14:paraId="690B8C97">
      <w:pPr>
        <w:spacing w:line="480" w:lineRule="exact"/>
        <w:rPr>
          <w:rFonts w:hint="eastAsia" w:ascii="华文中宋" w:hAnsi="华文中宋" w:eastAsia="华文中宋" w:cs="华文中宋"/>
          <w:sz w:val="24"/>
        </w:rPr>
      </w:pPr>
      <w:r>
        <w:rPr>
          <w:rFonts w:hint="eastAsia" w:ascii="华文中宋" w:hAnsi="华文中宋" w:eastAsia="华文中宋" w:cs="华文中宋"/>
          <w:b/>
          <w:sz w:val="24"/>
          <w:lang w:bidi="ar"/>
        </w:rPr>
        <w:t>信息安全产品说明：以下产品为信息安全产品，如有涉及的内容，响应文件中时须提供有效认证证书</w:t>
      </w:r>
      <w:r>
        <w:rPr>
          <w:rFonts w:hint="eastAsia" w:ascii="华文中宋" w:hAnsi="华文中宋" w:eastAsia="华文中宋" w:cs="华文中宋"/>
          <w:b/>
          <w:sz w:val="24"/>
        </w:rPr>
        <w:t>扫描件</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816"/>
        <w:gridCol w:w="6051"/>
      </w:tblGrid>
      <w:tr w14:paraId="0628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736" w:type="pct"/>
            <w:tcBorders>
              <w:top w:val="single" w:color="auto" w:sz="4" w:space="0"/>
              <w:left w:val="single" w:color="auto" w:sz="4" w:space="0"/>
              <w:bottom w:val="single" w:color="auto" w:sz="4" w:space="0"/>
              <w:right w:val="single" w:color="auto" w:sz="4" w:space="0"/>
            </w:tcBorders>
            <w:vAlign w:val="center"/>
          </w:tcPr>
          <w:p w14:paraId="05F2377F">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产品类别</w:t>
            </w:r>
          </w:p>
        </w:tc>
        <w:tc>
          <w:tcPr>
            <w:tcW w:w="984" w:type="pct"/>
            <w:tcBorders>
              <w:top w:val="single" w:color="auto" w:sz="4" w:space="0"/>
              <w:left w:val="single" w:color="auto" w:sz="4" w:space="0"/>
              <w:bottom w:val="single" w:color="auto" w:sz="4" w:space="0"/>
              <w:right w:val="single" w:color="auto" w:sz="4" w:space="0"/>
            </w:tcBorders>
            <w:vAlign w:val="center"/>
          </w:tcPr>
          <w:p w14:paraId="18310281">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产品名称</w:t>
            </w:r>
          </w:p>
        </w:tc>
        <w:tc>
          <w:tcPr>
            <w:tcW w:w="3278" w:type="pct"/>
            <w:tcBorders>
              <w:top w:val="single" w:color="auto" w:sz="4" w:space="0"/>
              <w:left w:val="single" w:color="auto" w:sz="4" w:space="0"/>
              <w:bottom w:val="single" w:color="auto" w:sz="4" w:space="0"/>
              <w:right w:val="single" w:color="auto" w:sz="4" w:space="0"/>
            </w:tcBorders>
            <w:vAlign w:val="center"/>
          </w:tcPr>
          <w:p w14:paraId="4FF458CC">
            <w:pPr>
              <w:widowControl/>
              <w:jc w:val="center"/>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产品的定义和适用范围</w:t>
            </w:r>
          </w:p>
        </w:tc>
      </w:tr>
      <w:tr w14:paraId="02CE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pct"/>
            <w:vMerge w:val="restart"/>
            <w:tcBorders>
              <w:top w:val="single" w:color="auto" w:sz="4" w:space="0"/>
              <w:left w:val="single" w:color="auto" w:sz="4" w:space="0"/>
              <w:bottom w:val="single" w:color="auto" w:sz="4" w:space="0"/>
              <w:right w:val="single" w:color="auto" w:sz="4" w:space="0"/>
            </w:tcBorders>
            <w:vAlign w:val="center"/>
          </w:tcPr>
          <w:p w14:paraId="67B056E1">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1、边界安全</w:t>
            </w:r>
          </w:p>
        </w:tc>
        <w:tc>
          <w:tcPr>
            <w:tcW w:w="984" w:type="pct"/>
            <w:tcBorders>
              <w:top w:val="single" w:color="auto" w:sz="4" w:space="0"/>
              <w:left w:val="single" w:color="auto" w:sz="4" w:space="0"/>
              <w:bottom w:val="single" w:color="auto" w:sz="4" w:space="0"/>
              <w:right w:val="single" w:color="auto" w:sz="4" w:space="0"/>
            </w:tcBorders>
            <w:vAlign w:val="center"/>
          </w:tcPr>
          <w:p w14:paraId="1689D1C0">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1）防火墙</w:t>
            </w:r>
          </w:p>
        </w:tc>
        <w:tc>
          <w:tcPr>
            <w:tcW w:w="3278" w:type="pct"/>
            <w:tcBorders>
              <w:top w:val="single" w:color="auto" w:sz="4" w:space="0"/>
              <w:left w:val="single" w:color="auto" w:sz="4" w:space="0"/>
              <w:bottom w:val="single" w:color="auto" w:sz="4" w:space="0"/>
              <w:right w:val="single" w:color="auto" w:sz="4" w:space="0"/>
            </w:tcBorders>
          </w:tcPr>
          <w:p w14:paraId="414CE467">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防火墙产品是指一个或一组在不同安全策略的网络或安全域之间实施网络访问控制的系统。</w:t>
            </w:r>
          </w:p>
          <w:p w14:paraId="35188909">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适用的产品范围为：（1）以防火墙功能为主体的软件或软硬件组合；（2）其它网络产品中的防火墙模块；不适用个人防火墙产品。</w:t>
            </w:r>
          </w:p>
        </w:tc>
      </w:tr>
      <w:tr w14:paraId="79D3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pct"/>
            <w:vMerge w:val="continue"/>
            <w:tcBorders>
              <w:top w:val="single" w:color="auto" w:sz="4" w:space="0"/>
              <w:left w:val="single" w:color="auto" w:sz="4" w:space="0"/>
              <w:bottom w:val="single" w:color="auto" w:sz="4" w:space="0"/>
              <w:right w:val="single" w:color="auto" w:sz="4" w:space="0"/>
            </w:tcBorders>
            <w:vAlign w:val="center"/>
          </w:tcPr>
          <w:p w14:paraId="30293C98">
            <w:pPr>
              <w:ind w:firstLine="400"/>
              <w:rPr>
                <w:rFonts w:hint="eastAsia" w:ascii="华文中宋" w:hAnsi="华文中宋" w:eastAsia="华文中宋" w:cs="华文中宋"/>
                <w:sz w:val="20"/>
                <w:szCs w:val="20"/>
              </w:rPr>
            </w:pPr>
          </w:p>
        </w:tc>
        <w:tc>
          <w:tcPr>
            <w:tcW w:w="984" w:type="pct"/>
            <w:tcBorders>
              <w:top w:val="single" w:color="auto" w:sz="4" w:space="0"/>
              <w:left w:val="single" w:color="auto" w:sz="4" w:space="0"/>
              <w:bottom w:val="single" w:color="auto" w:sz="4" w:space="0"/>
              <w:right w:val="single" w:color="auto" w:sz="4" w:space="0"/>
            </w:tcBorders>
            <w:vAlign w:val="center"/>
          </w:tcPr>
          <w:p w14:paraId="783579D1">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2）网络安全隔离卡与线路选择器</w:t>
            </w:r>
          </w:p>
        </w:tc>
        <w:tc>
          <w:tcPr>
            <w:tcW w:w="3278" w:type="pct"/>
            <w:tcBorders>
              <w:top w:val="single" w:color="auto" w:sz="4" w:space="0"/>
              <w:left w:val="single" w:color="auto" w:sz="4" w:space="0"/>
              <w:bottom w:val="single" w:color="auto" w:sz="4" w:space="0"/>
              <w:right w:val="single" w:color="auto" w:sz="4" w:space="0"/>
            </w:tcBorders>
          </w:tcPr>
          <w:p w14:paraId="2A69A091">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14:paraId="6DC679E1">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适用的产品范围为：（1）安全隔离计算机；（2）安全隔离卡；（3）安全隔离线路选择器。</w:t>
            </w:r>
          </w:p>
        </w:tc>
      </w:tr>
      <w:tr w14:paraId="2DB4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pct"/>
            <w:vMerge w:val="continue"/>
            <w:tcBorders>
              <w:top w:val="single" w:color="auto" w:sz="4" w:space="0"/>
              <w:left w:val="single" w:color="auto" w:sz="4" w:space="0"/>
              <w:bottom w:val="single" w:color="auto" w:sz="4" w:space="0"/>
              <w:right w:val="single" w:color="auto" w:sz="4" w:space="0"/>
            </w:tcBorders>
            <w:vAlign w:val="center"/>
          </w:tcPr>
          <w:p w14:paraId="1E960B58">
            <w:pPr>
              <w:ind w:firstLine="400"/>
              <w:rPr>
                <w:rFonts w:hint="eastAsia" w:ascii="华文中宋" w:hAnsi="华文中宋" w:eastAsia="华文中宋" w:cs="华文中宋"/>
                <w:sz w:val="20"/>
                <w:szCs w:val="20"/>
              </w:rPr>
            </w:pPr>
          </w:p>
        </w:tc>
        <w:tc>
          <w:tcPr>
            <w:tcW w:w="984" w:type="pct"/>
            <w:tcBorders>
              <w:top w:val="single" w:color="auto" w:sz="4" w:space="0"/>
              <w:left w:val="single" w:color="auto" w:sz="4" w:space="0"/>
              <w:bottom w:val="single" w:color="auto" w:sz="4" w:space="0"/>
              <w:right w:val="single" w:color="auto" w:sz="4" w:space="0"/>
            </w:tcBorders>
            <w:vAlign w:val="center"/>
          </w:tcPr>
          <w:p w14:paraId="75FD151B">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3）安全隔离与信息交换产品</w:t>
            </w:r>
          </w:p>
        </w:tc>
        <w:tc>
          <w:tcPr>
            <w:tcW w:w="3278" w:type="pct"/>
            <w:tcBorders>
              <w:top w:val="single" w:color="auto" w:sz="4" w:space="0"/>
              <w:left w:val="single" w:color="auto" w:sz="4" w:space="0"/>
              <w:bottom w:val="single" w:color="auto" w:sz="4" w:space="0"/>
              <w:right w:val="single" w:color="auto" w:sz="4" w:space="0"/>
            </w:tcBorders>
          </w:tcPr>
          <w:p w14:paraId="1B3DF57F">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安全隔离与信息交换产品是指能够保证不同网络之间在网络协议终止的基础上，通过安全通道在实现网络隔离的同时进行安全数据交换的软硬件组合。</w:t>
            </w:r>
          </w:p>
          <w:p w14:paraId="7DCE2F31">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适用的产品范围为：（1）安全隔离与信息交换产品；（2）安全隔离与文件单向传输产品。</w:t>
            </w:r>
          </w:p>
        </w:tc>
      </w:tr>
      <w:tr w14:paraId="7DC9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3F75369B">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2、 通信安全</w:t>
            </w:r>
          </w:p>
        </w:tc>
        <w:tc>
          <w:tcPr>
            <w:tcW w:w="984" w:type="pct"/>
            <w:tcBorders>
              <w:top w:val="single" w:color="auto" w:sz="4" w:space="0"/>
              <w:left w:val="single" w:color="auto" w:sz="4" w:space="0"/>
              <w:bottom w:val="single" w:color="auto" w:sz="4" w:space="0"/>
              <w:right w:val="single" w:color="auto" w:sz="4" w:space="0"/>
            </w:tcBorders>
            <w:vAlign w:val="center"/>
          </w:tcPr>
          <w:p w14:paraId="231EC96C">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 xml:space="preserve">4）安全路由器    </w:t>
            </w:r>
          </w:p>
        </w:tc>
        <w:tc>
          <w:tcPr>
            <w:tcW w:w="3278" w:type="pct"/>
            <w:tcBorders>
              <w:top w:val="single" w:color="auto" w:sz="4" w:space="0"/>
              <w:left w:val="single" w:color="auto" w:sz="4" w:space="0"/>
              <w:bottom w:val="single" w:color="auto" w:sz="4" w:space="0"/>
              <w:right w:val="single" w:color="auto" w:sz="4" w:space="0"/>
            </w:tcBorders>
          </w:tcPr>
          <w:p w14:paraId="46AD6B9B">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 xml:space="preserve">安全路由器是指为保障所传输数据完整性、机密性、可用性，应用于重要信息系统的，具备IKE密钥协商能力，端口IPSec硬件线速加密能力的路由器。  </w:t>
            </w:r>
          </w:p>
          <w:p w14:paraId="4EB8209F">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适用的产品范围为分：集成了IPSec/SSL，以及防火墙、入侵检测、安全审计等一种或多种安全模块的路由器，仅接入公用电信网的路由器除外。</w:t>
            </w:r>
          </w:p>
        </w:tc>
      </w:tr>
      <w:tr w14:paraId="609C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5D3C6094">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3、身份鉴别与访问控制</w:t>
            </w:r>
          </w:p>
        </w:tc>
        <w:tc>
          <w:tcPr>
            <w:tcW w:w="984" w:type="pct"/>
            <w:tcBorders>
              <w:top w:val="single" w:color="auto" w:sz="4" w:space="0"/>
              <w:left w:val="single" w:color="auto" w:sz="4" w:space="0"/>
              <w:bottom w:val="single" w:color="auto" w:sz="4" w:space="0"/>
              <w:right w:val="single" w:color="auto" w:sz="4" w:space="0"/>
            </w:tcBorders>
            <w:vAlign w:val="center"/>
          </w:tcPr>
          <w:p w14:paraId="1A60BCCF">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5）智能卡COS</w:t>
            </w:r>
          </w:p>
        </w:tc>
        <w:tc>
          <w:tcPr>
            <w:tcW w:w="3278" w:type="pct"/>
            <w:tcBorders>
              <w:top w:val="single" w:color="auto" w:sz="4" w:space="0"/>
              <w:left w:val="single" w:color="auto" w:sz="4" w:space="0"/>
              <w:bottom w:val="single" w:color="auto" w:sz="4" w:space="0"/>
              <w:right w:val="single" w:color="auto" w:sz="4" w:space="0"/>
            </w:tcBorders>
          </w:tcPr>
          <w:p w14:paraId="62CAC49B">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智能卡芯片操作系统(COS-Chip Operating System)是指在智能卡芯片中存储和运行的、以保护存储在非易失性存储器中的应用数据或程序的机密性和完整性、控制智能卡芯片与外界信息交换为目的的嵌入式软件。</w:t>
            </w:r>
          </w:p>
          <w:p w14:paraId="5D4080E4">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适用的产品范围为：（1）采用接触或/和非接触工作方式的智能卡的COS；（2）其它被集成或内置了的COS。</w:t>
            </w:r>
          </w:p>
        </w:tc>
      </w:tr>
      <w:tr w14:paraId="0BE0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478C8ECD">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4、数据安全</w:t>
            </w:r>
          </w:p>
        </w:tc>
        <w:tc>
          <w:tcPr>
            <w:tcW w:w="984" w:type="pct"/>
            <w:tcBorders>
              <w:top w:val="single" w:color="auto" w:sz="4" w:space="0"/>
              <w:left w:val="single" w:color="auto" w:sz="4" w:space="0"/>
              <w:bottom w:val="single" w:color="auto" w:sz="4" w:space="0"/>
              <w:right w:val="single" w:color="auto" w:sz="4" w:space="0"/>
            </w:tcBorders>
            <w:vAlign w:val="center"/>
          </w:tcPr>
          <w:p w14:paraId="2ECA1185">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6）数据备份与恢复产品</w:t>
            </w:r>
          </w:p>
        </w:tc>
        <w:tc>
          <w:tcPr>
            <w:tcW w:w="3278" w:type="pct"/>
            <w:tcBorders>
              <w:top w:val="single" w:color="auto" w:sz="4" w:space="0"/>
              <w:left w:val="single" w:color="auto" w:sz="4" w:space="0"/>
              <w:bottom w:val="single" w:color="auto" w:sz="4" w:space="0"/>
              <w:right w:val="single" w:color="auto" w:sz="4" w:space="0"/>
            </w:tcBorders>
          </w:tcPr>
          <w:p w14:paraId="5998C827">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数据备份与恢复产品是指实现和管理信息系统数据的备份和恢复过程的软件。</w:t>
            </w:r>
          </w:p>
          <w:p w14:paraId="20408486">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适用的产品范围为：独立的数据备份与恢复管理软件产品，不包括数据复制产品和持续数据保护产品。</w:t>
            </w:r>
          </w:p>
        </w:tc>
      </w:tr>
      <w:tr w14:paraId="4E5B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pct"/>
            <w:vMerge w:val="restart"/>
            <w:tcBorders>
              <w:top w:val="single" w:color="auto" w:sz="4" w:space="0"/>
              <w:left w:val="single" w:color="auto" w:sz="4" w:space="0"/>
              <w:bottom w:val="single" w:color="auto" w:sz="4" w:space="0"/>
              <w:right w:val="single" w:color="auto" w:sz="4" w:space="0"/>
            </w:tcBorders>
            <w:vAlign w:val="center"/>
          </w:tcPr>
          <w:p w14:paraId="6D93DCC8">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 </w:t>
            </w:r>
          </w:p>
          <w:p w14:paraId="38C73D87">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 </w:t>
            </w:r>
          </w:p>
          <w:p w14:paraId="7BD6602F">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 </w:t>
            </w:r>
          </w:p>
          <w:p w14:paraId="54685E5D">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5、基础平台</w:t>
            </w:r>
          </w:p>
          <w:p w14:paraId="62E26733">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 </w:t>
            </w:r>
          </w:p>
        </w:tc>
        <w:tc>
          <w:tcPr>
            <w:tcW w:w="984" w:type="pct"/>
            <w:tcBorders>
              <w:top w:val="single" w:color="auto" w:sz="4" w:space="0"/>
              <w:left w:val="single" w:color="auto" w:sz="4" w:space="0"/>
              <w:bottom w:val="single" w:color="auto" w:sz="4" w:space="0"/>
              <w:right w:val="single" w:color="auto" w:sz="4" w:space="0"/>
            </w:tcBorders>
            <w:vAlign w:val="center"/>
          </w:tcPr>
          <w:p w14:paraId="63A02594">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7）安全操作系统</w:t>
            </w:r>
          </w:p>
        </w:tc>
        <w:tc>
          <w:tcPr>
            <w:tcW w:w="3278" w:type="pct"/>
            <w:tcBorders>
              <w:top w:val="single" w:color="auto" w:sz="4" w:space="0"/>
              <w:left w:val="single" w:color="auto" w:sz="4" w:space="0"/>
              <w:bottom w:val="single" w:color="auto" w:sz="4" w:space="0"/>
              <w:right w:val="single" w:color="auto" w:sz="4" w:space="0"/>
            </w:tcBorders>
          </w:tcPr>
          <w:p w14:paraId="209A1389">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安全操作系统是指从系统设计、实现、使用和管理等各个阶段都遵循一套完整的系统安全策略，并实现了GB 17859-1999 《计算机信息系统等级保护划分准则》所确定的安全等级三级（含）以上的操作系统。</w:t>
            </w:r>
          </w:p>
          <w:p w14:paraId="7453BA06">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适用的产品范围为：（1）独立的安全操作系统软件产品；（2）集成或内置了安全操作系统的产品。</w:t>
            </w:r>
          </w:p>
        </w:tc>
      </w:tr>
      <w:tr w14:paraId="09C9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pct"/>
            <w:vMerge w:val="continue"/>
            <w:tcBorders>
              <w:top w:val="single" w:color="auto" w:sz="4" w:space="0"/>
              <w:left w:val="single" w:color="auto" w:sz="4" w:space="0"/>
              <w:bottom w:val="single" w:color="auto" w:sz="4" w:space="0"/>
              <w:right w:val="single" w:color="auto" w:sz="4" w:space="0"/>
            </w:tcBorders>
            <w:vAlign w:val="center"/>
          </w:tcPr>
          <w:p w14:paraId="72A77736">
            <w:pPr>
              <w:ind w:firstLine="400"/>
              <w:rPr>
                <w:rFonts w:hint="eastAsia" w:ascii="华文中宋" w:hAnsi="华文中宋" w:eastAsia="华文中宋" w:cs="华文中宋"/>
                <w:sz w:val="20"/>
                <w:szCs w:val="20"/>
              </w:rPr>
            </w:pPr>
          </w:p>
        </w:tc>
        <w:tc>
          <w:tcPr>
            <w:tcW w:w="984" w:type="pct"/>
            <w:tcBorders>
              <w:top w:val="single" w:color="auto" w:sz="4" w:space="0"/>
              <w:left w:val="single" w:color="auto" w:sz="4" w:space="0"/>
              <w:bottom w:val="single" w:color="auto" w:sz="4" w:space="0"/>
              <w:right w:val="single" w:color="auto" w:sz="4" w:space="0"/>
            </w:tcBorders>
            <w:vAlign w:val="center"/>
          </w:tcPr>
          <w:p w14:paraId="08470F67">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8）安全数据库系统</w:t>
            </w:r>
          </w:p>
        </w:tc>
        <w:tc>
          <w:tcPr>
            <w:tcW w:w="3278" w:type="pct"/>
            <w:tcBorders>
              <w:top w:val="single" w:color="auto" w:sz="4" w:space="0"/>
              <w:left w:val="single" w:color="auto" w:sz="4" w:space="0"/>
              <w:bottom w:val="single" w:color="auto" w:sz="4" w:space="0"/>
              <w:right w:val="single" w:color="auto" w:sz="4" w:space="0"/>
            </w:tcBorders>
          </w:tcPr>
          <w:p w14:paraId="3D2B3F0C">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安全数据库系统是指从系统设计、实现、使用和管理等各个阶段都遵循一套完整的系统安全策略，并实现GB 17859-1999 《计算机信息系统等级保护划分准则》所确定的安全等级三级（含）以上的数据库系统。</w:t>
            </w:r>
          </w:p>
          <w:p w14:paraId="174E643A">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适用的产品范围为：（1）独立的安全数据库系统软件产品；（2）集成或内置了安全数据库系统的产品。</w:t>
            </w:r>
          </w:p>
        </w:tc>
      </w:tr>
      <w:tr w14:paraId="0651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518F507F">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6、内容安全</w:t>
            </w:r>
          </w:p>
        </w:tc>
        <w:tc>
          <w:tcPr>
            <w:tcW w:w="984" w:type="pct"/>
            <w:tcBorders>
              <w:top w:val="single" w:color="auto" w:sz="4" w:space="0"/>
              <w:left w:val="single" w:color="auto" w:sz="4" w:space="0"/>
              <w:bottom w:val="single" w:color="auto" w:sz="4" w:space="0"/>
              <w:right w:val="single" w:color="auto" w:sz="4" w:space="0"/>
            </w:tcBorders>
            <w:vAlign w:val="center"/>
          </w:tcPr>
          <w:p w14:paraId="58FA8FB6">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9）反垃圾邮件产品</w:t>
            </w:r>
          </w:p>
        </w:tc>
        <w:tc>
          <w:tcPr>
            <w:tcW w:w="3278" w:type="pct"/>
            <w:tcBorders>
              <w:top w:val="single" w:color="auto" w:sz="4" w:space="0"/>
              <w:left w:val="single" w:color="auto" w:sz="4" w:space="0"/>
              <w:bottom w:val="single" w:color="auto" w:sz="4" w:space="0"/>
              <w:right w:val="single" w:color="auto" w:sz="4" w:space="0"/>
            </w:tcBorders>
          </w:tcPr>
          <w:p w14:paraId="12EABFFC">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反垃圾邮件产品是指对按照电子邮件标准协议实现的电子邮件系统中传递的垃圾邮件进行识别、过滤的软件或软硬件组合。</w:t>
            </w:r>
          </w:p>
          <w:p w14:paraId="29FCCAE0">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适用的产品范围为：（1）透明的反垃圾邮件网关；（2）基于转发的反垃圾邮件系统；（3）与邮件服务器一体的反垃圾邮件的邮件服务器；(4) 安装于已有邮件服务器上反垃圾邮件软件。</w:t>
            </w:r>
          </w:p>
        </w:tc>
      </w:tr>
      <w:tr w14:paraId="69D7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6" w:type="pct"/>
            <w:vMerge w:val="restart"/>
            <w:tcBorders>
              <w:top w:val="single" w:color="auto" w:sz="4" w:space="0"/>
              <w:left w:val="single" w:color="auto" w:sz="4" w:space="0"/>
              <w:bottom w:val="single" w:color="auto" w:sz="4" w:space="0"/>
              <w:right w:val="single" w:color="auto" w:sz="4" w:space="0"/>
            </w:tcBorders>
            <w:vAlign w:val="center"/>
          </w:tcPr>
          <w:p w14:paraId="2AD5E13F">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7、评估审计与监控</w:t>
            </w:r>
          </w:p>
        </w:tc>
        <w:tc>
          <w:tcPr>
            <w:tcW w:w="984" w:type="pct"/>
            <w:tcBorders>
              <w:top w:val="single" w:color="auto" w:sz="4" w:space="0"/>
              <w:left w:val="single" w:color="auto" w:sz="4" w:space="0"/>
              <w:bottom w:val="single" w:color="auto" w:sz="4" w:space="0"/>
              <w:right w:val="single" w:color="auto" w:sz="4" w:space="0"/>
            </w:tcBorders>
            <w:vAlign w:val="center"/>
          </w:tcPr>
          <w:p w14:paraId="1FEFF1AB">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 xml:space="preserve">10）入侵检测系统（IDS）            </w:t>
            </w:r>
          </w:p>
        </w:tc>
        <w:tc>
          <w:tcPr>
            <w:tcW w:w="3278" w:type="pct"/>
            <w:tcBorders>
              <w:top w:val="single" w:color="auto" w:sz="4" w:space="0"/>
              <w:left w:val="single" w:color="auto" w:sz="4" w:space="0"/>
              <w:bottom w:val="single" w:color="auto" w:sz="4" w:space="0"/>
              <w:right w:val="single" w:color="auto" w:sz="4" w:space="0"/>
            </w:tcBorders>
          </w:tcPr>
          <w:p w14:paraId="0F0F8ED1">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入侵检测系统指通过对计算机网络或计算机系统中的若干关键点收集信息并对其进行分析，发现违反安全策略的行为和被攻击迹象的软件或软硬件组合。</w:t>
            </w:r>
          </w:p>
          <w:p w14:paraId="424E5822">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适用的产品范围为：（1）网络型入侵检测系统；（2）主机型入侵检测系统。</w:t>
            </w:r>
          </w:p>
        </w:tc>
      </w:tr>
      <w:tr w14:paraId="67AD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6" w:type="pct"/>
            <w:vMerge w:val="continue"/>
            <w:tcBorders>
              <w:top w:val="single" w:color="auto" w:sz="4" w:space="0"/>
              <w:left w:val="single" w:color="auto" w:sz="4" w:space="0"/>
              <w:bottom w:val="single" w:color="auto" w:sz="4" w:space="0"/>
              <w:right w:val="single" w:color="auto" w:sz="4" w:space="0"/>
            </w:tcBorders>
            <w:vAlign w:val="center"/>
          </w:tcPr>
          <w:p w14:paraId="12626F38">
            <w:pPr>
              <w:ind w:firstLine="400"/>
              <w:rPr>
                <w:rFonts w:hint="eastAsia" w:ascii="华文中宋" w:hAnsi="华文中宋" w:eastAsia="华文中宋" w:cs="华文中宋"/>
                <w:sz w:val="20"/>
                <w:szCs w:val="20"/>
              </w:rPr>
            </w:pPr>
          </w:p>
        </w:tc>
        <w:tc>
          <w:tcPr>
            <w:tcW w:w="984" w:type="pct"/>
            <w:tcBorders>
              <w:top w:val="single" w:color="auto" w:sz="4" w:space="0"/>
              <w:left w:val="single" w:color="auto" w:sz="4" w:space="0"/>
              <w:bottom w:val="single" w:color="auto" w:sz="4" w:space="0"/>
              <w:right w:val="single" w:color="auto" w:sz="4" w:space="0"/>
            </w:tcBorders>
            <w:vAlign w:val="center"/>
          </w:tcPr>
          <w:p w14:paraId="614C9274">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 xml:space="preserve">11）网络脆弱性扫描产品                </w:t>
            </w:r>
          </w:p>
        </w:tc>
        <w:tc>
          <w:tcPr>
            <w:tcW w:w="3278" w:type="pct"/>
            <w:tcBorders>
              <w:top w:val="single" w:color="auto" w:sz="4" w:space="0"/>
              <w:left w:val="single" w:color="auto" w:sz="4" w:space="0"/>
              <w:bottom w:val="single" w:color="auto" w:sz="4" w:space="0"/>
              <w:right w:val="single" w:color="auto" w:sz="4" w:space="0"/>
            </w:tcBorders>
          </w:tcPr>
          <w:p w14:paraId="15F8451A">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网络脆弱性扫描产品指利用扫描手段检测目标网络系统中可能被入侵者利用的脆弱性的软件或软硬件组合。</w:t>
            </w:r>
          </w:p>
          <w:p w14:paraId="153048C8">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适用的产品范围为：网络型脆弱性扫描产品；不适用：主机型脆弱性扫描产品；数据库的脆弱性扫描产品；WEB应用的脆弱性扫描产品。</w:t>
            </w:r>
          </w:p>
        </w:tc>
      </w:tr>
      <w:tr w14:paraId="0ACA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6" w:type="pct"/>
            <w:vMerge w:val="continue"/>
            <w:tcBorders>
              <w:top w:val="single" w:color="auto" w:sz="4" w:space="0"/>
              <w:left w:val="single" w:color="auto" w:sz="4" w:space="0"/>
              <w:bottom w:val="single" w:color="auto" w:sz="4" w:space="0"/>
              <w:right w:val="single" w:color="auto" w:sz="4" w:space="0"/>
            </w:tcBorders>
            <w:vAlign w:val="center"/>
          </w:tcPr>
          <w:p w14:paraId="5BA78224">
            <w:pPr>
              <w:ind w:firstLine="400"/>
              <w:rPr>
                <w:rFonts w:hint="eastAsia" w:ascii="华文中宋" w:hAnsi="华文中宋" w:eastAsia="华文中宋" w:cs="华文中宋"/>
                <w:sz w:val="20"/>
                <w:szCs w:val="20"/>
              </w:rPr>
            </w:pPr>
          </w:p>
        </w:tc>
        <w:tc>
          <w:tcPr>
            <w:tcW w:w="984" w:type="pct"/>
            <w:tcBorders>
              <w:top w:val="single" w:color="auto" w:sz="4" w:space="0"/>
              <w:left w:val="single" w:color="auto" w:sz="4" w:space="0"/>
              <w:bottom w:val="single" w:color="auto" w:sz="4" w:space="0"/>
              <w:right w:val="single" w:color="auto" w:sz="4" w:space="0"/>
            </w:tcBorders>
            <w:vAlign w:val="center"/>
          </w:tcPr>
          <w:p w14:paraId="4E3ED7F7">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 xml:space="preserve">12）安全审计产品                    </w:t>
            </w:r>
          </w:p>
        </w:tc>
        <w:tc>
          <w:tcPr>
            <w:tcW w:w="3278" w:type="pct"/>
            <w:tcBorders>
              <w:top w:val="single" w:color="auto" w:sz="4" w:space="0"/>
              <w:left w:val="single" w:color="auto" w:sz="4" w:space="0"/>
              <w:bottom w:val="single" w:color="auto" w:sz="4" w:space="0"/>
              <w:right w:val="single" w:color="auto" w:sz="4" w:space="0"/>
            </w:tcBorders>
          </w:tcPr>
          <w:p w14:paraId="327F203A">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安全审计产品指能够对网络应用行为或信息系统的各种日志实行采集、分析，形成审计记录的软件或软硬件组合。</w:t>
            </w:r>
          </w:p>
          <w:p w14:paraId="285746AF">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适用的产品范围为：将主机、服务器、网络、数据库及其它应用系统等一类或多类作为审计对象的产品。</w:t>
            </w:r>
          </w:p>
        </w:tc>
      </w:tr>
      <w:tr w14:paraId="38B2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4681F334">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8、应用安全</w:t>
            </w:r>
          </w:p>
        </w:tc>
        <w:tc>
          <w:tcPr>
            <w:tcW w:w="984" w:type="pct"/>
            <w:tcBorders>
              <w:top w:val="single" w:color="auto" w:sz="4" w:space="0"/>
              <w:left w:val="single" w:color="auto" w:sz="4" w:space="0"/>
              <w:bottom w:val="single" w:color="auto" w:sz="4" w:space="0"/>
              <w:right w:val="single" w:color="auto" w:sz="4" w:space="0"/>
            </w:tcBorders>
            <w:vAlign w:val="center"/>
          </w:tcPr>
          <w:p w14:paraId="57DAEBDB">
            <w:pPr>
              <w:widowControl/>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13）网站恢复产品</w:t>
            </w:r>
          </w:p>
        </w:tc>
        <w:tc>
          <w:tcPr>
            <w:tcW w:w="3278" w:type="pct"/>
            <w:tcBorders>
              <w:top w:val="single" w:color="auto" w:sz="4" w:space="0"/>
              <w:left w:val="single" w:color="auto" w:sz="4" w:space="0"/>
              <w:bottom w:val="single" w:color="auto" w:sz="4" w:space="0"/>
              <w:right w:val="single" w:color="auto" w:sz="4" w:space="0"/>
            </w:tcBorders>
          </w:tcPr>
          <w:p w14:paraId="012A74EA">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网站恢复产品是对受保护的静态网页文件、动态脚本文件及目录的未授权更改及时地进行自动恢复的软件或软硬件组合。</w:t>
            </w:r>
          </w:p>
          <w:p w14:paraId="472E91F4">
            <w:pPr>
              <w:widowControl/>
              <w:ind w:firstLine="480"/>
              <w:jc w:val="left"/>
              <w:rPr>
                <w:rFonts w:hint="eastAsia" w:ascii="华文中宋" w:hAnsi="华文中宋" w:eastAsia="华文中宋" w:cs="华文中宋"/>
                <w:kern w:val="0"/>
                <w:szCs w:val="21"/>
              </w:rPr>
            </w:pPr>
            <w:r>
              <w:rPr>
                <w:rFonts w:hint="eastAsia" w:ascii="华文中宋" w:hAnsi="华文中宋" w:eastAsia="华文中宋" w:cs="华文中宋"/>
                <w:kern w:val="0"/>
                <w:szCs w:val="21"/>
                <w:lang w:bidi="ar"/>
              </w:rPr>
              <w:t>适用的产品范围为：针对静态网页文件、动态脚本文件及目录进行自动恢复的产品。</w:t>
            </w:r>
          </w:p>
        </w:tc>
      </w:tr>
    </w:tbl>
    <w:p w14:paraId="2532C32E">
      <w:pPr>
        <w:spacing w:line="360" w:lineRule="auto"/>
        <w:ind w:firstLine="420" w:firstLineChars="200"/>
        <w:rPr>
          <w:rFonts w:hint="eastAsia" w:ascii="华文中宋" w:hAnsi="华文中宋" w:eastAsia="华文中宋" w:cs="华文中宋"/>
        </w:rPr>
      </w:pPr>
    </w:p>
    <w:p w14:paraId="4805EB06">
      <w:pPr>
        <w:spacing w:line="360" w:lineRule="auto"/>
        <w:ind w:firstLine="480" w:firstLineChars="200"/>
        <w:rPr>
          <w:rFonts w:hint="eastAsia" w:ascii="华文中宋" w:hAnsi="华文中宋" w:eastAsia="华文中宋" w:cs="华文中宋"/>
          <w:b/>
          <w:sz w:val="24"/>
        </w:rPr>
      </w:pPr>
      <w:r>
        <w:rPr>
          <w:rFonts w:hint="eastAsia" w:ascii="华文中宋" w:hAnsi="华文中宋" w:eastAsia="华文中宋" w:cs="华文中宋"/>
          <w:b/>
          <w:sz w:val="24"/>
          <w:lang w:bidi="ar"/>
        </w:rPr>
        <w:t>（三）对服务要求的响应内容；</w:t>
      </w:r>
    </w:p>
    <w:p w14:paraId="5746D724">
      <w:pPr>
        <w:spacing w:line="360" w:lineRule="auto"/>
        <w:ind w:firstLine="480" w:firstLineChars="200"/>
        <w:rPr>
          <w:rFonts w:hint="eastAsia" w:ascii="华文中宋" w:hAnsi="华文中宋" w:eastAsia="华文中宋" w:cs="华文中宋"/>
          <w:sz w:val="24"/>
          <w:lang w:bidi="ar"/>
        </w:rPr>
      </w:pPr>
      <w:r>
        <w:rPr>
          <w:rFonts w:hint="eastAsia" w:ascii="华文中宋" w:hAnsi="华文中宋" w:eastAsia="华文中宋" w:cs="华文中宋"/>
          <w:sz w:val="24"/>
          <w:lang w:bidi="ar"/>
        </w:rPr>
        <w:t>根据本文件第四部分服务要求中的内容进行响应。</w:t>
      </w:r>
    </w:p>
    <w:p w14:paraId="1B7A36A5">
      <w:pPr>
        <w:pStyle w:val="21"/>
        <w:ind w:firstLine="360"/>
        <w:rPr>
          <w:rFonts w:hint="eastAsia" w:ascii="华文中宋" w:hAnsi="华文中宋" w:eastAsia="华文中宋" w:cs="华文中宋"/>
        </w:rPr>
      </w:pPr>
    </w:p>
    <w:p w14:paraId="4A491EFC">
      <w:pPr>
        <w:spacing w:line="360" w:lineRule="auto"/>
        <w:ind w:left="315" w:leftChars="150" w:firstLine="120" w:firstLineChars="50"/>
        <w:rPr>
          <w:rFonts w:hint="eastAsia" w:ascii="华文中宋" w:hAnsi="华文中宋" w:eastAsia="华文中宋" w:cs="华文中宋"/>
          <w:b/>
          <w:sz w:val="24"/>
          <w:lang w:bidi="ar"/>
        </w:rPr>
      </w:pPr>
      <w:r>
        <w:rPr>
          <w:rFonts w:hint="eastAsia" w:ascii="华文中宋" w:hAnsi="华文中宋" w:eastAsia="华文中宋" w:cs="华文中宋"/>
          <w:b/>
          <w:sz w:val="24"/>
          <w:lang w:bidi="ar"/>
        </w:rPr>
        <w:t>（四）对技术要求的响应内容</w:t>
      </w:r>
    </w:p>
    <w:p w14:paraId="07CC06B3">
      <w:pPr>
        <w:spacing w:line="360" w:lineRule="auto"/>
        <w:rPr>
          <w:rFonts w:hint="eastAsia" w:ascii="华文中宋" w:hAnsi="华文中宋" w:eastAsia="华文中宋" w:cs="华文中宋"/>
          <w:b/>
          <w:sz w:val="24"/>
          <w:lang w:bidi="ar"/>
        </w:rPr>
      </w:pPr>
    </w:p>
    <w:p w14:paraId="043AC721">
      <w:pPr>
        <w:spacing w:line="360" w:lineRule="auto"/>
        <w:rPr>
          <w:rFonts w:hint="eastAsia" w:ascii="华文中宋" w:hAnsi="华文中宋" w:eastAsia="华文中宋" w:cs="华文中宋"/>
          <w:b/>
          <w:sz w:val="24"/>
          <w:lang w:bidi="ar"/>
        </w:rPr>
      </w:pPr>
    </w:p>
    <w:p w14:paraId="0FE7B391">
      <w:pPr>
        <w:spacing w:line="360" w:lineRule="auto"/>
        <w:rPr>
          <w:rFonts w:hint="eastAsia" w:ascii="华文中宋" w:hAnsi="华文中宋" w:eastAsia="华文中宋" w:cs="华文中宋"/>
          <w:b/>
          <w:sz w:val="24"/>
          <w:lang w:bidi="ar"/>
        </w:rPr>
      </w:pPr>
    </w:p>
    <w:p w14:paraId="23BAEFAC">
      <w:pPr>
        <w:spacing w:line="360" w:lineRule="auto"/>
        <w:rPr>
          <w:rFonts w:hint="eastAsia" w:ascii="华文中宋" w:hAnsi="华文中宋" w:eastAsia="华文中宋" w:cs="华文中宋"/>
          <w:b/>
          <w:sz w:val="24"/>
          <w:lang w:bidi="ar"/>
        </w:rPr>
      </w:pPr>
    </w:p>
    <w:p w14:paraId="0C590DFC">
      <w:pPr>
        <w:spacing w:line="360" w:lineRule="auto"/>
        <w:rPr>
          <w:rFonts w:hint="eastAsia" w:ascii="华文中宋" w:hAnsi="华文中宋" w:eastAsia="华文中宋" w:cs="华文中宋"/>
          <w:b/>
          <w:sz w:val="24"/>
        </w:rPr>
      </w:pPr>
      <w:r>
        <w:rPr>
          <w:rFonts w:hint="eastAsia" w:ascii="华文中宋" w:hAnsi="华文中宋" w:eastAsia="华文中宋" w:cs="华文中宋"/>
          <w:b/>
          <w:sz w:val="24"/>
          <w:lang w:bidi="ar"/>
        </w:rPr>
        <w:t>（1）货物服务技术偏离表格式</w:t>
      </w:r>
    </w:p>
    <w:p w14:paraId="0B822DBF">
      <w:pPr>
        <w:tabs>
          <w:tab w:val="left" w:pos="4000"/>
        </w:tabs>
        <w:snapToGrid w:val="0"/>
        <w:spacing w:after="468" w:afterLines="150" w:line="360" w:lineRule="auto"/>
        <w:jc w:val="center"/>
        <w:rPr>
          <w:rFonts w:hint="eastAsia" w:ascii="华文中宋" w:hAnsi="华文中宋" w:eastAsia="华文中宋" w:cs="华文中宋"/>
          <w:b/>
          <w:sz w:val="24"/>
        </w:rPr>
      </w:pPr>
      <w:r>
        <w:rPr>
          <w:rFonts w:hint="eastAsia" w:ascii="华文中宋" w:hAnsi="华文中宋" w:eastAsia="华文中宋" w:cs="华文中宋"/>
          <w:b/>
          <w:sz w:val="24"/>
        </w:rPr>
        <w:t>货物（服务）技术偏离表</w:t>
      </w:r>
    </w:p>
    <w:p w14:paraId="71F6E51A">
      <w:pPr>
        <w:spacing w:line="360" w:lineRule="auto"/>
        <w:rPr>
          <w:rFonts w:hint="eastAsia" w:ascii="华文中宋" w:hAnsi="华文中宋" w:eastAsia="华文中宋" w:cs="华文中宋"/>
          <w:sz w:val="24"/>
          <w:u w:val="single"/>
        </w:rPr>
      </w:pPr>
      <w:r>
        <w:rPr>
          <w:rFonts w:hint="eastAsia" w:ascii="华文中宋" w:hAnsi="华文中宋" w:eastAsia="华文中宋" w:cs="华文中宋"/>
          <w:sz w:val="24"/>
        </w:rPr>
        <w:t xml:space="preserve">项目名称：    </w:t>
      </w:r>
    </w:p>
    <w:p w14:paraId="26EE77C7">
      <w:pPr>
        <w:spacing w:line="360" w:lineRule="auto"/>
        <w:rPr>
          <w:rFonts w:hint="eastAsia" w:ascii="华文中宋" w:hAnsi="华文中宋" w:eastAsia="华文中宋" w:cs="华文中宋"/>
          <w:sz w:val="24"/>
          <w:u w:val="single"/>
        </w:rPr>
      </w:pPr>
      <w:r>
        <w:rPr>
          <w:rFonts w:hint="eastAsia" w:ascii="华文中宋" w:hAnsi="华文中宋" w:eastAsia="华文中宋" w:cs="华文中宋"/>
          <w:sz w:val="24"/>
        </w:rPr>
        <w:t xml:space="preserve">项目编号：    </w:t>
      </w:r>
    </w:p>
    <w:p w14:paraId="427AF0AF">
      <w:pPr>
        <w:spacing w:line="360" w:lineRule="auto"/>
        <w:rPr>
          <w:rFonts w:hint="eastAsia" w:ascii="华文中宋" w:hAnsi="华文中宋" w:eastAsia="华文中宋" w:cs="华文中宋"/>
          <w:sz w:val="24"/>
        </w:rPr>
      </w:pPr>
      <w:r>
        <w:rPr>
          <w:rFonts w:hint="eastAsia" w:ascii="华文中宋" w:hAnsi="华文中宋" w:eastAsia="华文中宋" w:cs="华文中宋"/>
          <w:sz w:val="24"/>
        </w:rPr>
        <w:t xml:space="preserve">投标人名称：  </w:t>
      </w:r>
    </w:p>
    <w:p w14:paraId="2F4447FE">
      <w:pPr>
        <w:spacing w:line="360" w:lineRule="auto"/>
        <w:ind w:firstLine="240" w:firstLineChars="100"/>
        <w:jc w:val="left"/>
        <w:rPr>
          <w:rFonts w:hint="eastAsia" w:ascii="华文中宋" w:hAnsi="华文中宋" w:eastAsia="华文中宋" w:cs="华文中宋"/>
          <w:spacing w:val="20"/>
          <w:sz w:val="24"/>
        </w:rPr>
      </w:pPr>
      <w:r>
        <w:rPr>
          <w:rFonts w:hint="eastAsia" w:ascii="华文中宋" w:hAnsi="华文中宋" w:eastAsia="华文中宋" w:cs="华文中宋"/>
          <w:sz w:val="24"/>
        </w:rPr>
        <w:t>第   包       　　　　　　　　　　　　                  货币：人民币/元</w:t>
      </w:r>
    </w:p>
    <w:tbl>
      <w:tblPr>
        <w:tblStyle w:val="28"/>
        <w:tblW w:w="486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45"/>
        <w:gridCol w:w="2670"/>
        <w:gridCol w:w="2775"/>
        <w:gridCol w:w="1245"/>
        <w:gridCol w:w="1694"/>
      </w:tblGrid>
      <w:tr w14:paraId="2500B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94" w:hRule="atLeast"/>
        </w:trPr>
        <w:tc>
          <w:tcPr>
            <w:tcW w:w="252" w:type="pct"/>
            <w:tcBorders>
              <w:right w:val="single" w:color="auto" w:sz="4" w:space="0"/>
            </w:tcBorders>
            <w:vAlign w:val="center"/>
          </w:tcPr>
          <w:p w14:paraId="7381F33D">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序号</w:t>
            </w:r>
          </w:p>
        </w:tc>
        <w:tc>
          <w:tcPr>
            <w:tcW w:w="1512" w:type="pct"/>
            <w:vAlign w:val="center"/>
          </w:tcPr>
          <w:p w14:paraId="228DBA9C">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招标（采购）文件</w:t>
            </w:r>
          </w:p>
          <w:p w14:paraId="28D0B984">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技术要求、规范</w:t>
            </w:r>
          </w:p>
        </w:tc>
        <w:tc>
          <w:tcPr>
            <w:tcW w:w="1571" w:type="pct"/>
            <w:vAlign w:val="center"/>
          </w:tcPr>
          <w:p w14:paraId="66CC6C57">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投标产品（服务）</w:t>
            </w:r>
          </w:p>
          <w:p w14:paraId="3DFBB869">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技术指标、规范</w:t>
            </w:r>
          </w:p>
        </w:tc>
        <w:tc>
          <w:tcPr>
            <w:tcW w:w="705" w:type="pct"/>
            <w:vAlign w:val="center"/>
          </w:tcPr>
          <w:p w14:paraId="433E58B0">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偏离情况</w:t>
            </w:r>
          </w:p>
        </w:tc>
        <w:tc>
          <w:tcPr>
            <w:tcW w:w="959" w:type="pct"/>
            <w:vAlign w:val="center"/>
          </w:tcPr>
          <w:p w14:paraId="15B58B6D">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备注</w:t>
            </w:r>
          </w:p>
        </w:tc>
      </w:tr>
      <w:tr w14:paraId="44A59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5" w:hRule="exact"/>
        </w:trPr>
        <w:tc>
          <w:tcPr>
            <w:tcW w:w="252" w:type="pct"/>
            <w:tcBorders>
              <w:right w:val="single" w:color="auto" w:sz="4" w:space="0"/>
            </w:tcBorders>
            <w:vAlign w:val="center"/>
          </w:tcPr>
          <w:p w14:paraId="049F3C31">
            <w:pPr>
              <w:snapToGrid w:val="0"/>
              <w:spacing w:line="300" w:lineRule="auto"/>
              <w:jc w:val="center"/>
              <w:rPr>
                <w:rFonts w:hint="eastAsia" w:ascii="华文中宋" w:hAnsi="华文中宋" w:eastAsia="华文中宋" w:cs="华文中宋"/>
                <w:szCs w:val="21"/>
              </w:rPr>
            </w:pPr>
          </w:p>
        </w:tc>
        <w:tc>
          <w:tcPr>
            <w:tcW w:w="1512" w:type="pct"/>
            <w:vAlign w:val="center"/>
          </w:tcPr>
          <w:p w14:paraId="079F7AE6">
            <w:pPr>
              <w:snapToGrid w:val="0"/>
              <w:spacing w:line="300" w:lineRule="auto"/>
              <w:jc w:val="center"/>
              <w:rPr>
                <w:rFonts w:hint="eastAsia" w:ascii="华文中宋" w:hAnsi="华文中宋" w:eastAsia="华文中宋" w:cs="华文中宋"/>
                <w:szCs w:val="21"/>
              </w:rPr>
            </w:pPr>
          </w:p>
        </w:tc>
        <w:tc>
          <w:tcPr>
            <w:tcW w:w="1571" w:type="pct"/>
            <w:vAlign w:val="center"/>
          </w:tcPr>
          <w:p w14:paraId="4D5932CF">
            <w:pPr>
              <w:snapToGrid w:val="0"/>
              <w:spacing w:line="300" w:lineRule="auto"/>
              <w:jc w:val="center"/>
              <w:rPr>
                <w:rFonts w:hint="eastAsia" w:ascii="华文中宋" w:hAnsi="华文中宋" w:eastAsia="华文中宋" w:cs="华文中宋"/>
                <w:szCs w:val="21"/>
              </w:rPr>
            </w:pPr>
          </w:p>
        </w:tc>
        <w:tc>
          <w:tcPr>
            <w:tcW w:w="705" w:type="pct"/>
            <w:vAlign w:val="center"/>
          </w:tcPr>
          <w:p w14:paraId="12D03AFA">
            <w:pPr>
              <w:snapToGrid w:val="0"/>
              <w:spacing w:line="300" w:lineRule="auto"/>
              <w:jc w:val="center"/>
              <w:rPr>
                <w:rFonts w:hint="eastAsia" w:ascii="华文中宋" w:hAnsi="华文中宋" w:eastAsia="华文中宋" w:cs="华文中宋"/>
                <w:szCs w:val="21"/>
              </w:rPr>
            </w:pPr>
          </w:p>
        </w:tc>
        <w:tc>
          <w:tcPr>
            <w:tcW w:w="959" w:type="pct"/>
            <w:vAlign w:val="center"/>
          </w:tcPr>
          <w:p w14:paraId="3D318C83">
            <w:pPr>
              <w:snapToGrid w:val="0"/>
              <w:spacing w:line="300" w:lineRule="auto"/>
              <w:jc w:val="center"/>
              <w:rPr>
                <w:rFonts w:hint="eastAsia" w:ascii="华文中宋" w:hAnsi="华文中宋" w:eastAsia="华文中宋" w:cs="华文中宋"/>
                <w:szCs w:val="21"/>
              </w:rPr>
            </w:pPr>
          </w:p>
        </w:tc>
      </w:tr>
      <w:tr w14:paraId="3D2D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52" w:type="pct"/>
            <w:tcBorders>
              <w:right w:val="single" w:color="auto" w:sz="4" w:space="0"/>
            </w:tcBorders>
            <w:vAlign w:val="center"/>
          </w:tcPr>
          <w:p w14:paraId="6FE66D8B">
            <w:pPr>
              <w:snapToGrid w:val="0"/>
              <w:spacing w:line="300" w:lineRule="auto"/>
              <w:jc w:val="center"/>
              <w:rPr>
                <w:rFonts w:hint="eastAsia" w:ascii="华文中宋" w:hAnsi="华文中宋" w:eastAsia="华文中宋" w:cs="华文中宋"/>
                <w:szCs w:val="21"/>
              </w:rPr>
            </w:pPr>
          </w:p>
        </w:tc>
        <w:tc>
          <w:tcPr>
            <w:tcW w:w="1512" w:type="pct"/>
            <w:vAlign w:val="center"/>
          </w:tcPr>
          <w:p w14:paraId="1F721280">
            <w:pPr>
              <w:snapToGrid w:val="0"/>
              <w:spacing w:line="300" w:lineRule="auto"/>
              <w:jc w:val="center"/>
              <w:rPr>
                <w:rFonts w:hint="eastAsia" w:ascii="华文中宋" w:hAnsi="华文中宋" w:eastAsia="华文中宋" w:cs="华文中宋"/>
                <w:szCs w:val="21"/>
              </w:rPr>
            </w:pPr>
          </w:p>
        </w:tc>
        <w:tc>
          <w:tcPr>
            <w:tcW w:w="1571" w:type="pct"/>
            <w:vAlign w:val="center"/>
          </w:tcPr>
          <w:p w14:paraId="3A4598A1">
            <w:pPr>
              <w:snapToGrid w:val="0"/>
              <w:spacing w:line="300" w:lineRule="auto"/>
              <w:jc w:val="center"/>
              <w:rPr>
                <w:rFonts w:hint="eastAsia" w:ascii="华文中宋" w:hAnsi="华文中宋" w:eastAsia="华文中宋" w:cs="华文中宋"/>
                <w:szCs w:val="21"/>
              </w:rPr>
            </w:pPr>
          </w:p>
        </w:tc>
        <w:tc>
          <w:tcPr>
            <w:tcW w:w="705" w:type="pct"/>
            <w:vAlign w:val="center"/>
          </w:tcPr>
          <w:p w14:paraId="471963B3">
            <w:pPr>
              <w:snapToGrid w:val="0"/>
              <w:spacing w:line="300" w:lineRule="auto"/>
              <w:jc w:val="center"/>
              <w:rPr>
                <w:rFonts w:hint="eastAsia" w:ascii="华文中宋" w:hAnsi="华文中宋" w:eastAsia="华文中宋" w:cs="华文中宋"/>
                <w:szCs w:val="21"/>
              </w:rPr>
            </w:pPr>
          </w:p>
        </w:tc>
        <w:tc>
          <w:tcPr>
            <w:tcW w:w="959" w:type="pct"/>
            <w:vAlign w:val="center"/>
          </w:tcPr>
          <w:p w14:paraId="4CA051F7">
            <w:pPr>
              <w:snapToGrid w:val="0"/>
              <w:spacing w:line="300" w:lineRule="auto"/>
              <w:jc w:val="center"/>
              <w:rPr>
                <w:rFonts w:hint="eastAsia" w:ascii="华文中宋" w:hAnsi="华文中宋" w:eastAsia="华文中宋" w:cs="华文中宋"/>
                <w:szCs w:val="21"/>
              </w:rPr>
            </w:pPr>
          </w:p>
        </w:tc>
      </w:tr>
      <w:tr w14:paraId="4988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52" w:type="pct"/>
            <w:tcBorders>
              <w:right w:val="single" w:color="auto" w:sz="4" w:space="0"/>
            </w:tcBorders>
            <w:vAlign w:val="center"/>
          </w:tcPr>
          <w:p w14:paraId="54DB4C20">
            <w:pPr>
              <w:snapToGrid w:val="0"/>
              <w:spacing w:line="300" w:lineRule="auto"/>
              <w:jc w:val="center"/>
              <w:rPr>
                <w:rFonts w:hint="eastAsia" w:ascii="华文中宋" w:hAnsi="华文中宋" w:eastAsia="华文中宋" w:cs="华文中宋"/>
                <w:szCs w:val="21"/>
              </w:rPr>
            </w:pPr>
          </w:p>
        </w:tc>
        <w:tc>
          <w:tcPr>
            <w:tcW w:w="1512" w:type="pct"/>
            <w:vAlign w:val="center"/>
          </w:tcPr>
          <w:p w14:paraId="2243B855">
            <w:pPr>
              <w:snapToGrid w:val="0"/>
              <w:spacing w:line="300" w:lineRule="auto"/>
              <w:jc w:val="center"/>
              <w:rPr>
                <w:rFonts w:hint="eastAsia" w:ascii="华文中宋" w:hAnsi="华文中宋" w:eastAsia="华文中宋" w:cs="华文中宋"/>
                <w:szCs w:val="21"/>
              </w:rPr>
            </w:pPr>
          </w:p>
        </w:tc>
        <w:tc>
          <w:tcPr>
            <w:tcW w:w="1571" w:type="pct"/>
            <w:vAlign w:val="center"/>
          </w:tcPr>
          <w:p w14:paraId="16485DD1">
            <w:pPr>
              <w:snapToGrid w:val="0"/>
              <w:spacing w:line="300" w:lineRule="auto"/>
              <w:jc w:val="center"/>
              <w:rPr>
                <w:rFonts w:hint="eastAsia" w:ascii="华文中宋" w:hAnsi="华文中宋" w:eastAsia="华文中宋" w:cs="华文中宋"/>
                <w:szCs w:val="21"/>
              </w:rPr>
            </w:pPr>
          </w:p>
        </w:tc>
        <w:tc>
          <w:tcPr>
            <w:tcW w:w="705" w:type="pct"/>
            <w:vAlign w:val="center"/>
          </w:tcPr>
          <w:p w14:paraId="45A363C5">
            <w:pPr>
              <w:snapToGrid w:val="0"/>
              <w:spacing w:line="300" w:lineRule="auto"/>
              <w:jc w:val="center"/>
              <w:rPr>
                <w:rFonts w:hint="eastAsia" w:ascii="华文中宋" w:hAnsi="华文中宋" w:eastAsia="华文中宋" w:cs="华文中宋"/>
                <w:szCs w:val="21"/>
              </w:rPr>
            </w:pPr>
          </w:p>
        </w:tc>
        <w:tc>
          <w:tcPr>
            <w:tcW w:w="959" w:type="pct"/>
            <w:vAlign w:val="center"/>
          </w:tcPr>
          <w:p w14:paraId="38DFABFE">
            <w:pPr>
              <w:snapToGrid w:val="0"/>
              <w:spacing w:line="300" w:lineRule="auto"/>
              <w:jc w:val="center"/>
              <w:rPr>
                <w:rFonts w:hint="eastAsia" w:ascii="华文中宋" w:hAnsi="华文中宋" w:eastAsia="华文中宋" w:cs="华文中宋"/>
                <w:szCs w:val="21"/>
              </w:rPr>
            </w:pPr>
          </w:p>
        </w:tc>
      </w:tr>
    </w:tbl>
    <w:p w14:paraId="3205AA44">
      <w:pPr>
        <w:snapToGrid w:val="0"/>
        <w:spacing w:line="300" w:lineRule="auto"/>
        <w:ind w:firstLine="640"/>
        <w:rPr>
          <w:rFonts w:hint="eastAsia" w:ascii="华文中宋" w:hAnsi="华文中宋" w:eastAsia="华文中宋" w:cs="华文中宋"/>
          <w:spacing w:val="20"/>
          <w:sz w:val="28"/>
          <w:szCs w:val="28"/>
        </w:rPr>
      </w:pPr>
      <w:r>
        <w:rPr>
          <w:rFonts w:hint="eastAsia" w:ascii="华文中宋" w:hAnsi="华文中宋" w:eastAsia="华文中宋" w:cs="华文中宋"/>
          <w:spacing w:val="20"/>
          <w:sz w:val="28"/>
          <w:szCs w:val="28"/>
        </w:rPr>
        <w:t xml:space="preserve">                    </w:t>
      </w:r>
    </w:p>
    <w:p w14:paraId="6634E4B4">
      <w:pPr>
        <w:snapToGrid w:val="0"/>
        <w:spacing w:line="360" w:lineRule="auto"/>
        <w:rPr>
          <w:rFonts w:hint="eastAsia" w:ascii="华文中宋" w:hAnsi="华文中宋" w:eastAsia="华文中宋" w:cs="华文中宋"/>
          <w:sz w:val="24"/>
        </w:rPr>
      </w:pPr>
      <w:r>
        <w:rPr>
          <w:rFonts w:hint="eastAsia" w:ascii="华文中宋" w:hAnsi="华文中宋" w:eastAsia="华文中宋" w:cs="华文中宋"/>
          <w:sz w:val="24"/>
          <w:lang w:bidi="ar"/>
        </w:rPr>
        <w:t>　　　　　　　　　　　　投标人：</w:t>
      </w:r>
      <w:r>
        <w:rPr>
          <w:rFonts w:hint="eastAsia" w:ascii="华文中宋" w:hAnsi="华文中宋" w:eastAsia="华文中宋" w:cs="华文中宋"/>
          <w:sz w:val="24"/>
          <w:u w:val="single"/>
          <w:lang w:bidi="ar"/>
        </w:rPr>
        <w:t xml:space="preserve">                            </w:t>
      </w:r>
      <w:r>
        <w:rPr>
          <w:rFonts w:hint="eastAsia" w:ascii="华文中宋" w:hAnsi="华文中宋" w:eastAsia="华文中宋" w:cs="华文中宋"/>
          <w:sz w:val="24"/>
          <w:lang w:bidi="ar"/>
        </w:rPr>
        <w:t>（</w:t>
      </w:r>
      <w:r>
        <w:rPr>
          <w:rFonts w:hint="eastAsia" w:ascii="华文中宋" w:hAnsi="华文中宋" w:eastAsia="华文中宋" w:cs="华文中宋"/>
          <w:spacing w:val="20"/>
          <w:sz w:val="24"/>
        </w:rPr>
        <w:t>法人电子签章</w:t>
      </w:r>
      <w:r>
        <w:rPr>
          <w:rFonts w:hint="eastAsia" w:ascii="华文中宋" w:hAnsi="华文中宋" w:eastAsia="华文中宋" w:cs="华文中宋"/>
          <w:sz w:val="24"/>
          <w:lang w:bidi="ar"/>
        </w:rPr>
        <w:t>）</w:t>
      </w:r>
    </w:p>
    <w:p w14:paraId="2D943498">
      <w:pPr>
        <w:snapToGrid w:val="0"/>
        <w:spacing w:line="360" w:lineRule="auto"/>
        <w:ind w:firstLine="480" w:firstLineChars="200"/>
        <w:rPr>
          <w:rFonts w:hint="eastAsia" w:ascii="华文中宋" w:hAnsi="华文中宋" w:eastAsia="华文中宋" w:cs="华文中宋"/>
          <w:sz w:val="24"/>
          <w:lang w:bidi="ar"/>
        </w:rPr>
      </w:pPr>
      <w:r>
        <w:rPr>
          <w:rFonts w:hint="eastAsia" w:ascii="华文中宋" w:hAnsi="华文中宋" w:eastAsia="华文中宋" w:cs="华文中宋"/>
          <w:sz w:val="24"/>
          <w:lang w:bidi="ar"/>
        </w:rPr>
        <w:t xml:space="preserve">                                                    年  月  日</w:t>
      </w:r>
    </w:p>
    <w:p w14:paraId="5939C566">
      <w:pPr>
        <w:spacing w:line="360" w:lineRule="auto"/>
        <w:ind w:left="315" w:leftChars="150" w:firstLine="120" w:firstLineChars="50"/>
        <w:rPr>
          <w:rFonts w:hint="eastAsia" w:ascii="华文中宋" w:hAnsi="华文中宋" w:eastAsia="华文中宋" w:cs="华文中宋"/>
          <w:b/>
          <w:sz w:val="24"/>
          <w:lang w:bidi="ar"/>
        </w:rPr>
      </w:pPr>
    </w:p>
    <w:p w14:paraId="15026F87">
      <w:pPr>
        <w:pStyle w:val="19"/>
        <w:snapToGrid w:val="0"/>
        <w:spacing w:line="360" w:lineRule="auto"/>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（2）其他响应文件</w:t>
      </w:r>
    </w:p>
    <w:p w14:paraId="2915A53B">
      <w:pPr>
        <w:spacing w:line="360" w:lineRule="auto"/>
        <w:ind w:left="315" w:leftChars="150" w:firstLine="120" w:firstLineChars="50"/>
        <w:rPr>
          <w:rFonts w:hint="eastAsia" w:ascii="华文中宋" w:hAnsi="华文中宋" w:eastAsia="华文中宋" w:cs="华文中宋"/>
          <w:b/>
          <w:sz w:val="24"/>
          <w:lang w:bidi="ar"/>
        </w:rPr>
      </w:pPr>
    </w:p>
    <w:p w14:paraId="5C9C665B">
      <w:pPr>
        <w:spacing w:line="480" w:lineRule="auto"/>
        <w:jc w:val="center"/>
        <w:rPr>
          <w:rFonts w:hint="eastAsia" w:ascii="华文中宋" w:hAnsi="华文中宋" w:eastAsia="华文中宋" w:cs="华文中宋"/>
          <w:b/>
          <w:sz w:val="24"/>
        </w:rPr>
      </w:pPr>
    </w:p>
    <w:p w14:paraId="2274187F">
      <w:pPr>
        <w:spacing w:line="480" w:lineRule="auto"/>
        <w:jc w:val="center"/>
        <w:rPr>
          <w:rFonts w:hint="eastAsia" w:ascii="华文中宋" w:hAnsi="华文中宋" w:eastAsia="华文中宋" w:cs="华文中宋"/>
          <w:b/>
          <w:sz w:val="24"/>
        </w:rPr>
      </w:pPr>
    </w:p>
    <w:p w14:paraId="7F0A9C45">
      <w:pPr>
        <w:spacing w:line="480" w:lineRule="auto"/>
        <w:jc w:val="center"/>
        <w:rPr>
          <w:rFonts w:hint="eastAsia" w:ascii="华文中宋" w:hAnsi="华文中宋" w:eastAsia="华文中宋" w:cs="华文中宋"/>
          <w:b/>
          <w:sz w:val="24"/>
        </w:rPr>
      </w:pPr>
    </w:p>
    <w:p w14:paraId="7E29600A">
      <w:pPr>
        <w:spacing w:line="480" w:lineRule="auto"/>
        <w:jc w:val="center"/>
        <w:rPr>
          <w:rFonts w:hint="eastAsia" w:ascii="华文中宋" w:hAnsi="华文中宋" w:eastAsia="华文中宋" w:cs="华文中宋"/>
          <w:b/>
          <w:sz w:val="24"/>
        </w:rPr>
      </w:pPr>
    </w:p>
    <w:p w14:paraId="1E439A57">
      <w:pPr>
        <w:spacing w:line="480" w:lineRule="auto"/>
        <w:jc w:val="center"/>
        <w:rPr>
          <w:rFonts w:hint="eastAsia" w:ascii="华文中宋" w:hAnsi="华文中宋" w:eastAsia="华文中宋" w:cs="华文中宋"/>
          <w:b/>
          <w:sz w:val="24"/>
        </w:rPr>
      </w:pPr>
    </w:p>
    <w:p w14:paraId="0932E44C">
      <w:pPr>
        <w:spacing w:line="480" w:lineRule="auto"/>
        <w:jc w:val="center"/>
        <w:rPr>
          <w:rFonts w:hint="eastAsia" w:ascii="华文中宋" w:hAnsi="华文中宋" w:eastAsia="华文中宋" w:cs="华文中宋"/>
          <w:b/>
          <w:sz w:val="24"/>
        </w:rPr>
      </w:pPr>
      <w:r>
        <w:rPr>
          <w:rFonts w:hint="eastAsia" w:ascii="华文中宋" w:hAnsi="华文中宋" w:eastAsia="华文中宋" w:cs="华文中宋"/>
          <w:b/>
          <w:sz w:val="24"/>
        </w:rPr>
        <w:t>商 务 技 术 文 件（综合评分文件）</w:t>
      </w:r>
    </w:p>
    <w:p w14:paraId="12E5354E">
      <w:pPr>
        <w:spacing w:line="480" w:lineRule="auto"/>
        <w:jc w:val="center"/>
        <w:rPr>
          <w:rFonts w:hint="eastAsia" w:ascii="华文中宋" w:hAnsi="华文中宋" w:eastAsia="华文中宋" w:cs="华文中宋"/>
          <w:b/>
          <w:sz w:val="24"/>
        </w:rPr>
      </w:pPr>
      <w:r>
        <w:rPr>
          <w:rFonts w:hint="eastAsia" w:ascii="华文中宋" w:hAnsi="华文中宋" w:eastAsia="华文中宋" w:cs="华文中宋"/>
          <w:b/>
          <w:sz w:val="24"/>
        </w:rPr>
        <w:t>目    录</w:t>
      </w:r>
    </w:p>
    <w:p w14:paraId="54479547">
      <w:pPr>
        <w:pStyle w:val="21"/>
        <w:ind w:firstLine="360"/>
        <w:rPr>
          <w:rFonts w:hint="eastAsia" w:ascii="华文中宋" w:hAnsi="华文中宋" w:eastAsia="华文中宋" w:cs="华文中宋"/>
        </w:rPr>
      </w:pPr>
    </w:p>
    <w:p w14:paraId="2F88A155">
      <w:pPr>
        <w:pStyle w:val="19"/>
        <w:numPr>
          <w:ilvl w:val="0"/>
          <w:numId w:val="9"/>
        </w:numPr>
        <w:snapToGrid w:val="0"/>
        <w:spacing w:line="360" w:lineRule="auto"/>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商务、技术和服务评分（评审委员会共同认定部分）</w:t>
      </w:r>
    </w:p>
    <w:p w14:paraId="25E520F9">
      <w:pPr>
        <w:pStyle w:val="19"/>
        <w:snapToGrid w:val="0"/>
        <w:spacing w:line="360" w:lineRule="auto"/>
        <w:ind w:firstLine="480" w:firstLineChars="200"/>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（1）</w:t>
      </w:r>
    </w:p>
    <w:p w14:paraId="041E17AA">
      <w:pPr>
        <w:pStyle w:val="19"/>
        <w:snapToGrid w:val="0"/>
        <w:spacing w:line="360" w:lineRule="auto"/>
        <w:ind w:firstLine="480" w:firstLineChars="200"/>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w:t>
      </w:r>
    </w:p>
    <w:p w14:paraId="742C71F0">
      <w:pPr>
        <w:pStyle w:val="19"/>
        <w:numPr>
          <w:ilvl w:val="0"/>
          <w:numId w:val="3"/>
        </w:numPr>
        <w:snapToGrid w:val="0"/>
        <w:spacing w:line="360" w:lineRule="auto"/>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主观评审（评审委员会成员个人认定部分）</w:t>
      </w:r>
    </w:p>
    <w:p w14:paraId="2F27576B">
      <w:pPr>
        <w:pStyle w:val="19"/>
        <w:snapToGrid w:val="0"/>
        <w:spacing w:line="360" w:lineRule="auto"/>
        <w:ind w:firstLine="480" w:firstLineChars="200"/>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（1）</w:t>
      </w:r>
    </w:p>
    <w:p w14:paraId="6BECAEEE">
      <w:pPr>
        <w:pStyle w:val="19"/>
        <w:snapToGrid w:val="0"/>
        <w:spacing w:line="360" w:lineRule="auto"/>
        <w:ind w:firstLine="480" w:firstLineChars="200"/>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w:t>
      </w:r>
    </w:p>
    <w:p w14:paraId="0766C1A2">
      <w:pPr>
        <w:pStyle w:val="19"/>
        <w:numPr>
          <w:ilvl w:val="0"/>
          <w:numId w:val="3"/>
        </w:numPr>
        <w:snapToGrid w:val="0"/>
        <w:spacing w:line="360" w:lineRule="auto"/>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招标文件要求或投标人认为需要提供的其他商务技术材料/文件</w:t>
      </w:r>
    </w:p>
    <w:p w14:paraId="2416B937">
      <w:pPr>
        <w:pStyle w:val="19"/>
        <w:numPr>
          <w:ilvl w:val="0"/>
          <w:numId w:val="3"/>
        </w:numPr>
        <w:snapToGrid w:val="0"/>
        <w:spacing w:line="360" w:lineRule="auto"/>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报价一览表及分项报价明细表</w:t>
      </w:r>
    </w:p>
    <w:p w14:paraId="058F862C">
      <w:pPr>
        <w:pStyle w:val="25"/>
        <w:widowControl w:val="0"/>
        <w:snapToGrid w:val="0"/>
        <w:spacing w:before="0" w:beforeAutospacing="0" w:after="0" w:afterAutospacing="0" w:line="360" w:lineRule="auto"/>
        <w:ind w:firstLine="480" w:firstLineChars="200"/>
        <w:jc w:val="both"/>
        <w:rPr>
          <w:rFonts w:hint="eastAsia" w:ascii="华文中宋" w:hAnsi="华文中宋" w:eastAsia="华文中宋" w:cs="华文中宋"/>
          <w:b/>
          <w:bCs/>
        </w:rPr>
      </w:pPr>
    </w:p>
    <w:p w14:paraId="2B0299B6">
      <w:pPr>
        <w:spacing w:line="360" w:lineRule="auto"/>
        <w:ind w:firstLine="480" w:firstLineChars="200"/>
        <w:rPr>
          <w:rFonts w:hint="eastAsia" w:ascii="华文中宋" w:hAnsi="华文中宋" w:eastAsia="华文中宋" w:cs="华文中宋"/>
          <w:b/>
          <w:bCs/>
          <w:kern w:val="0"/>
          <w:sz w:val="24"/>
        </w:rPr>
        <w:sectPr>
          <w:pgSz w:w="11906" w:h="16838"/>
          <w:pgMar w:top="1247" w:right="1361" w:bottom="1247" w:left="1531" w:header="794" w:footer="992" w:gutter="0"/>
          <w:cols w:space="708" w:num="1"/>
          <w:docGrid w:type="lines" w:linePitch="312" w:charSpace="0"/>
        </w:sectPr>
      </w:pPr>
    </w:p>
    <w:p w14:paraId="5F4BC013">
      <w:pPr>
        <w:spacing w:line="480" w:lineRule="auto"/>
        <w:ind w:firstLine="480" w:firstLineChars="200"/>
        <w:rPr>
          <w:rFonts w:hint="eastAsia" w:ascii="华文中宋" w:hAnsi="华文中宋" w:eastAsia="华文中宋" w:cs="华文中宋"/>
          <w:b/>
          <w:kern w:val="0"/>
          <w:sz w:val="24"/>
        </w:rPr>
      </w:pPr>
      <w:r>
        <w:rPr>
          <w:rFonts w:hint="eastAsia" w:ascii="华文中宋" w:hAnsi="华文中宋" w:eastAsia="华文中宋" w:cs="华文中宋"/>
          <w:b/>
          <w:sz w:val="24"/>
          <w:lang w:bidi="ar"/>
        </w:rPr>
        <w:t>（一）</w:t>
      </w:r>
      <w:r>
        <w:rPr>
          <w:rFonts w:hint="eastAsia" w:ascii="华文中宋" w:hAnsi="华文中宋" w:eastAsia="华文中宋" w:cs="华文中宋"/>
          <w:b/>
          <w:kern w:val="0"/>
          <w:sz w:val="24"/>
        </w:rPr>
        <w:t>商务、技术、服务评分（评审委员会共同认定部分）</w:t>
      </w:r>
    </w:p>
    <w:p w14:paraId="5746F9D4">
      <w:pPr>
        <w:pStyle w:val="19"/>
        <w:snapToGrid w:val="0"/>
        <w:spacing w:line="360" w:lineRule="auto"/>
        <w:ind w:firstLine="720" w:firstLineChars="300"/>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（1）</w:t>
      </w:r>
    </w:p>
    <w:p w14:paraId="1D1C9DF5">
      <w:pPr>
        <w:pStyle w:val="19"/>
        <w:snapToGrid w:val="0"/>
        <w:spacing w:line="360" w:lineRule="auto"/>
        <w:ind w:firstLine="720" w:firstLineChars="300"/>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w:t>
      </w:r>
    </w:p>
    <w:p w14:paraId="07C2A487">
      <w:pPr>
        <w:pStyle w:val="19"/>
        <w:snapToGrid w:val="0"/>
        <w:spacing w:line="360" w:lineRule="auto"/>
        <w:ind w:firstLine="480" w:firstLineChars="200"/>
        <w:rPr>
          <w:rFonts w:hint="eastAsia" w:ascii="华文中宋" w:hAnsi="华文中宋" w:eastAsia="华文中宋" w:cs="华文中宋"/>
          <w:kern w:val="0"/>
          <w:sz w:val="24"/>
          <w:szCs w:val="24"/>
        </w:rPr>
      </w:pPr>
      <w:r>
        <w:rPr>
          <w:rFonts w:hint="eastAsia" w:ascii="华文中宋" w:hAnsi="华文中宋" w:eastAsia="华文中宋" w:cs="华文中宋"/>
          <w:b/>
          <w:bCs/>
          <w:kern w:val="0"/>
          <w:sz w:val="24"/>
          <w:szCs w:val="24"/>
        </w:rPr>
        <w:t>（二）主观评审部分（评审委员会成员个人认定部分）</w:t>
      </w:r>
    </w:p>
    <w:p w14:paraId="7E2585E7">
      <w:pPr>
        <w:pStyle w:val="19"/>
        <w:snapToGrid w:val="0"/>
        <w:spacing w:line="360" w:lineRule="auto"/>
        <w:ind w:firstLine="720" w:firstLineChars="300"/>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（1）</w:t>
      </w:r>
    </w:p>
    <w:p w14:paraId="12223DEE">
      <w:pPr>
        <w:pStyle w:val="19"/>
        <w:snapToGrid w:val="0"/>
        <w:spacing w:line="360" w:lineRule="auto"/>
        <w:ind w:firstLine="720" w:firstLineChars="300"/>
        <w:rPr>
          <w:rFonts w:hint="eastAsia" w:ascii="华文中宋" w:hAnsi="华文中宋" w:eastAsia="华文中宋" w:cs="华文中宋"/>
          <w:kern w:val="0"/>
          <w:sz w:val="24"/>
          <w:szCs w:val="24"/>
        </w:rPr>
      </w:pPr>
      <w:r>
        <w:rPr>
          <w:rFonts w:hint="eastAsia" w:ascii="华文中宋" w:hAnsi="华文中宋" w:eastAsia="华文中宋" w:cs="华文中宋"/>
          <w:kern w:val="0"/>
          <w:sz w:val="24"/>
          <w:szCs w:val="24"/>
        </w:rPr>
        <w:t>…………</w:t>
      </w:r>
    </w:p>
    <w:p w14:paraId="13C86027">
      <w:pPr>
        <w:pStyle w:val="19"/>
        <w:snapToGrid w:val="0"/>
        <w:spacing w:line="360" w:lineRule="auto"/>
        <w:ind w:firstLine="720" w:firstLineChars="300"/>
        <w:rPr>
          <w:rFonts w:hint="eastAsia" w:ascii="华文中宋" w:hAnsi="华文中宋" w:eastAsia="华文中宋" w:cs="华文中宋"/>
          <w:bCs/>
          <w:kern w:val="0"/>
          <w:sz w:val="24"/>
          <w:szCs w:val="24"/>
        </w:rPr>
      </w:pPr>
      <w:r>
        <w:rPr>
          <w:rFonts w:hint="eastAsia" w:ascii="华文中宋" w:hAnsi="华文中宋" w:eastAsia="华文中宋" w:cs="华文中宋"/>
          <w:bCs/>
          <w:sz w:val="24"/>
          <w:szCs w:val="24"/>
        </w:rPr>
        <w:t>以上资料按评分标准中的评审因素顺序排列</w:t>
      </w:r>
    </w:p>
    <w:p w14:paraId="31962316">
      <w:pPr>
        <w:pStyle w:val="25"/>
        <w:widowControl w:val="0"/>
        <w:adjustRightInd w:val="0"/>
        <w:snapToGrid w:val="0"/>
        <w:spacing w:before="0" w:beforeAutospacing="0" w:after="0" w:afterAutospacing="0" w:line="360" w:lineRule="auto"/>
        <w:jc w:val="right"/>
        <w:rPr>
          <w:rFonts w:hint="eastAsia" w:ascii="华文中宋" w:hAnsi="华文中宋" w:eastAsia="华文中宋" w:cs="华文中宋"/>
          <w:b/>
          <w:lang w:bidi="ar"/>
        </w:rPr>
      </w:pPr>
    </w:p>
    <w:p w14:paraId="47A4426E">
      <w:pPr>
        <w:pStyle w:val="25"/>
        <w:widowControl w:val="0"/>
        <w:adjustRightInd w:val="0"/>
        <w:snapToGrid w:val="0"/>
        <w:spacing w:before="0" w:beforeAutospacing="0" w:after="0" w:afterAutospacing="0" w:line="360" w:lineRule="auto"/>
        <w:jc w:val="right"/>
        <w:rPr>
          <w:rFonts w:hint="eastAsia" w:ascii="华文中宋" w:hAnsi="华文中宋" w:eastAsia="华文中宋" w:cs="华文中宋"/>
        </w:rPr>
      </w:pPr>
    </w:p>
    <w:p w14:paraId="6BCDA3A2">
      <w:pPr>
        <w:pStyle w:val="25"/>
        <w:widowControl w:val="0"/>
        <w:adjustRightInd w:val="0"/>
        <w:snapToGrid w:val="0"/>
        <w:spacing w:before="0" w:beforeAutospacing="0" w:after="0" w:afterAutospacing="0" w:line="360" w:lineRule="auto"/>
        <w:jc w:val="right"/>
        <w:rPr>
          <w:rFonts w:hint="eastAsia" w:ascii="华文中宋" w:hAnsi="华文中宋" w:eastAsia="华文中宋" w:cs="华文中宋"/>
        </w:rPr>
      </w:pPr>
    </w:p>
    <w:p w14:paraId="7C6151D7">
      <w:pPr>
        <w:spacing w:line="360" w:lineRule="auto"/>
        <w:ind w:firstLine="480" w:firstLineChars="200"/>
        <w:rPr>
          <w:rFonts w:hint="eastAsia" w:ascii="华文中宋" w:hAnsi="华文中宋" w:eastAsia="华文中宋" w:cs="华文中宋"/>
          <w:b/>
          <w:sz w:val="24"/>
          <w:lang w:bidi="ar"/>
        </w:rPr>
      </w:pPr>
      <w:r>
        <w:rPr>
          <w:rFonts w:hint="eastAsia" w:ascii="华文中宋" w:hAnsi="华文中宋" w:eastAsia="华文中宋" w:cs="华文中宋"/>
          <w:b/>
          <w:sz w:val="24"/>
          <w:lang w:bidi="ar"/>
        </w:rPr>
        <w:t>（</w:t>
      </w:r>
      <w:r>
        <w:rPr>
          <w:rFonts w:hint="eastAsia" w:ascii="华文中宋" w:hAnsi="华文中宋" w:eastAsia="华文中宋" w:cs="华文中宋"/>
          <w:b/>
          <w:sz w:val="24"/>
          <w:lang w:val="en-US" w:eastAsia="zh-CN" w:bidi="ar"/>
        </w:rPr>
        <w:t>三</w:t>
      </w:r>
      <w:r>
        <w:rPr>
          <w:rFonts w:hint="eastAsia" w:ascii="华文中宋" w:hAnsi="华文中宋" w:eastAsia="华文中宋" w:cs="华文中宋"/>
          <w:b/>
          <w:sz w:val="24"/>
          <w:lang w:bidi="ar"/>
        </w:rPr>
        <w:t>）招标文件要求或投标人认为需要提供的其他商务技术材料/文件</w:t>
      </w:r>
    </w:p>
    <w:p w14:paraId="489601E2">
      <w:pPr>
        <w:pStyle w:val="21"/>
        <w:ind w:firstLine="360"/>
        <w:rPr>
          <w:rFonts w:hint="eastAsia" w:ascii="华文中宋" w:hAnsi="华文中宋" w:eastAsia="华文中宋" w:cs="华文中宋"/>
        </w:rPr>
      </w:pPr>
    </w:p>
    <w:p w14:paraId="389E4FB1">
      <w:pPr>
        <w:pStyle w:val="21"/>
        <w:ind w:firstLine="360"/>
        <w:rPr>
          <w:rFonts w:hint="eastAsia" w:ascii="华文中宋" w:hAnsi="华文中宋" w:eastAsia="华文中宋" w:cs="华文中宋"/>
        </w:rPr>
      </w:pPr>
    </w:p>
    <w:p w14:paraId="2577C0A3">
      <w:pPr>
        <w:pStyle w:val="21"/>
        <w:ind w:firstLine="360"/>
        <w:rPr>
          <w:rFonts w:hint="eastAsia" w:ascii="华文中宋" w:hAnsi="华文中宋" w:eastAsia="华文中宋" w:cs="华文中宋"/>
        </w:rPr>
      </w:pPr>
    </w:p>
    <w:p w14:paraId="1C981345">
      <w:pPr>
        <w:rPr>
          <w:rFonts w:hint="eastAsia" w:ascii="华文中宋" w:hAnsi="华文中宋" w:eastAsia="华文中宋" w:cs="华文中宋"/>
        </w:rPr>
        <w:sectPr>
          <w:headerReference r:id="rId9" w:type="default"/>
          <w:footerReference r:id="rId10" w:type="default"/>
          <w:pgSz w:w="11906" w:h="16838"/>
          <w:pgMar w:top="1361" w:right="1020" w:bottom="1531" w:left="1134" w:header="794" w:footer="992" w:gutter="0"/>
          <w:cols w:space="425" w:num="1"/>
          <w:docGrid w:type="linesAndChars" w:linePitch="312" w:charSpace="0"/>
        </w:sectPr>
      </w:pPr>
    </w:p>
    <w:p w14:paraId="5FB01069">
      <w:pPr>
        <w:pStyle w:val="21"/>
        <w:jc w:val="center"/>
        <w:rPr>
          <w:rFonts w:hint="eastAsia" w:ascii="华文中宋" w:hAnsi="华文中宋" w:eastAsia="华文中宋" w:cs="华文中宋"/>
          <w:b/>
          <w:sz w:val="24"/>
          <w:szCs w:val="24"/>
          <w:lang w:bidi="ar"/>
        </w:rPr>
      </w:pPr>
      <w:r>
        <w:rPr>
          <w:rFonts w:hint="eastAsia" w:ascii="华文中宋" w:hAnsi="华文中宋" w:eastAsia="华文中宋" w:cs="华文中宋"/>
          <w:b/>
          <w:sz w:val="24"/>
          <w:szCs w:val="24"/>
          <w:lang w:bidi="ar"/>
        </w:rPr>
        <w:t>（</w:t>
      </w:r>
      <w:r>
        <w:rPr>
          <w:rFonts w:hint="eastAsia" w:ascii="华文中宋" w:hAnsi="华文中宋" w:eastAsia="华文中宋" w:cs="华文中宋"/>
          <w:b/>
          <w:sz w:val="24"/>
          <w:szCs w:val="24"/>
          <w:lang w:val="en-US" w:eastAsia="zh-CN" w:bidi="ar"/>
        </w:rPr>
        <w:t>四</w:t>
      </w:r>
      <w:r>
        <w:rPr>
          <w:rFonts w:hint="eastAsia" w:ascii="华文中宋" w:hAnsi="华文中宋" w:eastAsia="华文中宋" w:cs="华文中宋"/>
          <w:b/>
          <w:sz w:val="24"/>
          <w:szCs w:val="24"/>
          <w:lang w:bidi="ar"/>
        </w:rPr>
        <w:t>）报价一览表</w:t>
      </w:r>
      <w:r>
        <w:rPr>
          <w:rFonts w:hint="eastAsia" w:ascii="华文中宋" w:hAnsi="华文中宋" w:eastAsia="华文中宋" w:cs="华文中宋"/>
          <w:b/>
          <w:sz w:val="24"/>
          <w:lang w:bidi="ar"/>
        </w:rPr>
        <w:t>及分项目报价明细表</w:t>
      </w:r>
    </w:p>
    <w:p w14:paraId="6BECFF8D">
      <w:pPr>
        <w:spacing w:before="312" w:beforeLines="100" w:after="312" w:afterLines="100" w:line="560" w:lineRule="exact"/>
        <w:rPr>
          <w:rFonts w:hint="eastAsia" w:ascii="华文中宋" w:hAnsi="华文中宋" w:eastAsia="华文中宋" w:cs="华文中宋"/>
          <w:b/>
          <w:sz w:val="28"/>
          <w:szCs w:val="28"/>
        </w:rPr>
      </w:pPr>
      <w:r>
        <w:rPr>
          <w:rFonts w:hint="eastAsia" w:ascii="华文中宋" w:hAnsi="华文中宋" w:eastAsia="华文中宋" w:cs="华文中宋"/>
          <w:b/>
          <w:sz w:val="24"/>
          <w:lang w:bidi="ar"/>
        </w:rPr>
        <w:t>项目编号：</w:t>
      </w:r>
      <w:r>
        <w:rPr>
          <w:rFonts w:hint="eastAsia" w:ascii="华文中宋" w:hAnsi="华文中宋" w:eastAsia="华文中宋" w:cs="华文中宋"/>
          <w:kern w:val="0"/>
          <w:sz w:val="28"/>
          <w:szCs w:val="28"/>
        </w:rPr>
        <w:t xml:space="preserve"> </w:t>
      </w:r>
    </w:p>
    <w:tbl>
      <w:tblPr>
        <w:tblStyle w:val="28"/>
        <w:tblW w:w="11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424"/>
        <w:gridCol w:w="888"/>
        <w:gridCol w:w="979"/>
        <w:gridCol w:w="1385"/>
        <w:gridCol w:w="945"/>
        <w:gridCol w:w="1341"/>
        <w:gridCol w:w="1411"/>
        <w:gridCol w:w="1504"/>
        <w:gridCol w:w="859"/>
      </w:tblGrid>
      <w:tr w14:paraId="5BB1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vAlign w:val="center"/>
          </w:tcPr>
          <w:p w14:paraId="5CBB030E">
            <w:pPr>
              <w:spacing w:line="56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序号</w:t>
            </w:r>
          </w:p>
        </w:tc>
        <w:tc>
          <w:tcPr>
            <w:tcW w:w="1424" w:type="dxa"/>
            <w:vAlign w:val="center"/>
          </w:tcPr>
          <w:p w14:paraId="6DD9B13A">
            <w:pPr>
              <w:spacing w:line="56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产品名称</w:t>
            </w:r>
          </w:p>
        </w:tc>
        <w:tc>
          <w:tcPr>
            <w:tcW w:w="888" w:type="dxa"/>
            <w:vAlign w:val="center"/>
          </w:tcPr>
          <w:p w14:paraId="03287A19">
            <w:pPr>
              <w:spacing w:line="56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品牌</w:t>
            </w:r>
          </w:p>
        </w:tc>
        <w:tc>
          <w:tcPr>
            <w:tcW w:w="979" w:type="dxa"/>
            <w:vAlign w:val="center"/>
          </w:tcPr>
          <w:p w14:paraId="6D62BA2E">
            <w:pPr>
              <w:spacing w:line="56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产地</w:t>
            </w:r>
          </w:p>
        </w:tc>
        <w:tc>
          <w:tcPr>
            <w:tcW w:w="1385" w:type="dxa"/>
            <w:vAlign w:val="center"/>
          </w:tcPr>
          <w:p w14:paraId="6A4D6B85">
            <w:pPr>
              <w:spacing w:line="56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规格型号</w:t>
            </w:r>
          </w:p>
        </w:tc>
        <w:tc>
          <w:tcPr>
            <w:tcW w:w="945" w:type="dxa"/>
            <w:vAlign w:val="center"/>
          </w:tcPr>
          <w:p w14:paraId="030DD079">
            <w:pPr>
              <w:spacing w:line="56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数量</w:t>
            </w:r>
          </w:p>
        </w:tc>
        <w:tc>
          <w:tcPr>
            <w:tcW w:w="1341" w:type="dxa"/>
            <w:vAlign w:val="center"/>
          </w:tcPr>
          <w:p w14:paraId="69C4CFEF">
            <w:pPr>
              <w:spacing w:line="56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单价（元）</w:t>
            </w:r>
          </w:p>
        </w:tc>
        <w:tc>
          <w:tcPr>
            <w:tcW w:w="1411" w:type="dxa"/>
            <w:vAlign w:val="center"/>
          </w:tcPr>
          <w:p w14:paraId="31E0EDDC">
            <w:pPr>
              <w:spacing w:line="56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总价（元）</w:t>
            </w:r>
          </w:p>
        </w:tc>
        <w:tc>
          <w:tcPr>
            <w:tcW w:w="1504" w:type="dxa"/>
            <w:vAlign w:val="center"/>
          </w:tcPr>
          <w:p w14:paraId="3EF1893E">
            <w:pPr>
              <w:spacing w:line="560" w:lineRule="exact"/>
              <w:jc w:val="center"/>
              <w:rPr>
                <w:rFonts w:hint="eastAsia" w:ascii="华文中宋" w:hAnsi="华文中宋" w:eastAsia="华文中宋" w:cs="华文中宋"/>
                <w:szCs w:val="21"/>
                <w:lang w:eastAsia="zh-CN"/>
              </w:rPr>
            </w:pPr>
            <w:r>
              <w:rPr>
                <w:rFonts w:hint="eastAsia" w:ascii="华文中宋" w:hAnsi="华文中宋" w:eastAsia="华文中宋" w:cs="华文中宋"/>
                <w:szCs w:val="21"/>
                <w:lang w:val="en-US" w:eastAsia="zh-CN"/>
              </w:rPr>
              <w:t>交货期</w:t>
            </w:r>
          </w:p>
        </w:tc>
        <w:tc>
          <w:tcPr>
            <w:tcW w:w="859" w:type="dxa"/>
            <w:vAlign w:val="center"/>
          </w:tcPr>
          <w:p w14:paraId="721B5279">
            <w:pPr>
              <w:spacing w:line="56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质保期</w:t>
            </w:r>
          </w:p>
        </w:tc>
      </w:tr>
      <w:tr w14:paraId="4564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9" w:type="dxa"/>
          </w:tcPr>
          <w:p w14:paraId="197888CF">
            <w:pPr>
              <w:spacing w:line="560" w:lineRule="exact"/>
              <w:jc w:val="center"/>
              <w:rPr>
                <w:rFonts w:hint="eastAsia" w:ascii="华文中宋" w:hAnsi="华文中宋" w:eastAsia="华文中宋" w:cs="华文中宋"/>
                <w:szCs w:val="21"/>
              </w:rPr>
            </w:pPr>
          </w:p>
        </w:tc>
        <w:tc>
          <w:tcPr>
            <w:tcW w:w="1424" w:type="dxa"/>
            <w:vAlign w:val="center"/>
          </w:tcPr>
          <w:p w14:paraId="09F2E015">
            <w:pPr>
              <w:spacing w:line="560" w:lineRule="exact"/>
              <w:jc w:val="center"/>
              <w:rPr>
                <w:rFonts w:hint="eastAsia" w:ascii="华文中宋" w:hAnsi="华文中宋" w:eastAsia="华文中宋" w:cs="华文中宋"/>
                <w:szCs w:val="21"/>
              </w:rPr>
            </w:pPr>
          </w:p>
        </w:tc>
        <w:tc>
          <w:tcPr>
            <w:tcW w:w="888" w:type="dxa"/>
            <w:vAlign w:val="center"/>
          </w:tcPr>
          <w:p w14:paraId="080F029B">
            <w:pPr>
              <w:spacing w:line="560" w:lineRule="exact"/>
              <w:jc w:val="center"/>
              <w:rPr>
                <w:rFonts w:hint="eastAsia" w:ascii="华文中宋" w:hAnsi="华文中宋" w:eastAsia="华文中宋" w:cs="华文中宋"/>
                <w:szCs w:val="21"/>
              </w:rPr>
            </w:pPr>
          </w:p>
        </w:tc>
        <w:tc>
          <w:tcPr>
            <w:tcW w:w="979" w:type="dxa"/>
            <w:vAlign w:val="center"/>
          </w:tcPr>
          <w:p w14:paraId="0FB6B7E3">
            <w:pPr>
              <w:spacing w:line="560" w:lineRule="exact"/>
              <w:jc w:val="center"/>
              <w:rPr>
                <w:rFonts w:hint="eastAsia" w:ascii="华文中宋" w:hAnsi="华文中宋" w:eastAsia="华文中宋" w:cs="华文中宋"/>
                <w:szCs w:val="21"/>
              </w:rPr>
            </w:pPr>
          </w:p>
        </w:tc>
        <w:tc>
          <w:tcPr>
            <w:tcW w:w="1385" w:type="dxa"/>
            <w:vAlign w:val="center"/>
          </w:tcPr>
          <w:p w14:paraId="718D5894">
            <w:pPr>
              <w:spacing w:line="560" w:lineRule="exact"/>
              <w:jc w:val="center"/>
              <w:rPr>
                <w:rFonts w:hint="eastAsia" w:ascii="华文中宋" w:hAnsi="华文中宋" w:eastAsia="华文中宋" w:cs="华文中宋"/>
                <w:szCs w:val="21"/>
              </w:rPr>
            </w:pPr>
          </w:p>
        </w:tc>
        <w:tc>
          <w:tcPr>
            <w:tcW w:w="945" w:type="dxa"/>
            <w:vAlign w:val="center"/>
          </w:tcPr>
          <w:p w14:paraId="6054A4C1">
            <w:pPr>
              <w:spacing w:line="560" w:lineRule="exact"/>
              <w:jc w:val="center"/>
              <w:rPr>
                <w:rFonts w:hint="eastAsia" w:ascii="华文中宋" w:hAnsi="华文中宋" w:eastAsia="华文中宋" w:cs="华文中宋"/>
                <w:szCs w:val="21"/>
              </w:rPr>
            </w:pPr>
          </w:p>
        </w:tc>
        <w:tc>
          <w:tcPr>
            <w:tcW w:w="1341" w:type="dxa"/>
            <w:vAlign w:val="center"/>
          </w:tcPr>
          <w:p w14:paraId="7D7F732E">
            <w:pPr>
              <w:spacing w:line="560" w:lineRule="exact"/>
              <w:jc w:val="center"/>
              <w:rPr>
                <w:rFonts w:hint="eastAsia" w:ascii="华文中宋" w:hAnsi="华文中宋" w:eastAsia="华文中宋" w:cs="华文中宋"/>
                <w:szCs w:val="21"/>
              </w:rPr>
            </w:pPr>
          </w:p>
        </w:tc>
        <w:tc>
          <w:tcPr>
            <w:tcW w:w="1411" w:type="dxa"/>
            <w:vAlign w:val="center"/>
          </w:tcPr>
          <w:p w14:paraId="24BA5C8F">
            <w:pPr>
              <w:spacing w:line="560" w:lineRule="exact"/>
              <w:jc w:val="center"/>
              <w:rPr>
                <w:rFonts w:hint="eastAsia" w:ascii="华文中宋" w:hAnsi="华文中宋" w:eastAsia="华文中宋" w:cs="华文中宋"/>
                <w:szCs w:val="21"/>
              </w:rPr>
            </w:pPr>
          </w:p>
        </w:tc>
        <w:tc>
          <w:tcPr>
            <w:tcW w:w="1504" w:type="dxa"/>
            <w:vAlign w:val="center"/>
          </w:tcPr>
          <w:p w14:paraId="7BEF7C4E">
            <w:pPr>
              <w:spacing w:line="560" w:lineRule="exact"/>
              <w:jc w:val="center"/>
              <w:rPr>
                <w:rFonts w:hint="eastAsia" w:ascii="华文中宋" w:hAnsi="华文中宋" w:eastAsia="华文中宋" w:cs="华文中宋"/>
                <w:szCs w:val="21"/>
              </w:rPr>
            </w:pPr>
          </w:p>
        </w:tc>
        <w:tc>
          <w:tcPr>
            <w:tcW w:w="859" w:type="dxa"/>
            <w:vAlign w:val="center"/>
          </w:tcPr>
          <w:p w14:paraId="45C59EC6">
            <w:pPr>
              <w:spacing w:line="560" w:lineRule="exact"/>
              <w:jc w:val="center"/>
              <w:rPr>
                <w:rFonts w:hint="eastAsia" w:ascii="华文中宋" w:hAnsi="华文中宋" w:eastAsia="华文中宋" w:cs="华文中宋"/>
                <w:szCs w:val="21"/>
              </w:rPr>
            </w:pPr>
          </w:p>
        </w:tc>
      </w:tr>
      <w:tr w14:paraId="3A8E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9" w:type="dxa"/>
          </w:tcPr>
          <w:p w14:paraId="2C5B1B9F">
            <w:pPr>
              <w:spacing w:line="560" w:lineRule="exact"/>
              <w:jc w:val="center"/>
              <w:rPr>
                <w:rFonts w:hint="eastAsia" w:ascii="华文中宋" w:hAnsi="华文中宋" w:eastAsia="华文中宋" w:cs="华文中宋"/>
                <w:szCs w:val="21"/>
              </w:rPr>
            </w:pPr>
          </w:p>
        </w:tc>
        <w:tc>
          <w:tcPr>
            <w:tcW w:w="1424" w:type="dxa"/>
            <w:vAlign w:val="center"/>
          </w:tcPr>
          <w:p w14:paraId="4C066CD6">
            <w:pPr>
              <w:spacing w:line="560" w:lineRule="exact"/>
              <w:jc w:val="center"/>
              <w:rPr>
                <w:rFonts w:hint="eastAsia" w:ascii="华文中宋" w:hAnsi="华文中宋" w:eastAsia="华文中宋" w:cs="华文中宋"/>
                <w:szCs w:val="21"/>
              </w:rPr>
            </w:pPr>
          </w:p>
        </w:tc>
        <w:tc>
          <w:tcPr>
            <w:tcW w:w="888" w:type="dxa"/>
            <w:vAlign w:val="center"/>
          </w:tcPr>
          <w:p w14:paraId="4EFE81EA">
            <w:pPr>
              <w:spacing w:line="560" w:lineRule="exact"/>
              <w:jc w:val="center"/>
              <w:rPr>
                <w:rFonts w:hint="eastAsia" w:ascii="华文中宋" w:hAnsi="华文中宋" w:eastAsia="华文中宋" w:cs="华文中宋"/>
                <w:szCs w:val="21"/>
              </w:rPr>
            </w:pPr>
          </w:p>
        </w:tc>
        <w:tc>
          <w:tcPr>
            <w:tcW w:w="979" w:type="dxa"/>
            <w:vAlign w:val="center"/>
          </w:tcPr>
          <w:p w14:paraId="6655E6FC">
            <w:pPr>
              <w:spacing w:line="560" w:lineRule="exact"/>
              <w:jc w:val="center"/>
              <w:rPr>
                <w:rFonts w:hint="eastAsia" w:ascii="华文中宋" w:hAnsi="华文中宋" w:eastAsia="华文中宋" w:cs="华文中宋"/>
                <w:szCs w:val="21"/>
              </w:rPr>
            </w:pPr>
          </w:p>
        </w:tc>
        <w:tc>
          <w:tcPr>
            <w:tcW w:w="1385" w:type="dxa"/>
            <w:vAlign w:val="center"/>
          </w:tcPr>
          <w:p w14:paraId="5FC4681E">
            <w:pPr>
              <w:spacing w:line="560" w:lineRule="exact"/>
              <w:jc w:val="center"/>
              <w:rPr>
                <w:rFonts w:hint="eastAsia" w:ascii="华文中宋" w:hAnsi="华文中宋" w:eastAsia="华文中宋" w:cs="华文中宋"/>
                <w:szCs w:val="21"/>
              </w:rPr>
            </w:pPr>
          </w:p>
        </w:tc>
        <w:tc>
          <w:tcPr>
            <w:tcW w:w="945" w:type="dxa"/>
            <w:vAlign w:val="center"/>
          </w:tcPr>
          <w:p w14:paraId="5A92BBAA">
            <w:pPr>
              <w:spacing w:line="560" w:lineRule="exact"/>
              <w:jc w:val="center"/>
              <w:rPr>
                <w:rFonts w:hint="eastAsia" w:ascii="华文中宋" w:hAnsi="华文中宋" w:eastAsia="华文中宋" w:cs="华文中宋"/>
                <w:szCs w:val="21"/>
              </w:rPr>
            </w:pPr>
          </w:p>
        </w:tc>
        <w:tc>
          <w:tcPr>
            <w:tcW w:w="1341" w:type="dxa"/>
            <w:vAlign w:val="center"/>
          </w:tcPr>
          <w:p w14:paraId="2A7379C7">
            <w:pPr>
              <w:spacing w:line="560" w:lineRule="exact"/>
              <w:jc w:val="center"/>
              <w:rPr>
                <w:rFonts w:hint="eastAsia" w:ascii="华文中宋" w:hAnsi="华文中宋" w:eastAsia="华文中宋" w:cs="华文中宋"/>
                <w:szCs w:val="21"/>
              </w:rPr>
            </w:pPr>
          </w:p>
        </w:tc>
        <w:tc>
          <w:tcPr>
            <w:tcW w:w="1411" w:type="dxa"/>
            <w:vAlign w:val="center"/>
          </w:tcPr>
          <w:p w14:paraId="49C8A884">
            <w:pPr>
              <w:spacing w:line="560" w:lineRule="exact"/>
              <w:jc w:val="center"/>
              <w:rPr>
                <w:rFonts w:hint="eastAsia" w:ascii="华文中宋" w:hAnsi="华文中宋" w:eastAsia="华文中宋" w:cs="华文中宋"/>
                <w:szCs w:val="21"/>
              </w:rPr>
            </w:pPr>
          </w:p>
        </w:tc>
        <w:tc>
          <w:tcPr>
            <w:tcW w:w="1504" w:type="dxa"/>
            <w:vAlign w:val="center"/>
          </w:tcPr>
          <w:p w14:paraId="18BA7A03">
            <w:pPr>
              <w:spacing w:line="560" w:lineRule="exact"/>
              <w:jc w:val="center"/>
              <w:rPr>
                <w:rFonts w:hint="eastAsia" w:ascii="华文中宋" w:hAnsi="华文中宋" w:eastAsia="华文中宋" w:cs="华文中宋"/>
                <w:szCs w:val="21"/>
              </w:rPr>
            </w:pPr>
          </w:p>
        </w:tc>
        <w:tc>
          <w:tcPr>
            <w:tcW w:w="859" w:type="dxa"/>
            <w:vAlign w:val="center"/>
          </w:tcPr>
          <w:p w14:paraId="2620D3CE">
            <w:pPr>
              <w:spacing w:line="560" w:lineRule="exact"/>
              <w:jc w:val="center"/>
              <w:rPr>
                <w:rFonts w:hint="eastAsia" w:ascii="华文中宋" w:hAnsi="华文中宋" w:eastAsia="华文中宋" w:cs="华文中宋"/>
                <w:szCs w:val="21"/>
              </w:rPr>
            </w:pPr>
          </w:p>
        </w:tc>
      </w:tr>
      <w:tr w14:paraId="533F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9" w:type="dxa"/>
          </w:tcPr>
          <w:p w14:paraId="044DD4F8">
            <w:pPr>
              <w:spacing w:line="560" w:lineRule="exact"/>
              <w:jc w:val="center"/>
              <w:rPr>
                <w:rFonts w:hint="eastAsia" w:ascii="华文中宋" w:hAnsi="华文中宋" w:eastAsia="华文中宋" w:cs="华文中宋"/>
                <w:szCs w:val="21"/>
              </w:rPr>
            </w:pPr>
          </w:p>
        </w:tc>
        <w:tc>
          <w:tcPr>
            <w:tcW w:w="1424" w:type="dxa"/>
            <w:vAlign w:val="center"/>
          </w:tcPr>
          <w:p w14:paraId="72F423AF">
            <w:pPr>
              <w:spacing w:line="560" w:lineRule="exact"/>
              <w:jc w:val="center"/>
              <w:rPr>
                <w:rFonts w:hint="eastAsia" w:ascii="华文中宋" w:hAnsi="华文中宋" w:eastAsia="华文中宋" w:cs="华文中宋"/>
                <w:szCs w:val="21"/>
              </w:rPr>
            </w:pPr>
          </w:p>
        </w:tc>
        <w:tc>
          <w:tcPr>
            <w:tcW w:w="888" w:type="dxa"/>
            <w:vAlign w:val="center"/>
          </w:tcPr>
          <w:p w14:paraId="4515FBCA">
            <w:pPr>
              <w:spacing w:line="560" w:lineRule="exact"/>
              <w:jc w:val="center"/>
              <w:rPr>
                <w:rFonts w:hint="eastAsia" w:ascii="华文中宋" w:hAnsi="华文中宋" w:eastAsia="华文中宋" w:cs="华文中宋"/>
                <w:szCs w:val="21"/>
              </w:rPr>
            </w:pPr>
          </w:p>
        </w:tc>
        <w:tc>
          <w:tcPr>
            <w:tcW w:w="979" w:type="dxa"/>
            <w:vAlign w:val="center"/>
          </w:tcPr>
          <w:p w14:paraId="5C40278A">
            <w:pPr>
              <w:spacing w:line="560" w:lineRule="exact"/>
              <w:jc w:val="center"/>
              <w:rPr>
                <w:rFonts w:hint="eastAsia" w:ascii="华文中宋" w:hAnsi="华文中宋" w:eastAsia="华文中宋" w:cs="华文中宋"/>
                <w:szCs w:val="21"/>
              </w:rPr>
            </w:pPr>
          </w:p>
        </w:tc>
        <w:tc>
          <w:tcPr>
            <w:tcW w:w="1385" w:type="dxa"/>
            <w:vAlign w:val="center"/>
          </w:tcPr>
          <w:p w14:paraId="27364F7E">
            <w:pPr>
              <w:spacing w:line="560" w:lineRule="exact"/>
              <w:jc w:val="center"/>
              <w:rPr>
                <w:rFonts w:hint="eastAsia" w:ascii="华文中宋" w:hAnsi="华文中宋" w:eastAsia="华文中宋" w:cs="华文中宋"/>
                <w:szCs w:val="21"/>
              </w:rPr>
            </w:pPr>
          </w:p>
        </w:tc>
        <w:tc>
          <w:tcPr>
            <w:tcW w:w="945" w:type="dxa"/>
            <w:vAlign w:val="center"/>
          </w:tcPr>
          <w:p w14:paraId="31BD066C">
            <w:pPr>
              <w:spacing w:line="560" w:lineRule="exact"/>
              <w:jc w:val="center"/>
              <w:rPr>
                <w:rFonts w:hint="eastAsia" w:ascii="华文中宋" w:hAnsi="华文中宋" w:eastAsia="华文中宋" w:cs="华文中宋"/>
                <w:szCs w:val="21"/>
              </w:rPr>
            </w:pPr>
          </w:p>
        </w:tc>
        <w:tc>
          <w:tcPr>
            <w:tcW w:w="1341" w:type="dxa"/>
            <w:vAlign w:val="center"/>
          </w:tcPr>
          <w:p w14:paraId="7834555A">
            <w:pPr>
              <w:spacing w:line="560" w:lineRule="exact"/>
              <w:jc w:val="center"/>
              <w:rPr>
                <w:rFonts w:hint="eastAsia" w:ascii="华文中宋" w:hAnsi="华文中宋" w:eastAsia="华文中宋" w:cs="华文中宋"/>
                <w:szCs w:val="21"/>
              </w:rPr>
            </w:pPr>
          </w:p>
        </w:tc>
        <w:tc>
          <w:tcPr>
            <w:tcW w:w="1411" w:type="dxa"/>
            <w:vAlign w:val="center"/>
          </w:tcPr>
          <w:p w14:paraId="5CB272E0">
            <w:pPr>
              <w:spacing w:line="560" w:lineRule="exact"/>
              <w:jc w:val="center"/>
              <w:rPr>
                <w:rFonts w:hint="eastAsia" w:ascii="华文中宋" w:hAnsi="华文中宋" w:eastAsia="华文中宋" w:cs="华文中宋"/>
                <w:szCs w:val="21"/>
              </w:rPr>
            </w:pPr>
          </w:p>
        </w:tc>
        <w:tc>
          <w:tcPr>
            <w:tcW w:w="1504" w:type="dxa"/>
            <w:vAlign w:val="center"/>
          </w:tcPr>
          <w:p w14:paraId="3E4A5F50">
            <w:pPr>
              <w:spacing w:line="560" w:lineRule="exact"/>
              <w:jc w:val="center"/>
              <w:rPr>
                <w:rFonts w:hint="eastAsia" w:ascii="华文中宋" w:hAnsi="华文中宋" w:eastAsia="华文中宋" w:cs="华文中宋"/>
                <w:szCs w:val="21"/>
              </w:rPr>
            </w:pPr>
          </w:p>
        </w:tc>
        <w:tc>
          <w:tcPr>
            <w:tcW w:w="859" w:type="dxa"/>
            <w:vAlign w:val="center"/>
          </w:tcPr>
          <w:p w14:paraId="215EFCB1">
            <w:pPr>
              <w:spacing w:line="560" w:lineRule="exact"/>
              <w:jc w:val="center"/>
              <w:rPr>
                <w:rFonts w:hint="eastAsia" w:ascii="华文中宋" w:hAnsi="华文中宋" w:eastAsia="华文中宋" w:cs="华文中宋"/>
                <w:szCs w:val="21"/>
              </w:rPr>
            </w:pPr>
          </w:p>
        </w:tc>
      </w:tr>
      <w:tr w14:paraId="577E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9" w:type="dxa"/>
          </w:tcPr>
          <w:p w14:paraId="4058C4A2">
            <w:pPr>
              <w:spacing w:line="560" w:lineRule="exact"/>
              <w:jc w:val="center"/>
              <w:rPr>
                <w:rFonts w:hint="eastAsia" w:ascii="华文中宋" w:hAnsi="华文中宋" w:eastAsia="华文中宋" w:cs="华文中宋"/>
                <w:szCs w:val="21"/>
              </w:rPr>
            </w:pPr>
          </w:p>
        </w:tc>
        <w:tc>
          <w:tcPr>
            <w:tcW w:w="1424" w:type="dxa"/>
            <w:vAlign w:val="center"/>
          </w:tcPr>
          <w:p w14:paraId="17D990EB">
            <w:pPr>
              <w:spacing w:line="560" w:lineRule="exact"/>
              <w:jc w:val="center"/>
              <w:rPr>
                <w:rFonts w:hint="eastAsia" w:ascii="华文中宋" w:hAnsi="华文中宋" w:eastAsia="华文中宋" w:cs="华文中宋"/>
                <w:szCs w:val="21"/>
              </w:rPr>
            </w:pPr>
          </w:p>
        </w:tc>
        <w:tc>
          <w:tcPr>
            <w:tcW w:w="888" w:type="dxa"/>
            <w:vAlign w:val="center"/>
          </w:tcPr>
          <w:p w14:paraId="29F95892">
            <w:pPr>
              <w:spacing w:line="560" w:lineRule="exact"/>
              <w:jc w:val="center"/>
              <w:rPr>
                <w:rFonts w:hint="eastAsia" w:ascii="华文中宋" w:hAnsi="华文中宋" w:eastAsia="华文中宋" w:cs="华文中宋"/>
                <w:szCs w:val="21"/>
              </w:rPr>
            </w:pPr>
          </w:p>
        </w:tc>
        <w:tc>
          <w:tcPr>
            <w:tcW w:w="979" w:type="dxa"/>
            <w:vAlign w:val="center"/>
          </w:tcPr>
          <w:p w14:paraId="1AC4D64A">
            <w:pPr>
              <w:spacing w:line="560" w:lineRule="exact"/>
              <w:jc w:val="center"/>
              <w:rPr>
                <w:rFonts w:hint="eastAsia" w:ascii="华文中宋" w:hAnsi="华文中宋" w:eastAsia="华文中宋" w:cs="华文中宋"/>
                <w:szCs w:val="21"/>
              </w:rPr>
            </w:pPr>
          </w:p>
        </w:tc>
        <w:tc>
          <w:tcPr>
            <w:tcW w:w="1385" w:type="dxa"/>
            <w:vAlign w:val="center"/>
          </w:tcPr>
          <w:p w14:paraId="7F1AB0DA">
            <w:pPr>
              <w:spacing w:line="560" w:lineRule="exact"/>
              <w:jc w:val="center"/>
              <w:rPr>
                <w:rFonts w:hint="eastAsia" w:ascii="华文中宋" w:hAnsi="华文中宋" w:eastAsia="华文中宋" w:cs="华文中宋"/>
                <w:szCs w:val="21"/>
              </w:rPr>
            </w:pPr>
          </w:p>
        </w:tc>
        <w:tc>
          <w:tcPr>
            <w:tcW w:w="945" w:type="dxa"/>
            <w:vAlign w:val="center"/>
          </w:tcPr>
          <w:p w14:paraId="650136E1">
            <w:pPr>
              <w:spacing w:line="560" w:lineRule="exact"/>
              <w:jc w:val="center"/>
              <w:rPr>
                <w:rFonts w:hint="eastAsia" w:ascii="华文中宋" w:hAnsi="华文中宋" w:eastAsia="华文中宋" w:cs="华文中宋"/>
                <w:szCs w:val="21"/>
              </w:rPr>
            </w:pPr>
          </w:p>
        </w:tc>
        <w:tc>
          <w:tcPr>
            <w:tcW w:w="1341" w:type="dxa"/>
            <w:vAlign w:val="center"/>
          </w:tcPr>
          <w:p w14:paraId="78AE596D">
            <w:pPr>
              <w:spacing w:line="560" w:lineRule="exact"/>
              <w:jc w:val="center"/>
              <w:rPr>
                <w:rFonts w:hint="eastAsia" w:ascii="华文中宋" w:hAnsi="华文中宋" w:eastAsia="华文中宋" w:cs="华文中宋"/>
                <w:szCs w:val="21"/>
              </w:rPr>
            </w:pPr>
          </w:p>
        </w:tc>
        <w:tc>
          <w:tcPr>
            <w:tcW w:w="1411" w:type="dxa"/>
            <w:vAlign w:val="center"/>
          </w:tcPr>
          <w:p w14:paraId="24C6D980">
            <w:pPr>
              <w:spacing w:line="560" w:lineRule="exact"/>
              <w:jc w:val="center"/>
              <w:rPr>
                <w:rFonts w:hint="eastAsia" w:ascii="华文中宋" w:hAnsi="华文中宋" w:eastAsia="华文中宋" w:cs="华文中宋"/>
                <w:szCs w:val="21"/>
              </w:rPr>
            </w:pPr>
          </w:p>
        </w:tc>
        <w:tc>
          <w:tcPr>
            <w:tcW w:w="1504" w:type="dxa"/>
            <w:vAlign w:val="center"/>
          </w:tcPr>
          <w:p w14:paraId="452CCDEA">
            <w:pPr>
              <w:spacing w:line="560" w:lineRule="exact"/>
              <w:jc w:val="center"/>
              <w:rPr>
                <w:rFonts w:hint="eastAsia" w:ascii="华文中宋" w:hAnsi="华文中宋" w:eastAsia="华文中宋" w:cs="华文中宋"/>
                <w:szCs w:val="21"/>
              </w:rPr>
            </w:pPr>
          </w:p>
        </w:tc>
        <w:tc>
          <w:tcPr>
            <w:tcW w:w="859" w:type="dxa"/>
            <w:vAlign w:val="center"/>
          </w:tcPr>
          <w:p w14:paraId="093EDE43">
            <w:pPr>
              <w:spacing w:line="560" w:lineRule="exact"/>
              <w:jc w:val="center"/>
              <w:rPr>
                <w:rFonts w:hint="eastAsia" w:ascii="华文中宋" w:hAnsi="华文中宋" w:eastAsia="华文中宋" w:cs="华文中宋"/>
                <w:szCs w:val="21"/>
              </w:rPr>
            </w:pPr>
          </w:p>
        </w:tc>
      </w:tr>
      <w:tr w14:paraId="6E9C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9" w:type="dxa"/>
          </w:tcPr>
          <w:p w14:paraId="63B6EEFD">
            <w:pPr>
              <w:spacing w:line="560" w:lineRule="exact"/>
              <w:jc w:val="center"/>
              <w:rPr>
                <w:rFonts w:hint="eastAsia" w:ascii="华文中宋" w:hAnsi="华文中宋" w:eastAsia="华文中宋" w:cs="华文中宋"/>
                <w:szCs w:val="21"/>
              </w:rPr>
            </w:pPr>
          </w:p>
        </w:tc>
        <w:tc>
          <w:tcPr>
            <w:tcW w:w="1424" w:type="dxa"/>
            <w:vAlign w:val="center"/>
          </w:tcPr>
          <w:p w14:paraId="37411982">
            <w:pPr>
              <w:spacing w:line="560" w:lineRule="exact"/>
              <w:jc w:val="center"/>
              <w:rPr>
                <w:rFonts w:hint="eastAsia" w:ascii="华文中宋" w:hAnsi="华文中宋" w:eastAsia="华文中宋" w:cs="华文中宋"/>
                <w:szCs w:val="21"/>
              </w:rPr>
            </w:pPr>
          </w:p>
        </w:tc>
        <w:tc>
          <w:tcPr>
            <w:tcW w:w="888" w:type="dxa"/>
            <w:vAlign w:val="center"/>
          </w:tcPr>
          <w:p w14:paraId="07F9AC22">
            <w:pPr>
              <w:spacing w:line="560" w:lineRule="exact"/>
              <w:jc w:val="center"/>
              <w:rPr>
                <w:rFonts w:hint="eastAsia" w:ascii="华文中宋" w:hAnsi="华文中宋" w:eastAsia="华文中宋" w:cs="华文中宋"/>
                <w:szCs w:val="21"/>
              </w:rPr>
            </w:pPr>
          </w:p>
        </w:tc>
        <w:tc>
          <w:tcPr>
            <w:tcW w:w="979" w:type="dxa"/>
            <w:vAlign w:val="center"/>
          </w:tcPr>
          <w:p w14:paraId="0A5B5220">
            <w:pPr>
              <w:spacing w:line="560" w:lineRule="exact"/>
              <w:jc w:val="center"/>
              <w:rPr>
                <w:rFonts w:hint="eastAsia" w:ascii="华文中宋" w:hAnsi="华文中宋" w:eastAsia="华文中宋" w:cs="华文中宋"/>
                <w:szCs w:val="21"/>
              </w:rPr>
            </w:pPr>
          </w:p>
        </w:tc>
        <w:tc>
          <w:tcPr>
            <w:tcW w:w="1385" w:type="dxa"/>
            <w:vAlign w:val="center"/>
          </w:tcPr>
          <w:p w14:paraId="580ADC3F">
            <w:pPr>
              <w:spacing w:line="560" w:lineRule="exact"/>
              <w:jc w:val="center"/>
              <w:rPr>
                <w:rFonts w:hint="eastAsia" w:ascii="华文中宋" w:hAnsi="华文中宋" w:eastAsia="华文中宋" w:cs="华文中宋"/>
                <w:szCs w:val="21"/>
              </w:rPr>
            </w:pPr>
          </w:p>
        </w:tc>
        <w:tc>
          <w:tcPr>
            <w:tcW w:w="945" w:type="dxa"/>
            <w:vAlign w:val="center"/>
          </w:tcPr>
          <w:p w14:paraId="0630612F">
            <w:pPr>
              <w:spacing w:line="560" w:lineRule="exact"/>
              <w:jc w:val="center"/>
              <w:rPr>
                <w:rFonts w:hint="eastAsia" w:ascii="华文中宋" w:hAnsi="华文中宋" w:eastAsia="华文中宋" w:cs="华文中宋"/>
                <w:szCs w:val="21"/>
              </w:rPr>
            </w:pPr>
          </w:p>
        </w:tc>
        <w:tc>
          <w:tcPr>
            <w:tcW w:w="1341" w:type="dxa"/>
            <w:vAlign w:val="center"/>
          </w:tcPr>
          <w:p w14:paraId="2126165C">
            <w:pPr>
              <w:spacing w:line="560" w:lineRule="exact"/>
              <w:jc w:val="center"/>
              <w:rPr>
                <w:rFonts w:hint="eastAsia" w:ascii="华文中宋" w:hAnsi="华文中宋" w:eastAsia="华文中宋" w:cs="华文中宋"/>
                <w:szCs w:val="21"/>
              </w:rPr>
            </w:pPr>
          </w:p>
        </w:tc>
        <w:tc>
          <w:tcPr>
            <w:tcW w:w="1411" w:type="dxa"/>
            <w:vAlign w:val="center"/>
          </w:tcPr>
          <w:p w14:paraId="409662C8">
            <w:pPr>
              <w:spacing w:line="560" w:lineRule="exact"/>
              <w:jc w:val="center"/>
              <w:rPr>
                <w:rFonts w:hint="eastAsia" w:ascii="华文中宋" w:hAnsi="华文中宋" w:eastAsia="华文中宋" w:cs="华文中宋"/>
                <w:szCs w:val="21"/>
              </w:rPr>
            </w:pPr>
          </w:p>
        </w:tc>
        <w:tc>
          <w:tcPr>
            <w:tcW w:w="1504" w:type="dxa"/>
            <w:vAlign w:val="center"/>
          </w:tcPr>
          <w:p w14:paraId="02550F09">
            <w:pPr>
              <w:spacing w:line="560" w:lineRule="exact"/>
              <w:jc w:val="center"/>
              <w:rPr>
                <w:rFonts w:hint="eastAsia" w:ascii="华文中宋" w:hAnsi="华文中宋" w:eastAsia="华文中宋" w:cs="华文中宋"/>
                <w:szCs w:val="21"/>
              </w:rPr>
            </w:pPr>
          </w:p>
        </w:tc>
        <w:tc>
          <w:tcPr>
            <w:tcW w:w="859" w:type="dxa"/>
            <w:vAlign w:val="center"/>
          </w:tcPr>
          <w:p w14:paraId="2D0BED34">
            <w:pPr>
              <w:spacing w:line="560" w:lineRule="exact"/>
              <w:jc w:val="center"/>
              <w:rPr>
                <w:rFonts w:hint="eastAsia" w:ascii="华文中宋" w:hAnsi="华文中宋" w:eastAsia="华文中宋" w:cs="华文中宋"/>
                <w:szCs w:val="21"/>
              </w:rPr>
            </w:pPr>
          </w:p>
        </w:tc>
      </w:tr>
      <w:tr w14:paraId="0CB2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655" w:type="dxa"/>
            <w:gridSpan w:val="10"/>
          </w:tcPr>
          <w:p w14:paraId="00023FB3">
            <w:pPr>
              <w:spacing w:line="560" w:lineRule="exact"/>
              <w:rPr>
                <w:rFonts w:hint="eastAsia" w:ascii="华文中宋" w:hAnsi="华文中宋" w:eastAsia="华文中宋" w:cs="华文中宋"/>
                <w:b/>
                <w:szCs w:val="21"/>
              </w:rPr>
            </w:pPr>
            <w:r>
              <w:rPr>
                <w:rFonts w:hint="eastAsia" w:ascii="华文中宋" w:hAnsi="华文中宋" w:eastAsia="华文中宋" w:cs="华文中宋"/>
                <w:b/>
                <w:szCs w:val="21"/>
              </w:rPr>
              <w:t>报价合计（元）：            大写：</w:t>
            </w:r>
          </w:p>
        </w:tc>
      </w:tr>
    </w:tbl>
    <w:p w14:paraId="12CC26CC">
      <w:pPr>
        <w:pStyle w:val="35"/>
        <w:jc w:val="both"/>
        <w:rPr>
          <w:rFonts w:hint="eastAsia" w:ascii="华文中宋" w:hAnsi="华文中宋" w:eastAsia="华文中宋" w:cs="华文中宋"/>
          <w:b/>
          <w:color w:val="auto"/>
          <w:lang w:bidi="ar"/>
        </w:rPr>
      </w:pPr>
    </w:p>
    <w:p w14:paraId="2C3CA993">
      <w:pPr>
        <w:pStyle w:val="35"/>
        <w:jc w:val="both"/>
        <w:rPr>
          <w:rFonts w:hint="eastAsia" w:ascii="华文中宋" w:hAnsi="华文中宋" w:eastAsia="华文中宋" w:cs="华文中宋"/>
          <w:b/>
          <w:bCs/>
          <w:color w:val="auto"/>
        </w:rPr>
      </w:pPr>
      <w:r>
        <w:rPr>
          <w:rFonts w:hint="eastAsia" w:ascii="华文中宋" w:hAnsi="华文中宋" w:eastAsia="华文中宋" w:cs="华文中宋"/>
          <w:b/>
          <w:color w:val="auto"/>
          <w:lang w:bidi="ar"/>
        </w:rPr>
        <w:t>注：后附分项报价明细表（如有）</w:t>
      </w:r>
    </w:p>
    <w:p w14:paraId="3AA1A899">
      <w:pPr>
        <w:pStyle w:val="21"/>
        <w:ind w:firstLine="360"/>
        <w:rPr>
          <w:rFonts w:hint="eastAsia" w:ascii="华文中宋" w:hAnsi="华文中宋" w:eastAsia="华文中宋" w:cs="华文中宋"/>
        </w:rPr>
      </w:pPr>
    </w:p>
    <w:p w14:paraId="63A3EA16">
      <w:pPr>
        <w:pStyle w:val="35"/>
        <w:rPr>
          <w:rFonts w:hint="eastAsia" w:ascii="华文中宋" w:hAnsi="华文中宋" w:eastAsia="华文中宋" w:cs="华文中宋"/>
          <w:b/>
          <w:bCs/>
          <w:color w:val="auto"/>
        </w:rPr>
      </w:pPr>
    </w:p>
    <w:p w14:paraId="7BCC9373">
      <w:pPr>
        <w:pStyle w:val="35"/>
        <w:jc w:val="both"/>
        <w:rPr>
          <w:rFonts w:hint="eastAsia" w:ascii="华文中宋" w:hAnsi="华文中宋" w:eastAsia="华文中宋" w:cs="华文中宋"/>
          <w:b/>
          <w:bCs/>
          <w:color w:val="auto"/>
        </w:rPr>
      </w:pPr>
    </w:p>
    <w:sectPr>
      <w:headerReference r:id="rId12" w:type="first"/>
      <w:headerReference r:id="rId11" w:type="default"/>
      <w:footerReference r:id="rId13" w:type="default"/>
      <w:pgSz w:w="16838" w:h="11906" w:orient="landscape"/>
      <w:pgMar w:top="1020" w:right="1134" w:bottom="1531" w:left="1361" w:header="794"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1CD4">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D18EC">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77AE5">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FD77AE5">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449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B47562F">
                          <w:pPr>
                            <w:pStyle w:val="2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R8u/9NIBAACiAwAADgAAAAAAAAABACAAAAAfAQAA&#10;ZHJzL2Uyb0RvYy54bWxQSwUGAAAAAAYABgBZAQAAYwUAAAAA&#10;">
              <v:fill on="f" focussize="0,0"/>
              <v:stroke on="f" weight="0.5pt"/>
              <v:imagedata o:title=""/>
              <o:lock v:ext="edit" aspectratio="f"/>
              <v:textbox inset="0mm,0mm,0mm,0mm" style="mso-fit-shape-to-text:t;">
                <w:txbxContent>
                  <w:p w14:paraId="3B47562F">
                    <w:pPr>
                      <w:pStyle w:val="21"/>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6D67">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66F75">
                          <w:pPr>
                            <w:pStyle w:val="21"/>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0866F75">
                    <w:pPr>
                      <w:pStyle w:val="21"/>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619E">
    <w:pPr>
      <w:pStyle w:val="2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C94B9">
                          <w:pPr>
                            <w:pStyle w:val="21"/>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9C94B9">
                    <w:pPr>
                      <w:pStyle w:val="21"/>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05CE0">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5A4A">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078F">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AE5D">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9907">
    <w:pPr>
      <w:pStyle w:val="22"/>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D4287">
    <w:pPr>
      <w:pStyle w:val="2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E33C8"/>
    <w:multiLevelType w:val="singleLevel"/>
    <w:tmpl w:val="CABE33C8"/>
    <w:lvl w:ilvl="0" w:tentative="0">
      <w:start w:val="1"/>
      <w:numFmt w:val="decimal"/>
      <w:suff w:val="space"/>
      <w:lvlText w:val="%1、"/>
      <w:lvlJc w:val="left"/>
    </w:lvl>
  </w:abstractNum>
  <w:abstractNum w:abstractNumId="1">
    <w:nsid w:val="E2FFC360"/>
    <w:multiLevelType w:val="singleLevel"/>
    <w:tmpl w:val="E2FFC360"/>
    <w:lvl w:ilvl="0" w:tentative="0">
      <w:start w:val="1"/>
      <w:numFmt w:val="decimal"/>
      <w:suff w:val="space"/>
      <w:lvlText w:val="%1、"/>
      <w:lvlJc w:val="left"/>
    </w:lvl>
  </w:abstractNum>
  <w:abstractNum w:abstractNumId="2">
    <w:nsid w:val="FC521C02"/>
    <w:multiLevelType w:val="singleLevel"/>
    <w:tmpl w:val="FC521C02"/>
    <w:lvl w:ilvl="0" w:tentative="0">
      <w:start w:val="1"/>
      <w:numFmt w:val="decimal"/>
      <w:suff w:val="space"/>
      <w:lvlText w:val="%1、"/>
      <w:lvlJc w:val="left"/>
    </w:lvl>
  </w:abstractNum>
  <w:abstractNum w:abstractNumId="3">
    <w:nsid w:val="119EADD3"/>
    <w:multiLevelType w:val="singleLevel"/>
    <w:tmpl w:val="119EADD3"/>
    <w:lvl w:ilvl="0" w:tentative="0">
      <w:start w:val="1"/>
      <w:numFmt w:val="decimal"/>
      <w:suff w:val="nothing"/>
      <w:lvlText w:val="%1、"/>
      <w:lvlJc w:val="left"/>
    </w:lvl>
  </w:abstractNum>
  <w:abstractNum w:abstractNumId="4">
    <w:nsid w:val="15814F4B"/>
    <w:multiLevelType w:val="singleLevel"/>
    <w:tmpl w:val="15814F4B"/>
    <w:lvl w:ilvl="0" w:tentative="0">
      <w:start w:val="1"/>
      <w:numFmt w:val="chineseCounting"/>
      <w:suff w:val="space"/>
      <w:lvlText w:val="第%1部分"/>
      <w:lvlJc w:val="left"/>
      <w:rPr>
        <w:rFonts w:hint="eastAsia"/>
      </w:rPr>
    </w:lvl>
  </w:abstractNum>
  <w:abstractNum w:abstractNumId="5">
    <w:nsid w:val="1A665EB0"/>
    <w:multiLevelType w:val="multilevel"/>
    <w:tmpl w:val="1A665EB0"/>
    <w:lvl w:ilvl="0" w:tentative="0">
      <w:start w:val="1"/>
      <w:numFmt w:val="japaneseCounting"/>
      <w:lvlText w:val="%1、"/>
      <w:lvlJc w:val="left"/>
      <w:pPr>
        <w:tabs>
          <w:tab w:val="left" w:pos="1064"/>
        </w:tabs>
        <w:ind w:left="1064" w:hanging="525"/>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6">
    <w:nsid w:val="534401D3"/>
    <w:multiLevelType w:val="singleLevel"/>
    <w:tmpl w:val="534401D3"/>
    <w:lvl w:ilvl="0" w:tentative="0">
      <w:start w:val="1"/>
      <w:numFmt w:val="decimal"/>
      <w:suff w:val="nothing"/>
      <w:lvlText w:val="%1、"/>
      <w:lvlJc w:val="left"/>
    </w:lvl>
  </w:abstractNum>
  <w:abstractNum w:abstractNumId="7">
    <w:nsid w:val="656D6133"/>
    <w:multiLevelType w:val="multilevel"/>
    <w:tmpl w:val="656D6133"/>
    <w:lvl w:ilvl="0" w:tentative="0">
      <w:start w:val="1"/>
      <w:numFmt w:val="chineseCountingThousand"/>
      <w:pStyle w:val="2"/>
      <w:suff w:val="nothing"/>
      <w:lvlText w:val="第%1部分"/>
      <w:lvlJc w:val="center"/>
      <w:pPr>
        <w:ind w:left="252" w:firstLine="288"/>
      </w:pPr>
      <w:rPr>
        <w:rFonts w:hint="eastAsia"/>
        <w:sz w:val="28"/>
        <w:szCs w:val="28"/>
      </w:rPr>
    </w:lvl>
    <w:lvl w:ilvl="1" w:tentative="0">
      <w:start w:val="1"/>
      <w:numFmt w:val="chineseCountingThousand"/>
      <w:pStyle w:val="3"/>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pStyle w:val="4"/>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252" w:firstLine="0"/>
      </w:pPr>
      <w:rPr>
        <w:rFonts w:hint="eastAsia"/>
      </w:rPr>
    </w:lvl>
    <w:lvl w:ilvl="4" w:tentative="0">
      <w:start w:val="1"/>
      <w:numFmt w:val="upperLetter"/>
      <w:pStyle w:val="6"/>
      <w:suff w:val="nothing"/>
      <w:lvlText w:val="%5、"/>
      <w:lvlJc w:val="left"/>
      <w:pPr>
        <w:ind w:left="252" w:firstLine="0"/>
      </w:pPr>
      <w:rPr>
        <w:rFonts w:hint="eastAsia"/>
      </w:rPr>
    </w:lvl>
    <w:lvl w:ilvl="5" w:tentative="0">
      <w:start w:val="1"/>
      <w:numFmt w:val="none"/>
      <w:pStyle w:val="7"/>
      <w:suff w:val="nothing"/>
      <w:lvlText w:val=""/>
      <w:lvlJc w:val="left"/>
      <w:pPr>
        <w:ind w:left="252" w:firstLine="0"/>
      </w:pPr>
      <w:rPr>
        <w:rFonts w:hint="eastAsia"/>
      </w:rPr>
    </w:lvl>
    <w:lvl w:ilvl="6" w:tentative="0">
      <w:start w:val="1"/>
      <w:numFmt w:val="none"/>
      <w:pStyle w:val="8"/>
      <w:suff w:val="nothing"/>
      <w:lvlText w:val=""/>
      <w:lvlJc w:val="left"/>
      <w:pPr>
        <w:ind w:left="252" w:firstLine="0"/>
      </w:pPr>
      <w:rPr>
        <w:rFonts w:hint="eastAsia"/>
      </w:rPr>
    </w:lvl>
    <w:lvl w:ilvl="7" w:tentative="0">
      <w:start w:val="1"/>
      <w:numFmt w:val="none"/>
      <w:pStyle w:val="9"/>
      <w:suff w:val="nothing"/>
      <w:lvlText w:val=""/>
      <w:lvlJc w:val="left"/>
      <w:pPr>
        <w:ind w:left="252" w:firstLine="0"/>
      </w:pPr>
      <w:rPr>
        <w:rFonts w:hint="eastAsia"/>
      </w:rPr>
    </w:lvl>
    <w:lvl w:ilvl="8" w:tentative="0">
      <w:start w:val="1"/>
      <w:numFmt w:val="none"/>
      <w:pStyle w:val="10"/>
      <w:suff w:val="nothing"/>
      <w:lvlText w:val=""/>
      <w:lvlJc w:val="left"/>
      <w:pPr>
        <w:ind w:left="252" w:firstLine="0"/>
      </w:pPr>
      <w:rPr>
        <w:rFonts w:hint="eastAsia"/>
      </w:rPr>
    </w:lvl>
  </w:abstractNum>
  <w:abstractNum w:abstractNumId="8">
    <w:nsid w:val="72047C37"/>
    <w:multiLevelType w:val="singleLevel"/>
    <w:tmpl w:val="72047C37"/>
    <w:lvl w:ilvl="0" w:tentative="0">
      <w:start w:val="1"/>
      <w:numFmt w:val="decimal"/>
      <w:suff w:val="space"/>
      <w:lvlText w:val="%1、"/>
      <w:lvlJc w:val="left"/>
    </w:lvl>
  </w:abstractNum>
  <w:num w:numId="1">
    <w:abstractNumId w:val="7"/>
  </w:num>
  <w:num w:numId="2">
    <w:abstractNumId w:val="4"/>
  </w:num>
  <w:num w:numId="3">
    <w:abstractNumId w:val="1"/>
  </w:num>
  <w:num w:numId="4">
    <w:abstractNumId w:val="2"/>
  </w:num>
  <w:num w:numId="5">
    <w:abstractNumId w:val="5"/>
  </w:num>
  <w:num w:numId="6">
    <w:abstractNumId w:val="6"/>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OWUxMDc3ZmI4MmJlZGI3OWFkYTZjODIwYWE4MjEifQ=="/>
  </w:docVars>
  <w:rsids>
    <w:rsidRoot w:val="00172A27"/>
    <w:rsid w:val="000021AB"/>
    <w:rsid w:val="0001262D"/>
    <w:rsid w:val="0001771F"/>
    <w:rsid w:val="00021878"/>
    <w:rsid w:val="00021E53"/>
    <w:rsid w:val="0002578D"/>
    <w:rsid w:val="00043544"/>
    <w:rsid w:val="00044EF2"/>
    <w:rsid w:val="00055B9C"/>
    <w:rsid w:val="0005761C"/>
    <w:rsid w:val="00064F40"/>
    <w:rsid w:val="000652D9"/>
    <w:rsid w:val="00071DD4"/>
    <w:rsid w:val="000924A1"/>
    <w:rsid w:val="00097970"/>
    <w:rsid w:val="000C7818"/>
    <w:rsid w:val="000F126B"/>
    <w:rsid w:val="000F2EEF"/>
    <w:rsid w:val="000F3A4A"/>
    <w:rsid w:val="00115B90"/>
    <w:rsid w:val="00120424"/>
    <w:rsid w:val="0013010C"/>
    <w:rsid w:val="00132E59"/>
    <w:rsid w:val="001342D8"/>
    <w:rsid w:val="00134826"/>
    <w:rsid w:val="00135082"/>
    <w:rsid w:val="001353E4"/>
    <w:rsid w:val="0014773E"/>
    <w:rsid w:val="00151893"/>
    <w:rsid w:val="00156FB8"/>
    <w:rsid w:val="00172A27"/>
    <w:rsid w:val="001818A3"/>
    <w:rsid w:val="001905BF"/>
    <w:rsid w:val="00194A1C"/>
    <w:rsid w:val="001A4E25"/>
    <w:rsid w:val="001C310B"/>
    <w:rsid w:val="001C7D99"/>
    <w:rsid w:val="001D1569"/>
    <w:rsid w:val="001D45F8"/>
    <w:rsid w:val="001D5118"/>
    <w:rsid w:val="001E5170"/>
    <w:rsid w:val="001F3ADA"/>
    <w:rsid w:val="001F3B1A"/>
    <w:rsid w:val="001F7E7F"/>
    <w:rsid w:val="00207FE7"/>
    <w:rsid w:val="00232E6F"/>
    <w:rsid w:val="00233920"/>
    <w:rsid w:val="002379E1"/>
    <w:rsid w:val="002549B0"/>
    <w:rsid w:val="002630BB"/>
    <w:rsid w:val="0026439F"/>
    <w:rsid w:val="00265953"/>
    <w:rsid w:val="002761FC"/>
    <w:rsid w:val="00277577"/>
    <w:rsid w:val="00285D1B"/>
    <w:rsid w:val="002872E5"/>
    <w:rsid w:val="002C4151"/>
    <w:rsid w:val="002C5DE2"/>
    <w:rsid w:val="002E7E43"/>
    <w:rsid w:val="002F2F10"/>
    <w:rsid w:val="002F4B53"/>
    <w:rsid w:val="003036E8"/>
    <w:rsid w:val="00312482"/>
    <w:rsid w:val="00323700"/>
    <w:rsid w:val="00341E72"/>
    <w:rsid w:val="003618A7"/>
    <w:rsid w:val="0037291D"/>
    <w:rsid w:val="00372C7C"/>
    <w:rsid w:val="00375D6F"/>
    <w:rsid w:val="00376001"/>
    <w:rsid w:val="003802DA"/>
    <w:rsid w:val="0038346C"/>
    <w:rsid w:val="00384B9C"/>
    <w:rsid w:val="003925FE"/>
    <w:rsid w:val="003B3BB1"/>
    <w:rsid w:val="003C25D0"/>
    <w:rsid w:val="003D524A"/>
    <w:rsid w:val="003E1148"/>
    <w:rsid w:val="003E3B4E"/>
    <w:rsid w:val="004014CC"/>
    <w:rsid w:val="0040351B"/>
    <w:rsid w:val="00407F56"/>
    <w:rsid w:val="00416C09"/>
    <w:rsid w:val="00422C9F"/>
    <w:rsid w:val="00427675"/>
    <w:rsid w:val="00432EF4"/>
    <w:rsid w:val="004361F3"/>
    <w:rsid w:val="004429C9"/>
    <w:rsid w:val="00444390"/>
    <w:rsid w:val="0044668B"/>
    <w:rsid w:val="00460406"/>
    <w:rsid w:val="00461D3B"/>
    <w:rsid w:val="0046475A"/>
    <w:rsid w:val="00464B59"/>
    <w:rsid w:val="00475952"/>
    <w:rsid w:val="00481153"/>
    <w:rsid w:val="00490A0B"/>
    <w:rsid w:val="00491403"/>
    <w:rsid w:val="004970E3"/>
    <w:rsid w:val="004A54F0"/>
    <w:rsid w:val="004B1B2D"/>
    <w:rsid w:val="004B2A59"/>
    <w:rsid w:val="004C064D"/>
    <w:rsid w:val="004C475F"/>
    <w:rsid w:val="004D67A5"/>
    <w:rsid w:val="004E0695"/>
    <w:rsid w:val="00500121"/>
    <w:rsid w:val="00500F73"/>
    <w:rsid w:val="0050502A"/>
    <w:rsid w:val="00506832"/>
    <w:rsid w:val="005114B3"/>
    <w:rsid w:val="005251E5"/>
    <w:rsid w:val="00525B7D"/>
    <w:rsid w:val="00533709"/>
    <w:rsid w:val="00536606"/>
    <w:rsid w:val="0053709A"/>
    <w:rsid w:val="0054657A"/>
    <w:rsid w:val="00552708"/>
    <w:rsid w:val="00555DB7"/>
    <w:rsid w:val="00560816"/>
    <w:rsid w:val="00573E04"/>
    <w:rsid w:val="005846D8"/>
    <w:rsid w:val="005A12A7"/>
    <w:rsid w:val="005A435C"/>
    <w:rsid w:val="005A4FA2"/>
    <w:rsid w:val="005B3175"/>
    <w:rsid w:val="005B52EA"/>
    <w:rsid w:val="005B7619"/>
    <w:rsid w:val="005D1267"/>
    <w:rsid w:val="005E7E37"/>
    <w:rsid w:val="005F1AAD"/>
    <w:rsid w:val="005F1FE0"/>
    <w:rsid w:val="005F279D"/>
    <w:rsid w:val="005F3BAC"/>
    <w:rsid w:val="005F5209"/>
    <w:rsid w:val="006015C4"/>
    <w:rsid w:val="0060168D"/>
    <w:rsid w:val="006072D5"/>
    <w:rsid w:val="00610974"/>
    <w:rsid w:val="00614652"/>
    <w:rsid w:val="00614C71"/>
    <w:rsid w:val="00621D19"/>
    <w:rsid w:val="00646482"/>
    <w:rsid w:val="00647D4E"/>
    <w:rsid w:val="00657DDB"/>
    <w:rsid w:val="0066035F"/>
    <w:rsid w:val="00671CAB"/>
    <w:rsid w:val="0068240B"/>
    <w:rsid w:val="00684313"/>
    <w:rsid w:val="006865C1"/>
    <w:rsid w:val="006A3E7D"/>
    <w:rsid w:val="006A64A0"/>
    <w:rsid w:val="006B2812"/>
    <w:rsid w:val="006C1ED2"/>
    <w:rsid w:val="006C4EEC"/>
    <w:rsid w:val="006C5A23"/>
    <w:rsid w:val="00705505"/>
    <w:rsid w:val="00732A19"/>
    <w:rsid w:val="00740C8D"/>
    <w:rsid w:val="00744651"/>
    <w:rsid w:val="00746ADA"/>
    <w:rsid w:val="00751C1E"/>
    <w:rsid w:val="0075260C"/>
    <w:rsid w:val="00755201"/>
    <w:rsid w:val="00776E7A"/>
    <w:rsid w:val="007778EB"/>
    <w:rsid w:val="00777F6B"/>
    <w:rsid w:val="007804BA"/>
    <w:rsid w:val="0078145B"/>
    <w:rsid w:val="0078455B"/>
    <w:rsid w:val="00784F22"/>
    <w:rsid w:val="007860EC"/>
    <w:rsid w:val="007906AB"/>
    <w:rsid w:val="00791363"/>
    <w:rsid w:val="007A2E8A"/>
    <w:rsid w:val="007A6050"/>
    <w:rsid w:val="007B3510"/>
    <w:rsid w:val="007C0A65"/>
    <w:rsid w:val="007C35EE"/>
    <w:rsid w:val="007D5A0E"/>
    <w:rsid w:val="007E2EF7"/>
    <w:rsid w:val="007E5ADB"/>
    <w:rsid w:val="007F1529"/>
    <w:rsid w:val="007F5172"/>
    <w:rsid w:val="007F599F"/>
    <w:rsid w:val="007F616E"/>
    <w:rsid w:val="00804F74"/>
    <w:rsid w:val="008112E4"/>
    <w:rsid w:val="0081425D"/>
    <w:rsid w:val="0081703A"/>
    <w:rsid w:val="00825A5D"/>
    <w:rsid w:val="008308F6"/>
    <w:rsid w:val="00833632"/>
    <w:rsid w:val="00834CA5"/>
    <w:rsid w:val="00836929"/>
    <w:rsid w:val="00836B1F"/>
    <w:rsid w:val="0085537D"/>
    <w:rsid w:val="008560C3"/>
    <w:rsid w:val="008635E8"/>
    <w:rsid w:val="00870081"/>
    <w:rsid w:val="00872060"/>
    <w:rsid w:val="00872EE0"/>
    <w:rsid w:val="0087621B"/>
    <w:rsid w:val="00881F4E"/>
    <w:rsid w:val="00884858"/>
    <w:rsid w:val="008906F5"/>
    <w:rsid w:val="008A0037"/>
    <w:rsid w:val="008B50D5"/>
    <w:rsid w:val="008D3D44"/>
    <w:rsid w:val="008D4A52"/>
    <w:rsid w:val="008D5128"/>
    <w:rsid w:val="008D72D8"/>
    <w:rsid w:val="008E1169"/>
    <w:rsid w:val="008E7005"/>
    <w:rsid w:val="008F3B67"/>
    <w:rsid w:val="008F5882"/>
    <w:rsid w:val="008F5DC8"/>
    <w:rsid w:val="009136E7"/>
    <w:rsid w:val="00925087"/>
    <w:rsid w:val="009377EA"/>
    <w:rsid w:val="00947B77"/>
    <w:rsid w:val="00953D9C"/>
    <w:rsid w:val="0096640C"/>
    <w:rsid w:val="0097343F"/>
    <w:rsid w:val="009763BD"/>
    <w:rsid w:val="00994017"/>
    <w:rsid w:val="009A2402"/>
    <w:rsid w:val="009A469D"/>
    <w:rsid w:val="009C3623"/>
    <w:rsid w:val="009C40F2"/>
    <w:rsid w:val="009D011B"/>
    <w:rsid w:val="009D5B5E"/>
    <w:rsid w:val="009E0E89"/>
    <w:rsid w:val="009E46CA"/>
    <w:rsid w:val="009F0E80"/>
    <w:rsid w:val="00A07DF8"/>
    <w:rsid w:val="00A114A7"/>
    <w:rsid w:val="00A22A66"/>
    <w:rsid w:val="00A25EB9"/>
    <w:rsid w:val="00A3159D"/>
    <w:rsid w:val="00A3448F"/>
    <w:rsid w:val="00A35B48"/>
    <w:rsid w:val="00A36FCB"/>
    <w:rsid w:val="00A441C7"/>
    <w:rsid w:val="00A50718"/>
    <w:rsid w:val="00A553E2"/>
    <w:rsid w:val="00A60E34"/>
    <w:rsid w:val="00A63134"/>
    <w:rsid w:val="00A6436C"/>
    <w:rsid w:val="00A718DD"/>
    <w:rsid w:val="00A763A2"/>
    <w:rsid w:val="00A7683B"/>
    <w:rsid w:val="00A7683D"/>
    <w:rsid w:val="00A9215E"/>
    <w:rsid w:val="00A93B9A"/>
    <w:rsid w:val="00AA046D"/>
    <w:rsid w:val="00AA2DF5"/>
    <w:rsid w:val="00AA4F23"/>
    <w:rsid w:val="00AB33E4"/>
    <w:rsid w:val="00AB3500"/>
    <w:rsid w:val="00AC2258"/>
    <w:rsid w:val="00AE33AB"/>
    <w:rsid w:val="00AE3D99"/>
    <w:rsid w:val="00AE4751"/>
    <w:rsid w:val="00AF5AF4"/>
    <w:rsid w:val="00B026EA"/>
    <w:rsid w:val="00B0420E"/>
    <w:rsid w:val="00B06833"/>
    <w:rsid w:val="00B11895"/>
    <w:rsid w:val="00B1756C"/>
    <w:rsid w:val="00B34810"/>
    <w:rsid w:val="00B42729"/>
    <w:rsid w:val="00B475DA"/>
    <w:rsid w:val="00B54AD1"/>
    <w:rsid w:val="00B75329"/>
    <w:rsid w:val="00B8186F"/>
    <w:rsid w:val="00B874BB"/>
    <w:rsid w:val="00BA401E"/>
    <w:rsid w:val="00BB08C0"/>
    <w:rsid w:val="00BB5FB6"/>
    <w:rsid w:val="00BC3E19"/>
    <w:rsid w:val="00BF4848"/>
    <w:rsid w:val="00C04833"/>
    <w:rsid w:val="00C15534"/>
    <w:rsid w:val="00C224D9"/>
    <w:rsid w:val="00C474CD"/>
    <w:rsid w:val="00C70E98"/>
    <w:rsid w:val="00C71439"/>
    <w:rsid w:val="00C86E71"/>
    <w:rsid w:val="00C92A10"/>
    <w:rsid w:val="00CB63E5"/>
    <w:rsid w:val="00CC0CDB"/>
    <w:rsid w:val="00CC343C"/>
    <w:rsid w:val="00CE263C"/>
    <w:rsid w:val="00D2091A"/>
    <w:rsid w:val="00D2468B"/>
    <w:rsid w:val="00D31A30"/>
    <w:rsid w:val="00D3593D"/>
    <w:rsid w:val="00D35CA0"/>
    <w:rsid w:val="00D476DF"/>
    <w:rsid w:val="00D5051E"/>
    <w:rsid w:val="00D53FC1"/>
    <w:rsid w:val="00D60756"/>
    <w:rsid w:val="00D60811"/>
    <w:rsid w:val="00D769A7"/>
    <w:rsid w:val="00D80268"/>
    <w:rsid w:val="00D90F2B"/>
    <w:rsid w:val="00DC43E6"/>
    <w:rsid w:val="00DD583A"/>
    <w:rsid w:val="00DE74B3"/>
    <w:rsid w:val="00DF6870"/>
    <w:rsid w:val="00E03C4E"/>
    <w:rsid w:val="00E21E67"/>
    <w:rsid w:val="00E25DF6"/>
    <w:rsid w:val="00E265BA"/>
    <w:rsid w:val="00E32C6C"/>
    <w:rsid w:val="00E332E4"/>
    <w:rsid w:val="00E404FA"/>
    <w:rsid w:val="00E40FF7"/>
    <w:rsid w:val="00E47126"/>
    <w:rsid w:val="00E54E3C"/>
    <w:rsid w:val="00E5533B"/>
    <w:rsid w:val="00E57DAF"/>
    <w:rsid w:val="00E672E4"/>
    <w:rsid w:val="00E73AF1"/>
    <w:rsid w:val="00E740ED"/>
    <w:rsid w:val="00E76A92"/>
    <w:rsid w:val="00E82C75"/>
    <w:rsid w:val="00E84AD8"/>
    <w:rsid w:val="00E93BEE"/>
    <w:rsid w:val="00EB42D6"/>
    <w:rsid w:val="00EC755E"/>
    <w:rsid w:val="00ED3DDF"/>
    <w:rsid w:val="00ED5123"/>
    <w:rsid w:val="00EE1D2F"/>
    <w:rsid w:val="00EE7398"/>
    <w:rsid w:val="00EF4DEB"/>
    <w:rsid w:val="00EF5BA2"/>
    <w:rsid w:val="00F018F2"/>
    <w:rsid w:val="00F11C5D"/>
    <w:rsid w:val="00F2562B"/>
    <w:rsid w:val="00F44F67"/>
    <w:rsid w:val="00F5110A"/>
    <w:rsid w:val="00F5166B"/>
    <w:rsid w:val="00F51B67"/>
    <w:rsid w:val="00F5688E"/>
    <w:rsid w:val="00F56B9B"/>
    <w:rsid w:val="00F63AF2"/>
    <w:rsid w:val="00F643AB"/>
    <w:rsid w:val="00F66871"/>
    <w:rsid w:val="00F76376"/>
    <w:rsid w:val="00F8797D"/>
    <w:rsid w:val="00F93FE7"/>
    <w:rsid w:val="00F963F1"/>
    <w:rsid w:val="00F96CE5"/>
    <w:rsid w:val="00FA507D"/>
    <w:rsid w:val="00FB513A"/>
    <w:rsid w:val="00FB7C37"/>
    <w:rsid w:val="00FC7AA7"/>
    <w:rsid w:val="00FD4C4A"/>
    <w:rsid w:val="00FD5AAE"/>
    <w:rsid w:val="00FE1A45"/>
    <w:rsid w:val="00FE4893"/>
    <w:rsid w:val="00FF594F"/>
    <w:rsid w:val="00FF620E"/>
    <w:rsid w:val="010351AA"/>
    <w:rsid w:val="010C299E"/>
    <w:rsid w:val="011B551C"/>
    <w:rsid w:val="011D2710"/>
    <w:rsid w:val="012544D2"/>
    <w:rsid w:val="0128317F"/>
    <w:rsid w:val="012D3D0B"/>
    <w:rsid w:val="013712F7"/>
    <w:rsid w:val="014F03EF"/>
    <w:rsid w:val="015974C0"/>
    <w:rsid w:val="01785B98"/>
    <w:rsid w:val="017E393F"/>
    <w:rsid w:val="018419A5"/>
    <w:rsid w:val="018C1643"/>
    <w:rsid w:val="018F692D"/>
    <w:rsid w:val="018F6A3E"/>
    <w:rsid w:val="01944054"/>
    <w:rsid w:val="019F77AC"/>
    <w:rsid w:val="01A06E9D"/>
    <w:rsid w:val="01AA1AC9"/>
    <w:rsid w:val="01AB5E87"/>
    <w:rsid w:val="01BA4A73"/>
    <w:rsid w:val="01C25065"/>
    <w:rsid w:val="01E03172"/>
    <w:rsid w:val="01EC02B1"/>
    <w:rsid w:val="020411DA"/>
    <w:rsid w:val="021C20D5"/>
    <w:rsid w:val="022030F6"/>
    <w:rsid w:val="023A6FEC"/>
    <w:rsid w:val="023F0464"/>
    <w:rsid w:val="023F3162"/>
    <w:rsid w:val="025D6B3C"/>
    <w:rsid w:val="0264611C"/>
    <w:rsid w:val="026C4FD1"/>
    <w:rsid w:val="027108F1"/>
    <w:rsid w:val="02714395"/>
    <w:rsid w:val="02783976"/>
    <w:rsid w:val="02810A7C"/>
    <w:rsid w:val="02895B83"/>
    <w:rsid w:val="02C32E43"/>
    <w:rsid w:val="02C848FD"/>
    <w:rsid w:val="02CF493A"/>
    <w:rsid w:val="02DE5ECF"/>
    <w:rsid w:val="02F474A0"/>
    <w:rsid w:val="02FE0C2D"/>
    <w:rsid w:val="03125B78"/>
    <w:rsid w:val="031A4A2D"/>
    <w:rsid w:val="031A67DB"/>
    <w:rsid w:val="033165A9"/>
    <w:rsid w:val="03373831"/>
    <w:rsid w:val="0340540F"/>
    <w:rsid w:val="03411FB9"/>
    <w:rsid w:val="034B1073"/>
    <w:rsid w:val="034B4BE6"/>
    <w:rsid w:val="034C72DC"/>
    <w:rsid w:val="034F09E1"/>
    <w:rsid w:val="034F0B7A"/>
    <w:rsid w:val="03597303"/>
    <w:rsid w:val="0364317B"/>
    <w:rsid w:val="0365214C"/>
    <w:rsid w:val="03687CF5"/>
    <w:rsid w:val="03716D43"/>
    <w:rsid w:val="03726617"/>
    <w:rsid w:val="037979A5"/>
    <w:rsid w:val="039E11BA"/>
    <w:rsid w:val="03A5079A"/>
    <w:rsid w:val="03A53001"/>
    <w:rsid w:val="03CA6453"/>
    <w:rsid w:val="03D35307"/>
    <w:rsid w:val="03D96696"/>
    <w:rsid w:val="03E017D2"/>
    <w:rsid w:val="03E43829"/>
    <w:rsid w:val="03E65865"/>
    <w:rsid w:val="03F139E0"/>
    <w:rsid w:val="03F31506"/>
    <w:rsid w:val="040D00EE"/>
    <w:rsid w:val="0419441D"/>
    <w:rsid w:val="0422003D"/>
    <w:rsid w:val="0433224A"/>
    <w:rsid w:val="043438CC"/>
    <w:rsid w:val="0442423B"/>
    <w:rsid w:val="044B7CBC"/>
    <w:rsid w:val="0451447E"/>
    <w:rsid w:val="046D769F"/>
    <w:rsid w:val="049370A4"/>
    <w:rsid w:val="049A4077"/>
    <w:rsid w:val="049C7DEF"/>
    <w:rsid w:val="04A10FEB"/>
    <w:rsid w:val="04B11650"/>
    <w:rsid w:val="04B61100"/>
    <w:rsid w:val="04B85D24"/>
    <w:rsid w:val="04C65DD9"/>
    <w:rsid w:val="04F01EE9"/>
    <w:rsid w:val="05004825"/>
    <w:rsid w:val="05017C52"/>
    <w:rsid w:val="050A3EB7"/>
    <w:rsid w:val="05162FCE"/>
    <w:rsid w:val="051F777F"/>
    <w:rsid w:val="0534627A"/>
    <w:rsid w:val="053C512E"/>
    <w:rsid w:val="053E22A9"/>
    <w:rsid w:val="053E4A03"/>
    <w:rsid w:val="054A4692"/>
    <w:rsid w:val="05553061"/>
    <w:rsid w:val="055F2BCB"/>
    <w:rsid w:val="056326BB"/>
    <w:rsid w:val="05654685"/>
    <w:rsid w:val="056D353A"/>
    <w:rsid w:val="057228FE"/>
    <w:rsid w:val="057500BC"/>
    <w:rsid w:val="058645FB"/>
    <w:rsid w:val="058F34B0"/>
    <w:rsid w:val="05917228"/>
    <w:rsid w:val="059E7B97"/>
    <w:rsid w:val="05A022BD"/>
    <w:rsid w:val="05A607FA"/>
    <w:rsid w:val="05BB42A5"/>
    <w:rsid w:val="05BE78F1"/>
    <w:rsid w:val="05CA44E8"/>
    <w:rsid w:val="05D47115"/>
    <w:rsid w:val="05DB5603"/>
    <w:rsid w:val="05DE1D42"/>
    <w:rsid w:val="05EC445F"/>
    <w:rsid w:val="05ED6429"/>
    <w:rsid w:val="05EF03F3"/>
    <w:rsid w:val="05F607BC"/>
    <w:rsid w:val="05FE4192"/>
    <w:rsid w:val="060D58A4"/>
    <w:rsid w:val="06133A77"/>
    <w:rsid w:val="06147E59"/>
    <w:rsid w:val="062A142B"/>
    <w:rsid w:val="064029FC"/>
    <w:rsid w:val="064C6C5B"/>
    <w:rsid w:val="06606BFB"/>
    <w:rsid w:val="068F19C8"/>
    <w:rsid w:val="06A66D03"/>
    <w:rsid w:val="06A74829"/>
    <w:rsid w:val="06B524FE"/>
    <w:rsid w:val="06C54DDC"/>
    <w:rsid w:val="06E11AE9"/>
    <w:rsid w:val="06E8731C"/>
    <w:rsid w:val="06ED4DD4"/>
    <w:rsid w:val="06FF4665"/>
    <w:rsid w:val="070765A7"/>
    <w:rsid w:val="070E6657"/>
    <w:rsid w:val="071C5217"/>
    <w:rsid w:val="071F37D4"/>
    <w:rsid w:val="072365A6"/>
    <w:rsid w:val="07290228"/>
    <w:rsid w:val="073349BE"/>
    <w:rsid w:val="073C2AB6"/>
    <w:rsid w:val="073E58C9"/>
    <w:rsid w:val="07434552"/>
    <w:rsid w:val="0749768F"/>
    <w:rsid w:val="07561823"/>
    <w:rsid w:val="075E0DB2"/>
    <w:rsid w:val="076A43B1"/>
    <w:rsid w:val="076B78CF"/>
    <w:rsid w:val="077A4D1D"/>
    <w:rsid w:val="078D51B2"/>
    <w:rsid w:val="078F5D67"/>
    <w:rsid w:val="079C3C62"/>
    <w:rsid w:val="07A50D69"/>
    <w:rsid w:val="07EC4BEA"/>
    <w:rsid w:val="08084CB3"/>
    <w:rsid w:val="080D5324"/>
    <w:rsid w:val="08182BA5"/>
    <w:rsid w:val="08183683"/>
    <w:rsid w:val="082A6F7C"/>
    <w:rsid w:val="082D5D79"/>
    <w:rsid w:val="082E5202"/>
    <w:rsid w:val="08335BF8"/>
    <w:rsid w:val="0840235A"/>
    <w:rsid w:val="08404201"/>
    <w:rsid w:val="08455354"/>
    <w:rsid w:val="08591B53"/>
    <w:rsid w:val="086C597F"/>
    <w:rsid w:val="086C5D2B"/>
    <w:rsid w:val="089E3A0A"/>
    <w:rsid w:val="08AA0601"/>
    <w:rsid w:val="08BA4B10"/>
    <w:rsid w:val="08C8486A"/>
    <w:rsid w:val="08D13DE0"/>
    <w:rsid w:val="08E81855"/>
    <w:rsid w:val="08EA795F"/>
    <w:rsid w:val="08F4220E"/>
    <w:rsid w:val="08FB2C0B"/>
    <w:rsid w:val="09012917"/>
    <w:rsid w:val="09014B31"/>
    <w:rsid w:val="090845F5"/>
    <w:rsid w:val="09093579"/>
    <w:rsid w:val="090D350D"/>
    <w:rsid w:val="09102B5A"/>
    <w:rsid w:val="0920179B"/>
    <w:rsid w:val="092108C3"/>
    <w:rsid w:val="0922463B"/>
    <w:rsid w:val="093A7D1A"/>
    <w:rsid w:val="09532A47"/>
    <w:rsid w:val="095A2027"/>
    <w:rsid w:val="097112F6"/>
    <w:rsid w:val="09734E97"/>
    <w:rsid w:val="097E1469"/>
    <w:rsid w:val="097F383C"/>
    <w:rsid w:val="098717DC"/>
    <w:rsid w:val="09905A49"/>
    <w:rsid w:val="09A80FE4"/>
    <w:rsid w:val="09AB7DED"/>
    <w:rsid w:val="09AE6205"/>
    <w:rsid w:val="09B72709"/>
    <w:rsid w:val="09C474A0"/>
    <w:rsid w:val="09C53944"/>
    <w:rsid w:val="09C60618"/>
    <w:rsid w:val="09C60B80"/>
    <w:rsid w:val="09C63218"/>
    <w:rsid w:val="09C851E3"/>
    <w:rsid w:val="09CE1E66"/>
    <w:rsid w:val="09D31163"/>
    <w:rsid w:val="09EA5159"/>
    <w:rsid w:val="09F75AC8"/>
    <w:rsid w:val="0A076B0A"/>
    <w:rsid w:val="0A14667A"/>
    <w:rsid w:val="0A4F76B2"/>
    <w:rsid w:val="0A526B5D"/>
    <w:rsid w:val="0A5371A2"/>
    <w:rsid w:val="0A5E25D1"/>
    <w:rsid w:val="0A6749FB"/>
    <w:rsid w:val="0A6C0264"/>
    <w:rsid w:val="0A717628"/>
    <w:rsid w:val="0A7315F2"/>
    <w:rsid w:val="0A751E5A"/>
    <w:rsid w:val="0A786C09"/>
    <w:rsid w:val="0A8074DF"/>
    <w:rsid w:val="0A83110A"/>
    <w:rsid w:val="0A923564"/>
    <w:rsid w:val="0AA76EEC"/>
    <w:rsid w:val="0AAE202C"/>
    <w:rsid w:val="0AB0591B"/>
    <w:rsid w:val="0AB676E5"/>
    <w:rsid w:val="0AC04B64"/>
    <w:rsid w:val="0AC41A19"/>
    <w:rsid w:val="0AC51722"/>
    <w:rsid w:val="0AC97464"/>
    <w:rsid w:val="0ACC2AB1"/>
    <w:rsid w:val="0AE41BA8"/>
    <w:rsid w:val="0AE93662"/>
    <w:rsid w:val="0AF12517"/>
    <w:rsid w:val="0AFC1786"/>
    <w:rsid w:val="0AFD015B"/>
    <w:rsid w:val="0B1D330C"/>
    <w:rsid w:val="0B246449"/>
    <w:rsid w:val="0B297F03"/>
    <w:rsid w:val="0B2A4443"/>
    <w:rsid w:val="0B330D82"/>
    <w:rsid w:val="0B48354A"/>
    <w:rsid w:val="0B48596A"/>
    <w:rsid w:val="0B4D18BA"/>
    <w:rsid w:val="0B5C3E34"/>
    <w:rsid w:val="0B61326C"/>
    <w:rsid w:val="0B73117E"/>
    <w:rsid w:val="0B923CFA"/>
    <w:rsid w:val="0B996E37"/>
    <w:rsid w:val="0B9F01C5"/>
    <w:rsid w:val="0B9F1F73"/>
    <w:rsid w:val="0BA47589"/>
    <w:rsid w:val="0BA650B0"/>
    <w:rsid w:val="0BAB4DBC"/>
    <w:rsid w:val="0BBC0C28"/>
    <w:rsid w:val="0BBE08DD"/>
    <w:rsid w:val="0BBF1087"/>
    <w:rsid w:val="0BCD092A"/>
    <w:rsid w:val="0BD644DB"/>
    <w:rsid w:val="0BEA678D"/>
    <w:rsid w:val="0BF52CAB"/>
    <w:rsid w:val="0BF978D5"/>
    <w:rsid w:val="0C01678A"/>
    <w:rsid w:val="0C032502"/>
    <w:rsid w:val="0C0D512F"/>
    <w:rsid w:val="0C2A7A8F"/>
    <w:rsid w:val="0C2D2D0D"/>
    <w:rsid w:val="0C4C20FB"/>
    <w:rsid w:val="0C5C491F"/>
    <w:rsid w:val="0C6B2B8D"/>
    <w:rsid w:val="0C711B61"/>
    <w:rsid w:val="0C76674D"/>
    <w:rsid w:val="0CA57A5D"/>
    <w:rsid w:val="0D022858"/>
    <w:rsid w:val="0D0E73B0"/>
    <w:rsid w:val="0D114094"/>
    <w:rsid w:val="0D192776"/>
    <w:rsid w:val="0D1D3A97"/>
    <w:rsid w:val="0D2A599A"/>
    <w:rsid w:val="0D5B011C"/>
    <w:rsid w:val="0D6106F1"/>
    <w:rsid w:val="0D66379B"/>
    <w:rsid w:val="0D935B07"/>
    <w:rsid w:val="0D9C676A"/>
    <w:rsid w:val="0DAB4BFF"/>
    <w:rsid w:val="0DAE649D"/>
    <w:rsid w:val="0DB41252"/>
    <w:rsid w:val="0DBC0BBA"/>
    <w:rsid w:val="0DCD66BE"/>
    <w:rsid w:val="0DCF3FA3"/>
    <w:rsid w:val="0DD71E98"/>
    <w:rsid w:val="0DDD6D83"/>
    <w:rsid w:val="0DE76B9D"/>
    <w:rsid w:val="0DE83A46"/>
    <w:rsid w:val="0E1A3B33"/>
    <w:rsid w:val="0E291D61"/>
    <w:rsid w:val="0E2F3A82"/>
    <w:rsid w:val="0E336B9D"/>
    <w:rsid w:val="0E407A3D"/>
    <w:rsid w:val="0E572FD9"/>
    <w:rsid w:val="0E577580"/>
    <w:rsid w:val="0E5D183C"/>
    <w:rsid w:val="0E5E131A"/>
    <w:rsid w:val="0E63197E"/>
    <w:rsid w:val="0E6D0107"/>
    <w:rsid w:val="0E7A133A"/>
    <w:rsid w:val="0E855450"/>
    <w:rsid w:val="0E8B6A1D"/>
    <w:rsid w:val="0E8E5325"/>
    <w:rsid w:val="0EA87391"/>
    <w:rsid w:val="0EBD5AC1"/>
    <w:rsid w:val="0EC87A33"/>
    <w:rsid w:val="0ED32660"/>
    <w:rsid w:val="0EE83C31"/>
    <w:rsid w:val="0EF706A0"/>
    <w:rsid w:val="0F130CAE"/>
    <w:rsid w:val="0F1D1B2D"/>
    <w:rsid w:val="0F1D4DB2"/>
    <w:rsid w:val="0F380715"/>
    <w:rsid w:val="0F4106BE"/>
    <w:rsid w:val="0F515C7A"/>
    <w:rsid w:val="0F5F2145"/>
    <w:rsid w:val="0F615EBD"/>
    <w:rsid w:val="0F684D4E"/>
    <w:rsid w:val="0F76748F"/>
    <w:rsid w:val="0F977B31"/>
    <w:rsid w:val="0FA1450C"/>
    <w:rsid w:val="0FB20C79"/>
    <w:rsid w:val="0FBA381F"/>
    <w:rsid w:val="0FC41FA8"/>
    <w:rsid w:val="0FCA1705"/>
    <w:rsid w:val="0FF30ADF"/>
    <w:rsid w:val="0FF7237E"/>
    <w:rsid w:val="10046849"/>
    <w:rsid w:val="10150A56"/>
    <w:rsid w:val="101E5B5C"/>
    <w:rsid w:val="1024605B"/>
    <w:rsid w:val="1031432C"/>
    <w:rsid w:val="10354C54"/>
    <w:rsid w:val="10523A58"/>
    <w:rsid w:val="1057287F"/>
    <w:rsid w:val="105E4F6B"/>
    <w:rsid w:val="107064E7"/>
    <w:rsid w:val="107B4A8E"/>
    <w:rsid w:val="109148C5"/>
    <w:rsid w:val="10954EE3"/>
    <w:rsid w:val="10AA16C6"/>
    <w:rsid w:val="10B14C22"/>
    <w:rsid w:val="10BA7217"/>
    <w:rsid w:val="10BB15FD"/>
    <w:rsid w:val="10BC7123"/>
    <w:rsid w:val="10C456A0"/>
    <w:rsid w:val="10EE42D3"/>
    <w:rsid w:val="10F16A68"/>
    <w:rsid w:val="10F34693"/>
    <w:rsid w:val="110D74E6"/>
    <w:rsid w:val="112223F7"/>
    <w:rsid w:val="11305EB4"/>
    <w:rsid w:val="1134315E"/>
    <w:rsid w:val="11363A43"/>
    <w:rsid w:val="11401B02"/>
    <w:rsid w:val="114918CE"/>
    <w:rsid w:val="1154735C"/>
    <w:rsid w:val="116A4DD1"/>
    <w:rsid w:val="116B3023"/>
    <w:rsid w:val="117479FE"/>
    <w:rsid w:val="117A1736"/>
    <w:rsid w:val="11845E93"/>
    <w:rsid w:val="11895257"/>
    <w:rsid w:val="1193257A"/>
    <w:rsid w:val="119555AF"/>
    <w:rsid w:val="11A2456B"/>
    <w:rsid w:val="11AB78C4"/>
    <w:rsid w:val="11AD363C"/>
    <w:rsid w:val="11B7719E"/>
    <w:rsid w:val="11CE3474"/>
    <w:rsid w:val="11D0273B"/>
    <w:rsid w:val="11D16BFE"/>
    <w:rsid w:val="11D97A29"/>
    <w:rsid w:val="11DF756D"/>
    <w:rsid w:val="11E3705D"/>
    <w:rsid w:val="11EA0AAD"/>
    <w:rsid w:val="11EE5A02"/>
    <w:rsid w:val="11F823DD"/>
    <w:rsid w:val="11FD79F3"/>
    <w:rsid w:val="12011292"/>
    <w:rsid w:val="12170AB5"/>
    <w:rsid w:val="121B31C2"/>
    <w:rsid w:val="121C431D"/>
    <w:rsid w:val="121F5BBC"/>
    <w:rsid w:val="1221191F"/>
    <w:rsid w:val="122136E2"/>
    <w:rsid w:val="12260C18"/>
    <w:rsid w:val="1230601B"/>
    <w:rsid w:val="12432BBC"/>
    <w:rsid w:val="124949E7"/>
    <w:rsid w:val="126560A3"/>
    <w:rsid w:val="126A2A1D"/>
    <w:rsid w:val="1278020D"/>
    <w:rsid w:val="127F665A"/>
    <w:rsid w:val="128819B3"/>
    <w:rsid w:val="128E2EF8"/>
    <w:rsid w:val="1297339E"/>
    <w:rsid w:val="12A83E03"/>
    <w:rsid w:val="12AA36D7"/>
    <w:rsid w:val="12B0783D"/>
    <w:rsid w:val="12B32644"/>
    <w:rsid w:val="12C10DBC"/>
    <w:rsid w:val="12CA0C37"/>
    <w:rsid w:val="12E84200"/>
    <w:rsid w:val="12FC58B1"/>
    <w:rsid w:val="12FE0C9D"/>
    <w:rsid w:val="130D010A"/>
    <w:rsid w:val="130E7483"/>
    <w:rsid w:val="133E02C4"/>
    <w:rsid w:val="134401BC"/>
    <w:rsid w:val="135D2E40"/>
    <w:rsid w:val="13607AED"/>
    <w:rsid w:val="1363230B"/>
    <w:rsid w:val="137361BF"/>
    <w:rsid w:val="1385267E"/>
    <w:rsid w:val="138C5526"/>
    <w:rsid w:val="138F27BA"/>
    <w:rsid w:val="13AE71F7"/>
    <w:rsid w:val="13BC4FC2"/>
    <w:rsid w:val="13BD743A"/>
    <w:rsid w:val="13DA4490"/>
    <w:rsid w:val="13E250F3"/>
    <w:rsid w:val="13E946D3"/>
    <w:rsid w:val="13F53078"/>
    <w:rsid w:val="13FA243C"/>
    <w:rsid w:val="13FB7F63"/>
    <w:rsid w:val="13FE2FFC"/>
    <w:rsid w:val="14011A1D"/>
    <w:rsid w:val="140A5882"/>
    <w:rsid w:val="140C2170"/>
    <w:rsid w:val="141352AC"/>
    <w:rsid w:val="14162BE7"/>
    <w:rsid w:val="141A488D"/>
    <w:rsid w:val="141C3F4D"/>
    <w:rsid w:val="141F00F5"/>
    <w:rsid w:val="14264FE0"/>
    <w:rsid w:val="143C4803"/>
    <w:rsid w:val="1440471E"/>
    <w:rsid w:val="144B0EEA"/>
    <w:rsid w:val="144C07BE"/>
    <w:rsid w:val="14551D69"/>
    <w:rsid w:val="145C30F7"/>
    <w:rsid w:val="14891A12"/>
    <w:rsid w:val="148A0A2F"/>
    <w:rsid w:val="14920EA1"/>
    <w:rsid w:val="14C03686"/>
    <w:rsid w:val="14C8078D"/>
    <w:rsid w:val="14D7742F"/>
    <w:rsid w:val="14DC559F"/>
    <w:rsid w:val="14E0178F"/>
    <w:rsid w:val="14EA399C"/>
    <w:rsid w:val="14EA425F"/>
    <w:rsid w:val="14ED6CD8"/>
    <w:rsid w:val="14FD21DA"/>
    <w:rsid w:val="15033573"/>
    <w:rsid w:val="15051099"/>
    <w:rsid w:val="152D239E"/>
    <w:rsid w:val="153876C0"/>
    <w:rsid w:val="15465C3E"/>
    <w:rsid w:val="154C6CC8"/>
    <w:rsid w:val="157C5A49"/>
    <w:rsid w:val="157D1577"/>
    <w:rsid w:val="15827117"/>
    <w:rsid w:val="15891CAF"/>
    <w:rsid w:val="1594241D"/>
    <w:rsid w:val="15A76CC9"/>
    <w:rsid w:val="15C50828"/>
    <w:rsid w:val="15D86149"/>
    <w:rsid w:val="15F31839"/>
    <w:rsid w:val="15F335E7"/>
    <w:rsid w:val="15F66C34"/>
    <w:rsid w:val="16070E41"/>
    <w:rsid w:val="16082094"/>
    <w:rsid w:val="1609105D"/>
    <w:rsid w:val="161A5018"/>
    <w:rsid w:val="161F6925"/>
    <w:rsid w:val="162227CF"/>
    <w:rsid w:val="16235EBB"/>
    <w:rsid w:val="163D4399"/>
    <w:rsid w:val="163E7F41"/>
    <w:rsid w:val="16490658"/>
    <w:rsid w:val="16493207"/>
    <w:rsid w:val="165B0623"/>
    <w:rsid w:val="165F6ECF"/>
    <w:rsid w:val="16612A66"/>
    <w:rsid w:val="1666200B"/>
    <w:rsid w:val="16723724"/>
    <w:rsid w:val="168D6B33"/>
    <w:rsid w:val="16921052"/>
    <w:rsid w:val="16B20DAC"/>
    <w:rsid w:val="16C46D32"/>
    <w:rsid w:val="16CD5BE6"/>
    <w:rsid w:val="16CE195E"/>
    <w:rsid w:val="16D276A1"/>
    <w:rsid w:val="16D927DD"/>
    <w:rsid w:val="16E318AE"/>
    <w:rsid w:val="16E573D4"/>
    <w:rsid w:val="16ED0036"/>
    <w:rsid w:val="16F94C2D"/>
    <w:rsid w:val="170830C2"/>
    <w:rsid w:val="170B4961"/>
    <w:rsid w:val="17276ACA"/>
    <w:rsid w:val="173317D9"/>
    <w:rsid w:val="17365E81"/>
    <w:rsid w:val="17396B44"/>
    <w:rsid w:val="173B75F3"/>
    <w:rsid w:val="175A52A9"/>
    <w:rsid w:val="175C6F6A"/>
    <w:rsid w:val="176F3141"/>
    <w:rsid w:val="17824C23"/>
    <w:rsid w:val="17845CCC"/>
    <w:rsid w:val="17D91C8D"/>
    <w:rsid w:val="17E01949"/>
    <w:rsid w:val="17F51046"/>
    <w:rsid w:val="17F65611"/>
    <w:rsid w:val="1804210B"/>
    <w:rsid w:val="18062CAC"/>
    <w:rsid w:val="180E155B"/>
    <w:rsid w:val="181C6C23"/>
    <w:rsid w:val="1820443C"/>
    <w:rsid w:val="182932F0"/>
    <w:rsid w:val="18316649"/>
    <w:rsid w:val="18496049"/>
    <w:rsid w:val="184E2D57"/>
    <w:rsid w:val="187529D9"/>
    <w:rsid w:val="18754787"/>
    <w:rsid w:val="187D363C"/>
    <w:rsid w:val="188449CB"/>
    <w:rsid w:val="18866995"/>
    <w:rsid w:val="188744BB"/>
    <w:rsid w:val="18880F0D"/>
    <w:rsid w:val="18934C0E"/>
    <w:rsid w:val="189C3D84"/>
    <w:rsid w:val="18A137CE"/>
    <w:rsid w:val="18A5240C"/>
    <w:rsid w:val="18AB28D3"/>
    <w:rsid w:val="18B74DA0"/>
    <w:rsid w:val="18BA03EC"/>
    <w:rsid w:val="18C460DD"/>
    <w:rsid w:val="18C748B7"/>
    <w:rsid w:val="18DA283C"/>
    <w:rsid w:val="190D676E"/>
    <w:rsid w:val="191331C3"/>
    <w:rsid w:val="191C2E55"/>
    <w:rsid w:val="19240F9F"/>
    <w:rsid w:val="19333619"/>
    <w:rsid w:val="193650A1"/>
    <w:rsid w:val="19371A3D"/>
    <w:rsid w:val="193908F4"/>
    <w:rsid w:val="193F5850"/>
    <w:rsid w:val="19433732"/>
    <w:rsid w:val="19595E57"/>
    <w:rsid w:val="196059F0"/>
    <w:rsid w:val="196B7938"/>
    <w:rsid w:val="196D545F"/>
    <w:rsid w:val="19723444"/>
    <w:rsid w:val="198D56E2"/>
    <w:rsid w:val="1997072D"/>
    <w:rsid w:val="199E0C0A"/>
    <w:rsid w:val="19A05834"/>
    <w:rsid w:val="19AF3CC9"/>
    <w:rsid w:val="19B4308D"/>
    <w:rsid w:val="19C57049"/>
    <w:rsid w:val="19CE23A1"/>
    <w:rsid w:val="19D43730"/>
    <w:rsid w:val="19DF6907"/>
    <w:rsid w:val="19F16090"/>
    <w:rsid w:val="1A073B05"/>
    <w:rsid w:val="1A132102"/>
    <w:rsid w:val="1A22449B"/>
    <w:rsid w:val="1A310B82"/>
    <w:rsid w:val="1A4E703E"/>
    <w:rsid w:val="1A506BEA"/>
    <w:rsid w:val="1A5735A3"/>
    <w:rsid w:val="1A6D0E94"/>
    <w:rsid w:val="1A7840BB"/>
    <w:rsid w:val="1A7867B1"/>
    <w:rsid w:val="1A974E89"/>
    <w:rsid w:val="1A98417B"/>
    <w:rsid w:val="1AA94BBC"/>
    <w:rsid w:val="1AB175CD"/>
    <w:rsid w:val="1AB963AC"/>
    <w:rsid w:val="1AD0039B"/>
    <w:rsid w:val="1AD82C7F"/>
    <w:rsid w:val="1AEA7AD8"/>
    <w:rsid w:val="1AED2CFB"/>
    <w:rsid w:val="1AEF328C"/>
    <w:rsid w:val="1B065B6B"/>
    <w:rsid w:val="1B097409"/>
    <w:rsid w:val="1B0E2C71"/>
    <w:rsid w:val="1B15312A"/>
    <w:rsid w:val="1B1741CE"/>
    <w:rsid w:val="1B1D4C62"/>
    <w:rsid w:val="1B2E06D2"/>
    <w:rsid w:val="1B3A75C2"/>
    <w:rsid w:val="1B3C158C"/>
    <w:rsid w:val="1B4A1EFB"/>
    <w:rsid w:val="1B6B78DD"/>
    <w:rsid w:val="1B6D1746"/>
    <w:rsid w:val="1B79458F"/>
    <w:rsid w:val="1B7A3E63"/>
    <w:rsid w:val="1B8C2514"/>
    <w:rsid w:val="1B9660EE"/>
    <w:rsid w:val="1B9E3FF5"/>
    <w:rsid w:val="1BC3032B"/>
    <w:rsid w:val="1BD801A1"/>
    <w:rsid w:val="1BDB49CE"/>
    <w:rsid w:val="1BE007E5"/>
    <w:rsid w:val="1BE35EAC"/>
    <w:rsid w:val="1BE85CEA"/>
    <w:rsid w:val="1BEA548C"/>
    <w:rsid w:val="1BED068F"/>
    <w:rsid w:val="1BEF2AA3"/>
    <w:rsid w:val="1BF63CE2"/>
    <w:rsid w:val="1BF9122C"/>
    <w:rsid w:val="1C2006CD"/>
    <w:rsid w:val="1C230E93"/>
    <w:rsid w:val="1C4F709D"/>
    <w:rsid w:val="1C511068"/>
    <w:rsid w:val="1C5D3A71"/>
    <w:rsid w:val="1C631C96"/>
    <w:rsid w:val="1C6D52BC"/>
    <w:rsid w:val="1C737230"/>
    <w:rsid w:val="1C7A6810"/>
    <w:rsid w:val="1C844C6F"/>
    <w:rsid w:val="1C913B5A"/>
    <w:rsid w:val="1C921281"/>
    <w:rsid w:val="1C93310F"/>
    <w:rsid w:val="1CAC629E"/>
    <w:rsid w:val="1CB515F6"/>
    <w:rsid w:val="1CD6156D"/>
    <w:rsid w:val="1CEB326A"/>
    <w:rsid w:val="1CF10155"/>
    <w:rsid w:val="1D0E16FC"/>
    <w:rsid w:val="1D102CD1"/>
    <w:rsid w:val="1D183933"/>
    <w:rsid w:val="1D1875D5"/>
    <w:rsid w:val="1D3249F5"/>
    <w:rsid w:val="1D3A5FA0"/>
    <w:rsid w:val="1D415550"/>
    <w:rsid w:val="1D4D5CD3"/>
    <w:rsid w:val="1D547061"/>
    <w:rsid w:val="1D5A3F4C"/>
    <w:rsid w:val="1D6152DA"/>
    <w:rsid w:val="1D6B6278"/>
    <w:rsid w:val="1D8631E2"/>
    <w:rsid w:val="1D9E6340"/>
    <w:rsid w:val="1DAE0412"/>
    <w:rsid w:val="1DB01DBE"/>
    <w:rsid w:val="1DBC4C07"/>
    <w:rsid w:val="1DCD471E"/>
    <w:rsid w:val="1DCE1020"/>
    <w:rsid w:val="1DDA061F"/>
    <w:rsid w:val="1DDA1D93"/>
    <w:rsid w:val="1DDE2D42"/>
    <w:rsid w:val="1DDE4B7D"/>
    <w:rsid w:val="1DDF6818"/>
    <w:rsid w:val="1DE63A32"/>
    <w:rsid w:val="1DEB1048"/>
    <w:rsid w:val="1DF604F6"/>
    <w:rsid w:val="1E0740D4"/>
    <w:rsid w:val="1E0C793C"/>
    <w:rsid w:val="1E1353C8"/>
    <w:rsid w:val="1E2A7DC2"/>
    <w:rsid w:val="1E326C77"/>
    <w:rsid w:val="1E3A5789"/>
    <w:rsid w:val="1E3B3D7D"/>
    <w:rsid w:val="1E544E3F"/>
    <w:rsid w:val="1E5E74E8"/>
    <w:rsid w:val="1E690AB2"/>
    <w:rsid w:val="1E6A01BF"/>
    <w:rsid w:val="1E703B24"/>
    <w:rsid w:val="1E731BD4"/>
    <w:rsid w:val="1E773B70"/>
    <w:rsid w:val="1E787407"/>
    <w:rsid w:val="1E876FC3"/>
    <w:rsid w:val="1E8E2285"/>
    <w:rsid w:val="1E941F3D"/>
    <w:rsid w:val="1E9A4F48"/>
    <w:rsid w:val="1EA57449"/>
    <w:rsid w:val="1EAC5EE5"/>
    <w:rsid w:val="1EAD18CF"/>
    <w:rsid w:val="1EC57AEB"/>
    <w:rsid w:val="1ECD6426"/>
    <w:rsid w:val="1EE066D3"/>
    <w:rsid w:val="1EF34658"/>
    <w:rsid w:val="1EF43673"/>
    <w:rsid w:val="1EF8106D"/>
    <w:rsid w:val="1F00278F"/>
    <w:rsid w:val="1F077B12"/>
    <w:rsid w:val="1F1D7927"/>
    <w:rsid w:val="1F2962CC"/>
    <w:rsid w:val="1F3F5AEF"/>
    <w:rsid w:val="1F470500"/>
    <w:rsid w:val="1F5C620A"/>
    <w:rsid w:val="1F6D7F66"/>
    <w:rsid w:val="1F7312F5"/>
    <w:rsid w:val="1F7F5EEC"/>
    <w:rsid w:val="1F826E55"/>
    <w:rsid w:val="1F881244"/>
    <w:rsid w:val="1F890B18"/>
    <w:rsid w:val="1F905453"/>
    <w:rsid w:val="1F964B19"/>
    <w:rsid w:val="1F9D049A"/>
    <w:rsid w:val="1FAA00BA"/>
    <w:rsid w:val="1FC41B50"/>
    <w:rsid w:val="1FD04999"/>
    <w:rsid w:val="1FDB5818"/>
    <w:rsid w:val="1FDE70AC"/>
    <w:rsid w:val="1FE44878"/>
    <w:rsid w:val="1FE6236C"/>
    <w:rsid w:val="1FED10A7"/>
    <w:rsid w:val="1FF07A82"/>
    <w:rsid w:val="1FF24910"/>
    <w:rsid w:val="1FF45D2E"/>
    <w:rsid w:val="200B74AD"/>
    <w:rsid w:val="200C7466"/>
    <w:rsid w:val="200D7C65"/>
    <w:rsid w:val="201725C8"/>
    <w:rsid w:val="20176124"/>
    <w:rsid w:val="202475AD"/>
    <w:rsid w:val="202B735F"/>
    <w:rsid w:val="20336B1C"/>
    <w:rsid w:val="203744B9"/>
    <w:rsid w:val="20403401"/>
    <w:rsid w:val="20523600"/>
    <w:rsid w:val="20587B3E"/>
    <w:rsid w:val="205B24B5"/>
    <w:rsid w:val="205E01F7"/>
    <w:rsid w:val="20803CC9"/>
    <w:rsid w:val="20857D41"/>
    <w:rsid w:val="20994D8B"/>
    <w:rsid w:val="209A4DE0"/>
    <w:rsid w:val="209B1E78"/>
    <w:rsid w:val="20A43E5C"/>
    <w:rsid w:val="20AA51EA"/>
    <w:rsid w:val="20C25037"/>
    <w:rsid w:val="20CA13E8"/>
    <w:rsid w:val="20CC33B3"/>
    <w:rsid w:val="20DD5363"/>
    <w:rsid w:val="21026DD4"/>
    <w:rsid w:val="210B5C89"/>
    <w:rsid w:val="2110307F"/>
    <w:rsid w:val="21142D93"/>
    <w:rsid w:val="211867DC"/>
    <w:rsid w:val="211D58EE"/>
    <w:rsid w:val="211F7986"/>
    <w:rsid w:val="2121762F"/>
    <w:rsid w:val="21311468"/>
    <w:rsid w:val="213B4094"/>
    <w:rsid w:val="213C3223"/>
    <w:rsid w:val="213D4818"/>
    <w:rsid w:val="21540B78"/>
    <w:rsid w:val="215D2A11"/>
    <w:rsid w:val="215F4227"/>
    <w:rsid w:val="21666A38"/>
    <w:rsid w:val="21821CC3"/>
    <w:rsid w:val="218D216D"/>
    <w:rsid w:val="218D59DE"/>
    <w:rsid w:val="21935C7E"/>
    <w:rsid w:val="219C0FD7"/>
    <w:rsid w:val="219D2BD3"/>
    <w:rsid w:val="21A165ED"/>
    <w:rsid w:val="21A32365"/>
    <w:rsid w:val="21AA3317"/>
    <w:rsid w:val="21B432BE"/>
    <w:rsid w:val="21C67E02"/>
    <w:rsid w:val="21C72C93"/>
    <w:rsid w:val="21C92940"/>
    <w:rsid w:val="21D41B41"/>
    <w:rsid w:val="21E81B1E"/>
    <w:rsid w:val="21F42BC1"/>
    <w:rsid w:val="2208041A"/>
    <w:rsid w:val="220A5F40"/>
    <w:rsid w:val="22140B6D"/>
    <w:rsid w:val="221A5F62"/>
    <w:rsid w:val="221F3728"/>
    <w:rsid w:val="22205764"/>
    <w:rsid w:val="22235254"/>
    <w:rsid w:val="222B5EB7"/>
    <w:rsid w:val="222F59A7"/>
    <w:rsid w:val="22370E51"/>
    <w:rsid w:val="22394A78"/>
    <w:rsid w:val="22460F43"/>
    <w:rsid w:val="224D0523"/>
    <w:rsid w:val="22552F34"/>
    <w:rsid w:val="22561186"/>
    <w:rsid w:val="225D0766"/>
    <w:rsid w:val="226513C9"/>
    <w:rsid w:val="22743B1E"/>
    <w:rsid w:val="22761828"/>
    <w:rsid w:val="228359DB"/>
    <w:rsid w:val="22877591"/>
    <w:rsid w:val="228E1B8D"/>
    <w:rsid w:val="229D2B05"/>
    <w:rsid w:val="22A55C69"/>
    <w:rsid w:val="22A56EC6"/>
    <w:rsid w:val="22A87BF1"/>
    <w:rsid w:val="22A939AB"/>
    <w:rsid w:val="22B42350"/>
    <w:rsid w:val="22BE6D2B"/>
    <w:rsid w:val="22C43F97"/>
    <w:rsid w:val="22F53528"/>
    <w:rsid w:val="22F8048F"/>
    <w:rsid w:val="22F83FEB"/>
    <w:rsid w:val="22FF35DF"/>
    <w:rsid w:val="230950FD"/>
    <w:rsid w:val="23184907"/>
    <w:rsid w:val="231C150A"/>
    <w:rsid w:val="23244DE0"/>
    <w:rsid w:val="232A17FF"/>
    <w:rsid w:val="232A47A3"/>
    <w:rsid w:val="232A616E"/>
    <w:rsid w:val="232B17BB"/>
    <w:rsid w:val="23434D2A"/>
    <w:rsid w:val="23544E41"/>
    <w:rsid w:val="2356536E"/>
    <w:rsid w:val="235A2EF8"/>
    <w:rsid w:val="23630647"/>
    <w:rsid w:val="237C1D0C"/>
    <w:rsid w:val="237F64BA"/>
    <w:rsid w:val="23802FC6"/>
    <w:rsid w:val="23827D58"/>
    <w:rsid w:val="2393733B"/>
    <w:rsid w:val="239534BF"/>
    <w:rsid w:val="239643B6"/>
    <w:rsid w:val="239857CE"/>
    <w:rsid w:val="23A423C5"/>
    <w:rsid w:val="23AC740A"/>
    <w:rsid w:val="23AE03B1"/>
    <w:rsid w:val="23CF66AA"/>
    <w:rsid w:val="23EE7515"/>
    <w:rsid w:val="23F46EA8"/>
    <w:rsid w:val="23F724F4"/>
    <w:rsid w:val="23F8626D"/>
    <w:rsid w:val="23FF13A9"/>
    <w:rsid w:val="23FF3252"/>
    <w:rsid w:val="240152C9"/>
    <w:rsid w:val="241D1352"/>
    <w:rsid w:val="243C75B9"/>
    <w:rsid w:val="244538C9"/>
    <w:rsid w:val="24596D0B"/>
    <w:rsid w:val="24771B2C"/>
    <w:rsid w:val="24846940"/>
    <w:rsid w:val="248E2319"/>
    <w:rsid w:val="249B5576"/>
    <w:rsid w:val="24A04CB7"/>
    <w:rsid w:val="24AA57B9"/>
    <w:rsid w:val="24CA7E58"/>
    <w:rsid w:val="24E46C1F"/>
    <w:rsid w:val="24FB7DC2"/>
    <w:rsid w:val="250749B9"/>
    <w:rsid w:val="25257535"/>
    <w:rsid w:val="252E63EA"/>
    <w:rsid w:val="25322A03"/>
    <w:rsid w:val="25401C79"/>
    <w:rsid w:val="25523A4A"/>
    <w:rsid w:val="2556149D"/>
    <w:rsid w:val="25565941"/>
    <w:rsid w:val="256030BB"/>
    <w:rsid w:val="256B580A"/>
    <w:rsid w:val="257C53A5"/>
    <w:rsid w:val="25853B30"/>
    <w:rsid w:val="25956469"/>
    <w:rsid w:val="259D70CC"/>
    <w:rsid w:val="259F1096"/>
    <w:rsid w:val="259F2E44"/>
    <w:rsid w:val="25A14E0E"/>
    <w:rsid w:val="25A55F80"/>
    <w:rsid w:val="25A71CF8"/>
    <w:rsid w:val="25AB5D3B"/>
    <w:rsid w:val="25B039A1"/>
    <w:rsid w:val="25C2412E"/>
    <w:rsid w:val="25C44658"/>
    <w:rsid w:val="25CB0686"/>
    <w:rsid w:val="25DA25F1"/>
    <w:rsid w:val="25E65E4F"/>
    <w:rsid w:val="25F018F1"/>
    <w:rsid w:val="25F413E1"/>
    <w:rsid w:val="25F8583D"/>
    <w:rsid w:val="25FC0830"/>
    <w:rsid w:val="25FF6CBA"/>
    <w:rsid w:val="260158AC"/>
    <w:rsid w:val="26092E8C"/>
    <w:rsid w:val="260B04D9"/>
    <w:rsid w:val="26163F12"/>
    <w:rsid w:val="261C4494"/>
    <w:rsid w:val="26237C7E"/>
    <w:rsid w:val="263F0183"/>
    <w:rsid w:val="264D464E"/>
    <w:rsid w:val="265A6D6B"/>
    <w:rsid w:val="2661459D"/>
    <w:rsid w:val="266B541C"/>
    <w:rsid w:val="269D625A"/>
    <w:rsid w:val="26A30712"/>
    <w:rsid w:val="26AC227A"/>
    <w:rsid w:val="26C2328E"/>
    <w:rsid w:val="26CE25EE"/>
    <w:rsid w:val="26D52609"/>
    <w:rsid w:val="26D703BB"/>
    <w:rsid w:val="26DE799C"/>
    <w:rsid w:val="26ED7BDF"/>
    <w:rsid w:val="26FC1F66"/>
    <w:rsid w:val="27027FAC"/>
    <w:rsid w:val="271635D9"/>
    <w:rsid w:val="27182EAE"/>
    <w:rsid w:val="271C1614"/>
    <w:rsid w:val="27247C53"/>
    <w:rsid w:val="27363334"/>
    <w:rsid w:val="27400656"/>
    <w:rsid w:val="274F09F5"/>
    <w:rsid w:val="27642E64"/>
    <w:rsid w:val="2764551E"/>
    <w:rsid w:val="276460F3"/>
    <w:rsid w:val="277A5916"/>
    <w:rsid w:val="2786250D"/>
    <w:rsid w:val="27895B59"/>
    <w:rsid w:val="27901B89"/>
    <w:rsid w:val="27910EB2"/>
    <w:rsid w:val="27981D2E"/>
    <w:rsid w:val="27B16E5E"/>
    <w:rsid w:val="27BF77CD"/>
    <w:rsid w:val="27D629C5"/>
    <w:rsid w:val="27DB3EDB"/>
    <w:rsid w:val="27DC037F"/>
    <w:rsid w:val="27E265E8"/>
    <w:rsid w:val="27E45486"/>
    <w:rsid w:val="27ED2A2D"/>
    <w:rsid w:val="27F51FE6"/>
    <w:rsid w:val="28043432"/>
    <w:rsid w:val="28094EEC"/>
    <w:rsid w:val="280B2A12"/>
    <w:rsid w:val="281837D3"/>
    <w:rsid w:val="282A6E8D"/>
    <w:rsid w:val="282C0C78"/>
    <w:rsid w:val="28355CE1"/>
    <w:rsid w:val="283830DC"/>
    <w:rsid w:val="284037FF"/>
    <w:rsid w:val="284101E2"/>
    <w:rsid w:val="28575C58"/>
    <w:rsid w:val="285B2D51"/>
    <w:rsid w:val="286F2FA1"/>
    <w:rsid w:val="288737BD"/>
    <w:rsid w:val="28A41BFF"/>
    <w:rsid w:val="28AB1899"/>
    <w:rsid w:val="28B430AA"/>
    <w:rsid w:val="28BE4158"/>
    <w:rsid w:val="28EB63A0"/>
    <w:rsid w:val="28F756F9"/>
    <w:rsid w:val="28FB65E3"/>
    <w:rsid w:val="28FF053D"/>
    <w:rsid w:val="29177195"/>
    <w:rsid w:val="291E22D1"/>
    <w:rsid w:val="2920604A"/>
    <w:rsid w:val="292F1FEE"/>
    <w:rsid w:val="29327231"/>
    <w:rsid w:val="293935AF"/>
    <w:rsid w:val="293B7BBD"/>
    <w:rsid w:val="294855A0"/>
    <w:rsid w:val="295857F1"/>
    <w:rsid w:val="295D54F0"/>
    <w:rsid w:val="295E3016"/>
    <w:rsid w:val="29753497"/>
    <w:rsid w:val="298F0D11"/>
    <w:rsid w:val="29946A38"/>
    <w:rsid w:val="2995768F"/>
    <w:rsid w:val="29A06A73"/>
    <w:rsid w:val="29B13146"/>
    <w:rsid w:val="29B84BD2"/>
    <w:rsid w:val="29C73EC4"/>
    <w:rsid w:val="29CC3279"/>
    <w:rsid w:val="29D21AAE"/>
    <w:rsid w:val="29D82DC8"/>
    <w:rsid w:val="29E21551"/>
    <w:rsid w:val="29EC0622"/>
    <w:rsid w:val="29F319B0"/>
    <w:rsid w:val="2A141AF2"/>
    <w:rsid w:val="2A16075F"/>
    <w:rsid w:val="2A2D34FC"/>
    <w:rsid w:val="2A41096D"/>
    <w:rsid w:val="2A4D0353"/>
    <w:rsid w:val="2A621291"/>
    <w:rsid w:val="2A7511A5"/>
    <w:rsid w:val="2A866380"/>
    <w:rsid w:val="2A9767DF"/>
    <w:rsid w:val="2AA64C74"/>
    <w:rsid w:val="2AB27175"/>
    <w:rsid w:val="2ACB46DB"/>
    <w:rsid w:val="2ACF41CB"/>
    <w:rsid w:val="2ADE7F6A"/>
    <w:rsid w:val="2AED4651"/>
    <w:rsid w:val="2B0674C1"/>
    <w:rsid w:val="2B165956"/>
    <w:rsid w:val="2B1C6CE5"/>
    <w:rsid w:val="2B1C6DDC"/>
    <w:rsid w:val="2B25203D"/>
    <w:rsid w:val="2B310C17"/>
    <w:rsid w:val="2B312790"/>
    <w:rsid w:val="2B317207"/>
    <w:rsid w:val="2B3B360F"/>
    <w:rsid w:val="2B4F59C5"/>
    <w:rsid w:val="2B9920E3"/>
    <w:rsid w:val="2BA23895"/>
    <w:rsid w:val="2BA411B4"/>
    <w:rsid w:val="2BB331A5"/>
    <w:rsid w:val="2BBE1B4A"/>
    <w:rsid w:val="2BC2163A"/>
    <w:rsid w:val="2BD56840"/>
    <w:rsid w:val="2BD80E5D"/>
    <w:rsid w:val="2BE45A54"/>
    <w:rsid w:val="2BE94E19"/>
    <w:rsid w:val="2BEB5F44"/>
    <w:rsid w:val="2BFC0FF0"/>
    <w:rsid w:val="2C002162"/>
    <w:rsid w:val="2C016606"/>
    <w:rsid w:val="2C047EA4"/>
    <w:rsid w:val="2C0A4D8F"/>
    <w:rsid w:val="2C0A7143"/>
    <w:rsid w:val="2C1E3498"/>
    <w:rsid w:val="2C1F6A8C"/>
    <w:rsid w:val="2C271DE5"/>
    <w:rsid w:val="2C532BDA"/>
    <w:rsid w:val="2C542B89"/>
    <w:rsid w:val="2C7F752B"/>
    <w:rsid w:val="2C8C39F6"/>
    <w:rsid w:val="2C917941"/>
    <w:rsid w:val="2C9805ED"/>
    <w:rsid w:val="2CA3146B"/>
    <w:rsid w:val="2CA33B8A"/>
    <w:rsid w:val="2CB2345D"/>
    <w:rsid w:val="2CB362FF"/>
    <w:rsid w:val="2CD47877"/>
    <w:rsid w:val="2CEA5B1F"/>
    <w:rsid w:val="2CEA709A"/>
    <w:rsid w:val="2CFF241A"/>
    <w:rsid w:val="2D0F6B01"/>
    <w:rsid w:val="2D275264"/>
    <w:rsid w:val="2D300825"/>
    <w:rsid w:val="2D32459D"/>
    <w:rsid w:val="2D340315"/>
    <w:rsid w:val="2D4D13D7"/>
    <w:rsid w:val="2D4D49C0"/>
    <w:rsid w:val="2D4F514F"/>
    <w:rsid w:val="2D6A1F89"/>
    <w:rsid w:val="2D7976F1"/>
    <w:rsid w:val="2D80355B"/>
    <w:rsid w:val="2D8C0F84"/>
    <w:rsid w:val="2DC45B3D"/>
    <w:rsid w:val="2DC7118A"/>
    <w:rsid w:val="2DD13DB6"/>
    <w:rsid w:val="2E0F48DF"/>
    <w:rsid w:val="2E114AFB"/>
    <w:rsid w:val="2E1D524D"/>
    <w:rsid w:val="2E4C168F"/>
    <w:rsid w:val="2E4C32E9"/>
    <w:rsid w:val="2E5412D5"/>
    <w:rsid w:val="2E552C39"/>
    <w:rsid w:val="2E5C3FC8"/>
    <w:rsid w:val="2E6115DE"/>
    <w:rsid w:val="2E805971"/>
    <w:rsid w:val="2E8157DC"/>
    <w:rsid w:val="2E876B6B"/>
    <w:rsid w:val="2E8F14E4"/>
    <w:rsid w:val="2E9077CD"/>
    <w:rsid w:val="2E96490B"/>
    <w:rsid w:val="2E9B0B8D"/>
    <w:rsid w:val="2EBA6870"/>
    <w:rsid w:val="2EBE7F76"/>
    <w:rsid w:val="2EBF1F37"/>
    <w:rsid w:val="2EC15BD9"/>
    <w:rsid w:val="2EC717A2"/>
    <w:rsid w:val="2ED2383E"/>
    <w:rsid w:val="2EE10029"/>
    <w:rsid w:val="2EEA410A"/>
    <w:rsid w:val="2EEB0EA8"/>
    <w:rsid w:val="2EEB55AF"/>
    <w:rsid w:val="2EF57F78"/>
    <w:rsid w:val="2EF97A69"/>
    <w:rsid w:val="2EFE6E2D"/>
    <w:rsid w:val="2F0F11A4"/>
    <w:rsid w:val="2F1C72B3"/>
    <w:rsid w:val="2F2D326E"/>
    <w:rsid w:val="2F3960B7"/>
    <w:rsid w:val="2F41763E"/>
    <w:rsid w:val="2F481D56"/>
    <w:rsid w:val="2F4A02C4"/>
    <w:rsid w:val="2F6400DC"/>
    <w:rsid w:val="2F6A6E98"/>
    <w:rsid w:val="2F6E4A5F"/>
    <w:rsid w:val="2F723377"/>
    <w:rsid w:val="2F7660C7"/>
    <w:rsid w:val="2F7E7F6E"/>
    <w:rsid w:val="2F8C7530"/>
    <w:rsid w:val="2F94153F"/>
    <w:rsid w:val="2F9631A6"/>
    <w:rsid w:val="2FA21EAE"/>
    <w:rsid w:val="2FAC008C"/>
    <w:rsid w:val="2FAE7D93"/>
    <w:rsid w:val="2FB92D54"/>
    <w:rsid w:val="2FD63906"/>
    <w:rsid w:val="2FD858D0"/>
    <w:rsid w:val="2FDB0F1C"/>
    <w:rsid w:val="2FDD4C94"/>
    <w:rsid w:val="2FDE5E55"/>
    <w:rsid w:val="2FE75B13"/>
    <w:rsid w:val="2FEA73B1"/>
    <w:rsid w:val="30000983"/>
    <w:rsid w:val="300B3EF7"/>
    <w:rsid w:val="3018675B"/>
    <w:rsid w:val="30190D4D"/>
    <w:rsid w:val="30197C97"/>
    <w:rsid w:val="301E7001"/>
    <w:rsid w:val="302723B3"/>
    <w:rsid w:val="30450A8C"/>
    <w:rsid w:val="30477E2B"/>
    <w:rsid w:val="30517430"/>
    <w:rsid w:val="30522B51"/>
    <w:rsid w:val="30564A47"/>
    <w:rsid w:val="305B3E0B"/>
    <w:rsid w:val="30730984"/>
    <w:rsid w:val="30937C33"/>
    <w:rsid w:val="3097475A"/>
    <w:rsid w:val="30992B52"/>
    <w:rsid w:val="30A13F14"/>
    <w:rsid w:val="30A25EDE"/>
    <w:rsid w:val="30A77050"/>
    <w:rsid w:val="30A9101A"/>
    <w:rsid w:val="30B71989"/>
    <w:rsid w:val="30BB2AFC"/>
    <w:rsid w:val="30C145B6"/>
    <w:rsid w:val="30F85D61"/>
    <w:rsid w:val="31215055"/>
    <w:rsid w:val="31411BBE"/>
    <w:rsid w:val="314B20D2"/>
    <w:rsid w:val="31501496"/>
    <w:rsid w:val="315175A3"/>
    <w:rsid w:val="3159659D"/>
    <w:rsid w:val="315E3BB3"/>
    <w:rsid w:val="317A4451"/>
    <w:rsid w:val="3186135C"/>
    <w:rsid w:val="31975317"/>
    <w:rsid w:val="31CD2AE7"/>
    <w:rsid w:val="31D9148B"/>
    <w:rsid w:val="31E10DF1"/>
    <w:rsid w:val="31EF5153"/>
    <w:rsid w:val="31F10A03"/>
    <w:rsid w:val="31F664E1"/>
    <w:rsid w:val="31F77B64"/>
    <w:rsid w:val="31FC33CC"/>
    <w:rsid w:val="320C360F"/>
    <w:rsid w:val="32210E55"/>
    <w:rsid w:val="322546D1"/>
    <w:rsid w:val="322D6CBE"/>
    <w:rsid w:val="323E5792"/>
    <w:rsid w:val="3252193F"/>
    <w:rsid w:val="32544FB6"/>
    <w:rsid w:val="3255145A"/>
    <w:rsid w:val="327D275F"/>
    <w:rsid w:val="32870EE7"/>
    <w:rsid w:val="32895A9E"/>
    <w:rsid w:val="328D3E9F"/>
    <w:rsid w:val="329F4483"/>
    <w:rsid w:val="329F7145"/>
    <w:rsid w:val="32A63A63"/>
    <w:rsid w:val="32AB72CC"/>
    <w:rsid w:val="331A61FF"/>
    <w:rsid w:val="33356B95"/>
    <w:rsid w:val="333948D8"/>
    <w:rsid w:val="334548F8"/>
    <w:rsid w:val="335039CF"/>
    <w:rsid w:val="33550FE6"/>
    <w:rsid w:val="33664FA1"/>
    <w:rsid w:val="336D632F"/>
    <w:rsid w:val="33727DEA"/>
    <w:rsid w:val="337A1FA1"/>
    <w:rsid w:val="337D48DB"/>
    <w:rsid w:val="33972714"/>
    <w:rsid w:val="33BD1E6E"/>
    <w:rsid w:val="33C06DA7"/>
    <w:rsid w:val="33C57F19"/>
    <w:rsid w:val="33CA19D4"/>
    <w:rsid w:val="33CE66D0"/>
    <w:rsid w:val="33D97E69"/>
    <w:rsid w:val="33DB56BC"/>
    <w:rsid w:val="33DB598F"/>
    <w:rsid w:val="33F27600"/>
    <w:rsid w:val="34014CC9"/>
    <w:rsid w:val="34060532"/>
    <w:rsid w:val="34353CFC"/>
    <w:rsid w:val="34605E94"/>
    <w:rsid w:val="34640CAC"/>
    <w:rsid w:val="34724CF5"/>
    <w:rsid w:val="34761214"/>
    <w:rsid w:val="347831DE"/>
    <w:rsid w:val="3491604D"/>
    <w:rsid w:val="34937E76"/>
    <w:rsid w:val="349D5CA9"/>
    <w:rsid w:val="34A044E2"/>
    <w:rsid w:val="34BA77F4"/>
    <w:rsid w:val="34BF0E0C"/>
    <w:rsid w:val="34CF6B76"/>
    <w:rsid w:val="34D0301A"/>
    <w:rsid w:val="34DD74E5"/>
    <w:rsid w:val="350F68E9"/>
    <w:rsid w:val="351A4295"/>
    <w:rsid w:val="35223149"/>
    <w:rsid w:val="352E7D40"/>
    <w:rsid w:val="35335357"/>
    <w:rsid w:val="353C178B"/>
    <w:rsid w:val="35523A2F"/>
    <w:rsid w:val="3555351F"/>
    <w:rsid w:val="355552CD"/>
    <w:rsid w:val="3556410F"/>
    <w:rsid w:val="355F439E"/>
    <w:rsid w:val="35611EC4"/>
    <w:rsid w:val="356349CB"/>
    <w:rsid w:val="356674DA"/>
    <w:rsid w:val="356F52EA"/>
    <w:rsid w:val="357240D1"/>
    <w:rsid w:val="357B741A"/>
    <w:rsid w:val="357E2A76"/>
    <w:rsid w:val="35811478"/>
    <w:rsid w:val="358B6F41"/>
    <w:rsid w:val="358D0F0B"/>
    <w:rsid w:val="358D457B"/>
    <w:rsid w:val="358F4C83"/>
    <w:rsid w:val="35957DBF"/>
    <w:rsid w:val="35977693"/>
    <w:rsid w:val="35A67F0C"/>
    <w:rsid w:val="35AB4528"/>
    <w:rsid w:val="35C83CF1"/>
    <w:rsid w:val="35C87ECA"/>
    <w:rsid w:val="35CB1A33"/>
    <w:rsid w:val="35D57BE8"/>
    <w:rsid w:val="35DA3A24"/>
    <w:rsid w:val="35DB6A72"/>
    <w:rsid w:val="35E054DE"/>
    <w:rsid w:val="35E7070F"/>
    <w:rsid w:val="360664D9"/>
    <w:rsid w:val="36096403"/>
    <w:rsid w:val="36146449"/>
    <w:rsid w:val="361506D0"/>
    <w:rsid w:val="36177D11"/>
    <w:rsid w:val="361835B1"/>
    <w:rsid w:val="361A2073"/>
    <w:rsid w:val="362A0508"/>
    <w:rsid w:val="362A49AB"/>
    <w:rsid w:val="362B30EB"/>
    <w:rsid w:val="36395BD1"/>
    <w:rsid w:val="36566C1F"/>
    <w:rsid w:val="365B5DEB"/>
    <w:rsid w:val="365D08DD"/>
    <w:rsid w:val="36624145"/>
    <w:rsid w:val="366854D4"/>
    <w:rsid w:val="368F0CB2"/>
    <w:rsid w:val="36935DE6"/>
    <w:rsid w:val="36941E25"/>
    <w:rsid w:val="36A93B22"/>
    <w:rsid w:val="36B36C19"/>
    <w:rsid w:val="36D14E27"/>
    <w:rsid w:val="36D6068F"/>
    <w:rsid w:val="36D93CDC"/>
    <w:rsid w:val="36DC2789"/>
    <w:rsid w:val="36F01751"/>
    <w:rsid w:val="36FB1EA4"/>
    <w:rsid w:val="36FB6C4C"/>
    <w:rsid w:val="37193969"/>
    <w:rsid w:val="371B2546"/>
    <w:rsid w:val="37531CE0"/>
    <w:rsid w:val="37625508"/>
    <w:rsid w:val="37661A13"/>
    <w:rsid w:val="378F50C0"/>
    <w:rsid w:val="37A245C1"/>
    <w:rsid w:val="37B3452D"/>
    <w:rsid w:val="37BA58BB"/>
    <w:rsid w:val="37D15C55"/>
    <w:rsid w:val="37ED3EE3"/>
    <w:rsid w:val="37F039D3"/>
    <w:rsid w:val="3801281C"/>
    <w:rsid w:val="380D00E1"/>
    <w:rsid w:val="380D1E8F"/>
    <w:rsid w:val="38305B7D"/>
    <w:rsid w:val="38362A6E"/>
    <w:rsid w:val="3836588A"/>
    <w:rsid w:val="38481119"/>
    <w:rsid w:val="385201EA"/>
    <w:rsid w:val="385C2E16"/>
    <w:rsid w:val="38714684"/>
    <w:rsid w:val="38723CF7"/>
    <w:rsid w:val="387305DE"/>
    <w:rsid w:val="38743CBC"/>
    <w:rsid w:val="387C6D78"/>
    <w:rsid w:val="389205E6"/>
    <w:rsid w:val="38934A8A"/>
    <w:rsid w:val="3894435E"/>
    <w:rsid w:val="3894610C"/>
    <w:rsid w:val="38997BC6"/>
    <w:rsid w:val="38A21E3A"/>
    <w:rsid w:val="38A547BD"/>
    <w:rsid w:val="38B4055C"/>
    <w:rsid w:val="38B4493B"/>
    <w:rsid w:val="38CF089F"/>
    <w:rsid w:val="38EA6674"/>
    <w:rsid w:val="38F17A02"/>
    <w:rsid w:val="38FB262F"/>
    <w:rsid w:val="39007C46"/>
    <w:rsid w:val="391425D5"/>
    <w:rsid w:val="39167469"/>
    <w:rsid w:val="391A0D07"/>
    <w:rsid w:val="392F41D4"/>
    <w:rsid w:val="3932442C"/>
    <w:rsid w:val="393873DF"/>
    <w:rsid w:val="393A6213"/>
    <w:rsid w:val="394602A8"/>
    <w:rsid w:val="39504729"/>
    <w:rsid w:val="395B0838"/>
    <w:rsid w:val="397F69B3"/>
    <w:rsid w:val="398C3287"/>
    <w:rsid w:val="399117AC"/>
    <w:rsid w:val="39924D42"/>
    <w:rsid w:val="39A67BBC"/>
    <w:rsid w:val="39A71E6F"/>
    <w:rsid w:val="39AC32EB"/>
    <w:rsid w:val="39CF2DA9"/>
    <w:rsid w:val="39D52081"/>
    <w:rsid w:val="39F661F5"/>
    <w:rsid w:val="39F71CAF"/>
    <w:rsid w:val="3A1C460B"/>
    <w:rsid w:val="3A287454"/>
    <w:rsid w:val="3A397F19"/>
    <w:rsid w:val="3A3D7DC8"/>
    <w:rsid w:val="3A4E1733"/>
    <w:rsid w:val="3A687850"/>
    <w:rsid w:val="3A6B10EF"/>
    <w:rsid w:val="3A7B57D6"/>
    <w:rsid w:val="3A845548"/>
    <w:rsid w:val="3A91428F"/>
    <w:rsid w:val="3AA60379"/>
    <w:rsid w:val="3AA6723A"/>
    <w:rsid w:val="3AAD7959"/>
    <w:rsid w:val="3AB111F7"/>
    <w:rsid w:val="3AB331C1"/>
    <w:rsid w:val="3AB6680E"/>
    <w:rsid w:val="3ABB3E24"/>
    <w:rsid w:val="3AC05FCA"/>
    <w:rsid w:val="3AC70A1B"/>
    <w:rsid w:val="3AD469C9"/>
    <w:rsid w:val="3AE07D2F"/>
    <w:rsid w:val="3AE660B8"/>
    <w:rsid w:val="3AED7D56"/>
    <w:rsid w:val="3AF13CEA"/>
    <w:rsid w:val="3B02230D"/>
    <w:rsid w:val="3B0764EF"/>
    <w:rsid w:val="3B2B32F7"/>
    <w:rsid w:val="3B385475"/>
    <w:rsid w:val="3B3F4A55"/>
    <w:rsid w:val="3B556027"/>
    <w:rsid w:val="3B5F50F7"/>
    <w:rsid w:val="3B892174"/>
    <w:rsid w:val="3BAD2AA6"/>
    <w:rsid w:val="3BBB5208"/>
    <w:rsid w:val="3BC15FC0"/>
    <w:rsid w:val="3BDC1598"/>
    <w:rsid w:val="3BDF1D94"/>
    <w:rsid w:val="3BDF7FE6"/>
    <w:rsid w:val="3BF35840"/>
    <w:rsid w:val="3BFB3F35"/>
    <w:rsid w:val="3BFD67C6"/>
    <w:rsid w:val="3C0869CB"/>
    <w:rsid w:val="3C0E61D6"/>
    <w:rsid w:val="3C1557B6"/>
    <w:rsid w:val="3C1852A6"/>
    <w:rsid w:val="3C1A263A"/>
    <w:rsid w:val="3C237ED3"/>
    <w:rsid w:val="3C237F82"/>
    <w:rsid w:val="3C2D6FA3"/>
    <w:rsid w:val="3C355E58"/>
    <w:rsid w:val="3C4340D1"/>
    <w:rsid w:val="3C4D4F50"/>
    <w:rsid w:val="3C5462DE"/>
    <w:rsid w:val="3C5A141B"/>
    <w:rsid w:val="3C5E2590"/>
    <w:rsid w:val="3C63361A"/>
    <w:rsid w:val="3C666762"/>
    <w:rsid w:val="3C681D8A"/>
    <w:rsid w:val="3C6C74B1"/>
    <w:rsid w:val="3C6D6F95"/>
    <w:rsid w:val="3C7626F9"/>
    <w:rsid w:val="3C7E77FF"/>
    <w:rsid w:val="3C7F667E"/>
    <w:rsid w:val="3C8446EA"/>
    <w:rsid w:val="3C8A61A4"/>
    <w:rsid w:val="3C991F43"/>
    <w:rsid w:val="3CAB7EC8"/>
    <w:rsid w:val="3CD1429B"/>
    <w:rsid w:val="3CD45671"/>
    <w:rsid w:val="3CDD2029"/>
    <w:rsid w:val="3CE17F7D"/>
    <w:rsid w:val="3CE37662"/>
    <w:rsid w:val="3CE55188"/>
    <w:rsid w:val="3CEF6007"/>
    <w:rsid w:val="3CF61143"/>
    <w:rsid w:val="3CF730D9"/>
    <w:rsid w:val="3CFE624A"/>
    <w:rsid w:val="3D121CF5"/>
    <w:rsid w:val="3D1B6DFC"/>
    <w:rsid w:val="3D3500DD"/>
    <w:rsid w:val="3D4153D2"/>
    <w:rsid w:val="3D4E5423"/>
    <w:rsid w:val="3D516CC2"/>
    <w:rsid w:val="3D595B76"/>
    <w:rsid w:val="3D69431B"/>
    <w:rsid w:val="3D6A38DF"/>
    <w:rsid w:val="3D736C38"/>
    <w:rsid w:val="3D793B23"/>
    <w:rsid w:val="3D8B21D4"/>
    <w:rsid w:val="3D987913"/>
    <w:rsid w:val="3DA54918"/>
    <w:rsid w:val="3DB039E8"/>
    <w:rsid w:val="3DB57251"/>
    <w:rsid w:val="3DC8152A"/>
    <w:rsid w:val="3DEE2762"/>
    <w:rsid w:val="3DEF5D3E"/>
    <w:rsid w:val="3DFA1107"/>
    <w:rsid w:val="3E267295"/>
    <w:rsid w:val="3E276F43"/>
    <w:rsid w:val="3E285C74"/>
    <w:rsid w:val="3E29379B"/>
    <w:rsid w:val="3E2F3703"/>
    <w:rsid w:val="3E3068D7"/>
    <w:rsid w:val="3E5720B6"/>
    <w:rsid w:val="3E8B6203"/>
    <w:rsid w:val="3EA55BAC"/>
    <w:rsid w:val="3EB017C6"/>
    <w:rsid w:val="3EB04F80"/>
    <w:rsid w:val="3EB66327"/>
    <w:rsid w:val="3EBD70CB"/>
    <w:rsid w:val="3EC314F9"/>
    <w:rsid w:val="3EC55271"/>
    <w:rsid w:val="3EC82FB3"/>
    <w:rsid w:val="3EEB79EB"/>
    <w:rsid w:val="3EF773F5"/>
    <w:rsid w:val="3EFB1197"/>
    <w:rsid w:val="3F0961E9"/>
    <w:rsid w:val="3F0B500A"/>
    <w:rsid w:val="3F116709"/>
    <w:rsid w:val="3F2A3A8C"/>
    <w:rsid w:val="3F2A5A1C"/>
    <w:rsid w:val="3F2D2E17"/>
    <w:rsid w:val="3F2F4DE1"/>
    <w:rsid w:val="3F3B19D7"/>
    <w:rsid w:val="3F424B14"/>
    <w:rsid w:val="3F4343E8"/>
    <w:rsid w:val="3F46740D"/>
    <w:rsid w:val="3F577E93"/>
    <w:rsid w:val="3F597624"/>
    <w:rsid w:val="3F710F55"/>
    <w:rsid w:val="3F7722E4"/>
    <w:rsid w:val="3F870779"/>
    <w:rsid w:val="3F942E96"/>
    <w:rsid w:val="3F9D1D4A"/>
    <w:rsid w:val="3FAF3F62"/>
    <w:rsid w:val="3FB511AB"/>
    <w:rsid w:val="3FB53538"/>
    <w:rsid w:val="3FCE310D"/>
    <w:rsid w:val="3FF322B2"/>
    <w:rsid w:val="3FFA0F4B"/>
    <w:rsid w:val="40204729"/>
    <w:rsid w:val="40657FDE"/>
    <w:rsid w:val="406D3C86"/>
    <w:rsid w:val="406D5BC1"/>
    <w:rsid w:val="408059D4"/>
    <w:rsid w:val="409C41EB"/>
    <w:rsid w:val="409D2773"/>
    <w:rsid w:val="40A23390"/>
    <w:rsid w:val="40B16D7F"/>
    <w:rsid w:val="40BA692C"/>
    <w:rsid w:val="40DB5220"/>
    <w:rsid w:val="40E4551C"/>
    <w:rsid w:val="40E63BC5"/>
    <w:rsid w:val="40E7472C"/>
    <w:rsid w:val="40EA7A11"/>
    <w:rsid w:val="40F560EF"/>
    <w:rsid w:val="40FE2C30"/>
    <w:rsid w:val="410D73A4"/>
    <w:rsid w:val="411E51A2"/>
    <w:rsid w:val="412D35A2"/>
    <w:rsid w:val="414601C0"/>
    <w:rsid w:val="414845C1"/>
    <w:rsid w:val="416150FE"/>
    <w:rsid w:val="41654AEA"/>
    <w:rsid w:val="41662610"/>
    <w:rsid w:val="416D4BE4"/>
    <w:rsid w:val="416F7716"/>
    <w:rsid w:val="41782A6F"/>
    <w:rsid w:val="4182744A"/>
    <w:rsid w:val="4185518C"/>
    <w:rsid w:val="419158DF"/>
    <w:rsid w:val="41AC096A"/>
    <w:rsid w:val="41AD023F"/>
    <w:rsid w:val="41B10C5F"/>
    <w:rsid w:val="41C075D3"/>
    <w:rsid w:val="41CF2738"/>
    <w:rsid w:val="41D55B17"/>
    <w:rsid w:val="41DA018C"/>
    <w:rsid w:val="41E27698"/>
    <w:rsid w:val="41E55C2A"/>
    <w:rsid w:val="41E579D9"/>
    <w:rsid w:val="41F55F8D"/>
    <w:rsid w:val="41F64EE6"/>
    <w:rsid w:val="41FA16D6"/>
    <w:rsid w:val="42026CF3"/>
    <w:rsid w:val="42044303"/>
    <w:rsid w:val="421F738E"/>
    <w:rsid w:val="42213106"/>
    <w:rsid w:val="42291FBB"/>
    <w:rsid w:val="423170C2"/>
    <w:rsid w:val="42440BA3"/>
    <w:rsid w:val="42554733"/>
    <w:rsid w:val="42660B19"/>
    <w:rsid w:val="42811C93"/>
    <w:rsid w:val="428D254A"/>
    <w:rsid w:val="428E0070"/>
    <w:rsid w:val="429B0BE8"/>
    <w:rsid w:val="429D02B3"/>
    <w:rsid w:val="42A930FC"/>
    <w:rsid w:val="42AD6748"/>
    <w:rsid w:val="42BD66C3"/>
    <w:rsid w:val="42C85330"/>
    <w:rsid w:val="42E14644"/>
    <w:rsid w:val="42E563EF"/>
    <w:rsid w:val="430E14D9"/>
    <w:rsid w:val="431C1B20"/>
    <w:rsid w:val="43233385"/>
    <w:rsid w:val="432E715D"/>
    <w:rsid w:val="432F3747"/>
    <w:rsid w:val="43370E40"/>
    <w:rsid w:val="434A306A"/>
    <w:rsid w:val="434F30EE"/>
    <w:rsid w:val="435117C9"/>
    <w:rsid w:val="435272F0"/>
    <w:rsid w:val="43642A19"/>
    <w:rsid w:val="43762FDE"/>
    <w:rsid w:val="437A6AA7"/>
    <w:rsid w:val="43884ABF"/>
    <w:rsid w:val="438C4419"/>
    <w:rsid w:val="439B0C97"/>
    <w:rsid w:val="43A15B81"/>
    <w:rsid w:val="43B91FE5"/>
    <w:rsid w:val="43C60696"/>
    <w:rsid w:val="43E53072"/>
    <w:rsid w:val="43EE526A"/>
    <w:rsid w:val="43F108B7"/>
    <w:rsid w:val="43F403A7"/>
    <w:rsid w:val="43FD54AD"/>
    <w:rsid w:val="44006D4C"/>
    <w:rsid w:val="441D39DA"/>
    <w:rsid w:val="441F3676"/>
    <w:rsid w:val="442C18EF"/>
    <w:rsid w:val="442E4DF2"/>
    <w:rsid w:val="443A14B0"/>
    <w:rsid w:val="44495359"/>
    <w:rsid w:val="444C3D3F"/>
    <w:rsid w:val="447032DB"/>
    <w:rsid w:val="447D214A"/>
    <w:rsid w:val="44805202"/>
    <w:rsid w:val="448273B5"/>
    <w:rsid w:val="44AE49FA"/>
    <w:rsid w:val="44CB77A7"/>
    <w:rsid w:val="44D446D8"/>
    <w:rsid w:val="44DA759D"/>
    <w:rsid w:val="44DD52C7"/>
    <w:rsid w:val="44E346A3"/>
    <w:rsid w:val="44E61883"/>
    <w:rsid w:val="44F05012"/>
    <w:rsid w:val="44F2351D"/>
    <w:rsid w:val="44FF5A4A"/>
    <w:rsid w:val="4504286C"/>
    <w:rsid w:val="450D34CE"/>
    <w:rsid w:val="450D7972"/>
    <w:rsid w:val="451E1B7F"/>
    <w:rsid w:val="45252F0E"/>
    <w:rsid w:val="452B604A"/>
    <w:rsid w:val="452D591E"/>
    <w:rsid w:val="45375C09"/>
    <w:rsid w:val="45561319"/>
    <w:rsid w:val="4559323D"/>
    <w:rsid w:val="4562595D"/>
    <w:rsid w:val="45795008"/>
    <w:rsid w:val="457C0654"/>
    <w:rsid w:val="45826A34"/>
    <w:rsid w:val="458A2D71"/>
    <w:rsid w:val="45B002FD"/>
    <w:rsid w:val="45BB5620"/>
    <w:rsid w:val="45BD1B8C"/>
    <w:rsid w:val="45C2075D"/>
    <w:rsid w:val="45D24718"/>
    <w:rsid w:val="45DE30BD"/>
    <w:rsid w:val="45F34DBA"/>
    <w:rsid w:val="45FB77CB"/>
    <w:rsid w:val="46003033"/>
    <w:rsid w:val="460415FE"/>
    <w:rsid w:val="4614088C"/>
    <w:rsid w:val="461F5E6F"/>
    <w:rsid w:val="462705C0"/>
    <w:rsid w:val="463B774A"/>
    <w:rsid w:val="464643F0"/>
    <w:rsid w:val="465A4ABC"/>
    <w:rsid w:val="465E7D59"/>
    <w:rsid w:val="46651E6F"/>
    <w:rsid w:val="467E3F53"/>
    <w:rsid w:val="46A205D0"/>
    <w:rsid w:val="46AF13D1"/>
    <w:rsid w:val="46D52470"/>
    <w:rsid w:val="46E217EB"/>
    <w:rsid w:val="46EE37D3"/>
    <w:rsid w:val="46F10BCE"/>
    <w:rsid w:val="46FA3F26"/>
    <w:rsid w:val="46FD234D"/>
    <w:rsid w:val="47040901"/>
    <w:rsid w:val="470769C3"/>
    <w:rsid w:val="47095F17"/>
    <w:rsid w:val="47163576"/>
    <w:rsid w:val="47264D1B"/>
    <w:rsid w:val="47295FFE"/>
    <w:rsid w:val="47486A40"/>
    <w:rsid w:val="47541888"/>
    <w:rsid w:val="47651C98"/>
    <w:rsid w:val="47675337"/>
    <w:rsid w:val="477C0DDF"/>
    <w:rsid w:val="477E6905"/>
    <w:rsid w:val="478A0C50"/>
    <w:rsid w:val="478D08F6"/>
    <w:rsid w:val="479003E6"/>
    <w:rsid w:val="479C322F"/>
    <w:rsid w:val="47A5184F"/>
    <w:rsid w:val="47A72E2E"/>
    <w:rsid w:val="47B02CC3"/>
    <w:rsid w:val="47B572BA"/>
    <w:rsid w:val="47BA5463"/>
    <w:rsid w:val="47BE31A6"/>
    <w:rsid w:val="47C00CCC"/>
    <w:rsid w:val="47C87B80"/>
    <w:rsid w:val="47DC571B"/>
    <w:rsid w:val="47E0311C"/>
    <w:rsid w:val="47EB296D"/>
    <w:rsid w:val="47F03B09"/>
    <w:rsid w:val="47FB1D04"/>
    <w:rsid w:val="4801178E"/>
    <w:rsid w:val="48030BB8"/>
    <w:rsid w:val="480E003F"/>
    <w:rsid w:val="48233009"/>
    <w:rsid w:val="484B6BDE"/>
    <w:rsid w:val="4851709A"/>
    <w:rsid w:val="48770357"/>
    <w:rsid w:val="487A74C5"/>
    <w:rsid w:val="487B4BF3"/>
    <w:rsid w:val="48852288"/>
    <w:rsid w:val="488C1EEE"/>
    <w:rsid w:val="48A24875"/>
    <w:rsid w:val="48AB197C"/>
    <w:rsid w:val="48B362F0"/>
    <w:rsid w:val="48BF4A4F"/>
    <w:rsid w:val="48D367DD"/>
    <w:rsid w:val="48DD765B"/>
    <w:rsid w:val="48E704DA"/>
    <w:rsid w:val="48EB621C"/>
    <w:rsid w:val="490177EE"/>
    <w:rsid w:val="49075E42"/>
    <w:rsid w:val="490E3CB9"/>
    <w:rsid w:val="4917609E"/>
    <w:rsid w:val="491B1501"/>
    <w:rsid w:val="491C2C2F"/>
    <w:rsid w:val="493A2D00"/>
    <w:rsid w:val="494F67AB"/>
    <w:rsid w:val="4957740E"/>
    <w:rsid w:val="497004D0"/>
    <w:rsid w:val="49777AB0"/>
    <w:rsid w:val="49796DDF"/>
    <w:rsid w:val="497E0E3E"/>
    <w:rsid w:val="49830203"/>
    <w:rsid w:val="499A379E"/>
    <w:rsid w:val="49A07007"/>
    <w:rsid w:val="49AF47C9"/>
    <w:rsid w:val="49B91E77"/>
    <w:rsid w:val="49C36851"/>
    <w:rsid w:val="49C83E68"/>
    <w:rsid w:val="49D96075"/>
    <w:rsid w:val="49DA5633"/>
    <w:rsid w:val="49DC7913"/>
    <w:rsid w:val="49E25395"/>
    <w:rsid w:val="49ED38CE"/>
    <w:rsid w:val="49FB423D"/>
    <w:rsid w:val="49FC7FB5"/>
    <w:rsid w:val="4A2C10AA"/>
    <w:rsid w:val="4A365275"/>
    <w:rsid w:val="4A41705E"/>
    <w:rsid w:val="4A4D71B4"/>
    <w:rsid w:val="4A595A26"/>
    <w:rsid w:val="4A597CAA"/>
    <w:rsid w:val="4A8474DE"/>
    <w:rsid w:val="4A8F0E29"/>
    <w:rsid w:val="4A9326C8"/>
    <w:rsid w:val="4A9F72BE"/>
    <w:rsid w:val="4AA03036"/>
    <w:rsid w:val="4AAA7A11"/>
    <w:rsid w:val="4AAE5753"/>
    <w:rsid w:val="4AD31D64"/>
    <w:rsid w:val="4AED700E"/>
    <w:rsid w:val="4AED7CD2"/>
    <w:rsid w:val="4AF25FF9"/>
    <w:rsid w:val="4AF77B11"/>
    <w:rsid w:val="4AFA2747"/>
    <w:rsid w:val="4AFC2912"/>
    <w:rsid w:val="4AFC75DA"/>
    <w:rsid w:val="4AFE55C5"/>
    <w:rsid w:val="4B09298A"/>
    <w:rsid w:val="4B1D4687"/>
    <w:rsid w:val="4B2B0B52"/>
    <w:rsid w:val="4B3B5700"/>
    <w:rsid w:val="4B413ED2"/>
    <w:rsid w:val="4B4439C2"/>
    <w:rsid w:val="4B4B11F4"/>
    <w:rsid w:val="4B4C5CA0"/>
    <w:rsid w:val="4B560B5D"/>
    <w:rsid w:val="4B63653E"/>
    <w:rsid w:val="4B671831"/>
    <w:rsid w:val="4B67780C"/>
    <w:rsid w:val="4B6C17B0"/>
    <w:rsid w:val="4B72052F"/>
    <w:rsid w:val="4B95246F"/>
    <w:rsid w:val="4B9F4176"/>
    <w:rsid w:val="4BA809EC"/>
    <w:rsid w:val="4BB23021"/>
    <w:rsid w:val="4BB943B0"/>
    <w:rsid w:val="4BC30D8B"/>
    <w:rsid w:val="4BC845F3"/>
    <w:rsid w:val="4BCB7C3F"/>
    <w:rsid w:val="4BCE772F"/>
    <w:rsid w:val="4BE96317"/>
    <w:rsid w:val="4BEB11A9"/>
    <w:rsid w:val="4BFE6267"/>
    <w:rsid w:val="4C06128F"/>
    <w:rsid w:val="4C067E61"/>
    <w:rsid w:val="4C073A5A"/>
    <w:rsid w:val="4C082C41"/>
    <w:rsid w:val="4C282ACC"/>
    <w:rsid w:val="4C2E5618"/>
    <w:rsid w:val="4C39104D"/>
    <w:rsid w:val="4C464D7B"/>
    <w:rsid w:val="4C6C1AD1"/>
    <w:rsid w:val="4C75531D"/>
    <w:rsid w:val="4C7E73A7"/>
    <w:rsid w:val="4C8C7EDB"/>
    <w:rsid w:val="4C915309"/>
    <w:rsid w:val="4CA34837"/>
    <w:rsid w:val="4CA426C4"/>
    <w:rsid w:val="4CAF7561"/>
    <w:rsid w:val="4CC254E6"/>
    <w:rsid w:val="4CCA439B"/>
    <w:rsid w:val="4CD3324F"/>
    <w:rsid w:val="4CE90CC5"/>
    <w:rsid w:val="4CFD02CC"/>
    <w:rsid w:val="4D4C5157"/>
    <w:rsid w:val="4D4E28D6"/>
    <w:rsid w:val="4D555F01"/>
    <w:rsid w:val="4D5D520F"/>
    <w:rsid w:val="4D6633EA"/>
    <w:rsid w:val="4D7458F7"/>
    <w:rsid w:val="4D812AEE"/>
    <w:rsid w:val="4D8631D7"/>
    <w:rsid w:val="4D8A2187"/>
    <w:rsid w:val="4D8C1650"/>
    <w:rsid w:val="4D954019"/>
    <w:rsid w:val="4D970721"/>
    <w:rsid w:val="4D9A32F6"/>
    <w:rsid w:val="4DA319C2"/>
    <w:rsid w:val="4DB116B7"/>
    <w:rsid w:val="4DB43081"/>
    <w:rsid w:val="4DC07E47"/>
    <w:rsid w:val="4DCA28A4"/>
    <w:rsid w:val="4DCD7C9F"/>
    <w:rsid w:val="4DD454D1"/>
    <w:rsid w:val="4DE65BCF"/>
    <w:rsid w:val="4DE728C7"/>
    <w:rsid w:val="4DED6593"/>
    <w:rsid w:val="4E0951AF"/>
    <w:rsid w:val="4E160F02"/>
    <w:rsid w:val="4E173610"/>
    <w:rsid w:val="4E1A6C5C"/>
    <w:rsid w:val="4E1F4272"/>
    <w:rsid w:val="4E2079D2"/>
    <w:rsid w:val="4E2875CB"/>
    <w:rsid w:val="4E3046D1"/>
    <w:rsid w:val="4E395334"/>
    <w:rsid w:val="4E453CD9"/>
    <w:rsid w:val="4E5B174E"/>
    <w:rsid w:val="4E661EA1"/>
    <w:rsid w:val="4E704ACE"/>
    <w:rsid w:val="4E8862BB"/>
    <w:rsid w:val="4E886CF6"/>
    <w:rsid w:val="4E946EB1"/>
    <w:rsid w:val="4E9528C6"/>
    <w:rsid w:val="4E962786"/>
    <w:rsid w:val="4EA04442"/>
    <w:rsid w:val="4EB0377D"/>
    <w:rsid w:val="4EB12DCD"/>
    <w:rsid w:val="4EBB043F"/>
    <w:rsid w:val="4EC76DE4"/>
    <w:rsid w:val="4EC96C31"/>
    <w:rsid w:val="4ED10D2D"/>
    <w:rsid w:val="4EE075DB"/>
    <w:rsid w:val="4EEA1863"/>
    <w:rsid w:val="4EEF6F54"/>
    <w:rsid w:val="4EF86CC0"/>
    <w:rsid w:val="4F0973FC"/>
    <w:rsid w:val="4F0F2539"/>
    <w:rsid w:val="4F1B0EDE"/>
    <w:rsid w:val="4F455F5A"/>
    <w:rsid w:val="4F457D08"/>
    <w:rsid w:val="4F716D4F"/>
    <w:rsid w:val="4F822D0B"/>
    <w:rsid w:val="4F8D1DDB"/>
    <w:rsid w:val="4F9273F2"/>
    <w:rsid w:val="4FA17635"/>
    <w:rsid w:val="4FA62E9D"/>
    <w:rsid w:val="4FA663C6"/>
    <w:rsid w:val="4FAD5613"/>
    <w:rsid w:val="4FC148D3"/>
    <w:rsid w:val="4FEE61BA"/>
    <w:rsid w:val="5003209D"/>
    <w:rsid w:val="50041972"/>
    <w:rsid w:val="50131A51"/>
    <w:rsid w:val="503731B6"/>
    <w:rsid w:val="503E4E84"/>
    <w:rsid w:val="504A1A7A"/>
    <w:rsid w:val="50526B81"/>
    <w:rsid w:val="50666188"/>
    <w:rsid w:val="506E2BAE"/>
    <w:rsid w:val="50707007"/>
    <w:rsid w:val="507A1C34"/>
    <w:rsid w:val="507B60D8"/>
    <w:rsid w:val="507C3BFE"/>
    <w:rsid w:val="509E5922"/>
    <w:rsid w:val="50B21901"/>
    <w:rsid w:val="50B45146"/>
    <w:rsid w:val="50B74298"/>
    <w:rsid w:val="50BE4216"/>
    <w:rsid w:val="50C569E3"/>
    <w:rsid w:val="50DE2E0E"/>
    <w:rsid w:val="50E52C61"/>
    <w:rsid w:val="50E81293"/>
    <w:rsid w:val="50EA6DB9"/>
    <w:rsid w:val="50EC3E2B"/>
    <w:rsid w:val="50EF43D0"/>
    <w:rsid w:val="50FE4613"/>
    <w:rsid w:val="510065DD"/>
    <w:rsid w:val="510111AD"/>
    <w:rsid w:val="51025EB1"/>
    <w:rsid w:val="51037E7B"/>
    <w:rsid w:val="5118588E"/>
    <w:rsid w:val="512102AF"/>
    <w:rsid w:val="51275918"/>
    <w:rsid w:val="51305DFD"/>
    <w:rsid w:val="513872F3"/>
    <w:rsid w:val="514C1822"/>
    <w:rsid w:val="517A638F"/>
    <w:rsid w:val="517D19DC"/>
    <w:rsid w:val="517F4B6D"/>
    <w:rsid w:val="51837249"/>
    <w:rsid w:val="51894824"/>
    <w:rsid w:val="518E1E3B"/>
    <w:rsid w:val="518E5247"/>
    <w:rsid w:val="51907961"/>
    <w:rsid w:val="51911146"/>
    <w:rsid w:val="51965F7A"/>
    <w:rsid w:val="51AC406F"/>
    <w:rsid w:val="51AD0715"/>
    <w:rsid w:val="51C23892"/>
    <w:rsid w:val="51C25640"/>
    <w:rsid w:val="51C61EF0"/>
    <w:rsid w:val="51D33CF1"/>
    <w:rsid w:val="51D90D18"/>
    <w:rsid w:val="51DC0DF8"/>
    <w:rsid w:val="51DF2696"/>
    <w:rsid w:val="51EB2DE9"/>
    <w:rsid w:val="51F37EF0"/>
    <w:rsid w:val="51F56085"/>
    <w:rsid w:val="520E4867"/>
    <w:rsid w:val="5212481A"/>
    <w:rsid w:val="52224331"/>
    <w:rsid w:val="523C4C84"/>
    <w:rsid w:val="523E560F"/>
    <w:rsid w:val="52432C25"/>
    <w:rsid w:val="52462715"/>
    <w:rsid w:val="5250573F"/>
    <w:rsid w:val="52662470"/>
    <w:rsid w:val="5269409F"/>
    <w:rsid w:val="526B217C"/>
    <w:rsid w:val="52717A82"/>
    <w:rsid w:val="5277467D"/>
    <w:rsid w:val="5285608A"/>
    <w:rsid w:val="529E1C09"/>
    <w:rsid w:val="52A86F2C"/>
    <w:rsid w:val="52AF02BB"/>
    <w:rsid w:val="52BB2C6E"/>
    <w:rsid w:val="52BD47CC"/>
    <w:rsid w:val="52D1380A"/>
    <w:rsid w:val="52D7511B"/>
    <w:rsid w:val="52DE26D4"/>
    <w:rsid w:val="52EC6E19"/>
    <w:rsid w:val="52F263F9"/>
    <w:rsid w:val="52FA110A"/>
    <w:rsid w:val="5309309C"/>
    <w:rsid w:val="53114AD1"/>
    <w:rsid w:val="531445C2"/>
    <w:rsid w:val="53163E96"/>
    <w:rsid w:val="53195734"/>
    <w:rsid w:val="533614EF"/>
    <w:rsid w:val="53367BBE"/>
    <w:rsid w:val="533802B0"/>
    <w:rsid w:val="535B3F9E"/>
    <w:rsid w:val="53670B95"/>
    <w:rsid w:val="53690469"/>
    <w:rsid w:val="5370757D"/>
    <w:rsid w:val="53755060"/>
    <w:rsid w:val="53901E9A"/>
    <w:rsid w:val="53902C52"/>
    <w:rsid w:val="53982AFD"/>
    <w:rsid w:val="53994D64"/>
    <w:rsid w:val="539A4AC7"/>
    <w:rsid w:val="53A019B1"/>
    <w:rsid w:val="53AC3D0B"/>
    <w:rsid w:val="53AE40CE"/>
    <w:rsid w:val="53B84F4D"/>
    <w:rsid w:val="53BC2C8F"/>
    <w:rsid w:val="53D0673A"/>
    <w:rsid w:val="53D31D87"/>
    <w:rsid w:val="53D40BBE"/>
    <w:rsid w:val="53D77AC9"/>
    <w:rsid w:val="53D8114B"/>
    <w:rsid w:val="53D855EF"/>
    <w:rsid w:val="53E57E45"/>
    <w:rsid w:val="53ED611F"/>
    <w:rsid w:val="53F13E4D"/>
    <w:rsid w:val="53F8547B"/>
    <w:rsid w:val="540B1521"/>
    <w:rsid w:val="54125C8F"/>
    <w:rsid w:val="54194C9B"/>
    <w:rsid w:val="54214CFE"/>
    <w:rsid w:val="54283805"/>
    <w:rsid w:val="542D593B"/>
    <w:rsid w:val="54352A41"/>
    <w:rsid w:val="545729B8"/>
    <w:rsid w:val="54630865"/>
    <w:rsid w:val="54791626"/>
    <w:rsid w:val="547A66A6"/>
    <w:rsid w:val="54891BE5"/>
    <w:rsid w:val="548B08B3"/>
    <w:rsid w:val="54A05CD8"/>
    <w:rsid w:val="54C0055D"/>
    <w:rsid w:val="54CF69F2"/>
    <w:rsid w:val="54E75D9C"/>
    <w:rsid w:val="54EC5C1D"/>
    <w:rsid w:val="54F146CA"/>
    <w:rsid w:val="54FE4BE1"/>
    <w:rsid w:val="550147B4"/>
    <w:rsid w:val="550D5772"/>
    <w:rsid w:val="550F3292"/>
    <w:rsid w:val="55214D74"/>
    <w:rsid w:val="55284354"/>
    <w:rsid w:val="552A071D"/>
    <w:rsid w:val="552A3C28"/>
    <w:rsid w:val="554D0426"/>
    <w:rsid w:val="554D7EA9"/>
    <w:rsid w:val="554F368F"/>
    <w:rsid w:val="558570B1"/>
    <w:rsid w:val="558C61FC"/>
    <w:rsid w:val="5597186D"/>
    <w:rsid w:val="559F4E90"/>
    <w:rsid w:val="55AA1FCA"/>
    <w:rsid w:val="55B17114"/>
    <w:rsid w:val="55B300C2"/>
    <w:rsid w:val="55B83190"/>
    <w:rsid w:val="55B832A5"/>
    <w:rsid w:val="55BC6431"/>
    <w:rsid w:val="55BD1A84"/>
    <w:rsid w:val="55BD684B"/>
    <w:rsid w:val="55BF0815"/>
    <w:rsid w:val="55C218C7"/>
    <w:rsid w:val="55C6781D"/>
    <w:rsid w:val="55C67DF5"/>
    <w:rsid w:val="55DB3175"/>
    <w:rsid w:val="55EE4C56"/>
    <w:rsid w:val="55F073C4"/>
    <w:rsid w:val="55FB424E"/>
    <w:rsid w:val="55FB5A10"/>
    <w:rsid w:val="5609222E"/>
    <w:rsid w:val="561B7A15"/>
    <w:rsid w:val="561E2129"/>
    <w:rsid w:val="56332212"/>
    <w:rsid w:val="563D798B"/>
    <w:rsid w:val="564B02FA"/>
    <w:rsid w:val="5652342F"/>
    <w:rsid w:val="56596E8A"/>
    <w:rsid w:val="566118CC"/>
    <w:rsid w:val="56690780"/>
    <w:rsid w:val="56707D61"/>
    <w:rsid w:val="56954B14"/>
    <w:rsid w:val="56AF6ADB"/>
    <w:rsid w:val="56B23168"/>
    <w:rsid w:val="56B7231E"/>
    <w:rsid w:val="56BE6854"/>
    <w:rsid w:val="56CB2E43"/>
    <w:rsid w:val="56CE2186"/>
    <w:rsid w:val="56D227CA"/>
    <w:rsid w:val="56F37EBB"/>
    <w:rsid w:val="56F52014"/>
    <w:rsid w:val="56F86C0C"/>
    <w:rsid w:val="57016C0B"/>
    <w:rsid w:val="570D735E"/>
    <w:rsid w:val="5721105B"/>
    <w:rsid w:val="572C012C"/>
    <w:rsid w:val="57392C05"/>
    <w:rsid w:val="57452F9B"/>
    <w:rsid w:val="5748761D"/>
    <w:rsid w:val="574B1B98"/>
    <w:rsid w:val="575B631B"/>
    <w:rsid w:val="576C63A5"/>
    <w:rsid w:val="57770C7B"/>
    <w:rsid w:val="57822E43"/>
    <w:rsid w:val="579C170F"/>
    <w:rsid w:val="57A75A04"/>
    <w:rsid w:val="57BE4AFC"/>
    <w:rsid w:val="57BE68AA"/>
    <w:rsid w:val="57CE2F91"/>
    <w:rsid w:val="57D165DD"/>
    <w:rsid w:val="57E562DB"/>
    <w:rsid w:val="57E608E4"/>
    <w:rsid w:val="57EC1669"/>
    <w:rsid w:val="58034999"/>
    <w:rsid w:val="580701FE"/>
    <w:rsid w:val="580F20B3"/>
    <w:rsid w:val="58153E3B"/>
    <w:rsid w:val="5818420C"/>
    <w:rsid w:val="581875C8"/>
    <w:rsid w:val="58207565"/>
    <w:rsid w:val="583D0117"/>
    <w:rsid w:val="58487B76"/>
    <w:rsid w:val="584F3ADE"/>
    <w:rsid w:val="58567FF5"/>
    <w:rsid w:val="585711D8"/>
    <w:rsid w:val="585B59B3"/>
    <w:rsid w:val="58651163"/>
    <w:rsid w:val="586C4558"/>
    <w:rsid w:val="586E6522"/>
    <w:rsid w:val="5872283F"/>
    <w:rsid w:val="58953AAF"/>
    <w:rsid w:val="58A14202"/>
    <w:rsid w:val="58AD0DF8"/>
    <w:rsid w:val="58C44394"/>
    <w:rsid w:val="58C779E0"/>
    <w:rsid w:val="58C806BD"/>
    <w:rsid w:val="58C83E84"/>
    <w:rsid w:val="58D00F8B"/>
    <w:rsid w:val="58D72319"/>
    <w:rsid w:val="58D81BED"/>
    <w:rsid w:val="58D8399B"/>
    <w:rsid w:val="590429E2"/>
    <w:rsid w:val="590B5B1F"/>
    <w:rsid w:val="590E560F"/>
    <w:rsid w:val="590F3861"/>
    <w:rsid w:val="591E3AA4"/>
    <w:rsid w:val="593A6404"/>
    <w:rsid w:val="5954396A"/>
    <w:rsid w:val="59551F51"/>
    <w:rsid w:val="59570D64"/>
    <w:rsid w:val="595A102D"/>
    <w:rsid w:val="59636516"/>
    <w:rsid w:val="59A9354E"/>
    <w:rsid w:val="59AA0910"/>
    <w:rsid w:val="59AC10B0"/>
    <w:rsid w:val="59AD307A"/>
    <w:rsid w:val="59AF6DF2"/>
    <w:rsid w:val="59B3653F"/>
    <w:rsid w:val="59B63CDD"/>
    <w:rsid w:val="59BD0272"/>
    <w:rsid w:val="59BE5287"/>
    <w:rsid w:val="59C503C4"/>
    <w:rsid w:val="59C5498D"/>
    <w:rsid w:val="59C77C98"/>
    <w:rsid w:val="59D979CB"/>
    <w:rsid w:val="59E64D06"/>
    <w:rsid w:val="59F42A57"/>
    <w:rsid w:val="59FA62BF"/>
    <w:rsid w:val="5A0C2784"/>
    <w:rsid w:val="5A151968"/>
    <w:rsid w:val="5A1D1FAE"/>
    <w:rsid w:val="5A20275F"/>
    <w:rsid w:val="5A307F33"/>
    <w:rsid w:val="5A315A59"/>
    <w:rsid w:val="5A380B96"/>
    <w:rsid w:val="5A396851"/>
    <w:rsid w:val="5A4214BD"/>
    <w:rsid w:val="5A4237C2"/>
    <w:rsid w:val="5A492DA3"/>
    <w:rsid w:val="5A542191"/>
    <w:rsid w:val="5A5D23AA"/>
    <w:rsid w:val="5A5F4374"/>
    <w:rsid w:val="5A663955"/>
    <w:rsid w:val="5A6C083F"/>
    <w:rsid w:val="5A712845"/>
    <w:rsid w:val="5A73248C"/>
    <w:rsid w:val="5A752527"/>
    <w:rsid w:val="5A89525B"/>
    <w:rsid w:val="5A8C0301"/>
    <w:rsid w:val="5A9545B4"/>
    <w:rsid w:val="5A9B4775"/>
    <w:rsid w:val="5AA93841"/>
    <w:rsid w:val="5AB3021C"/>
    <w:rsid w:val="5AB32912"/>
    <w:rsid w:val="5ABA3CA0"/>
    <w:rsid w:val="5ACB3A9D"/>
    <w:rsid w:val="5ACE32A8"/>
    <w:rsid w:val="5ADF0276"/>
    <w:rsid w:val="5ADF7263"/>
    <w:rsid w:val="5AE66429"/>
    <w:rsid w:val="5AEE6011"/>
    <w:rsid w:val="5AF96577"/>
    <w:rsid w:val="5AFA22EF"/>
    <w:rsid w:val="5B0B3BA7"/>
    <w:rsid w:val="5B136F0D"/>
    <w:rsid w:val="5B172EA1"/>
    <w:rsid w:val="5B216584"/>
    <w:rsid w:val="5B2675A6"/>
    <w:rsid w:val="5B286E5C"/>
    <w:rsid w:val="5B401473"/>
    <w:rsid w:val="5B500161"/>
    <w:rsid w:val="5B5E462C"/>
    <w:rsid w:val="5B60597F"/>
    <w:rsid w:val="5B6836FC"/>
    <w:rsid w:val="5B687259"/>
    <w:rsid w:val="5B767BC7"/>
    <w:rsid w:val="5B7C28F6"/>
    <w:rsid w:val="5B8017A5"/>
    <w:rsid w:val="5B841BB9"/>
    <w:rsid w:val="5B85605C"/>
    <w:rsid w:val="5B9067AF"/>
    <w:rsid w:val="5B991B67"/>
    <w:rsid w:val="5B9938B6"/>
    <w:rsid w:val="5B9B5F6A"/>
    <w:rsid w:val="5BA30995"/>
    <w:rsid w:val="5BA91CDD"/>
    <w:rsid w:val="5BA967CE"/>
    <w:rsid w:val="5BAF4B99"/>
    <w:rsid w:val="5BB65A5B"/>
    <w:rsid w:val="5BCA255A"/>
    <w:rsid w:val="5BD14F4F"/>
    <w:rsid w:val="5BD448EE"/>
    <w:rsid w:val="5BDA2F4F"/>
    <w:rsid w:val="5BE10DB9"/>
    <w:rsid w:val="5C1100E2"/>
    <w:rsid w:val="5C14118E"/>
    <w:rsid w:val="5C1C30D9"/>
    <w:rsid w:val="5C306CC1"/>
    <w:rsid w:val="5C34538D"/>
    <w:rsid w:val="5C353E02"/>
    <w:rsid w:val="5C425CFC"/>
    <w:rsid w:val="5C62014C"/>
    <w:rsid w:val="5C643EC4"/>
    <w:rsid w:val="5C732359"/>
    <w:rsid w:val="5C7560D1"/>
    <w:rsid w:val="5C8C6F77"/>
    <w:rsid w:val="5CA2679A"/>
    <w:rsid w:val="5CAA564F"/>
    <w:rsid w:val="5CAE3391"/>
    <w:rsid w:val="5CC22998"/>
    <w:rsid w:val="5CC6692D"/>
    <w:rsid w:val="5CD10E2D"/>
    <w:rsid w:val="5CD43F0C"/>
    <w:rsid w:val="5CDA513B"/>
    <w:rsid w:val="5CDF79EE"/>
    <w:rsid w:val="5CE13766"/>
    <w:rsid w:val="5CE24DE9"/>
    <w:rsid w:val="5CEC5C67"/>
    <w:rsid w:val="5CEE3BDE"/>
    <w:rsid w:val="5CF46815"/>
    <w:rsid w:val="5D0D7411"/>
    <w:rsid w:val="5D1F7DEB"/>
    <w:rsid w:val="5D2925A5"/>
    <w:rsid w:val="5D2B2C34"/>
    <w:rsid w:val="5D2D69AC"/>
    <w:rsid w:val="5D320BD1"/>
    <w:rsid w:val="5D3E1472"/>
    <w:rsid w:val="5D443CF5"/>
    <w:rsid w:val="5D494E68"/>
    <w:rsid w:val="5D4B5084"/>
    <w:rsid w:val="5D4D6706"/>
    <w:rsid w:val="5D6121B1"/>
    <w:rsid w:val="5D6D4FFA"/>
    <w:rsid w:val="5D8D07A5"/>
    <w:rsid w:val="5D973E25"/>
    <w:rsid w:val="5D9E6F62"/>
    <w:rsid w:val="5DB24CC1"/>
    <w:rsid w:val="5DB30EF4"/>
    <w:rsid w:val="5DBB3FB7"/>
    <w:rsid w:val="5DD07337"/>
    <w:rsid w:val="5DDF24E1"/>
    <w:rsid w:val="5DE1209F"/>
    <w:rsid w:val="5DE74DAC"/>
    <w:rsid w:val="5E05370D"/>
    <w:rsid w:val="5E196F30"/>
    <w:rsid w:val="5E1C2FA1"/>
    <w:rsid w:val="5E290891"/>
    <w:rsid w:val="5E2F29E1"/>
    <w:rsid w:val="5E345B18"/>
    <w:rsid w:val="5E3F118B"/>
    <w:rsid w:val="5E40626B"/>
    <w:rsid w:val="5E471065"/>
    <w:rsid w:val="5E512226"/>
    <w:rsid w:val="5E7D301B"/>
    <w:rsid w:val="5E8425FB"/>
    <w:rsid w:val="5E875C48"/>
    <w:rsid w:val="5E9860A7"/>
    <w:rsid w:val="5EB01642"/>
    <w:rsid w:val="5EB153BA"/>
    <w:rsid w:val="5EB7537C"/>
    <w:rsid w:val="5EC073AC"/>
    <w:rsid w:val="5ECB7C71"/>
    <w:rsid w:val="5ED82947"/>
    <w:rsid w:val="5EDB5F93"/>
    <w:rsid w:val="5EE56CFB"/>
    <w:rsid w:val="5EE704D4"/>
    <w:rsid w:val="5EE94B54"/>
    <w:rsid w:val="5EEE3F40"/>
    <w:rsid w:val="5EF3340B"/>
    <w:rsid w:val="5F090279"/>
    <w:rsid w:val="5F1C6C3E"/>
    <w:rsid w:val="5F291BF8"/>
    <w:rsid w:val="5F3F6522"/>
    <w:rsid w:val="5F407CB8"/>
    <w:rsid w:val="5F4F0E5B"/>
    <w:rsid w:val="5F5024DD"/>
    <w:rsid w:val="5F5244A8"/>
    <w:rsid w:val="5F5432C2"/>
    <w:rsid w:val="5F593A88"/>
    <w:rsid w:val="5F5A7800"/>
    <w:rsid w:val="5F681F1D"/>
    <w:rsid w:val="5F6917F1"/>
    <w:rsid w:val="5F6D034A"/>
    <w:rsid w:val="5F70492E"/>
    <w:rsid w:val="5F881C77"/>
    <w:rsid w:val="5FA10F8B"/>
    <w:rsid w:val="5FAF2561"/>
    <w:rsid w:val="5FB707AE"/>
    <w:rsid w:val="5FB871A3"/>
    <w:rsid w:val="5FB94527"/>
    <w:rsid w:val="5FBB029F"/>
    <w:rsid w:val="5FBC4017"/>
    <w:rsid w:val="5FD973AF"/>
    <w:rsid w:val="5FDE4C4A"/>
    <w:rsid w:val="5FE122F1"/>
    <w:rsid w:val="5FEA0B84"/>
    <w:rsid w:val="5FF05A6E"/>
    <w:rsid w:val="5FFB4B3F"/>
    <w:rsid w:val="6008725C"/>
    <w:rsid w:val="60145C01"/>
    <w:rsid w:val="60213E7A"/>
    <w:rsid w:val="60285208"/>
    <w:rsid w:val="60367925"/>
    <w:rsid w:val="604162CA"/>
    <w:rsid w:val="6042451C"/>
    <w:rsid w:val="605006AE"/>
    <w:rsid w:val="6051174F"/>
    <w:rsid w:val="60546C19"/>
    <w:rsid w:val="60575AEE"/>
    <w:rsid w:val="606277F3"/>
    <w:rsid w:val="60681AA9"/>
    <w:rsid w:val="606A6400"/>
    <w:rsid w:val="606F3BE4"/>
    <w:rsid w:val="60716BAF"/>
    <w:rsid w:val="60A01243"/>
    <w:rsid w:val="60A24FBB"/>
    <w:rsid w:val="60B92304"/>
    <w:rsid w:val="60BD0047"/>
    <w:rsid w:val="60D13AF2"/>
    <w:rsid w:val="60DE69A3"/>
    <w:rsid w:val="60E5134B"/>
    <w:rsid w:val="60F65306"/>
    <w:rsid w:val="61085041"/>
    <w:rsid w:val="610E2650"/>
    <w:rsid w:val="61194AC9"/>
    <w:rsid w:val="61243528"/>
    <w:rsid w:val="612B4FB0"/>
    <w:rsid w:val="613025C6"/>
    <w:rsid w:val="61317E43"/>
    <w:rsid w:val="61343688"/>
    <w:rsid w:val="61453B98"/>
    <w:rsid w:val="614E55D5"/>
    <w:rsid w:val="615564D1"/>
    <w:rsid w:val="6162474A"/>
    <w:rsid w:val="61701B70"/>
    <w:rsid w:val="61802B7F"/>
    <w:rsid w:val="618E4E0C"/>
    <w:rsid w:val="61930DA7"/>
    <w:rsid w:val="619D5782"/>
    <w:rsid w:val="61B34FA6"/>
    <w:rsid w:val="61B65146"/>
    <w:rsid w:val="61C10559"/>
    <w:rsid w:val="61C251E9"/>
    <w:rsid w:val="61D14C04"/>
    <w:rsid w:val="61D74DAB"/>
    <w:rsid w:val="61DF479F"/>
    <w:rsid w:val="6208223B"/>
    <w:rsid w:val="62141EE8"/>
    <w:rsid w:val="62173786"/>
    <w:rsid w:val="621E68C3"/>
    <w:rsid w:val="62326269"/>
    <w:rsid w:val="624327CD"/>
    <w:rsid w:val="62441A49"/>
    <w:rsid w:val="624C1682"/>
    <w:rsid w:val="6255766C"/>
    <w:rsid w:val="62692723"/>
    <w:rsid w:val="627D5CDF"/>
    <w:rsid w:val="628A21AA"/>
    <w:rsid w:val="628D3A49"/>
    <w:rsid w:val="62B40FD5"/>
    <w:rsid w:val="62B66AFB"/>
    <w:rsid w:val="62B72874"/>
    <w:rsid w:val="62CF6070"/>
    <w:rsid w:val="62DD677E"/>
    <w:rsid w:val="62E30C28"/>
    <w:rsid w:val="62E33669"/>
    <w:rsid w:val="630267FE"/>
    <w:rsid w:val="630E0739"/>
    <w:rsid w:val="630F26B0"/>
    <w:rsid w:val="630F445E"/>
    <w:rsid w:val="6315416A"/>
    <w:rsid w:val="63242FCA"/>
    <w:rsid w:val="634D01E7"/>
    <w:rsid w:val="635D1565"/>
    <w:rsid w:val="63640C4D"/>
    <w:rsid w:val="637D17B0"/>
    <w:rsid w:val="638135AD"/>
    <w:rsid w:val="638702D0"/>
    <w:rsid w:val="63A06533"/>
    <w:rsid w:val="63AB687C"/>
    <w:rsid w:val="63B33763"/>
    <w:rsid w:val="63BA3DD1"/>
    <w:rsid w:val="63D538F9"/>
    <w:rsid w:val="63EE6769"/>
    <w:rsid w:val="63F20007"/>
    <w:rsid w:val="640126E8"/>
    <w:rsid w:val="64061D04"/>
    <w:rsid w:val="64260DC5"/>
    <w:rsid w:val="64410F8F"/>
    <w:rsid w:val="64433985"/>
    <w:rsid w:val="645760BC"/>
    <w:rsid w:val="64617B19"/>
    <w:rsid w:val="64682077"/>
    <w:rsid w:val="646B1B68"/>
    <w:rsid w:val="64735DE1"/>
    <w:rsid w:val="6484649B"/>
    <w:rsid w:val="6485208B"/>
    <w:rsid w:val="64872E45"/>
    <w:rsid w:val="64A910F2"/>
    <w:rsid w:val="64AE7D81"/>
    <w:rsid w:val="64B61035"/>
    <w:rsid w:val="64B90B25"/>
    <w:rsid w:val="64BA32FC"/>
    <w:rsid w:val="64C6746A"/>
    <w:rsid w:val="64E074CD"/>
    <w:rsid w:val="64EE4C72"/>
    <w:rsid w:val="64F34037"/>
    <w:rsid w:val="65247526"/>
    <w:rsid w:val="65272BBC"/>
    <w:rsid w:val="65350A3D"/>
    <w:rsid w:val="653A7BEF"/>
    <w:rsid w:val="65604F36"/>
    <w:rsid w:val="656B62C3"/>
    <w:rsid w:val="65717652"/>
    <w:rsid w:val="65752C9E"/>
    <w:rsid w:val="65B55B98"/>
    <w:rsid w:val="65C309CF"/>
    <w:rsid w:val="65D7571D"/>
    <w:rsid w:val="65E676F8"/>
    <w:rsid w:val="65F71A1C"/>
    <w:rsid w:val="65F938CF"/>
    <w:rsid w:val="660063B8"/>
    <w:rsid w:val="660336A7"/>
    <w:rsid w:val="660E2A96"/>
    <w:rsid w:val="66263F98"/>
    <w:rsid w:val="662C76D5"/>
    <w:rsid w:val="66326A3B"/>
    <w:rsid w:val="664542F5"/>
    <w:rsid w:val="664B5CBD"/>
    <w:rsid w:val="66544FA9"/>
    <w:rsid w:val="66630D48"/>
    <w:rsid w:val="66650F64"/>
    <w:rsid w:val="66726088"/>
    <w:rsid w:val="667473F9"/>
    <w:rsid w:val="66750643"/>
    <w:rsid w:val="66772A46"/>
    <w:rsid w:val="668402BE"/>
    <w:rsid w:val="668F5FE1"/>
    <w:rsid w:val="66A852F5"/>
    <w:rsid w:val="66AD6467"/>
    <w:rsid w:val="66B52C44"/>
    <w:rsid w:val="66B94E0C"/>
    <w:rsid w:val="66BC2B4E"/>
    <w:rsid w:val="66D00C73"/>
    <w:rsid w:val="66D44F02"/>
    <w:rsid w:val="66DC0AFB"/>
    <w:rsid w:val="66E16111"/>
    <w:rsid w:val="66EF6A80"/>
    <w:rsid w:val="67184229"/>
    <w:rsid w:val="672C7CD4"/>
    <w:rsid w:val="673B1CC5"/>
    <w:rsid w:val="6740552D"/>
    <w:rsid w:val="67580AC9"/>
    <w:rsid w:val="67650AF0"/>
    <w:rsid w:val="67655C7E"/>
    <w:rsid w:val="676E209B"/>
    <w:rsid w:val="6770710B"/>
    <w:rsid w:val="678C0773"/>
    <w:rsid w:val="6793565D"/>
    <w:rsid w:val="679E58B4"/>
    <w:rsid w:val="67CC5B90"/>
    <w:rsid w:val="67D363A2"/>
    <w:rsid w:val="67E039A8"/>
    <w:rsid w:val="67E1286C"/>
    <w:rsid w:val="67E67E83"/>
    <w:rsid w:val="67EA7719"/>
    <w:rsid w:val="67F00D02"/>
    <w:rsid w:val="67F3434E"/>
    <w:rsid w:val="68014CBD"/>
    <w:rsid w:val="68270191"/>
    <w:rsid w:val="682D5AB2"/>
    <w:rsid w:val="683055A2"/>
    <w:rsid w:val="68324D3D"/>
    <w:rsid w:val="68420E31"/>
    <w:rsid w:val="68444AE6"/>
    <w:rsid w:val="6848469A"/>
    <w:rsid w:val="684A6664"/>
    <w:rsid w:val="68556F94"/>
    <w:rsid w:val="685B5913"/>
    <w:rsid w:val="686750FF"/>
    <w:rsid w:val="68727968"/>
    <w:rsid w:val="687B16E7"/>
    <w:rsid w:val="68846605"/>
    <w:rsid w:val="688651C2"/>
    <w:rsid w:val="68877D84"/>
    <w:rsid w:val="688F22C8"/>
    <w:rsid w:val="68972F23"/>
    <w:rsid w:val="689F71A1"/>
    <w:rsid w:val="68D128E1"/>
    <w:rsid w:val="68D22223"/>
    <w:rsid w:val="68D7544E"/>
    <w:rsid w:val="68E02B24"/>
    <w:rsid w:val="68E24AEE"/>
    <w:rsid w:val="68E65C61"/>
    <w:rsid w:val="68EE5DFA"/>
    <w:rsid w:val="690031C6"/>
    <w:rsid w:val="690B0E8D"/>
    <w:rsid w:val="69124CA8"/>
    <w:rsid w:val="69146C72"/>
    <w:rsid w:val="691B590A"/>
    <w:rsid w:val="69205616"/>
    <w:rsid w:val="692F585A"/>
    <w:rsid w:val="693472C5"/>
    <w:rsid w:val="69382960"/>
    <w:rsid w:val="69443D68"/>
    <w:rsid w:val="69446A6A"/>
    <w:rsid w:val="6947549D"/>
    <w:rsid w:val="69482477"/>
    <w:rsid w:val="6965688D"/>
    <w:rsid w:val="696B7790"/>
    <w:rsid w:val="697A0640"/>
    <w:rsid w:val="697F058F"/>
    <w:rsid w:val="698B0439"/>
    <w:rsid w:val="6997376F"/>
    <w:rsid w:val="69A27DD9"/>
    <w:rsid w:val="69A73642"/>
    <w:rsid w:val="69C353A1"/>
    <w:rsid w:val="69CE5072"/>
    <w:rsid w:val="69DD52B6"/>
    <w:rsid w:val="69EE74C3"/>
    <w:rsid w:val="69F05502"/>
    <w:rsid w:val="69F36887"/>
    <w:rsid w:val="69F93C99"/>
    <w:rsid w:val="6A0148E8"/>
    <w:rsid w:val="6A023F96"/>
    <w:rsid w:val="6A116D0D"/>
    <w:rsid w:val="6A1A3E14"/>
    <w:rsid w:val="6A1D6E13"/>
    <w:rsid w:val="6A1E0CE9"/>
    <w:rsid w:val="6A371A6C"/>
    <w:rsid w:val="6A554E4C"/>
    <w:rsid w:val="6A5639FE"/>
    <w:rsid w:val="6A617C95"/>
    <w:rsid w:val="6A6432E1"/>
    <w:rsid w:val="6A6D78EA"/>
    <w:rsid w:val="6A6E4970"/>
    <w:rsid w:val="6A906113"/>
    <w:rsid w:val="6AAD3CB6"/>
    <w:rsid w:val="6AC45AFD"/>
    <w:rsid w:val="6ACB15B2"/>
    <w:rsid w:val="6AD466B8"/>
    <w:rsid w:val="6ADE3093"/>
    <w:rsid w:val="6AFB4C9B"/>
    <w:rsid w:val="6B016D82"/>
    <w:rsid w:val="6B105217"/>
    <w:rsid w:val="6B19231D"/>
    <w:rsid w:val="6B242D6E"/>
    <w:rsid w:val="6B252A70"/>
    <w:rsid w:val="6B362ECF"/>
    <w:rsid w:val="6B3E1D84"/>
    <w:rsid w:val="6B5B4B27"/>
    <w:rsid w:val="6B5E3E4E"/>
    <w:rsid w:val="6B637A3C"/>
    <w:rsid w:val="6B6A0DCB"/>
    <w:rsid w:val="6B7239BC"/>
    <w:rsid w:val="6B90613E"/>
    <w:rsid w:val="6B9320D0"/>
    <w:rsid w:val="6B950074"/>
    <w:rsid w:val="6BB63292"/>
    <w:rsid w:val="6BC475C1"/>
    <w:rsid w:val="6BC8789F"/>
    <w:rsid w:val="6BD53C28"/>
    <w:rsid w:val="6BF80185"/>
    <w:rsid w:val="6C557385"/>
    <w:rsid w:val="6C5D448C"/>
    <w:rsid w:val="6C8063D1"/>
    <w:rsid w:val="6C845EBC"/>
    <w:rsid w:val="6C904861"/>
    <w:rsid w:val="6C9C4FB4"/>
    <w:rsid w:val="6CA224CB"/>
    <w:rsid w:val="6CAC5654"/>
    <w:rsid w:val="6CB36512"/>
    <w:rsid w:val="6CCF5389"/>
    <w:rsid w:val="6CD406CA"/>
    <w:rsid w:val="6CDE55CC"/>
    <w:rsid w:val="6CDF7D62"/>
    <w:rsid w:val="6CED272F"/>
    <w:rsid w:val="6CF22E26"/>
    <w:rsid w:val="6CF7043C"/>
    <w:rsid w:val="6D061FBB"/>
    <w:rsid w:val="6D0D1A0E"/>
    <w:rsid w:val="6D2E1D04"/>
    <w:rsid w:val="6D311114"/>
    <w:rsid w:val="6D323B6A"/>
    <w:rsid w:val="6D341690"/>
    <w:rsid w:val="6D3E606B"/>
    <w:rsid w:val="6D464F20"/>
    <w:rsid w:val="6D67346A"/>
    <w:rsid w:val="6D681D9C"/>
    <w:rsid w:val="6D6D1F81"/>
    <w:rsid w:val="6D6D53D2"/>
    <w:rsid w:val="6D745F31"/>
    <w:rsid w:val="6D754AC6"/>
    <w:rsid w:val="6D88378A"/>
    <w:rsid w:val="6D893B8D"/>
    <w:rsid w:val="6D94435B"/>
    <w:rsid w:val="6DA57E98"/>
    <w:rsid w:val="6DAC1227"/>
    <w:rsid w:val="6DC45B71"/>
    <w:rsid w:val="6DE22E9A"/>
    <w:rsid w:val="6DE50BDD"/>
    <w:rsid w:val="6DF8446C"/>
    <w:rsid w:val="6DFB0400"/>
    <w:rsid w:val="6DFD5F26"/>
    <w:rsid w:val="6E080D5F"/>
    <w:rsid w:val="6E0E1EE1"/>
    <w:rsid w:val="6E1A0886"/>
    <w:rsid w:val="6E217E67"/>
    <w:rsid w:val="6E264F3A"/>
    <w:rsid w:val="6E280F9B"/>
    <w:rsid w:val="6E305C92"/>
    <w:rsid w:val="6E375BEF"/>
    <w:rsid w:val="6E386F5E"/>
    <w:rsid w:val="6E5673E4"/>
    <w:rsid w:val="6E607D9F"/>
    <w:rsid w:val="6E66587A"/>
    <w:rsid w:val="6E6A30F2"/>
    <w:rsid w:val="6E895A0C"/>
    <w:rsid w:val="6E8C72DB"/>
    <w:rsid w:val="6E8E6B7E"/>
    <w:rsid w:val="6E9F2B3A"/>
    <w:rsid w:val="6EA01AE0"/>
    <w:rsid w:val="6EA6036C"/>
    <w:rsid w:val="6EA63EC8"/>
    <w:rsid w:val="6EA840E4"/>
    <w:rsid w:val="6EA85703"/>
    <w:rsid w:val="6EAB7730"/>
    <w:rsid w:val="6EB011EB"/>
    <w:rsid w:val="6EBC7B8F"/>
    <w:rsid w:val="6EBE3907"/>
    <w:rsid w:val="6EBF4F8A"/>
    <w:rsid w:val="6ECE1671"/>
    <w:rsid w:val="6ED527B1"/>
    <w:rsid w:val="6EDC453B"/>
    <w:rsid w:val="6EE0585D"/>
    <w:rsid w:val="6EEA472F"/>
    <w:rsid w:val="6EEB5D7F"/>
    <w:rsid w:val="6EEE586F"/>
    <w:rsid w:val="6F03185F"/>
    <w:rsid w:val="6F046E40"/>
    <w:rsid w:val="6F0A22E9"/>
    <w:rsid w:val="6F1002EA"/>
    <w:rsid w:val="6F15104E"/>
    <w:rsid w:val="6F174DC6"/>
    <w:rsid w:val="6F2731B1"/>
    <w:rsid w:val="6F2C2531"/>
    <w:rsid w:val="6F2E6A91"/>
    <w:rsid w:val="6F35524C"/>
    <w:rsid w:val="6F50223E"/>
    <w:rsid w:val="6F5A4CB2"/>
    <w:rsid w:val="6F71097A"/>
    <w:rsid w:val="6F7246F2"/>
    <w:rsid w:val="6F742218"/>
    <w:rsid w:val="6F781078"/>
    <w:rsid w:val="6F800BBD"/>
    <w:rsid w:val="6F9804AE"/>
    <w:rsid w:val="6FA45984"/>
    <w:rsid w:val="6FB15FAA"/>
    <w:rsid w:val="6FC27E56"/>
    <w:rsid w:val="6FCC3E02"/>
    <w:rsid w:val="6FD138A5"/>
    <w:rsid w:val="6FD6388E"/>
    <w:rsid w:val="6FD9207B"/>
    <w:rsid w:val="6FE16C38"/>
    <w:rsid w:val="6FE3114C"/>
    <w:rsid w:val="70082CD6"/>
    <w:rsid w:val="7014565A"/>
    <w:rsid w:val="701557A9"/>
    <w:rsid w:val="701A67BB"/>
    <w:rsid w:val="701E3F32"/>
    <w:rsid w:val="702552C0"/>
    <w:rsid w:val="702B06A4"/>
    <w:rsid w:val="70381498"/>
    <w:rsid w:val="703E6382"/>
    <w:rsid w:val="70412C0D"/>
    <w:rsid w:val="70673B2B"/>
    <w:rsid w:val="707D50FC"/>
    <w:rsid w:val="708C6C14"/>
    <w:rsid w:val="70957F16"/>
    <w:rsid w:val="70AA1B14"/>
    <w:rsid w:val="70B12F2D"/>
    <w:rsid w:val="70B14DA6"/>
    <w:rsid w:val="70BC3E77"/>
    <w:rsid w:val="70C96594"/>
    <w:rsid w:val="70D311C0"/>
    <w:rsid w:val="70D50591"/>
    <w:rsid w:val="70D867D7"/>
    <w:rsid w:val="70DC70F1"/>
    <w:rsid w:val="70DE58F7"/>
    <w:rsid w:val="70E707C8"/>
    <w:rsid w:val="70EE7954"/>
    <w:rsid w:val="711315BD"/>
    <w:rsid w:val="711772FF"/>
    <w:rsid w:val="7121017E"/>
    <w:rsid w:val="71325EE7"/>
    <w:rsid w:val="713B12AA"/>
    <w:rsid w:val="714B6FA9"/>
    <w:rsid w:val="71566079"/>
    <w:rsid w:val="715776FB"/>
    <w:rsid w:val="71595467"/>
    <w:rsid w:val="715B513B"/>
    <w:rsid w:val="71625292"/>
    <w:rsid w:val="716562BC"/>
    <w:rsid w:val="717007BD"/>
    <w:rsid w:val="718D136F"/>
    <w:rsid w:val="71940950"/>
    <w:rsid w:val="71956476"/>
    <w:rsid w:val="719927D8"/>
    <w:rsid w:val="719F5BDF"/>
    <w:rsid w:val="71A96256"/>
    <w:rsid w:val="71B608C6"/>
    <w:rsid w:val="71D53F38"/>
    <w:rsid w:val="71DB20DB"/>
    <w:rsid w:val="71F15DA2"/>
    <w:rsid w:val="71F80EDE"/>
    <w:rsid w:val="71FB277D"/>
    <w:rsid w:val="71FB452B"/>
    <w:rsid w:val="72083412"/>
    <w:rsid w:val="720A6D06"/>
    <w:rsid w:val="720A6E64"/>
    <w:rsid w:val="72101EA0"/>
    <w:rsid w:val="72127391"/>
    <w:rsid w:val="721F290F"/>
    <w:rsid w:val="7231619E"/>
    <w:rsid w:val="72356ABA"/>
    <w:rsid w:val="7238752D"/>
    <w:rsid w:val="72425429"/>
    <w:rsid w:val="724C2FD8"/>
    <w:rsid w:val="727039DB"/>
    <w:rsid w:val="727E6F0A"/>
    <w:rsid w:val="72952BD1"/>
    <w:rsid w:val="72987FCC"/>
    <w:rsid w:val="729B683A"/>
    <w:rsid w:val="72A655D0"/>
    <w:rsid w:val="72AD1BC4"/>
    <w:rsid w:val="72B45437"/>
    <w:rsid w:val="72BF19FC"/>
    <w:rsid w:val="72C824B7"/>
    <w:rsid w:val="72CB7BBF"/>
    <w:rsid w:val="72E1326D"/>
    <w:rsid w:val="72F21DD2"/>
    <w:rsid w:val="72F22421"/>
    <w:rsid w:val="730A2A3B"/>
    <w:rsid w:val="730B2A78"/>
    <w:rsid w:val="731015F5"/>
    <w:rsid w:val="73164E6F"/>
    <w:rsid w:val="733C53D0"/>
    <w:rsid w:val="73714A19"/>
    <w:rsid w:val="737C5B3F"/>
    <w:rsid w:val="73DE001A"/>
    <w:rsid w:val="741713C4"/>
    <w:rsid w:val="74177CCE"/>
    <w:rsid w:val="742A7349"/>
    <w:rsid w:val="74387CB8"/>
    <w:rsid w:val="74404DBF"/>
    <w:rsid w:val="744C3764"/>
    <w:rsid w:val="7451581D"/>
    <w:rsid w:val="74573068"/>
    <w:rsid w:val="74583FD2"/>
    <w:rsid w:val="74634609"/>
    <w:rsid w:val="74736F42"/>
    <w:rsid w:val="747405C4"/>
    <w:rsid w:val="748922C2"/>
    <w:rsid w:val="74933140"/>
    <w:rsid w:val="74934EEE"/>
    <w:rsid w:val="749E5641"/>
    <w:rsid w:val="749F1AE5"/>
    <w:rsid w:val="74A215D5"/>
    <w:rsid w:val="74A25132"/>
    <w:rsid w:val="74FC6F38"/>
    <w:rsid w:val="74FD4A5E"/>
    <w:rsid w:val="75091655"/>
    <w:rsid w:val="750B0F29"/>
    <w:rsid w:val="751B333E"/>
    <w:rsid w:val="751F50FE"/>
    <w:rsid w:val="752244C4"/>
    <w:rsid w:val="752276AB"/>
    <w:rsid w:val="75241482"/>
    <w:rsid w:val="75297601"/>
    <w:rsid w:val="752B56BF"/>
    <w:rsid w:val="752D5343"/>
    <w:rsid w:val="75324707"/>
    <w:rsid w:val="753D2159"/>
    <w:rsid w:val="7544443B"/>
    <w:rsid w:val="75575F1C"/>
    <w:rsid w:val="7568637B"/>
    <w:rsid w:val="756C53F3"/>
    <w:rsid w:val="756E6876"/>
    <w:rsid w:val="756E770A"/>
    <w:rsid w:val="757B7762"/>
    <w:rsid w:val="75932CCC"/>
    <w:rsid w:val="75986535"/>
    <w:rsid w:val="75B25848"/>
    <w:rsid w:val="75B710B1"/>
    <w:rsid w:val="75B72C01"/>
    <w:rsid w:val="75BD3260"/>
    <w:rsid w:val="75FC6AC3"/>
    <w:rsid w:val="75FE0A8D"/>
    <w:rsid w:val="7601057E"/>
    <w:rsid w:val="76053BCA"/>
    <w:rsid w:val="76184F6F"/>
    <w:rsid w:val="761B163F"/>
    <w:rsid w:val="761D53B8"/>
    <w:rsid w:val="761E4C8C"/>
    <w:rsid w:val="76260831"/>
    <w:rsid w:val="762A1882"/>
    <w:rsid w:val="762D3121"/>
    <w:rsid w:val="76432944"/>
    <w:rsid w:val="76465F91"/>
    <w:rsid w:val="7652798C"/>
    <w:rsid w:val="76544B51"/>
    <w:rsid w:val="76592168"/>
    <w:rsid w:val="76733229"/>
    <w:rsid w:val="767C5EA8"/>
    <w:rsid w:val="767D7C04"/>
    <w:rsid w:val="768964B3"/>
    <w:rsid w:val="768A0573"/>
    <w:rsid w:val="76A809F9"/>
    <w:rsid w:val="76F31D5E"/>
    <w:rsid w:val="76F65C09"/>
    <w:rsid w:val="770245AD"/>
    <w:rsid w:val="77212C85"/>
    <w:rsid w:val="77244524"/>
    <w:rsid w:val="77253DF8"/>
    <w:rsid w:val="772627D3"/>
    <w:rsid w:val="77276B4F"/>
    <w:rsid w:val="772E4586"/>
    <w:rsid w:val="772E53A2"/>
    <w:rsid w:val="773724A9"/>
    <w:rsid w:val="7740193F"/>
    <w:rsid w:val="77456248"/>
    <w:rsid w:val="77462601"/>
    <w:rsid w:val="774E6549"/>
    <w:rsid w:val="775C3CBE"/>
    <w:rsid w:val="776963DA"/>
    <w:rsid w:val="777059BB"/>
    <w:rsid w:val="77781245"/>
    <w:rsid w:val="77950F7E"/>
    <w:rsid w:val="779B00F6"/>
    <w:rsid w:val="77A421F8"/>
    <w:rsid w:val="77A85155"/>
    <w:rsid w:val="77B04009"/>
    <w:rsid w:val="77C21617"/>
    <w:rsid w:val="77D71596"/>
    <w:rsid w:val="77EA751B"/>
    <w:rsid w:val="77FA7033"/>
    <w:rsid w:val="78047EB1"/>
    <w:rsid w:val="780B7492"/>
    <w:rsid w:val="78104469"/>
    <w:rsid w:val="78193C85"/>
    <w:rsid w:val="781A76D5"/>
    <w:rsid w:val="781E71C5"/>
    <w:rsid w:val="781F7ED4"/>
    <w:rsid w:val="782759FE"/>
    <w:rsid w:val="783B7D77"/>
    <w:rsid w:val="78404BD2"/>
    <w:rsid w:val="78415585"/>
    <w:rsid w:val="785475A5"/>
    <w:rsid w:val="78574485"/>
    <w:rsid w:val="785B1765"/>
    <w:rsid w:val="785B21C7"/>
    <w:rsid w:val="786F5C73"/>
    <w:rsid w:val="78770D01"/>
    <w:rsid w:val="788A485A"/>
    <w:rsid w:val="78947487"/>
    <w:rsid w:val="78B132D4"/>
    <w:rsid w:val="78C330AE"/>
    <w:rsid w:val="78C53FCC"/>
    <w:rsid w:val="78CF4963"/>
    <w:rsid w:val="78D36201"/>
    <w:rsid w:val="78DD0E2E"/>
    <w:rsid w:val="78E8332F"/>
    <w:rsid w:val="78EF2061"/>
    <w:rsid w:val="78F46178"/>
    <w:rsid w:val="78FF6FF6"/>
    <w:rsid w:val="79005504"/>
    <w:rsid w:val="79111194"/>
    <w:rsid w:val="792B7DEB"/>
    <w:rsid w:val="7931117A"/>
    <w:rsid w:val="793A1DDD"/>
    <w:rsid w:val="794013BD"/>
    <w:rsid w:val="7947274B"/>
    <w:rsid w:val="7952323A"/>
    <w:rsid w:val="795D1F6F"/>
    <w:rsid w:val="79646E59"/>
    <w:rsid w:val="79654980"/>
    <w:rsid w:val="79711576"/>
    <w:rsid w:val="797A599B"/>
    <w:rsid w:val="79825532"/>
    <w:rsid w:val="798425C0"/>
    <w:rsid w:val="79847296"/>
    <w:rsid w:val="798B4E63"/>
    <w:rsid w:val="799D6427"/>
    <w:rsid w:val="79A454A8"/>
    <w:rsid w:val="79AC43EE"/>
    <w:rsid w:val="79B772FD"/>
    <w:rsid w:val="79C30024"/>
    <w:rsid w:val="79D062A5"/>
    <w:rsid w:val="79DF4732"/>
    <w:rsid w:val="79ED3B58"/>
    <w:rsid w:val="7A1B68CA"/>
    <w:rsid w:val="7A1D510E"/>
    <w:rsid w:val="7A31012F"/>
    <w:rsid w:val="7A3D0221"/>
    <w:rsid w:val="7A48677B"/>
    <w:rsid w:val="7A4D5B40"/>
    <w:rsid w:val="7A5275FA"/>
    <w:rsid w:val="7A540C7C"/>
    <w:rsid w:val="7A603AC5"/>
    <w:rsid w:val="7A6D7F90"/>
    <w:rsid w:val="7A6F5AB6"/>
    <w:rsid w:val="7A7C3B51"/>
    <w:rsid w:val="7A862E00"/>
    <w:rsid w:val="7A877134"/>
    <w:rsid w:val="7A89335E"/>
    <w:rsid w:val="7A8B0D66"/>
    <w:rsid w:val="7A8D2BAF"/>
    <w:rsid w:val="7A995229"/>
    <w:rsid w:val="7A9B68AB"/>
    <w:rsid w:val="7AAB2866"/>
    <w:rsid w:val="7AAD65DE"/>
    <w:rsid w:val="7ABF5717"/>
    <w:rsid w:val="7AD210BE"/>
    <w:rsid w:val="7AD718AD"/>
    <w:rsid w:val="7AEE7323"/>
    <w:rsid w:val="7AFD42F9"/>
    <w:rsid w:val="7AFF29BB"/>
    <w:rsid w:val="7B0020A3"/>
    <w:rsid w:val="7B05641A"/>
    <w:rsid w:val="7B2E3E97"/>
    <w:rsid w:val="7B3452B4"/>
    <w:rsid w:val="7B365819"/>
    <w:rsid w:val="7B4F4C4B"/>
    <w:rsid w:val="7B6E0463"/>
    <w:rsid w:val="7B892BA7"/>
    <w:rsid w:val="7B8A242A"/>
    <w:rsid w:val="7B937ECA"/>
    <w:rsid w:val="7B9B28DB"/>
    <w:rsid w:val="7BB340C8"/>
    <w:rsid w:val="7BCB31C0"/>
    <w:rsid w:val="7BD86919"/>
    <w:rsid w:val="7BE10C35"/>
    <w:rsid w:val="7BE73D72"/>
    <w:rsid w:val="7BF24BF0"/>
    <w:rsid w:val="7BF70459"/>
    <w:rsid w:val="7BF76E5F"/>
    <w:rsid w:val="7BFB14A7"/>
    <w:rsid w:val="7C052D32"/>
    <w:rsid w:val="7C0E57A2"/>
    <w:rsid w:val="7C156B31"/>
    <w:rsid w:val="7C1A5EF5"/>
    <w:rsid w:val="7C1F52BA"/>
    <w:rsid w:val="7C2D3E7B"/>
    <w:rsid w:val="7C2F272F"/>
    <w:rsid w:val="7C321ED1"/>
    <w:rsid w:val="7C341655"/>
    <w:rsid w:val="7C3E1BE4"/>
    <w:rsid w:val="7C470D38"/>
    <w:rsid w:val="7C5E5DE2"/>
    <w:rsid w:val="7C69767B"/>
    <w:rsid w:val="7C7F3FAA"/>
    <w:rsid w:val="7C9A6573"/>
    <w:rsid w:val="7CA103C5"/>
    <w:rsid w:val="7CA47FDF"/>
    <w:rsid w:val="7CC32FEC"/>
    <w:rsid w:val="7CC42EB7"/>
    <w:rsid w:val="7CEF752C"/>
    <w:rsid w:val="7CF826BD"/>
    <w:rsid w:val="7D0A41BC"/>
    <w:rsid w:val="7D0E6086"/>
    <w:rsid w:val="7D124E1E"/>
    <w:rsid w:val="7D20753B"/>
    <w:rsid w:val="7D2937DA"/>
    <w:rsid w:val="7D2C5EE0"/>
    <w:rsid w:val="7D3D4B1D"/>
    <w:rsid w:val="7D5C7260"/>
    <w:rsid w:val="7D6B2EAC"/>
    <w:rsid w:val="7DE95B7F"/>
    <w:rsid w:val="7DF369FE"/>
    <w:rsid w:val="7E03190E"/>
    <w:rsid w:val="7E2412AD"/>
    <w:rsid w:val="7E2A06A9"/>
    <w:rsid w:val="7E2E5C88"/>
    <w:rsid w:val="7E6416AA"/>
    <w:rsid w:val="7E68119A"/>
    <w:rsid w:val="7E6D055E"/>
    <w:rsid w:val="7E715150"/>
    <w:rsid w:val="7E73175E"/>
    <w:rsid w:val="7E7E276B"/>
    <w:rsid w:val="7E7F64E4"/>
    <w:rsid w:val="7E867872"/>
    <w:rsid w:val="7E8B4E88"/>
    <w:rsid w:val="7E8C7B88"/>
    <w:rsid w:val="7E9B156F"/>
    <w:rsid w:val="7EBE717F"/>
    <w:rsid w:val="7ECB0FF7"/>
    <w:rsid w:val="7ECB797B"/>
    <w:rsid w:val="7ECD54A1"/>
    <w:rsid w:val="7ECF746B"/>
    <w:rsid w:val="7EE56A16"/>
    <w:rsid w:val="7F0D1DAE"/>
    <w:rsid w:val="7F1429BE"/>
    <w:rsid w:val="7F203823"/>
    <w:rsid w:val="7F272E03"/>
    <w:rsid w:val="7F403EC5"/>
    <w:rsid w:val="7F547A24"/>
    <w:rsid w:val="7F722CCF"/>
    <w:rsid w:val="7F78735C"/>
    <w:rsid w:val="7FAA57E2"/>
    <w:rsid w:val="7FAE0E2E"/>
    <w:rsid w:val="7FB14DC3"/>
    <w:rsid w:val="7FB91837"/>
    <w:rsid w:val="7FBD72C3"/>
    <w:rsid w:val="7FC9210C"/>
    <w:rsid w:val="7FCE7723"/>
    <w:rsid w:val="7FE231CE"/>
    <w:rsid w:val="7FE4532A"/>
    <w:rsid w:val="7FE63E57"/>
    <w:rsid w:val="7FFA7E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link w:val="40"/>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4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42"/>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43"/>
    <w:autoRedefine/>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44"/>
    <w:autoRedefine/>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45"/>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link w:val="46"/>
    <w:autoRedefine/>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47"/>
    <w:autoRedefine/>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qFormat/>
    <w:uiPriority w:val="0"/>
    <w:pPr>
      <w:ind w:left="420" w:leftChars="200"/>
    </w:pPr>
  </w:style>
  <w:style w:type="paragraph" w:styleId="12">
    <w:name w:val="Normal Indent"/>
    <w:basedOn w:val="1"/>
    <w:autoRedefine/>
    <w:qFormat/>
    <w:uiPriority w:val="0"/>
    <w:pPr>
      <w:ind w:firstLine="420" w:firstLineChars="200"/>
    </w:p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link w:val="56"/>
    <w:autoRedefine/>
    <w:qFormat/>
    <w:uiPriority w:val="0"/>
    <w:pPr>
      <w:jc w:val="left"/>
    </w:pPr>
  </w:style>
  <w:style w:type="paragraph" w:styleId="15">
    <w:name w:val="Body Text"/>
    <w:basedOn w:val="1"/>
    <w:autoRedefine/>
    <w:qFormat/>
    <w:uiPriority w:val="1"/>
    <w:rPr>
      <w:sz w:val="28"/>
      <w:szCs w:val="28"/>
    </w:rPr>
  </w:style>
  <w:style w:type="paragraph" w:styleId="16">
    <w:name w:val="Body Text Indent"/>
    <w:basedOn w:val="1"/>
    <w:next w:val="17"/>
    <w:link w:val="54"/>
    <w:autoRedefine/>
    <w:qFormat/>
    <w:uiPriority w:val="0"/>
    <w:pPr>
      <w:adjustRightInd w:val="0"/>
      <w:spacing w:after="120" w:line="360" w:lineRule="atLeast"/>
      <w:ind w:left="420" w:leftChars="200"/>
      <w:jc w:val="left"/>
      <w:textAlignment w:val="baseline"/>
    </w:pPr>
    <w:rPr>
      <w:kern w:val="0"/>
      <w:sz w:val="24"/>
      <w:szCs w:val="20"/>
    </w:rPr>
  </w:style>
  <w:style w:type="paragraph" w:styleId="17">
    <w:name w:val="envelope return"/>
    <w:basedOn w:val="1"/>
    <w:unhideWhenUsed/>
    <w:qFormat/>
    <w:uiPriority w:val="99"/>
    <w:pPr>
      <w:snapToGrid w:val="0"/>
    </w:pPr>
    <w:rPr>
      <w:rFonts w:ascii="Arial" w:hAnsi="Arial"/>
    </w:rPr>
  </w:style>
  <w:style w:type="paragraph" w:styleId="18">
    <w:name w:val="toc 3"/>
    <w:basedOn w:val="1"/>
    <w:next w:val="1"/>
    <w:autoRedefine/>
    <w:semiHidden/>
    <w:unhideWhenUsed/>
    <w:qFormat/>
    <w:uiPriority w:val="39"/>
    <w:pPr>
      <w:ind w:left="840" w:leftChars="400"/>
    </w:pPr>
  </w:style>
  <w:style w:type="paragraph" w:styleId="19">
    <w:name w:val="Plain Text"/>
    <w:basedOn w:val="1"/>
    <w:link w:val="50"/>
    <w:autoRedefine/>
    <w:qFormat/>
    <w:uiPriority w:val="0"/>
    <w:rPr>
      <w:rFonts w:ascii="宋体" w:hAnsi="Courier New"/>
      <w:szCs w:val="21"/>
    </w:rPr>
  </w:style>
  <w:style w:type="paragraph" w:styleId="20">
    <w:name w:val="Balloon Text"/>
    <w:basedOn w:val="1"/>
    <w:link w:val="58"/>
    <w:autoRedefine/>
    <w:qFormat/>
    <w:uiPriority w:val="0"/>
    <w:rPr>
      <w:sz w:val="18"/>
      <w:szCs w:val="18"/>
    </w:rPr>
  </w:style>
  <w:style w:type="paragraph" w:styleId="21">
    <w:name w:val="footer"/>
    <w:basedOn w:val="1"/>
    <w:next w:val="1"/>
    <w:link w:val="38"/>
    <w:autoRedefine/>
    <w:unhideWhenUsed/>
    <w:qFormat/>
    <w:uiPriority w:val="99"/>
    <w:pPr>
      <w:tabs>
        <w:tab w:val="center" w:pos="4153"/>
        <w:tab w:val="right" w:pos="8306"/>
      </w:tabs>
      <w:snapToGrid w:val="0"/>
      <w:jc w:val="left"/>
    </w:pPr>
    <w:rPr>
      <w:sz w:val="18"/>
      <w:szCs w:val="18"/>
    </w:rPr>
  </w:style>
  <w:style w:type="paragraph" w:styleId="22">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style>
  <w:style w:type="paragraph" w:styleId="24">
    <w:name w:val="toc 2"/>
    <w:basedOn w:val="1"/>
    <w:next w:val="1"/>
    <w:autoRedefine/>
    <w:qFormat/>
    <w:uiPriority w:val="39"/>
    <w:pPr>
      <w:ind w:left="420" w:leftChars="200"/>
    </w:pPr>
  </w:style>
  <w:style w:type="paragraph" w:styleId="25">
    <w:name w:val="Normal (Web)"/>
    <w:basedOn w:val="1"/>
    <w:next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6">
    <w:name w:val="annotation subject"/>
    <w:basedOn w:val="14"/>
    <w:next w:val="14"/>
    <w:link w:val="57"/>
    <w:autoRedefine/>
    <w:qFormat/>
    <w:uiPriority w:val="0"/>
    <w:rPr>
      <w:b/>
      <w:bCs/>
    </w:rPr>
  </w:style>
  <w:style w:type="paragraph" w:styleId="27">
    <w:name w:val="Body Text First Indent 2"/>
    <w:basedOn w:val="16"/>
    <w:next w:val="1"/>
    <w:qFormat/>
    <w:uiPriority w:val="0"/>
    <w:pPr>
      <w:spacing w:line="240" w:lineRule="auto"/>
      <w:ind w:firstLine="420" w:firstLineChars="200"/>
    </w:p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FollowedHyperlink"/>
    <w:autoRedefine/>
    <w:qFormat/>
    <w:uiPriority w:val="0"/>
    <w:rPr>
      <w:color w:val="800080"/>
      <w:u w:val="single"/>
    </w:rPr>
  </w:style>
  <w:style w:type="character" w:styleId="33">
    <w:name w:val="Hyperlink"/>
    <w:autoRedefine/>
    <w:unhideWhenUsed/>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Default"/>
    <w:basedOn w:val="1"/>
    <w:autoRedefine/>
    <w:qFormat/>
    <w:uiPriority w:val="0"/>
    <w:pPr>
      <w:autoSpaceDE w:val="0"/>
      <w:autoSpaceDN w:val="0"/>
      <w:adjustRightInd w:val="0"/>
      <w:jc w:val="left"/>
    </w:pPr>
    <w:rPr>
      <w:rFonts w:hint="eastAsia" w:ascii="......." w:hAnsi="Calibri" w:eastAsia="......."/>
      <w:color w:val="000000"/>
      <w:kern w:val="0"/>
      <w:sz w:val="24"/>
    </w:rPr>
  </w:style>
  <w:style w:type="paragraph" w:customStyle="1" w:styleId="36">
    <w:name w:val="No Spacing_ad81b47b-6779-4c76-b471-79375858c8cb"/>
    <w:basedOn w:val="1"/>
    <w:autoRedefine/>
    <w:qFormat/>
    <w:uiPriority w:val="0"/>
    <w:pPr>
      <w:ind w:firstLine="200" w:firstLineChars="200"/>
    </w:pPr>
  </w:style>
  <w:style w:type="character" w:customStyle="1" w:styleId="37">
    <w:name w:val="页眉 字符"/>
    <w:basedOn w:val="30"/>
    <w:link w:val="22"/>
    <w:autoRedefine/>
    <w:qFormat/>
    <w:uiPriority w:val="99"/>
    <w:rPr>
      <w:sz w:val="18"/>
      <w:szCs w:val="18"/>
    </w:rPr>
  </w:style>
  <w:style w:type="character" w:customStyle="1" w:styleId="38">
    <w:name w:val="页脚 字符"/>
    <w:basedOn w:val="30"/>
    <w:link w:val="21"/>
    <w:autoRedefine/>
    <w:qFormat/>
    <w:uiPriority w:val="99"/>
    <w:rPr>
      <w:sz w:val="18"/>
      <w:szCs w:val="18"/>
    </w:rPr>
  </w:style>
  <w:style w:type="character" w:customStyle="1" w:styleId="39">
    <w:name w:val="标题 1 字符"/>
    <w:basedOn w:val="30"/>
    <w:link w:val="2"/>
    <w:autoRedefine/>
    <w:qFormat/>
    <w:uiPriority w:val="0"/>
    <w:rPr>
      <w:rFonts w:ascii="Times New Roman" w:hAnsi="Times New Roman" w:eastAsia="宋体" w:cs="Times New Roman"/>
      <w:b/>
      <w:bCs/>
      <w:kern w:val="44"/>
      <w:sz w:val="44"/>
      <w:szCs w:val="44"/>
    </w:rPr>
  </w:style>
  <w:style w:type="character" w:customStyle="1" w:styleId="40">
    <w:name w:val="标题 2 字符"/>
    <w:basedOn w:val="30"/>
    <w:link w:val="3"/>
    <w:autoRedefine/>
    <w:qFormat/>
    <w:uiPriority w:val="0"/>
    <w:rPr>
      <w:rFonts w:ascii="Arial" w:hAnsi="Arial" w:eastAsia="黑体" w:cs="Times New Roman"/>
      <w:b/>
      <w:bCs/>
      <w:kern w:val="0"/>
      <w:sz w:val="32"/>
      <w:szCs w:val="32"/>
    </w:rPr>
  </w:style>
  <w:style w:type="character" w:customStyle="1" w:styleId="41">
    <w:name w:val="标题 3 字符"/>
    <w:basedOn w:val="30"/>
    <w:link w:val="4"/>
    <w:autoRedefine/>
    <w:qFormat/>
    <w:uiPriority w:val="0"/>
    <w:rPr>
      <w:rFonts w:ascii="Times New Roman" w:hAnsi="Times New Roman" w:eastAsia="宋体" w:cs="Times New Roman"/>
      <w:b/>
      <w:bCs/>
      <w:kern w:val="0"/>
      <w:sz w:val="32"/>
      <w:szCs w:val="32"/>
    </w:rPr>
  </w:style>
  <w:style w:type="character" w:customStyle="1" w:styleId="42">
    <w:name w:val="标题 4 字符"/>
    <w:basedOn w:val="30"/>
    <w:link w:val="5"/>
    <w:autoRedefine/>
    <w:qFormat/>
    <w:uiPriority w:val="0"/>
    <w:rPr>
      <w:rFonts w:ascii="Arial" w:hAnsi="Arial" w:eastAsia="黑体" w:cs="Times New Roman"/>
      <w:b/>
      <w:bCs/>
      <w:kern w:val="0"/>
      <w:sz w:val="28"/>
      <w:szCs w:val="28"/>
    </w:rPr>
  </w:style>
  <w:style w:type="character" w:customStyle="1" w:styleId="43">
    <w:name w:val="标题 5 字符"/>
    <w:basedOn w:val="30"/>
    <w:link w:val="6"/>
    <w:autoRedefine/>
    <w:qFormat/>
    <w:uiPriority w:val="0"/>
    <w:rPr>
      <w:rFonts w:ascii="Times New Roman" w:hAnsi="Times New Roman" w:eastAsia="宋体" w:cs="Times New Roman"/>
      <w:b/>
      <w:bCs/>
      <w:kern w:val="0"/>
      <w:sz w:val="28"/>
      <w:szCs w:val="28"/>
    </w:rPr>
  </w:style>
  <w:style w:type="character" w:customStyle="1" w:styleId="44">
    <w:name w:val="标题 6 字符"/>
    <w:basedOn w:val="30"/>
    <w:link w:val="7"/>
    <w:autoRedefine/>
    <w:qFormat/>
    <w:uiPriority w:val="0"/>
    <w:rPr>
      <w:rFonts w:ascii="Arial" w:hAnsi="Arial" w:eastAsia="黑体" w:cs="Times New Roman"/>
      <w:b/>
      <w:bCs/>
      <w:kern w:val="0"/>
      <w:sz w:val="24"/>
      <w:szCs w:val="24"/>
    </w:rPr>
  </w:style>
  <w:style w:type="character" w:customStyle="1" w:styleId="45">
    <w:name w:val="标题 7 字符"/>
    <w:basedOn w:val="30"/>
    <w:link w:val="8"/>
    <w:autoRedefine/>
    <w:qFormat/>
    <w:uiPriority w:val="0"/>
    <w:rPr>
      <w:rFonts w:ascii="Times New Roman" w:hAnsi="Times New Roman" w:eastAsia="宋体" w:cs="Times New Roman"/>
      <w:b/>
      <w:bCs/>
      <w:kern w:val="0"/>
      <w:sz w:val="24"/>
      <w:szCs w:val="24"/>
    </w:rPr>
  </w:style>
  <w:style w:type="character" w:customStyle="1" w:styleId="46">
    <w:name w:val="标题 8 字符"/>
    <w:basedOn w:val="30"/>
    <w:link w:val="9"/>
    <w:autoRedefine/>
    <w:qFormat/>
    <w:uiPriority w:val="0"/>
    <w:rPr>
      <w:rFonts w:ascii="Arial" w:hAnsi="Arial" w:eastAsia="黑体" w:cs="Times New Roman"/>
      <w:kern w:val="0"/>
      <w:sz w:val="24"/>
      <w:szCs w:val="24"/>
    </w:rPr>
  </w:style>
  <w:style w:type="character" w:customStyle="1" w:styleId="47">
    <w:name w:val="标题 9 字符"/>
    <w:basedOn w:val="30"/>
    <w:link w:val="10"/>
    <w:autoRedefine/>
    <w:qFormat/>
    <w:uiPriority w:val="0"/>
    <w:rPr>
      <w:rFonts w:ascii="Arial" w:hAnsi="Arial" w:eastAsia="黑体" w:cs="Times New Roman"/>
      <w:kern w:val="0"/>
      <w:szCs w:val="21"/>
    </w:rPr>
  </w:style>
  <w:style w:type="paragraph" w:customStyle="1" w:styleId="48">
    <w:name w:val="Char Char Char"/>
    <w:basedOn w:val="1"/>
    <w:autoRedefine/>
    <w:qFormat/>
    <w:uiPriority w:val="0"/>
    <w:rPr>
      <w:rFonts w:ascii="Tahoma" w:hAnsi="Tahoma"/>
      <w:sz w:val="24"/>
      <w:szCs w:val="20"/>
    </w:rPr>
  </w:style>
  <w:style w:type="paragraph" w:customStyle="1" w:styleId="49">
    <w:name w:val="样式 标题 1 + 四号 居中 段前: 12 磅 段后: 12 磅 行距: 单倍行距"/>
    <w:basedOn w:val="2"/>
    <w:autoRedefine/>
    <w:qFormat/>
    <w:uiPriority w:val="0"/>
    <w:pPr>
      <w:spacing w:before="240" w:after="240" w:line="240" w:lineRule="auto"/>
      <w:jc w:val="center"/>
    </w:pPr>
    <w:rPr>
      <w:rFonts w:cs="宋体"/>
      <w:sz w:val="28"/>
      <w:szCs w:val="20"/>
    </w:rPr>
  </w:style>
  <w:style w:type="character" w:customStyle="1" w:styleId="50">
    <w:name w:val="纯文本 字符"/>
    <w:basedOn w:val="30"/>
    <w:link w:val="19"/>
    <w:autoRedefine/>
    <w:qFormat/>
    <w:uiPriority w:val="0"/>
    <w:rPr>
      <w:rFonts w:ascii="宋体" w:hAnsi="Courier New" w:eastAsia="宋体" w:cs="Times New Roman"/>
      <w:szCs w:val="21"/>
    </w:rPr>
  </w:style>
  <w:style w:type="paragraph" w:customStyle="1" w:styleId="51">
    <w:name w:val="样式 标题 4 + 段前: 5 磅 段后: 5 磅 行距: 单倍行距"/>
    <w:basedOn w:val="5"/>
    <w:autoRedefine/>
    <w:qFormat/>
    <w:uiPriority w:val="0"/>
    <w:pPr>
      <w:numPr>
        <w:ilvl w:val="0"/>
        <w:numId w:val="0"/>
      </w:numPr>
      <w:tabs>
        <w:tab w:val="left" w:pos="2880"/>
      </w:tabs>
      <w:spacing w:before="100" w:after="100" w:line="240" w:lineRule="auto"/>
      <w:ind w:left="2880" w:hanging="720"/>
    </w:pPr>
    <w:rPr>
      <w:rFonts w:cs="宋体"/>
      <w:szCs w:val="20"/>
    </w:rPr>
  </w:style>
  <w:style w:type="paragraph" w:customStyle="1" w:styleId="52">
    <w:name w:val="样式 标题 3h3H3sect1.2.3 + 五号 段前: 6 磅 段后: 6 磅 行距: 单倍行距"/>
    <w:basedOn w:val="4"/>
    <w:autoRedefine/>
    <w:qFormat/>
    <w:uiPriority w:val="0"/>
    <w:pPr>
      <w:spacing w:before="120" w:after="120" w:line="240" w:lineRule="auto"/>
      <w:ind w:left="0"/>
    </w:pPr>
    <w:rPr>
      <w:sz w:val="21"/>
      <w:szCs w:val="20"/>
    </w:rPr>
  </w:style>
  <w:style w:type="paragraph" w:customStyle="1" w:styleId="53">
    <w:name w:val="样式1"/>
    <w:basedOn w:val="1"/>
    <w:next w:val="1"/>
    <w:autoRedefine/>
    <w:qFormat/>
    <w:uiPriority w:val="0"/>
    <w:pPr>
      <w:adjustRightInd w:val="0"/>
      <w:textAlignment w:val="baseline"/>
    </w:pPr>
    <w:rPr>
      <w:rFonts w:ascii="宋体" w:hAnsi="宋体"/>
      <w:kern w:val="0"/>
      <w:szCs w:val="21"/>
    </w:rPr>
  </w:style>
  <w:style w:type="character" w:customStyle="1" w:styleId="54">
    <w:name w:val="正文文本缩进 字符"/>
    <w:basedOn w:val="30"/>
    <w:link w:val="16"/>
    <w:autoRedefine/>
    <w:qFormat/>
    <w:uiPriority w:val="0"/>
    <w:rPr>
      <w:rFonts w:ascii="Times New Roman" w:hAnsi="Times New Roman" w:eastAsia="宋体" w:cs="Times New Roman"/>
      <w:kern w:val="0"/>
      <w:sz w:val="24"/>
      <w:szCs w:val="20"/>
    </w:rPr>
  </w:style>
  <w:style w:type="paragraph" w:styleId="55">
    <w:name w:val="List Paragraph"/>
    <w:basedOn w:val="1"/>
    <w:autoRedefine/>
    <w:qFormat/>
    <w:uiPriority w:val="34"/>
    <w:pPr>
      <w:ind w:firstLine="420" w:firstLineChars="200"/>
    </w:pPr>
    <w:rPr>
      <w:rFonts w:ascii="Calibri" w:hAnsi="Calibri"/>
      <w:szCs w:val="22"/>
    </w:rPr>
  </w:style>
  <w:style w:type="character" w:customStyle="1" w:styleId="56">
    <w:name w:val="批注文字 字符"/>
    <w:basedOn w:val="30"/>
    <w:link w:val="14"/>
    <w:autoRedefine/>
    <w:qFormat/>
    <w:uiPriority w:val="0"/>
    <w:rPr>
      <w:rFonts w:ascii="Times New Roman" w:hAnsi="Times New Roman" w:eastAsia="宋体" w:cs="Times New Roman"/>
      <w:szCs w:val="24"/>
    </w:rPr>
  </w:style>
  <w:style w:type="character" w:customStyle="1" w:styleId="57">
    <w:name w:val="批注主题 字符"/>
    <w:basedOn w:val="56"/>
    <w:link w:val="26"/>
    <w:autoRedefine/>
    <w:qFormat/>
    <w:uiPriority w:val="0"/>
    <w:rPr>
      <w:rFonts w:ascii="Times New Roman" w:hAnsi="Times New Roman" w:eastAsia="宋体" w:cs="Times New Roman"/>
      <w:b/>
      <w:bCs/>
      <w:szCs w:val="24"/>
    </w:rPr>
  </w:style>
  <w:style w:type="character" w:customStyle="1" w:styleId="58">
    <w:name w:val="批注框文本 字符"/>
    <w:basedOn w:val="30"/>
    <w:link w:val="20"/>
    <w:autoRedefine/>
    <w:qFormat/>
    <w:uiPriority w:val="0"/>
    <w:rPr>
      <w:rFonts w:ascii="Times New Roman" w:hAnsi="Times New Roman" w:eastAsia="宋体" w:cs="Times New Roman"/>
      <w:sz w:val="18"/>
      <w:szCs w:val="18"/>
    </w:rPr>
  </w:style>
  <w:style w:type="paragraph" w:customStyle="1" w:styleId="59">
    <w:name w:val="列出段落1"/>
    <w:basedOn w:val="1"/>
    <w:autoRedefine/>
    <w:qFormat/>
    <w:uiPriority w:val="0"/>
    <w:pPr>
      <w:ind w:firstLine="420" w:firstLineChars="200"/>
    </w:pPr>
    <w:rPr>
      <w:rFonts w:ascii="Calibri" w:hAnsi="Calibri"/>
      <w:szCs w:val="21"/>
    </w:rPr>
  </w:style>
  <w:style w:type="character" w:customStyle="1" w:styleId="60">
    <w:name w:val="15"/>
    <w:basedOn w:val="30"/>
    <w:autoRedefine/>
    <w:qFormat/>
    <w:uiPriority w:val="0"/>
    <w:rPr>
      <w:rFonts w:hint="default" w:ascii="Times New Roman" w:hAnsi="Times New Roman" w:cs="Times New Roman"/>
      <w:b/>
      <w:bCs/>
    </w:rPr>
  </w:style>
  <w:style w:type="character" w:customStyle="1" w:styleId="61">
    <w:name w:val="页眉 Char"/>
    <w:basedOn w:val="30"/>
    <w:autoRedefine/>
    <w:qFormat/>
    <w:uiPriority w:val="0"/>
    <w:rPr>
      <w:sz w:val="18"/>
      <w:szCs w:val="18"/>
    </w:rPr>
  </w:style>
  <w:style w:type="character" w:customStyle="1" w:styleId="62">
    <w:name w:val="纯文本 Char"/>
    <w:basedOn w:val="30"/>
    <w:autoRedefine/>
    <w:qFormat/>
    <w:uiPriority w:val="0"/>
    <w:rPr>
      <w:rFonts w:hint="eastAsia" w:ascii="宋体" w:hAnsi="Courier New" w:eastAsia="宋体" w:cs="宋体"/>
      <w:kern w:val="2"/>
      <w:sz w:val="21"/>
      <w:szCs w:val="21"/>
    </w:rPr>
  </w:style>
  <w:style w:type="paragraph" w:customStyle="1" w:styleId="63">
    <w:name w:val="Body Text 21"/>
    <w:basedOn w:val="1"/>
    <w:autoRedefine/>
    <w:qFormat/>
    <w:uiPriority w:val="0"/>
    <w:pPr>
      <w:spacing w:line="480" w:lineRule="auto"/>
    </w:pPr>
    <w:rPr>
      <w:sz w:val="20"/>
    </w:rPr>
  </w:style>
  <w:style w:type="character" w:customStyle="1" w:styleId="64">
    <w:name w:val="font31"/>
    <w:basedOn w:val="30"/>
    <w:autoRedefine/>
    <w:qFormat/>
    <w:uiPriority w:val="0"/>
    <w:rPr>
      <w:rFonts w:hint="eastAsia" w:ascii="宋体" w:hAnsi="宋体" w:eastAsia="宋体" w:cs="宋体"/>
      <w:color w:val="000000"/>
      <w:sz w:val="20"/>
      <w:szCs w:val="20"/>
      <w:u w:val="none"/>
    </w:rPr>
  </w:style>
  <w:style w:type="character" w:customStyle="1" w:styleId="65">
    <w:name w:val="font101"/>
    <w:basedOn w:val="30"/>
    <w:autoRedefine/>
    <w:qFormat/>
    <w:uiPriority w:val="0"/>
    <w:rPr>
      <w:rFonts w:ascii="微软雅黑" w:hAnsi="微软雅黑" w:eastAsia="微软雅黑" w:cs="微软雅黑"/>
      <w:color w:val="000000"/>
      <w:sz w:val="20"/>
      <w:szCs w:val="20"/>
      <w:u w:val="none"/>
    </w:rPr>
  </w:style>
  <w:style w:type="character" w:customStyle="1" w:styleId="66">
    <w:name w:val="font01"/>
    <w:basedOn w:val="30"/>
    <w:qFormat/>
    <w:uiPriority w:val="0"/>
    <w:rPr>
      <w:rFonts w:hint="eastAsia" w:ascii="宋体" w:hAnsi="宋体" w:eastAsia="宋体" w:cs="宋体"/>
      <w:color w:val="000000"/>
      <w:sz w:val="22"/>
      <w:szCs w:val="22"/>
      <w:u w:val="none"/>
    </w:rPr>
  </w:style>
  <w:style w:type="paragraph" w:customStyle="1" w:styleId="67">
    <w:name w:val="unnamed1"/>
    <w:basedOn w:val="1"/>
    <w:qFormat/>
    <w:uiPriority w:val="0"/>
    <w:pPr>
      <w:widowControl/>
      <w:spacing w:before="100" w:beforeAutospacing="1" w:after="100" w:afterAutospacing="1" w:line="288" w:lineRule="auto"/>
      <w:jc w:val="left"/>
    </w:pPr>
    <w:rPr>
      <w:rFonts w:hint="eastAsia" w:ascii="宋体" w:hAnsi="宋体"/>
      <w:kern w:val="0"/>
      <w:szCs w:val="21"/>
    </w:rPr>
  </w:style>
  <w:style w:type="character" w:customStyle="1" w:styleId="68">
    <w:name w:val="unnamed11"/>
    <w:basedOn w:val="30"/>
    <w:qFormat/>
    <w:uiPriority w:val="0"/>
    <w:rPr>
      <w:rFonts w:hint="eastAsia" w:ascii="宋体" w:hAnsi="宋体" w:eastAsia="宋体"/>
      <w:sz w:val="21"/>
      <w:szCs w:val="21"/>
    </w:rPr>
  </w:style>
  <w:style w:type="paragraph" w:customStyle="1" w:styleId="69">
    <w:name w:val="Table Text"/>
    <w:basedOn w:val="1"/>
    <w:semiHidden/>
    <w:qFormat/>
    <w:uiPriority w:val="0"/>
    <w:rPr>
      <w:rFonts w:ascii="宋体" w:hAnsi="宋体" w:cs="宋体"/>
      <w:sz w:val="23"/>
      <w:szCs w:val="23"/>
      <w:lang w:eastAsia="en-US"/>
    </w:rPr>
  </w:style>
  <w:style w:type="paragraph" w:customStyle="1" w:styleId="70">
    <w:name w:val="样式 正文首行缩进 2 + Arial"/>
    <w:basedOn w:val="1"/>
    <w:next w:val="1"/>
    <w:autoRedefine/>
    <w:qFormat/>
    <w:uiPriority w:val="0"/>
    <w:pPr>
      <w:spacing w:after="120" w:line="320" w:lineRule="atLeast"/>
      <w:ind w:firstLine="200"/>
    </w:pPr>
    <w:rPr>
      <w:rFonts w:ascii="Arial" w:hAnsi="Arial"/>
      <w:kern w:val="0"/>
    </w:rPr>
  </w:style>
  <w:style w:type="character" w:customStyle="1" w:styleId="71">
    <w:name w:val="font11"/>
    <w:basedOn w:val="30"/>
    <w:qFormat/>
    <w:uiPriority w:val="0"/>
    <w:rPr>
      <w:rFonts w:hint="eastAsia" w:ascii="华文中宋" w:hAnsi="华文中宋" w:eastAsia="华文中宋" w:cs="华文中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82</Pages>
  <Words>1812</Words>
  <Characters>1977</Characters>
  <Lines>277</Lines>
  <Paragraphs>78</Paragraphs>
  <TotalTime>5</TotalTime>
  <ScaleCrop>false</ScaleCrop>
  <LinksUpToDate>false</LinksUpToDate>
  <CharactersWithSpaces>2058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2018-05-18T03:14:00Z</dcterms:created>
  <dc:creator>lizhe</dc:creator>
  <cp:lastModifiedBy>微信用户</cp:lastModifiedBy>
  <cp:lastPrinted>2022-10-08T07:54:00Z</cp:lastPrinted>
  <dcterms:modified xsi:type="dcterms:W3CDTF">2025-07-18T09:31:24Z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E8144F0C19DA437D8BB9422E43EE8493_13</vt:lpwstr>
  </property>
  <property fmtid="{D5CDD505-2E9C-101B-9397-08002B2CF9AE}" pid="4" name="KSOTemplateDocerSaveRecord">
    <vt:lpwstr>eyJoZGlkIjoiNmE3MjUzNmU0ZGE5MDVhMmMxOWFlOGNlYjg4NTZhOWEiLCJ1c2VySWQiOiIxMjc0NjQ1NzEyIn0=</vt:lpwstr>
  </property>
</Properties>
</file>