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C209">
      <w:pPr>
        <w:jc w:val="center"/>
        <w:rPr>
          <w:rFonts w:hint="eastAsia"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lang w:val="en-US" w:eastAsia="zh-CN"/>
        </w:rPr>
        <w:t>贵阳市公安交通管理局采购应急通信装备项目需求公示</w:t>
      </w:r>
    </w:p>
    <w:p w14:paraId="650079DF">
      <w:pPr>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附件：</w:t>
      </w:r>
    </w:p>
    <w:p w14:paraId="1CE8B9EB">
      <w:pPr>
        <w:pStyle w:val="3"/>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一、</w:t>
      </w:r>
      <w:r>
        <w:rPr>
          <w:rFonts w:hint="eastAsia" w:asciiTheme="minorEastAsia" w:hAnsiTheme="minorEastAsia" w:eastAsiaTheme="minorEastAsia" w:cstheme="minorEastAsia"/>
          <w:color w:val="auto"/>
          <w:sz w:val="30"/>
          <w:szCs w:val="30"/>
          <w:highlight w:val="none"/>
        </w:rPr>
        <w:t>供应商资格条件</w:t>
      </w:r>
    </w:p>
    <w:p w14:paraId="2D175F90">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本品目供应商资格条件要求如下：</w:t>
      </w:r>
    </w:p>
    <w:p w14:paraId="26AE4533">
      <w:pPr>
        <w:spacing w:line="360" w:lineRule="auto"/>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符合政府采购法第二十二条规定，提供政府采购法实施条例第十七条规定资料。</w:t>
      </w:r>
    </w:p>
    <w:p w14:paraId="32CBB968">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1.具有独立承担民事责任的能力：</w:t>
      </w:r>
    </w:p>
    <w:p w14:paraId="7E1C6DA1">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供应商须提供法人或其他组织的营业执照或证明文件，或自然人身份证明。（复印件加盖供应商单位公章（电子印章））</w:t>
      </w:r>
      <w:r>
        <w:rPr>
          <w:rFonts w:hint="eastAsia" w:asciiTheme="minorEastAsia" w:hAnsiTheme="minorEastAsia" w:eastAsiaTheme="minorEastAsia" w:cstheme="minorEastAsia"/>
          <w:color w:val="auto"/>
          <w:highlight w:val="none"/>
          <w:lang w:eastAsia="zh-CN"/>
        </w:rPr>
        <w:t>；</w:t>
      </w:r>
    </w:p>
    <w:p w14:paraId="55C48C89">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2.具有良好的商业信誉和健全的财务会计制度：</w:t>
      </w:r>
    </w:p>
    <w:p w14:paraId="44CBFFFE">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供应商须提供2023年度或2024年度经会计师事务所审计出具的财务审计报告（含审计报告、资产负债表、利润表、现金流量表和财务报表附注）（复印件加盖供应商单位公章（电子印章）），并附会计师事务所营业执照、执业证书复印件；新成立不满一年（2024年0</w:t>
      </w:r>
      <w:r>
        <w:rPr>
          <w:rFonts w:hint="eastAsia" w:asciiTheme="minorEastAsia" w:hAnsi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val="en-US" w:eastAsia="zh-CN"/>
        </w:rPr>
        <w:t>月至投标截止时间止）的供应商提供基本开户银行出具的资信证明</w:t>
      </w:r>
      <w:r>
        <w:rPr>
          <w:rFonts w:hint="eastAsia" w:asciiTheme="minorEastAsia" w:hAnsiTheme="minorEastAsia" w:eastAsiaTheme="minorEastAsia" w:cstheme="minorEastAsia"/>
          <w:color w:val="auto"/>
          <w:highlight w:val="none"/>
          <w:lang w:eastAsia="zh-CN"/>
        </w:rPr>
        <w:t>；</w:t>
      </w:r>
    </w:p>
    <w:p w14:paraId="70E4B468">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具有履行合同所必需的设备和专业技术能力的书面声明：</w:t>
      </w:r>
    </w:p>
    <w:p w14:paraId="46F0E068">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供应商须提供履行合同所必需的设备和专业技术能力的承诺函（格式自拟，加盖供应商单位公章（电子印章））</w:t>
      </w:r>
      <w:r>
        <w:rPr>
          <w:rFonts w:hint="eastAsia" w:asciiTheme="minorEastAsia" w:hAnsiTheme="minorEastAsia" w:eastAsiaTheme="minorEastAsia" w:cstheme="minorEastAsia"/>
          <w:color w:val="auto"/>
          <w:highlight w:val="none"/>
          <w:lang w:eastAsia="zh-CN"/>
        </w:rPr>
        <w:t>；</w:t>
      </w:r>
    </w:p>
    <w:p w14:paraId="4BAE71CA">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4.具有依法缴纳税收和社会保障资金的良好记录：</w:t>
      </w:r>
    </w:p>
    <w:p w14:paraId="1DD8CA07">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供应商须提供2025年01月至投标截止时间止任意一个月依法缴纳的税收和社会保障资金缴纳凭证（复印件加盖供应商公章（电子印章））；新成立不满1个月（2025年0</w:t>
      </w:r>
      <w:r>
        <w:rPr>
          <w:rFonts w:hint="eastAsia" w:asciiTheme="minorEastAsia" w:hAnsiTheme="minorEastAsia" w:cstheme="minorEastAsia"/>
          <w:color w:val="auto"/>
          <w:highlight w:val="none"/>
          <w:lang w:val="en-US" w:eastAsia="zh-CN"/>
        </w:rPr>
        <w:t>6</w:t>
      </w:r>
      <w:bookmarkStart w:id="32" w:name="_GoBack"/>
      <w:bookmarkEnd w:id="32"/>
      <w:r>
        <w:rPr>
          <w:rFonts w:hint="eastAsia" w:asciiTheme="minorEastAsia" w:hAnsiTheme="minorEastAsia" w:eastAsiaTheme="minorEastAsia" w:cstheme="minorEastAsia"/>
          <w:color w:val="auto"/>
          <w:highlight w:val="none"/>
          <w:lang w:val="en-US" w:eastAsia="zh-CN"/>
        </w:rPr>
        <w:t>月至投标截止时间止）的供应商提供无一个月依法缴纳税收和社会保障资金缴纳凭证的书面说明（格式自拟，加盖供应商单位公章（电子印章））</w:t>
      </w:r>
      <w:r>
        <w:rPr>
          <w:rFonts w:hint="eastAsia" w:asciiTheme="minorEastAsia" w:hAnsiTheme="minorEastAsia" w:eastAsiaTheme="minorEastAsia" w:cstheme="minorEastAsia"/>
          <w:color w:val="auto"/>
          <w:highlight w:val="none"/>
          <w:lang w:eastAsia="zh-CN"/>
        </w:rPr>
        <w:t>。</w:t>
      </w:r>
    </w:p>
    <w:p w14:paraId="3223280F">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参加本次政府采购活动前三年内，在经营活动中没有违法违规记录：</w:t>
      </w:r>
    </w:p>
    <w:p w14:paraId="733B1A41">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供应商须提供参加政府采购活动前3年内在经营活动中没有重大违法记录的书面声明（格式文件详见相关文件范本）</w:t>
      </w:r>
      <w:r>
        <w:rPr>
          <w:rFonts w:hint="eastAsia" w:asciiTheme="minorEastAsia" w:hAnsiTheme="minorEastAsia" w:eastAsiaTheme="minorEastAsia" w:cstheme="minorEastAsia"/>
          <w:color w:val="auto"/>
          <w:highlight w:val="none"/>
          <w:lang w:eastAsia="zh-CN"/>
        </w:rPr>
        <w:t>。</w:t>
      </w:r>
    </w:p>
    <w:p w14:paraId="40F42215">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法律、行政法规和国家有关规定的其他条件：</w:t>
      </w:r>
    </w:p>
    <w:p w14:paraId="02CC0BFB">
      <w:pPr>
        <w:spacing w:line="360" w:lineRule="auto"/>
        <w:ind w:left="42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6610445D">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143C7EF5">
      <w:pPr>
        <w:spacing w:line="360" w:lineRule="auto"/>
        <w:ind w:left="4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本项目所需特殊行业资质或要求</w:t>
      </w:r>
      <w:r>
        <w:rPr>
          <w:rFonts w:hint="eastAsia" w:asciiTheme="minorEastAsia" w:hAnsiTheme="minorEastAsia" w:eastAsiaTheme="minorEastAsia" w:cstheme="minorEastAsia"/>
          <w:color w:val="auto"/>
          <w:highlight w:val="none"/>
          <w:lang w:eastAsia="zh-CN"/>
        </w:rPr>
        <w:t>。</w:t>
      </w:r>
    </w:p>
    <w:p w14:paraId="548FD9EA">
      <w:pPr>
        <w:spacing w:line="360" w:lineRule="auto"/>
        <w:ind w:left="42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无。</w:t>
      </w:r>
    </w:p>
    <w:p w14:paraId="32C99EEC">
      <w:pPr>
        <w:spacing w:line="360" w:lineRule="auto"/>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本品目</w:t>
      </w:r>
      <w:bookmarkStart w:id="0" w:name="EB5f60945ec7bf4ae6b517bb8a6cf9eb37"/>
      <w:r>
        <w:rPr>
          <w:rFonts w:hint="eastAsia" w:asciiTheme="minorEastAsia" w:hAnsiTheme="minorEastAsia" w:eastAsiaTheme="minorEastAsia" w:cstheme="minorEastAsia"/>
          <w:color w:val="auto"/>
          <w:highlight w:val="none"/>
        </w:rPr>
        <w:t>□</w:t>
      </w:r>
      <w:bookmarkEnd w:id="0"/>
      <w:r>
        <w:rPr>
          <w:rFonts w:hint="eastAsia" w:asciiTheme="minorEastAsia" w:hAnsiTheme="minorEastAsia" w:eastAsiaTheme="minorEastAsia" w:cstheme="minorEastAsia"/>
          <w:color w:val="auto"/>
          <w:highlight w:val="none"/>
        </w:rPr>
        <w:t>接受</w:t>
      </w:r>
      <w:bookmarkStart w:id="1" w:name="EBf69838997a7c4ea1b5f1393259687139"/>
      <w:r>
        <w:rPr>
          <w:rFonts w:hint="eastAsia" w:asciiTheme="minorEastAsia" w:hAnsiTheme="minorEastAsia" w:eastAsiaTheme="minorEastAsia" w:cstheme="minorEastAsia"/>
          <w:color w:val="auto"/>
          <w:highlight w:val="none"/>
        </w:rPr>
        <w:t>☑</w:t>
      </w:r>
      <w:bookmarkEnd w:id="1"/>
      <w:r>
        <w:rPr>
          <w:rFonts w:hint="eastAsia" w:asciiTheme="minorEastAsia" w:hAnsiTheme="minorEastAsia" w:eastAsiaTheme="minorEastAsia" w:cstheme="minorEastAsia"/>
          <w:color w:val="auto"/>
          <w:highlight w:val="none"/>
        </w:rPr>
        <w:t>不接受 联合体投标（</w:t>
      </w:r>
      <w:bookmarkStart w:id="2" w:name="EB991e3ba8f35541baa94580b6d4581b40"/>
      <w:r>
        <w:rPr>
          <w:rFonts w:hint="eastAsia" w:asciiTheme="minorEastAsia" w:hAnsiTheme="minorEastAsia" w:eastAsiaTheme="minorEastAsia" w:cstheme="minorEastAsia"/>
          <w:color w:val="auto"/>
          <w:highlight w:val="none"/>
        </w:rPr>
        <w:t>可在括号中进行补充说明</w:t>
      </w:r>
      <w:bookmarkEnd w:id="2"/>
      <w:r>
        <w:rPr>
          <w:rFonts w:hint="eastAsia" w:asciiTheme="minorEastAsia" w:hAnsiTheme="minorEastAsia" w:eastAsiaTheme="minorEastAsia" w:cstheme="minorEastAsia"/>
          <w:color w:val="auto"/>
          <w:highlight w:val="none"/>
        </w:rPr>
        <w:t>）</w:t>
      </w:r>
    </w:p>
    <w:p w14:paraId="56D7FA75">
      <w:pPr>
        <w:spacing w:line="360" w:lineRule="auto"/>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本品目</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是</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否 专门面向中小微企业采购。（</w:t>
      </w:r>
      <w:r>
        <w:rPr>
          <w:rFonts w:hint="eastAsia" w:asciiTheme="minorEastAsia" w:hAnsiTheme="minorEastAsia" w:eastAsiaTheme="minorEastAsia" w:cstheme="minorEastAsia"/>
          <w:color w:val="auto"/>
          <w:highlight w:val="none"/>
          <w:lang w:val="en-US" w:eastAsia="zh-CN"/>
        </w:rPr>
        <w:t>具体内容为：(</w:t>
      </w:r>
      <w:bookmarkStart w:id="3" w:name="EB73ac62245a6c4d92a4fa176c4ded3d74"/>
      <w:r>
        <w:rPr>
          <w:rFonts w:hint="eastAsia" w:asciiTheme="minorEastAsia" w:hAnsiTheme="minorEastAsia" w:eastAsiaTheme="minorEastAsia" w:cstheme="minorEastAsia"/>
          <w:color w:val="auto"/>
          <w:highlight w:val="none"/>
          <w:lang w:val="en-US" w:eastAsia="zh-CN"/>
        </w:rPr>
        <w:t>本项目所属行业为：工业，详见：工信部联企业[2011]300号文。</w:t>
      </w:r>
      <w:bookmarkEnd w:id="3"/>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w:t>
      </w:r>
    </w:p>
    <w:p w14:paraId="25A0501E">
      <w:pPr>
        <w:pStyle w:val="3"/>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二、</w:t>
      </w:r>
      <w:r>
        <w:rPr>
          <w:rFonts w:hint="eastAsia" w:asciiTheme="minorEastAsia" w:hAnsiTheme="minorEastAsia" w:eastAsiaTheme="minorEastAsia" w:cstheme="minorEastAsia"/>
          <w:color w:val="auto"/>
          <w:sz w:val="30"/>
          <w:szCs w:val="30"/>
          <w:highlight w:val="none"/>
        </w:rPr>
        <w:t>采购清单及技术参数</w:t>
      </w:r>
    </w:p>
    <w:p w14:paraId="22159615">
      <w:pPr>
        <w:spacing w:line="360" w:lineRule="auto"/>
        <w:ind w:left="42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1、采购清单：</w:t>
      </w:r>
    </w:p>
    <w:tbl>
      <w:tblPr>
        <w:tblStyle w:val="9"/>
        <w:tblpPr w:leftFromText="180" w:rightFromText="180" w:vertAnchor="text" w:horzAnchor="page" w:tblpX="726" w:tblpY="292"/>
        <w:tblOverlap w:val="never"/>
        <w:tblW w:w="10791"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Layout w:type="fixed"/>
        <w:tblCellMar>
          <w:top w:w="0" w:type="dxa"/>
          <w:left w:w="108" w:type="dxa"/>
          <w:bottom w:w="0" w:type="dxa"/>
          <w:right w:w="108" w:type="dxa"/>
        </w:tblCellMar>
      </w:tblPr>
      <w:tblGrid>
        <w:gridCol w:w="491"/>
        <w:gridCol w:w="672"/>
        <w:gridCol w:w="5536"/>
        <w:gridCol w:w="668"/>
        <w:gridCol w:w="1187"/>
        <w:gridCol w:w="1636"/>
        <w:gridCol w:w="601"/>
      </w:tblGrid>
      <w:tr w14:paraId="29960695">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1205"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9F35EF">
            <w:pPr>
              <w:jc w:val="center"/>
              <w:rPr>
                <w:rFonts w:hint="eastAsia" w:ascii="宋体" w:hAnsi="宋体" w:eastAsia="宋体" w:cs="宋体"/>
                <w:b w:val="0"/>
                <w:color w:val="auto"/>
                <w:sz w:val="21"/>
                <w:szCs w:val="21"/>
                <w:highlight w:val="none"/>
                <w:lang w:val="en-US" w:eastAsia="zh-CN"/>
              </w:rPr>
            </w:pPr>
            <w:bookmarkStart w:id="4" w:name="_Toc23693"/>
            <w:r>
              <w:rPr>
                <w:rFonts w:hint="eastAsia" w:ascii="宋体" w:hAnsi="宋体" w:eastAsia="宋体" w:cs="宋体"/>
                <w:b w:val="0"/>
                <w:color w:val="auto"/>
                <w:sz w:val="21"/>
                <w:szCs w:val="21"/>
                <w:highlight w:val="none"/>
                <w:lang w:val="en-US" w:eastAsia="zh-CN"/>
              </w:rPr>
              <w:t>序号</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1BC527">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设备名称</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BAE208">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设备参数</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F9052E">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数量</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EBD21B">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预算单价元（含税）</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43EE6D">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预算</w:t>
            </w:r>
          </w:p>
          <w:p w14:paraId="36A7451C">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总价元（含税）</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EF8FD9">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备注</w:t>
            </w:r>
          </w:p>
        </w:tc>
      </w:tr>
      <w:tr w14:paraId="03C9CDE7">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4214"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DCC949">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AEC384">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融合通信调度站</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FA2C30">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1.采用TD-LTE技术，工作频段：586~678MHz，工作频点可调整；</w:t>
            </w:r>
          </w:p>
          <w:p w14:paraId="63CDF084">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2.一键启动，系统支持单人背负、车载场景使用；</w:t>
            </w:r>
          </w:p>
          <w:p w14:paraId="058BF6F7">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3.支持带宽5Mhz,10Mhz,20Mhz，带宽可调；</w:t>
            </w:r>
          </w:p>
          <w:p w14:paraId="17871DFC">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4.基本业务：集群对讲、语音点呼，视频上传，视频分发，短/彩信等；</w:t>
            </w:r>
          </w:p>
          <w:p w14:paraId="3108D1EF">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5.电源：支持电池供电，电池可替换，连续工作时长5小时以上；</w:t>
            </w:r>
          </w:p>
          <w:p w14:paraId="451006EC">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6.设备主模块重量不大于10kg，体积不大于10L；</w:t>
            </w:r>
          </w:p>
          <w:p w14:paraId="3A8AF4F5">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7.频段:586~678MHz；</w:t>
            </w:r>
          </w:p>
          <w:p w14:paraId="080D5951">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8.时钟同步与定位：支持北斗；</w:t>
            </w:r>
          </w:p>
          <w:p w14:paraId="7C071229">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9.防护等级：≥IP67。</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E77A2F">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1台</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506299">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128000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71C4D3">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128000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DB2C5F">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r w14:paraId="7F2DBD61">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1368"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567999">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67B38D">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无线路由器</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69BB70">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1.工作频段：LTE：566MHz～678MHz，</w:t>
            </w:r>
            <w:r>
              <w:rPr>
                <w:rFonts w:hint="eastAsia"/>
                <w:color w:val="auto"/>
                <w:lang w:val="en-US" w:eastAsia="zh-CN"/>
              </w:rPr>
              <w:t>可调整</w:t>
            </w:r>
            <w:r>
              <w:rPr>
                <w:rFonts w:hint="eastAsia" w:ascii="宋体" w:hAnsi="宋体" w:eastAsia="宋体" w:cs="宋体"/>
                <w:i w:val="0"/>
                <w:iCs w:val="0"/>
                <w:color w:val="auto"/>
                <w:kern w:val="0"/>
                <w:sz w:val="21"/>
                <w:szCs w:val="21"/>
                <w:highlight w:val="none"/>
                <w:u w:val="none"/>
                <w:lang w:val="en-US" w:eastAsia="zh-CN" w:bidi="ar"/>
              </w:rPr>
              <w:t>；</w:t>
            </w:r>
          </w:p>
          <w:p w14:paraId="1A013E1F">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2.最大发射功率≥10W；</w:t>
            </w:r>
          </w:p>
          <w:p w14:paraId="15425BDD">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3.支持灵活的上下行时隙；</w:t>
            </w:r>
          </w:p>
          <w:p w14:paraId="65A78854">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4.支持DHCPServer、DNSClient及NAT功能；</w:t>
            </w:r>
          </w:p>
          <w:p w14:paraId="51D7BBA8">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5.上下行支持QPSK，16QAM，64QAM调制方式；</w:t>
            </w:r>
          </w:p>
          <w:p w14:paraId="3B5F4D5B">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6.防护等级：≥IP65；</w:t>
            </w:r>
          </w:p>
          <w:p w14:paraId="74322367">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7.支持GRE、L2TP隧道，支持802.1协议报文在LTE网络侧透传；</w:t>
            </w:r>
          </w:p>
          <w:p w14:paraId="5B772133">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8.支持防火墙功能：支持MAC过滤，支持IP地址过滤。</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A9E751">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1台</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7B1C1B">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21000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E4809C">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21000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343810">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r w14:paraId="74E855AE">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5934"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465400">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AB8737">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手持终端</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873996">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1.支持点对点语音呼叫、点对点视频呼叫、集群组呼、短信彩信、宽带数据接入、视频调度业务及多业务并发等；</w:t>
            </w:r>
          </w:p>
          <w:p w14:paraId="5BF2B9BF">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2.工作频段：LTE：586MHz～678MHz，支持5MHz/10MHz/20MHz工作带宽；</w:t>
            </w:r>
          </w:p>
          <w:p w14:paraId="78C4B139">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3.手持终端支持数字脱网直通DMO功能，脱网直通频段：370~420MHz；</w:t>
            </w:r>
          </w:p>
          <w:p w14:paraId="62E41651">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4.防尘防水等级：≥IP68；</w:t>
            </w:r>
          </w:p>
          <w:p w14:paraId="7AA8B4B4">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5.屏幕：</w:t>
            </w:r>
            <w:bookmarkStart w:id="5" w:name="OLE_LINK1"/>
            <w:r>
              <w:rPr>
                <w:rFonts w:hint="eastAsia" w:ascii="宋体" w:hAnsi="宋体" w:eastAsia="宋体" w:cs="宋体"/>
                <w:i w:val="0"/>
                <w:iCs w:val="0"/>
                <w:color w:val="auto"/>
                <w:kern w:val="0"/>
                <w:sz w:val="21"/>
                <w:szCs w:val="21"/>
                <w:highlight w:val="none"/>
                <w:u w:val="none"/>
                <w:lang w:val="en-US" w:eastAsia="zh-CN" w:bidi="ar"/>
              </w:rPr>
              <w:t>≥</w:t>
            </w:r>
            <w:bookmarkEnd w:id="5"/>
            <w:r>
              <w:rPr>
                <w:rFonts w:hint="eastAsia" w:ascii="宋体" w:hAnsi="宋体" w:eastAsia="宋体" w:cs="宋体"/>
                <w:i w:val="0"/>
                <w:iCs w:val="0"/>
                <w:color w:val="auto"/>
                <w:kern w:val="0"/>
                <w:sz w:val="21"/>
                <w:szCs w:val="21"/>
                <w:highlight w:val="none"/>
                <w:u w:val="none"/>
                <w:lang w:val="en-US" w:eastAsia="zh-CN" w:bidi="ar"/>
              </w:rPr>
              <w:t>5英寸；触摸屏；</w:t>
            </w:r>
          </w:p>
          <w:p w14:paraId="0639EEDC">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6.电池：≥5000mAh；</w:t>
            </w:r>
          </w:p>
          <w:p w14:paraId="6E0A994D">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7.DMO：380~470MHz；</w:t>
            </w:r>
          </w:p>
          <w:p w14:paraId="09D4439C">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8.定位：支持北斗定位；</w:t>
            </w:r>
          </w:p>
          <w:p w14:paraId="4105D2BB">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9.分辨率：≥1920×1080；</w:t>
            </w:r>
          </w:p>
          <w:p w14:paraId="6A353332">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10.前置摄像头：≥800万像素；后置摄像头：≥4800万像素+800万像素；</w:t>
            </w:r>
          </w:p>
          <w:p w14:paraId="5898FE4F">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11.内置存储：≥6GB RAM+128GB；外置存储：支持256G及以上；</w:t>
            </w:r>
          </w:p>
          <w:p w14:paraId="410EA9A2">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12.Wi-Fi：支持2.4G和5G，IEEE802.11b/g/n；</w:t>
            </w:r>
          </w:p>
          <w:p w14:paraId="7582791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13.蓝牙：5.1及以上 EDR。</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F9864D">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5台</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438766">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11020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068AEF">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55100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30E9E4">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r w14:paraId="50BF3DB2">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21847B">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7A5A9E">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卫星便携站</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B04AB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1.整体设计，将天线阵列面、BUC、LNB、调制解调器、控制显示等集成一体，无外接线缆，无需组装和拆卸；</w:t>
            </w:r>
          </w:p>
          <w:p w14:paraId="199E911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2.天线形态：平板天线；</w:t>
            </w:r>
          </w:p>
          <w:p w14:paraId="261A3E8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3.等效口径：≥0.35米；</w:t>
            </w:r>
          </w:p>
          <w:p w14:paraId="1DAD5C5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4.重量≤9kg；</w:t>
            </w:r>
          </w:p>
          <w:p w14:paraId="57771B8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5.供电管理：可拆卸锂电池，续航时间≥2.5小时；</w:t>
            </w:r>
          </w:p>
          <w:p w14:paraId="4E0891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6.对星操作：自动对星，具备一键对星，一键收纳功能；控制方式支持专用面板、Web网页配置、平板电脑等；</w:t>
            </w:r>
          </w:p>
          <w:p w14:paraId="68C775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7.寻星模式：支持DVB、调制解调器模式和信标机模式等三种模式；</w:t>
            </w:r>
          </w:p>
          <w:p w14:paraId="7D301D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8.工作频率：13.75-14.5GHz；</w:t>
            </w:r>
          </w:p>
          <w:p w14:paraId="5824E75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9.天线增益：发射最大增益≥34.5dBi；</w:t>
            </w:r>
          </w:p>
          <w:p w14:paraId="3DC89A7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10.额定输出功率：≥16W；</w:t>
            </w:r>
          </w:p>
          <w:p w14:paraId="3A6B3D7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11.工作频率：10.7-12.75GHz；</w:t>
            </w:r>
          </w:p>
          <w:p w14:paraId="0A132C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12.天线增益：接收最大增益≥33.3dBi；</w:t>
            </w:r>
          </w:p>
          <w:p w14:paraId="2FB8F8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13.可接入Ku高通量卫星；</w:t>
            </w:r>
          </w:p>
          <w:p w14:paraId="56E36F4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14.方位范围：0°～ 360°自动连续可调；</w:t>
            </w:r>
          </w:p>
          <w:p w14:paraId="7AFEE52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15.俯仰范围: +0°～ +90°自动连续可调；</w:t>
            </w:r>
          </w:p>
          <w:p w14:paraId="54E559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16.极化方位: ±90°自动连续可调；</w:t>
            </w:r>
          </w:p>
          <w:p w14:paraId="197ECA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17.姿势保持：设备断电（设备含自动支架），天线面能够姿态保持；</w:t>
            </w:r>
          </w:p>
          <w:p w14:paraId="35A1B602">
            <w:pPr>
              <w:widowControl/>
              <w:jc w:val="left"/>
              <w:textAlignment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18.接口类型：至少具备供电、网线接口，具有WiFi无线接口；</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7DC028">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1套</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A0EA86">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188000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65613C">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188000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6E023C">
            <w:pPr>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每月5GB流量</w:t>
            </w:r>
          </w:p>
          <w:p w14:paraId="0288641A">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含三年流量服务</w:t>
            </w:r>
          </w:p>
        </w:tc>
      </w:tr>
      <w:tr w14:paraId="0D937373">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4867"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6872F6">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BBB397">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移动电源</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F7939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1.额定容量：≥4096Wh 51.2V；</w:t>
            </w:r>
          </w:p>
          <w:p w14:paraId="505AA6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2.交流输出：额定功率220V~50Hz(旁路220-240V~50/60Hz)共计4000瓦；</w:t>
            </w:r>
          </w:p>
          <w:p w14:paraId="5CBD26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3.升维驱动 6000瓦峰值功率≥ 8000瓦；</w:t>
            </w:r>
          </w:p>
          <w:p w14:paraId="2EE92D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4.交流输出接口：220V 10A 2个，220V 16A 2个；</w:t>
            </w:r>
          </w:p>
          <w:p w14:paraId="08A82D3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5.直流输出接口：USB-A18瓦2个,共36瓦USB-C100瓦2个，共200瓦12V DC5521 最大5A安德森接口，最大30A,与12V共享378瓦；</w:t>
            </w:r>
          </w:p>
          <w:p w14:paraId="1EE009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6.交流充电：220-240V 10A 50/60Hz，最大2200瓦正浩5+8接口；220-240V 20A 50/60Hz,最大4000瓦；</w:t>
            </w:r>
          </w:p>
          <w:p w14:paraId="6ABB538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7.高压太阳能充电：XT60 30-150V=，15A,最大1600瓦；</w:t>
            </w:r>
          </w:p>
          <w:p w14:paraId="09413D3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8.低压太阳能/车充XT60i 11V-60V=，20A,最大1000瓦12V=8A/48V=，20A；</w:t>
            </w:r>
          </w:p>
          <w:p w14:paraId="047BA237">
            <w:pPr>
              <w:widowControl/>
              <w:jc w:val="left"/>
              <w:textAlignment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9.重量：≤60kg；</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1286F2">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1套</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9CCED4">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15200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8729A3">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15200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3050DE">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r w14:paraId="7592B73E">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298"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62FC81">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CA9FE6">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视频终端</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45503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1.≥11.6 英寸全高清触摸显示屏；</w:t>
            </w:r>
          </w:p>
          <w:p w14:paraId="247EDEE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2.视频编解码：H.263、H.263+、H.264 BP、H.264 HP、H.264 HP SVC、H.265 SVC 等；</w:t>
            </w:r>
          </w:p>
          <w:p w14:paraId="0C1A1E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3.音频编解码：宽频语音，动态分层编码，支持 Opus、G.711、G.722、G.728、G.729、G.719、AAC 等；</w:t>
            </w:r>
          </w:p>
          <w:p w14:paraId="5476DE6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4.视频分辨率：4K、1080P、720P、360P、180P 等；</w:t>
            </w:r>
          </w:p>
          <w:p w14:paraId="6AC64F2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5.摄像机：内置高清摄像机，80.3°水平视角，自带隐私盖；</w:t>
            </w:r>
          </w:p>
          <w:p w14:paraId="3AAEB54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6.麦克风：阵列麦克风，8 米有效拾音距离，全向高保真音频采集；</w:t>
            </w:r>
          </w:p>
          <w:p w14:paraId="0D21CEA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7.扬声器：双声道，立体声音效；</w:t>
            </w:r>
          </w:p>
          <w:p w14:paraId="56A4F4C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8.音频输入接口：3.5mm×1，HDMI×1，USB2.0×1；音频输出接口：3.5mm×1，HDMI×1，USB2.0×1；</w:t>
            </w:r>
          </w:p>
          <w:p w14:paraId="71E3C7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9.视频输入接口：HDMI×1；视频输出接口：HDMI×1；</w:t>
            </w:r>
          </w:p>
          <w:p w14:paraId="3462EC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10.网络接口：10/100/1000 Base-T RJ45×1，双频 Wi-Fi；（2.4GHz+5GHz），支持 802.11a/b/g/n/ac 无线协议；</w:t>
            </w:r>
          </w:p>
          <w:p w14:paraId="35CFFBB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11.移动网络：4G/5G LTE；</w:t>
            </w:r>
          </w:p>
          <w:p w14:paraId="52E4A2C3">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color w:val="auto"/>
                <w:sz w:val="21"/>
                <w:szCs w:val="21"/>
                <w:highlight w:val="none"/>
                <w:lang w:val="en-US" w:eastAsia="zh-CN"/>
              </w:rPr>
              <w:t>12.电子白板：支持电子白板多方批注；</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397AFA">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2套</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5B184F">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33750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80A971">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67500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013BEF">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r w14:paraId="007E19F9">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3475" w:hRule="atLeast"/>
        </w:trPr>
        <w:tc>
          <w:tcPr>
            <w:tcW w:w="49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8A769F">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D67CBD">
            <w:pP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手持卫星通讯终端</w:t>
            </w:r>
          </w:p>
        </w:tc>
        <w:tc>
          <w:tcPr>
            <w:tcW w:w="55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A08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1.防护等级：≥IP68；</w:t>
            </w:r>
          </w:p>
          <w:p w14:paraId="6F65A49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2.CPU频率：≥八核，2.0GHz；</w:t>
            </w:r>
          </w:p>
          <w:p w14:paraId="14B622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3.内存：RAM：2GB +ROM：16GB ，支持128G的扩展卡；</w:t>
            </w:r>
          </w:p>
          <w:p w14:paraId="3E9AFB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4.显示屏：触摸屏；</w:t>
            </w:r>
          </w:p>
          <w:p w14:paraId="1D9031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5.后摄像头：≥1300万像素；</w:t>
            </w:r>
          </w:p>
          <w:p w14:paraId="234DF4B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6.电池容量：</w:t>
            </w:r>
            <w:bookmarkStart w:id="6" w:name="OLE_LINK2"/>
            <w:r>
              <w:rPr>
                <w:rFonts w:hint="eastAsia" w:ascii="宋体" w:hAnsi="宋体" w:eastAsia="宋体" w:cs="宋体"/>
                <w:i w:val="0"/>
                <w:iCs w:val="0"/>
                <w:color w:val="auto"/>
                <w:kern w:val="0"/>
                <w:sz w:val="21"/>
                <w:szCs w:val="21"/>
                <w:highlight w:val="none"/>
                <w:u w:val="none"/>
                <w:lang w:val="en-US" w:eastAsia="zh-CN" w:bidi="ar"/>
              </w:rPr>
              <w:t>≥</w:t>
            </w:r>
            <w:bookmarkEnd w:id="6"/>
            <w:r>
              <w:rPr>
                <w:rFonts w:hint="eastAsia" w:ascii="宋体" w:hAnsi="宋体" w:eastAsia="宋体" w:cs="宋体"/>
                <w:i w:val="0"/>
                <w:iCs w:val="0"/>
                <w:color w:val="auto"/>
                <w:kern w:val="0"/>
                <w:sz w:val="21"/>
                <w:szCs w:val="21"/>
                <w:highlight w:val="none"/>
                <w:u w:val="none"/>
                <w:lang w:val="en-US" w:eastAsia="zh-CN" w:bidi="ar"/>
              </w:rPr>
              <w:t>5200mAh；</w:t>
            </w:r>
          </w:p>
          <w:p w14:paraId="57418AA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7.产品功能：全网通+卫星网络；一键SOS求救；AI智能通话降噪；应急强光手电筒；</w:t>
            </w:r>
          </w:p>
          <w:p w14:paraId="04C3E82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8.定位：支持北斗定位；</w:t>
            </w:r>
          </w:p>
          <w:p w14:paraId="3E213AB8">
            <w:pPr>
              <w:keepNext w:val="0"/>
              <w:keepLines w:val="0"/>
              <w:widowControl/>
              <w:suppressLineNumbers w:val="0"/>
              <w:jc w:val="left"/>
              <w:textAlignment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9.车载天线参数：驻波比：≤1.5、最大耐受功率：≥10W。</w:t>
            </w:r>
          </w:p>
        </w:tc>
        <w:tc>
          <w:tcPr>
            <w:tcW w:w="6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8C5423">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5套</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4137F9">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6140</w:t>
            </w:r>
          </w:p>
        </w:tc>
        <w:tc>
          <w:tcPr>
            <w:tcW w:w="16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3BB6E5">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30700</w:t>
            </w:r>
          </w:p>
        </w:tc>
        <w:tc>
          <w:tcPr>
            <w:tcW w:w="60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4AB1CA">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含3年卫星语音包通信</w:t>
            </w:r>
          </w:p>
        </w:tc>
      </w:tr>
      <w:tr w14:paraId="09B87BFC">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single" w:color="000000" w:themeColor="text1" w:sz="8" w:space="0"/>
          </w:tblBorders>
          <w:tblCellMar>
            <w:top w:w="0" w:type="dxa"/>
            <w:left w:w="108" w:type="dxa"/>
            <w:bottom w:w="0" w:type="dxa"/>
            <w:right w:w="108" w:type="dxa"/>
          </w:tblCellMar>
        </w:tblPrEx>
        <w:trPr>
          <w:trHeight w:val="676" w:hRule="atLeast"/>
        </w:trPr>
        <w:tc>
          <w:tcPr>
            <w:tcW w:w="736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5B1506">
            <w:pPr>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合计元（含税）</w:t>
            </w:r>
          </w:p>
        </w:tc>
        <w:tc>
          <w:tcPr>
            <w:tcW w:w="1187" w:type="dxa"/>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14:paraId="5DCD07EC">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c>
          <w:tcPr>
            <w:tcW w:w="1636" w:type="dxa"/>
            <w:tcBorders>
              <w:top w:val="single" w:color="000000" w:sz="4" w:space="0"/>
              <w:left w:val="single" w:color="auto" w:sz="4" w:space="0"/>
              <w:bottom w:val="single" w:color="000000" w:sz="4" w:space="0"/>
              <w:right w:val="single" w:color="auto" w:sz="4" w:space="0"/>
              <w:tl2br w:val="nil"/>
              <w:tr2bl w:val="nil"/>
            </w:tcBorders>
            <w:shd w:val="clear" w:color="auto" w:fill="FFFFFF"/>
            <w:vAlign w:val="center"/>
          </w:tcPr>
          <w:p w14:paraId="1EB1BDE5">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505500</w:t>
            </w:r>
          </w:p>
        </w:tc>
        <w:tc>
          <w:tcPr>
            <w:tcW w:w="601"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0BDD3AEB">
            <w:pPr>
              <w:jc w:val="center"/>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w:t>
            </w:r>
          </w:p>
        </w:tc>
      </w:tr>
    </w:tbl>
    <w:p w14:paraId="1687DA4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2、采购品目：</w:t>
      </w:r>
    </w:p>
    <w:p w14:paraId="17387D8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7" w:name="_Toc10350"/>
      <w:r>
        <w:rPr>
          <w:rFonts w:hint="eastAsia" w:asciiTheme="majorEastAsia" w:hAnsiTheme="majorEastAsia" w:eastAsiaTheme="majorEastAsia" w:cstheme="majorEastAsia"/>
          <w:color w:val="auto"/>
          <w:sz w:val="21"/>
          <w:szCs w:val="21"/>
          <w:highlight w:val="none"/>
          <w:lang w:val="en-US" w:eastAsia="zh-CN"/>
        </w:rPr>
        <w:t>2.1融合通信调度站</w:t>
      </w:r>
      <w:bookmarkEnd w:id="7"/>
    </w:p>
    <w:p w14:paraId="5EBB699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支持单人背负携行、车载部署、为任务现场提供语音、调度、数据传输、视频监控等宽带集群通信业务。</w:t>
      </w:r>
    </w:p>
    <w:p w14:paraId="61DBEF3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8" w:name="_Toc30041"/>
      <w:r>
        <w:rPr>
          <w:rFonts w:hint="eastAsia" w:asciiTheme="majorEastAsia" w:hAnsiTheme="majorEastAsia" w:eastAsiaTheme="majorEastAsia" w:cstheme="majorEastAsia"/>
          <w:color w:val="auto"/>
          <w:sz w:val="21"/>
          <w:szCs w:val="21"/>
          <w:highlight w:val="none"/>
          <w:lang w:val="en-US" w:eastAsia="zh-CN"/>
        </w:rPr>
        <w:t>2.2无线路由器</w:t>
      </w:r>
      <w:bookmarkEnd w:id="8"/>
    </w:p>
    <w:p w14:paraId="6F3E90B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专用无线路由器是基于TD-LTE标准的室外型宽带接入无线终端设备，通过该无线路由器可将各种采集数据、视频监控数据通过网口或WIFI传输到融合通信调度站，支持室外和室内部署。</w:t>
      </w:r>
    </w:p>
    <w:p w14:paraId="4820CC2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9" w:name="_Toc9376"/>
      <w:r>
        <w:rPr>
          <w:rFonts w:hint="eastAsia" w:asciiTheme="majorEastAsia" w:hAnsiTheme="majorEastAsia" w:eastAsiaTheme="majorEastAsia" w:cstheme="majorEastAsia"/>
          <w:color w:val="auto"/>
          <w:sz w:val="21"/>
          <w:szCs w:val="21"/>
          <w:highlight w:val="none"/>
          <w:lang w:val="en-US" w:eastAsia="zh-CN"/>
        </w:rPr>
        <w:t>2.3手持终端</w:t>
      </w:r>
      <w:bookmarkEnd w:id="9"/>
    </w:p>
    <w:p w14:paraId="4D127E3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配合融合通信调度站使用的手持集群终端，能同时支持私密呼叫、组呼、短信彩信、宽带数据接入、视频调度业务及多业务并发。</w:t>
      </w:r>
    </w:p>
    <w:p w14:paraId="1060CC2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10" w:name="_Toc14498"/>
      <w:r>
        <w:rPr>
          <w:rFonts w:hint="eastAsia" w:asciiTheme="majorEastAsia" w:hAnsiTheme="majorEastAsia" w:eastAsiaTheme="majorEastAsia" w:cstheme="majorEastAsia"/>
          <w:color w:val="auto"/>
          <w:sz w:val="21"/>
          <w:szCs w:val="21"/>
          <w:highlight w:val="none"/>
          <w:lang w:val="en-US" w:eastAsia="zh-CN"/>
        </w:rPr>
        <w:t>2.4卫星便携站</w:t>
      </w:r>
      <w:bookmarkEnd w:id="10"/>
    </w:p>
    <w:p w14:paraId="4289C0E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公网卫星便携站，卫星通信网络作为指挥信息网的延伸和扩展，主要应用在无公网覆盖的条件下的应急通讯，能够迅速建立卫星通信链路，为各种可接入卫星通信链路的设备提供网络传输。每月5GB流量，含三年流量服务。</w:t>
      </w:r>
    </w:p>
    <w:p w14:paraId="018D323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11" w:name="_Toc11078"/>
      <w:r>
        <w:rPr>
          <w:rFonts w:hint="eastAsia" w:asciiTheme="majorEastAsia" w:hAnsiTheme="majorEastAsia" w:eastAsiaTheme="majorEastAsia" w:cstheme="majorEastAsia"/>
          <w:color w:val="auto"/>
          <w:sz w:val="21"/>
          <w:szCs w:val="21"/>
          <w:highlight w:val="none"/>
          <w:lang w:val="en-US" w:eastAsia="zh-CN"/>
        </w:rPr>
        <w:t>2.5 移动电源</w:t>
      </w:r>
      <w:bookmarkEnd w:id="11"/>
    </w:p>
    <w:p w14:paraId="70E12FF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临时为通信设备提供充分的电力保障备份。</w:t>
      </w:r>
    </w:p>
    <w:p w14:paraId="05A143E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12" w:name="_Toc19148"/>
      <w:r>
        <w:rPr>
          <w:rFonts w:hint="eastAsia" w:asciiTheme="majorEastAsia" w:hAnsiTheme="majorEastAsia" w:eastAsiaTheme="majorEastAsia" w:cstheme="majorEastAsia"/>
          <w:color w:val="auto"/>
          <w:sz w:val="21"/>
          <w:szCs w:val="21"/>
          <w:highlight w:val="none"/>
          <w:lang w:val="en-US" w:eastAsia="zh-CN"/>
        </w:rPr>
        <w:t>2.6视频终端</w:t>
      </w:r>
      <w:bookmarkEnd w:id="12"/>
    </w:p>
    <w:p w14:paraId="30277FC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通过专网、互联网、4G、卫星等多网络实现多网融合的视频会商、指挥调度等应用。</w:t>
      </w:r>
    </w:p>
    <w:p w14:paraId="6D7D84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heme="majorEastAsia" w:hAnsiTheme="majorEastAsia" w:eastAsiaTheme="majorEastAsia" w:cstheme="majorEastAsia"/>
          <w:color w:val="auto"/>
          <w:sz w:val="21"/>
          <w:szCs w:val="21"/>
          <w:highlight w:val="none"/>
          <w:lang w:val="en-US" w:eastAsia="zh-CN"/>
        </w:rPr>
      </w:pPr>
      <w:bookmarkStart w:id="13" w:name="_Toc15254"/>
      <w:r>
        <w:rPr>
          <w:rFonts w:hint="eastAsia" w:asciiTheme="majorEastAsia" w:hAnsiTheme="majorEastAsia" w:eastAsiaTheme="majorEastAsia" w:cstheme="majorEastAsia"/>
          <w:color w:val="auto"/>
          <w:sz w:val="21"/>
          <w:szCs w:val="21"/>
          <w:highlight w:val="none"/>
          <w:lang w:val="en-US" w:eastAsia="zh-CN"/>
        </w:rPr>
        <w:t>2.7手持卫星通讯</w:t>
      </w:r>
      <w:bookmarkEnd w:id="13"/>
      <w:r>
        <w:rPr>
          <w:rFonts w:hint="eastAsia" w:asciiTheme="majorEastAsia" w:hAnsiTheme="majorEastAsia" w:eastAsiaTheme="majorEastAsia" w:cstheme="majorEastAsia"/>
          <w:color w:val="auto"/>
          <w:sz w:val="21"/>
          <w:szCs w:val="21"/>
          <w:highlight w:val="none"/>
          <w:lang w:val="en-US" w:eastAsia="zh-CN"/>
        </w:rPr>
        <w:t>终端</w:t>
      </w:r>
    </w:p>
    <w:p w14:paraId="6A3C8F1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在任何无遮挡区域通过与天通卫星链接，实现实时卫星语音通讯。</w:t>
      </w:r>
    </w:p>
    <w:p w14:paraId="2F6425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bookmarkStart w:id="14" w:name="_Toc6680"/>
      <w:r>
        <w:rPr>
          <w:rFonts w:hint="eastAsia" w:asciiTheme="majorEastAsia" w:hAnsiTheme="majorEastAsia" w:eastAsiaTheme="majorEastAsia" w:cstheme="majorEastAsia"/>
          <w:color w:val="auto"/>
          <w:sz w:val="21"/>
          <w:szCs w:val="21"/>
          <w:highlight w:val="none"/>
          <w:lang w:val="en-US" w:eastAsia="zh-CN"/>
        </w:rPr>
        <w:t>2.8组网方案</w:t>
      </w:r>
      <w:bookmarkEnd w:id="14"/>
    </w:p>
    <w:p w14:paraId="36DB6571">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融合通信调度站在“三断”环境下的灾害现场组成局域网，无线路由器接入融合通信调度站局域网，无线路由器连接并接入卫星便携站，视频终端通过WiFi接入无线路由器并接入卫星便携站，通过卫星链路与各指挥部实现多方视频会议搭建高效指挥调度系统。</w:t>
      </w:r>
    </w:p>
    <w:p w14:paraId="1F81697B">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3、采购标准</w:t>
      </w:r>
    </w:p>
    <w:p w14:paraId="6E4E13EB">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3.1融合通信调度站</w:t>
      </w:r>
      <w:bookmarkEnd w:id="4"/>
    </w:p>
    <w:p w14:paraId="6AF5FDFE">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覆盖范围：应具备较广的无线覆盖范围，满足应急救援现场对无线宽带数据的高需求。同时，应考虑设备的穿透能力和抗干扰能力，以确保在复杂环境下的通信稳定性。</w:t>
      </w:r>
    </w:p>
    <w:p w14:paraId="676DBDD6">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带宽与容量：提供高速的数据传输能力，支持多用户并发接入，确保数据传输的实时性和可靠性。同时，应考虑设备的频谱效率和资源分配策略，以优化网络性能。</w:t>
      </w:r>
    </w:p>
    <w:p w14:paraId="76CF51E6">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快速部署：设备应易于安装和配置，支持一键开机和快速建立网络。同时，应考虑设备的远程管理和监控功能，以便运维人员能够实时监控网络状态和进行故障排查。</w:t>
      </w:r>
    </w:p>
    <w:p w14:paraId="5C463181">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可靠性：设备应具备高可靠性和稳定性，能够在恶劣环境下（如高温、低温、潮湿等）正常工作。同时，应考虑设备的备份和冗余设计，以确保在设备故障时能够迅速恢复通信。</w:t>
      </w:r>
    </w:p>
    <w:p w14:paraId="3FBC281D">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bookmarkStart w:id="15" w:name="_Toc32601"/>
      <w:r>
        <w:rPr>
          <w:rFonts w:hint="eastAsia" w:asciiTheme="majorEastAsia" w:hAnsiTheme="majorEastAsia" w:eastAsiaTheme="majorEastAsia" w:cstheme="majorEastAsia"/>
          <w:color w:val="auto"/>
          <w:kern w:val="1"/>
          <w:sz w:val="21"/>
          <w:szCs w:val="21"/>
          <w:highlight w:val="none"/>
          <w:lang w:val="en-US" w:eastAsia="zh-CN"/>
        </w:rPr>
        <w:t>3.2无线路由器</w:t>
      </w:r>
      <w:bookmarkEnd w:id="15"/>
    </w:p>
    <w:p w14:paraId="10DD4847">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无线性能：支持双频或三频Wi-Fi，提供高速、稳定的无线连接速度。同时，应考虑设备的无线覆盖范围、信号强度和稳定性，以确保在应急救援现场能够覆盖所有需要连接的设备。</w:t>
      </w:r>
    </w:p>
    <w:p w14:paraId="072B353D">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安全性：提供WPA或WPA2等先进的加密技术，确保无线网络的安全性。同时，应考虑设备的防火墙、入侵检测等安全功能，以防止网络攻击和数据泄露。</w:t>
      </w:r>
    </w:p>
    <w:p w14:paraId="51E28671">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管理功能：支持远程管理和配置功能，方便运维人员进行网络管理和监控。同时，应考虑设备的用户认证和访问控制功能，以确保只有授权用户才能访问网络。</w:t>
      </w:r>
    </w:p>
    <w:p w14:paraId="3F49F7E4">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兼容性：考虑设备与其他通信设备的兼容性，如与卫星便携站、融合通信调度站系统等的无缝集成。</w:t>
      </w:r>
    </w:p>
    <w:p w14:paraId="5D97FC0D">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bookmarkStart w:id="16" w:name="_Toc4268"/>
      <w:r>
        <w:rPr>
          <w:rFonts w:hint="eastAsia" w:asciiTheme="majorEastAsia" w:hAnsiTheme="majorEastAsia" w:eastAsiaTheme="majorEastAsia" w:cstheme="majorEastAsia"/>
          <w:color w:val="auto"/>
          <w:kern w:val="1"/>
          <w:sz w:val="21"/>
          <w:szCs w:val="21"/>
          <w:highlight w:val="none"/>
          <w:lang w:val="en-US" w:eastAsia="zh-CN"/>
        </w:rPr>
        <w:t>3.3手持终端</w:t>
      </w:r>
      <w:bookmarkEnd w:id="16"/>
    </w:p>
    <w:p w14:paraId="64271EB5">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通信性能：支持公网和卫星通信，具备语音通话、短信、数据通信等功能。同时，应考虑设备的通信质量和稳定性，以确保在应急救援现场能够保持稳定的通信连接。</w:t>
      </w:r>
    </w:p>
    <w:p w14:paraId="73D5A8AF">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多媒体功能：支持拍照、录像、录音等多媒体功能，方便现场人员记录和处理信息。同时，应考虑设备的屏幕大小、分辨率和亮度等参数，以确保在复杂环境下能够清晰地显示信息。</w:t>
      </w:r>
    </w:p>
    <w:p w14:paraId="1AB8C223">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耐用性：设备应具备防水、防尘、抗震等特性，能够在恶劣环境下正常工作。同时，应考虑设备的电池续航能力和快速充电功能，以确保在长时间使用下能够保持稳定的性能。</w:t>
      </w:r>
    </w:p>
    <w:p w14:paraId="56658CFE">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智能化：支持AI识别和智能分析功能，如人脸识别、语音识别等，提高现场信息处理效率。同时，应考虑设备的操作系统和应用程序兼容性，以便与应急救援指挥调度系统无缝集成。</w:t>
      </w:r>
    </w:p>
    <w:p w14:paraId="392DA4E5">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bookmarkStart w:id="17" w:name="_Toc24323"/>
      <w:r>
        <w:rPr>
          <w:rFonts w:hint="eastAsia" w:asciiTheme="majorEastAsia" w:hAnsiTheme="majorEastAsia" w:eastAsiaTheme="majorEastAsia" w:cstheme="majorEastAsia"/>
          <w:color w:val="auto"/>
          <w:kern w:val="1"/>
          <w:sz w:val="21"/>
          <w:szCs w:val="21"/>
          <w:highlight w:val="none"/>
          <w:lang w:val="en-US" w:eastAsia="zh-CN"/>
        </w:rPr>
        <w:t>3.4卫星便携站</w:t>
      </w:r>
      <w:bookmarkEnd w:id="17"/>
    </w:p>
    <w:p w14:paraId="3D0396DD">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技术性能：设备需具备高效的卫星通信能力，支持多种卫星系统（如Ku、Ka等频段），确保在偏远地区或地面网络无法覆盖的区域实现稳定、高速的通信。</w:t>
      </w:r>
    </w:p>
    <w:p w14:paraId="4C2D03E9">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便携性：设备设计应轻便、紧凑，便于携带和快速部署。具备快速对星和自动跟踪功能，以减少部署时间和操作复杂度。</w:t>
      </w:r>
    </w:p>
    <w:p w14:paraId="64826526">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接口与兼容性：提供标准的网络接口和协议（如Ethernet、Wi-Fi、USB等），支持IP数据通信，确保与其他通信设备（如路由器、终端等）的无缝集成。</w:t>
      </w:r>
    </w:p>
    <w:p w14:paraId="2376BBCA">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安全性：设备应具备数据加密和网络安全功能，如SSL/TLS加密、防火墙等，确保通信信息的安全传输。</w:t>
      </w:r>
    </w:p>
    <w:p w14:paraId="3CAA2261">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bookmarkStart w:id="18" w:name="_Toc24251"/>
      <w:r>
        <w:rPr>
          <w:rFonts w:hint="eastAsia" w:asciiTheme="majorEastAsia" w:hAnsiTheme="majorEastAsia" w:eastAsiaTheme="majorEastAsia" w:cstheme="majorEastAsia"/>
          <w:color w:val="auto"/>
          <w:kern w:val="1"/>
          <w:sz w:val="21"/>
          <w:szCs w:val="21"/>
          <w:highlight w:val="none"/>
          <w:lang w:val="en-US" w:eastAsia="zh-CN"/>
        </w:rPr>
        <w:t>3.5移动电源</w:t>
      </w:r>
      <w:bookmarkEnd w:id="18"/>
    </w:p>
    <w:p w14:paraId="79CC4529">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容量与续航：电池容量大，支持长时间供电，满足应急救援现场对电力的需求。同时，应考虑设备的充电速度和效率，以确保在紧急情况下能够迅速为设备充电。</w:t>
      </w:r>
    </w:p>
    <w:p w14:paraId="00CDC2B2">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快充功能：支持快充技术，缩短充电时间。同时，应考虑设备的充电接口和协议兼容性，以便为不同品牌和型号的设备充电。</w:t>
      </w:r>
    </w:p>
    <w:p w14:paraId="67C32A32">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安全性：具备过充、过放、短路等保护功能，确保使用安全。同时，应考虑设备的温度控制和散热设计，以防止过热和损坏。</w:t>
      </w:r>
    </w:p>
    <w:p w14:paraId="00C69E60">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便携性：设备体积小、重量轻，易于携带和操作。同时，应考虑设备的外观设计和材质选择，以便在长时间使用中保持舒适的手感和耐用性。</w:t>
      </w:r>
    </w:p>
    <w:p w14:paraId="3A8DFDDB">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color w:val="auto"/>
          <w:kern w:val="1"/>
          <w:sz w:val="21"/>
          <w:szCs w:val="21"/>
          <w:highlight w:val="none"/>
          <w:lang w:val="en-US" w:eastAsia="zh-CN"/>
        </w:rPr>
      </w:pPr>
      <w:bookmarkStart w:id="19" w:name="_Toc2633"/>
      <w:r>
        <w:rPr>
          <w:rFonts w:hint="eastAsia" w:asciiTheme="majorEastAsia" w:hAnsiTheme="majorEastAsia" w:eastAsiaTheme="majorEastAsia" w:cstheme="majorEastAsia"/>
          <w:color w:val="auto"/>
          <w:kern w:val="1"/>
          <w:sz w:val="21"/>
          <w:szCs w:val="21"/>
          <w:highlight w:val="none"/>
          <w:lang w:val="en-US" w:eastAsia="zh-CN"/>
        </w:rPr>
        <w:t>3.6视频终端</w:t>
      </w:r>
      <w:bookmarkEnd w:id="19"/>
    </w:p>
    <w:p w14:paraId="32C931B3">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功能集成：集成多种通信方式（如卫星、公网等），支持语音通话、数据通信、视频回传等功能。同时，应考虑设备的可扩展性和模块化设计，以便根据实际需求进行功能升级和扩展。</w:t>
      </w:r>
    </w:p>
    <w:p w14:paraId="1C7E98CE">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便携性：设备体积小、重量轻，易于携带和操作。同时，应考虑设备的用户界面和交互设计，以确保用户能够轻松上手并快速使用。</w:t>
      </w:r>
    </w:p>
    <w:p w14:paraId="480C8FB1">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耐用性：具备防水、防尘等特性，能够在恶劣环境下正常工作。同时，应考虑设备的抗摔和抗压性能，以确保在复杂环境下能够保持稳定的性能。</w:t>
      </w:r>
    </w:p>
    <w:p w14:paraId="37647A56">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heme="majorEastAsia" w:hAnsiTheme="majorEastAsia" w:eastAsiaTheme="majorEastAsia" w:cstheme="majorEastAsia"/>
          <w:color w:val="auto"/>
          <w:kern w:val="1"/>
          <w:sz w:val="21"/>
          <w:szCs w:val="21"/>
          <w:highlight w:val="none"/>
          <w:lang w:val="en-US" w:eastAsia="zh-CN"/>
        </w:rPr>
      </w:pPr>
      <w:bookmarkStart w:id="20" w:name="_Toc1710"/>
      <w:r>
        <w:rPr>
          <w:rFonts w:hint="eastAsia" w:asciiTheme="majorEastAsia" w:hAnsiTheme="majorEastAsia" w:eastAsiaTheme="majorEastAsia" w:cstheme="majorEastAsia"/>
          <w:color w:val="auto"/>
          <w:kern w:val="1"/>
          <w:sz w:val="21"/>
          <w:szCs w:val="21"/>
          <w:highlight w:val="none"/>
          <w:lang w:val="en-US" w:eastAsia="zh-CN"/>
        </w:rPr>
        <w:t>3.7手持卫星通讯</w:t>
      </w:r>
      <w:bookmarkEnd w:id="20"/>
      <w:r>
        <w:rPr>
          <w:rFonts w:hint="eastAsia" w:asciiTheme="majorEastAsia" w:hAnsiTheme="majorEastAsia" w:eastAsiaTheme="majorEastAsia" w:cstheme="majorEastAsia"/>
          <w:color w:val="auto"/>
          <w:kern w:val="1"/>
          <w:sz w:val="21"/>
          <w:szCs w:val="21"/>
          <w:highlight w:val="none"/>
          <w:lang w:val="en-US" w:eastAsia="zh-CN"/>
        </w:rPr>
        <w:t>终端</w:t>
      </w:r>
    </w:p>
    <w:p w14:paraId="0AE51156">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eastAsia" w:asciiTheme="majorEastAsia" w:hAnsiTheme="majorEastAsia" w:eastAsiaTheme="majorEastAsia" w:cstheme="majorEastAsia"/>
          <w:color w:val="auto"/>
          <w:kern w:val="1"/>
          <w:sz w:val="21"/>
          <w:szCs w:val="21"/>
          <w:highlight w:val="none"/>
          <w:lang w:val="en-US" w:eastAsia="zh-CN"/>
        </w:rPr>
        <w:t>功能集成：支持语音通话，设备要具备可扩展性和模块化设计，这样就能依据实际需求进行功能的升级与扩展。</w:t>
      </w:r>
    </w:p>
    <w:p w14:paraId="3D31800C">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lang w:val="en-US" w:eastAsia="zh-CN"/>
        </w:rPr>
      </w:pPr>
      <w:r>
        <w:rPr>
          <w:rFonts w:hint="default" w:asciiTheme="majorEastAsia" w:hAnsiTheme="majorEastAsia" w:eastAsiaTheme="majorEastAsia" w:cstheme="majorEastAsia"/>
          <w:color w:val="auto"/>
          <w:kern w:val="1"/>
          <w:sz w:val="21"/>
          <w:szCs w:val="21"/>
          <w:highlight w:val="none"/>
          <w:lang w:val="en-US" w:eastAsia="zh-CN"/>
        </w:rPr>
        <w:t>便携</w:t>
      </w:r>
      <w:r>
        <w:rPr>
          <w:rFonts w:hint="eastAsia" w:asciiTheme="majorEastAsia" w:hAnsiTheme="majorEastAsia" w:eastAsiaTheme="majorEastAsia" w:cstheme="majorEastAsia"/>
          <w:color w:val="auto"/>
          <w:kern w:val="1"/>
          <w:sz w:val="21"/>
          <w:szCs w:val="21"/>
          <w:highlight w:val="none"/>
          <w:lang w:val="en-US" w:eastAsia="zh-CN"/>
        </w:rPr>
        <w:t>耐用：设备体积小、重量轻，便于携带与操作。具备防水、防尘、抗震等特性，能够在恶劣环境下正常工作，应具备良好的抗摔和抗压性能，确保在复杂环境下能够保持稳定的性能。</w:t>
      </w:r>
    </w:p>
    <w:p w14:paraId="4C48EA55">
      <w:pPr>
        <w:rPr>
          <w:rFonts w:hint="eastAsia"/>
        </w:rPr>
      </w:pPr>
    </w:p>
    <w:p w14:paraId="11C5C065">
      <w:pPr>
        <w:rPr>
          <w:rFonts w:hint="eastAsia" w:asciiTheme="minorEastAsia" w:hAnsiTheme="minorEastAsia" w:eastAsiaTheme="minorEastAsia" w:cstheme="minorEastAsia"/>
          <w:color w:val="auto"/>
          <w:sz w:val="30"/>
          <w:szCs w:val="30"/>
          <w:highlight w:val="none"/>
        </w:rPr>
      </w:pPr>
    </w:p>
    <w:p w14:paraId="66C0B4AB">
      <w:pPr>
        <w:rPr>
          <w:rFonts w:hint="eastAsia" w:asciiTheme="minorEastAsia" w:hAnsiTheme="minorEastAsia" w:eastAsiaTheme="minorEastAsia" w:cstheme="minorEastAsia"/>
          <w:color w:val="auto"/>
          <w:sz w:val="30"/>
          <w:szCs w:val="30"/>
          <w:highlight w:val="none"/>
        </w:rPr>
      </w:pPr>
    </w:p>
    <w:p w14:paraId="3627616D">
      <w:pPr>
        <w:rPr>
          <w:rFonts w:hint="eastAsia" w:asciiTheme="minorEastAsia" w:hAnsiTheme="minorEastAsia" w:eastAsiaTheme="minorEastAsia" w:cstheme="minorEastAsia"/>
          <w:color w:val="auto"/>
          <w:highlight w:val="none"/>
        </w:rPr>
      </w:pPr>
    </w:p>
    <w:p w14:paraId="13A516F8">
      <w:pPr>
        <w:rPr>
          <w:rFonts w:hint="eastAsia" w:asciiTheme="minorEastAsia" w:hAnsiTheme="minorEastAsia" w:eastAsiaTheme="minorEastAsia" w:cstheme="minorEastAsia"/>
          <w:color w:val="auto"/>
          <w:sz w:val="30"/>
          <w:szCs w:val="30"/>
          <w:highlight w:val="none"/>
        </w:rPr>
      </w:pPr>
    </w:p>
    <w:p w14:paraId="73AA41F8">
      <w:pPr>
        <w:pStyle w:val="3"/>
        <w:numPr>
          <w:ilvl w:val="0"/>
          <w:numId w:val="1"/>
        </w:num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商务要求</w:t>
      </w:r>
    </w:p>
    <w:p w14:paraId="7CEA7662">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lang w:eastAsia="zh-CN"/>
        </w:rPr>
        <w:t>）供货期：</w:t>
      </w:r>
      <w:bookmarkStart w:id="21" w:name="EB14dde6beae4240a190c53b4519f499d2"/>
      <w:r>
        <w:rPr>
          <w:rFonts w:hint="eastAsia" w:asciiTheme="minorEastAsia" w:hAnsiTheme="minorEastAsia" w:eastAsiaTheme="minorEastAsia" w:cstheme="minorEastAsia"/>
          <w:color w:val="auto"/>
          <w:highlight w:val="none"/>
          <w:lang w:val="en-US" w:eastAsia="zh-CN"/>
        </w:rPr>
        <w:t>签订合同后30日历天内完成货物交付、安装</w:t>
      </w:r>
      <w:bookmarkEnd w:id="21"/>
      <w:r>
        <w:rPr>
          <w:rFonts w:hint="eastAsia" w:asciiTheme="minorEastAsia" w:hAnsiTheme="minorEastAsia" w:eastAsiaTheme="minorEastAsia" w:cstheme="minorEastAsia"/>
          <w:color w:val="auto"/>
          <w:highlight w:val="none"/>
          <w:lang w:val="en-US" w:eastAsia="zh-CN"/>
        </w:rPr>
        <w:t>、运行；</w:t>
      </w:r>
    </w:p>
    <w:p w14:paraId="280A2D90">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交付地点</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采购人指定地点</w:t>
      </w:r>
      <w:r>
        <w:rPr>
          <w:rFonts w:hint="eastAsia" w:asciiTheme="minorEastAsia" w:hAnsiTheme="minorEastAsia" w:eastAsiaTheme="minorEastAsia" w:cstheme="minorEastAsia"/>
          <w:color w:val="auto"/>
          <w:highlight w:val="none"/>
          <w:lang w:eastAsia="zh-CN"/>
        </w:rPr>
        <w:t>；</w:t>
      </w:r>
    </w:p>
    <w:p w14:paraId="0AC07F35">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付款方式</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本项目无预付款，货物运至指定安装地点后，初检合格后支付30%货款，项目最终验收合格后30日内采购方付至成交总额的100%货款</w:t>
      </w:r>
      <w:r>
        <w:rPr>
          <w:rFonts w:hint="eastAsia" w:asciiTheme="minorEastAsia" w:hAnsiTheme="minorEastAsia" w:eastAsiaTheme="minorEastAsia" w:cstheme="minorEastAsia"/>
          <w:color w:val="auto"/>
          <w:highlight w:val="none"/>
          <w:lang w:eastAsia="zh-CN"/>
        </w:rPr>
        <w:t>；</w:t>
      </w:r>
    </w:p>
    <w:p w14:paraId="1B109151">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包装和运输</w:t>
      </w:r>
      <w:r>
        <w:rPr>
          <w:rFonts w:hint="eastAsia" w:asciiTheme="minorEastAsia" w:hAnsiTheme="minorEastAsia" w:eastAsiaTheme="minorEastAsia" w:cstheme="minorEastAsia"/>
          <w:color w:val="auto"/>
          <w:highlight w:val="none"/>
          <w:lang w:eastAsia="zh-CN"/>
        </w:rPr>
        <w:t>：详见采购文件；</w:t>
      </w:r>
    </w:p>
    <w:p w14:paraId="1B0515F1">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售后服务</w:t>
      </w:r>
      <w:r>
        <w:rPr>
          <w:rFonts w:hint="eastAsia" w:asciiTheme="minorEastAsia" w:hAnsiTheme="minorEastAsia" w:eastAsiaTheme="minorEastAsia" w:cstheme="minorEastAsia"/>
          <w:color w:val="auto"/>
          <w:highlight w:val="none"/>
          <w:lang w:eastAsia="zh-CN"/>
        </w:rPr>
        <w:t>：</w:t>
      </w:r>
      <w:bookmarkStart w:id="22" w:name="EBf8bbd6fe776a476f93abe3d123fd96b0"/>
    </w:p>
    <w:bookmarkEnd w:id="22"/>
    <w:p w14:paraId="7B06AF52">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1、三年内免费对提供的产品进行维护更换，超过三年按照质保期要求执行。</w:t>
      </w:r>
    </w:p>
    <w:p w14:paraId="3E6E1111">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2、要求接到采购方故障通知后4小时到现场进行排查。如不需要更换零构件的，24小时内现场维修解决；如需要更换零构件的3日内完成。
</w:t>
      </w:r>
    </w:p>
    <w:p w14:paraId="01FF66D2">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质保期内出现的问题由中标供应商免费进行维修，中标供应商在接到故障报修的24小时内派员维修完毕，并将维修结果报给采购人。同一设备的相同问题经两次维修仍不能解决的，中标供应商应免费更换新设备。如中标供应商接到通知未在48小时内进行维修，采购人另行聘请第三方进行维修，所产生的全部费用由中标供应商承担，中标供应商在接到采购人前述费用通知的三日内支付采购人维修款。</w:t>
      </w:r>
    </w:p>
    <w:p w14:paraId="72EE465E">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4、中标供应商免费为采购人提供至少1名现场技术培训人员，培训内容包括但不限于设备操作、基本维护等。</w:t>
      </w:r>
    </w:p>
    <w:p w14:paraId="53DDC775">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5、供应商须在响应文件中列明售后服务联系负责人、联系电话、地址。并出具承诺函，承诺质保期内更换的零配件均为全新原厂配件。</w:t>
      </w:r>
    </w:p>
    <w:p w14:paraId="7A597159">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保险</w:t>
      </w:r>
      <w:r>
        <w:rPr>
          <w:rFonts w:hint="eastAsia" w:asciiTheme="minorEastAsia" w:hAnsiTheme="minorEastAsia" w:eastAsiaTheme="minorEastAsia" w:cstheme="minorEastAsia"/>
          <w:color w:val="auto"/>
          <w:highlight w:val="none"/>
          <w:lang w:eastAsia="zh-CN"/>
        </w:rPr>
        <w:t>：按相关规定执行。</w:t>
      </w:r>
    </w:p>
    <w:p w14:paraId="6E6C9AD7">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投标有效期</w:t>
      </w:r>
      <w:r>
        <w:rPr>
          <w:rFonts w:hint="eastAsia" w:asciiTheme="minorEastAsia" w:hAnsiTheme="minorEastAsia" w:cstheme="minorEastAsia"/>
          <w:color w:val="auto"/>
          <w:highlight w:val="none"/>
          <w:lang w:val="en-US" w:eastAsia="zh-CN"/>
        </w:rPr>
        <w:t>：</w:t>
      </w:r>
      <w:r>
        <w:rPr>
          <w:rFonts w:hint="eastAsia" w:asciiTheme="minorEastAsia" w:hAnsiTheme="minorEastAsia" w:eastAsiaTheme="minorEastAsia" w:cstheme="minorEastAsia"/>
          <w:color w:val="auto"/>
          <w:kern w:val="2"/>
          <w:sz w:val="21"/>
          <w:szCs w:val="22"/>
          <w:highlight w:val="none"/>
          <w:lang w:val="en-US" w:eastAsia="zh-CN" w:bidi="ar-SA"/>
        </w:rPr>
        <w:t xml:space="preserve"> 60 日历天。</w:t>
      </w:r>
    </w:p>
    <w:p w14:paraId="73613807">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其他</w:t>
      </w:r>
      <w:r>
        <w:rPr>
          <w:rFonts w:hint="eastAsia" w:asciiTheme="minorEastAsia" w:hAnsiTheme="minorEastAsia" w:eastAsiaTheme="minorEastAsia" w:cstheme="minorEastAsia"/>
          <w:color w:val="auto"/>
          <w:highlight w:val="none"/>
          <w:lang w:eastAsia="zh-CN"/>
        </w:rPr>
        <w:t>：</w:t>
      </w:r>
    </w:p>
    <w:p w14:paraId="25E22156">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eastAsia="en-US"/>
        </w:rPr>
        <w:t>质保期</w:t>
      </w:r>
      <w:r>
        <w:rPr>
          <w:rFonts w:hint="eastAsia" w:asciiTheme="minorEastAsia" w:hAnsiTheme="minorEastAsia" w:eastAsiaTheme="minorEastAsia" w:cstheme="minorEastAsia"/>
          <w:color w:val="auto"/>
          <w:highlight w:val="none"/>
          <w:lang w:val="en-US" w:eastAsia="zh-CN"/>
        </w:rPr>
        <w:t>：3年。</w:t>
      </w:r>
    </w:p>
    <w:p w14:paraId="06E0154B">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2、履约保证金：不要求。</w:t>
      </w:r>
    </w:p>
    <w:p w14:paraId="3F8CE6E3">
      <w:pPr>
        <w:pStyle w:val="11"/>
        <w:ind w:firstLine="42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缴纳形式：</w:t>
      </w:r>
      <w:r>
        <w:rPr>
          <w:rFonts w:hint="eastAsia" w:asciiTheme="minorEastAsia" w:hAnsiTheme="minorEastAsia" w:eastAsiaTheme="minorEastAsia" w:cstheme="minorEastAsia"/>
          <w:color w:val="auto"/>
          <w:highlight w:val="none"/>
          <w:lang w:val="en-US" w:eastAsia="zh-CN"/>
        </w:rPr>
        <w:sym w:font="Wingdings 2" w:char="0052"/>
      </w:r>
      <w:r>
        <w:rPr>
          <w:rFonts w:hint="eastAsia" w:asciiTheme="minorEastAsia" w:hAnsiTheme="minorEastAsia" w:eastAsiaTheme="minorEastAsia" w:cstheme="minorEastAsia"/>
          <w:color w:val="auto"/>
          <w:highlight w:val="none"/>
          <w:lang w:val="en-US" w:eastAsia="zh-CN"/>
        </w:rPr>
        <w:t xml:space="preserve">银行支票、汇票  </w:t>
      </w:r>
      <w:r>
        <w:rPr>
          <w:rFonts w:hint="eastAsia" w:asciiTheme="minorEastAsia" w:hAnsiTheme="minorEastAsia" w:eastAsiaTheme="minorEastAsia" w:cstheme="minorEastAsia"/>
          <w:color w:val="auto"/>
          <w:highlight w:val="none"/>
          <w:lang w:val="en-US" w:eastAsia="zh-CN"/>
        </w:rPr>
        <w:sym w:font="Wingdings 2" w:char="0052"/>
      </w:r>
      <w:r>
        <w:rPr>
          <w:rFonts w:hint="eastAsia" w:asciiTheme="minorEastAsia" w:hAnsiTheme="minorEastAsia" w:eastAsiaTheme="minorEastAsia" w:cstheme="minorEastAsia"/>
          <w:color w:val="auto"/>
          <w:highlight w:val="none"/>
          <w:lang w:val="en-US" w:eastAsia="zh-CN"/>
        </w:rPr>
        <w:t>银行 保函</w:t>
      </w:r>
      <w:r>
        <w:rPr>
          <w:rFonts w:hint="eastAsia" w:asciiTheme="minorEastAsia" w:hAnsiTheme="minorEastAsia" w:eastAsiaTheme="minorEastAsia" w:cstheme="minorEastAsia"/>
          <w:color w:val="auto"/>
          <w:highlight w:val="none"/>
          <w:lang w:val="en-US" w:eastAsia="zh-CN"/>
        </w:rPr>
        <w:sym w:font="Wingdings 2" w:char="0052"/>
      </w:r>
      <w:r>
        <w:rPr>
          <w:rFonts w:hint="eastAsia" w:asciiTheme="minorEastAsia" w:hAnsiTheme="minorEastAsia" w:eastAsiaTheme="minorEastAsia" w:cstheme="minorEastAsia"/>
          <w:color w:val="auto"/>
          <w:highlight w:val="none"/>
          <w:lang w:val="en-US" w:eastAsia="zh-CN"/>
        </w:rPr>
        <w:t>担保(经国家有关部门认定的担保公司出具)。</w:t>
      </w:r>
    </w:p>
    <w:p w14:paraId="2D6D6965">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3、提供的应急通信设备，能与贵州省公安厅、贵阳市公安局应急通信网络联通，数据能实时发送到贵州省公安厅、贵阳市公安局应急指挥部，并出具承诺函，格式自拟。</w:t>
      </w:r>
    </w:p>
    <w:p w14:paraId="0F10FB0C">
      <w:pPr>
        <w:pStyle w:val="3"/>
        <w:numPr>
          <w:ilvl w:val="0"/>
          <w:numId w:val="1"/>
        </w:numPr>
        <w:ind w:left="0" w:leftChars="0" w:firstLine="0" w:firstLineChars="0"/>
        <w:jc w:val="center"/>
        <w:rPr>
          <w:rFonts w:hint="eastAsia" w:asciiTheme="minorEastAsia" w:hAnsiTheme="minorEastAsia" w:eastAsiaTheme="minorEastAsia" w:cstheme="minorEastAsia"/>
          <w:color w:val="auto"/>
          <w:sz w:val="30"/>
          <w:szCs w:val="30"/>
          <w:highlight w:val="none"/>
        </w:rPr>
      </w:pPr>
      <w:bookmarkStart w:id="23" w:name="_Toc66695627"/>
      <w:r>
        <w:rPr>
          <w:rFonts w:hint="eastAsia" w:asciiTheme="minorEastAsia" w:hAnsiTheme="minorEastAsia" w:eastAsiaTheme="minorEastAsia" w:cstheme="minorEastAsia"/>
          <w:color w:val="auto"/>
          <w:sz w:val="30"/>
          <w:szCs w:val="30"/>
          <w:highlight w:val="none"/>
        </w:rPr>
        <w:t>评标办法及评分标准</w:t>
      </w:r>
      <w:bookmarkEnd w:id="23"/>
    </w:p>
    <w:p w14:paraId="5FC5FFDE">
      <w:pPr>
        <w:pStyle w:val="3"/>
        <w:jc w:val="center"/>
        <w:rPr>
          <w:rFonts w:hint="eastAsia" w:asciiTheme="minorEastAsia" w:hAnsiTheme="minorEastAsia" w:eastAsiaTheme="minorEastAsia" w:cstheme="minorEastAsia"/>
          <w:color w:val="auto"/>
          <w:sz w:val="24"/>
          <w:highlight w:val="none"/>
        </w:rPr>
      </w:pPr>
      <w:bookmarkStart w:id="24" w:name="_Toc256000013"/>
      <w:r>
        <w:rPr>
          <w:rFonts w:hint="eastAsia" w:asciiTheme="minorEastAsia" w:hAnsiTheme="minorEastAsia" w:eastAsiaTheme="minorEastAsia" w:cstheme="minorEastAsia"/>
          <w:color w:val="auto"/>
          <w:sz w:val="30"/>
          <w:szCs w:val="30"/>
          <w:highlight w:val="none"/>
        </w:rPr>
        <w:t>第一节 评标办法</w:t>
      </w:r>
      <w:bookmarkEnd w:id="24"/>
    </w:p>
    <w:p w14:paraId="525AA7DE">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本项目采用</w:t>
      </w:r>
      <w:bookmarkStart w:id="25" w:name="EB61b0fd748a48416ebc024580a13d5e7c"/>
      <w:bookmarkEnd w:id="25"/>
      <w:r>
        <w:rPr>
          <w:rFonts w:hint="eastAsia" w:asciiTheme="minorEastAsia" w:hAnsiTheme="minorEastAsia" w:eastAsiaTheme="minorEastAsia" w:cstheme="minorEastAsia"/>
          <w:color w:val="auto"/>
          <w:highlight w:val="none"/>
        </w:rPr>
        <w:t>综合评分法进行评审。</w:t>
      </w:r>
    </w:p>
    <w:p w14:paraId="173EA68F">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D860D8">
      <w:pPr>
        <w:pStyle w:val="3"/>
        <w:jc w:val="center"/>
        <w:rPr>
          <w:rFonts w:hint="eastAsia" w:asciiTheme="minorEastAsia" w:hAnsiTheme="minorEastAsia" w:eastAsiaTheme="minorEastAsia" w:cstheme="minorEastAsia"/>
          <w:color w:val="auto"/>
          <w:highlight w:val="none"/>
        </w:rPr>
      </w:pPr>
      <w:bookmarkStart w:id="26" w:name="_Toc66695629"/>
      <w:bookmarkStart w:id="27" w:name="_Toc256000014"/>
      <w:r>
        <w:rPr>
          <w:rFonts w:hint="eastAsia" w:asciiTheme="minorEastAsia" w:hAnsiTheme="minorEastAsia" w:eastAsiaTheme="minorEastAsia" w:cstheme="minorEastAsia"/>
          <w:color w:val="auto"/>
          <w:sz w:val="30"/>
          <w:szCs w:val="30"/>
          <w:highlight w:val="none"/>
        </w:rPr>
        <w:t>第二节 评分标准</w:t>
      </w:r>
      <w:bookmarkEnd w:id="26"/>
      <w:bookmarkEnd w:id="27"/>
    </w:p>
    <w:p w14:paraId="6E97C382">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一、评分因素</w:t>
      </w:r>
    </w:p>
    <w:p w14:paraId="7CA5EF90">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评分的主要因素分为价格因素、主观因素、客观因素、信用因素。具体内容详见评分表。评标分值保留至两位小数。评标时，评标专家依照评分表对每个有效供应商的投标文件进行独立评审、打分。</w:t>
      </w:r>
    </w:p>
    <w:p w14:paraId="27802D87">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二、评分标准</w:t>
      </w:r>
    </w:p>
    <w:p w14:paraId="700E1F3A">
      <w:pPr>
        <w:pStyle w:val="11"/>
        <w:ind w:firstLine="42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1.资格性审查表：资格审查人负责资格性审查</w:t>
      </w:r>
      <w:r>
        <w:rPr>
          <w:rFonts w:hint="eastAsia" w:asciiTheme="minorEastAsia" w:hAnsiTheme="minorEastAsia" w:eastAsiaTheme="minorEastAsia" w:cstheme="minorEastAsia"/>
          <w:color w:val="auto"/>
          <w:highlight w:val="none"/>
          <w:lang w:eastAsia="zh-CN"/>
        </w:rPr>
        <w:t>。</w:t>
      </w:r>
    </w:p>
    <w:p w14:paraId="442D48F1">
      <w:pPr>
        <w:pStyle w:val="11"/>
        <w:ind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2.符合性审查表：评标委员会负责符合性审查</w:t>
      </w:r>
      <w:r>
        <w:rPr>
          <w:rFonts w:hint="eastAsia" w:asciiTheme="minorEastAsia" w:hAnsiTheme="minorEastAsia" w:eastAsiaTheme="minorEastAsia" w:cstheme="minorEastAsia"/>
          <w:color w:val="auto"/>
          <w:highlight w:val="none"/>
          <w:lang w:eastAsia="zh-CN"/>
        </w:rPr>
        <w:t>。</w:t>
      </w:r>
    </w:p>
    <w:p w14:paraId="04DE69FF">
      <w:pPr>
        <w:pStyle w:val="3"/>
        <w:jc w:val="center"/>
        <w:rPr>
          <w:rFonts w:hint="eastAsia" w:ascii="宋体" w:hAnsi="宋体" w:eastAsia="宋体" w:cs="宋体"/>
          <w:sz w:val="30"/>
          <w:szCs w:val="30"/>
        </w:rPr>
      </w:pPr>
      <w:bookmarkStart w:id="28" w:name="_Toc256000015"/>
      <w:bookmarkStart w:id="29" w:name="_Toc66695630"/>
      <w:r>
        <w:rPr>
          <w:rFonts w:hint="eastAsia" w:ascii="宋体" w:hAnsi="宋体" w:eastAsia="宋体" w:cs="宋体"/>
          <w:sz w:val="30"/>
          <w:szCs w:val="30"/>
          <w:highlight w:val="white"/>
        </w:rPr>
        <w:t>第三节 废标条款</w:t>
      </w:r>
      <w:bookmarkEnd w:id="28"/>
      <w:bookmarkEnd w:id="29"/>
    </w:p>
    <w:p w14:paraId="66F72B74">
      <w:pPr>
        <w:widowControl/>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（一）符合专业条件的或对采购文件作实质响应的有效投标供应商不足三家的；</w:t>
      </w:r>
    </w:p>
    <w:p w14:paraId="72D215F0">
      <w:pPr>
        <w:widowControl/>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（二）出现影响采购公正的违法、违规行为的；</w:t>
      </w:r>
    </w:p>
    <w:p w14:paraId="42025DC6">
      <w:pPr>
        <w:widowControl/>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（三）供应商报价均超过了采购预算，采购人不能支付的；</w:t>
      </w:r>
    </w:p>
    <w:p w14:paraId="393C00B5">
      <w:pPr>
        <w:widowControl/>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（四）因重大变故，采购任务取消的；</w:t>
      </w:r>
    </w:p>
    <w:p w14:paraId="6C832263">
      <w:pPr>
        <w:widowControl/>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（五）法律法规规定的其他情形；</w:t>
      </w:r>
    </w:p>
    <w:p w14:paraId="34791FC0">
      <w:pPr>
        <w:pStyle w:val="3"/>
        <w:jc w:val="center"/>
        <w:rPr>
          <w:rFonts w:hint="eastAsia" w:ascii="宋体" w:hAnsi="宋体" w:eastAsia="宋体" w:cs="宋体"/>
        </w:rPr>
      </w:pPr>
      <w:bookmarkStart w:id="30" w:name="_Toc256000016"/>
      <w:bookmarkStart w:id="31" w:name="_Toc66695631"/>
      <w:r>
        <w:rPr>
          <w:rFonts w:hint="eastAsia" w:ascii="宋体" w:hAnsi="宋体" w:eastAsia="宋体" w:cs="宋体"/>
          <w:sz w:val="30"/>
          <w:szCs w:val="30"/>
          <w:highlight w:val="white"/>
        </w:rPr>
        <w:t>第四节 无效标条款</w:t>
      </w:r>
      <w:bookmarkEnd w:id="30"/>
      <w:bookmarkEnd w:id="31"/>
    </w:p>
    <w:p w14:paraId="3D6B766D">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出现下列情形之一的，供应商递交的投标文件作无效标处理，该供应商的投标文件不参与评审，且不计算入有效投标供应商家数：</w:t>
      </w:r>
    </w:p>
    <w:p w14:paraId="45DAF264">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（一）递交的投标文件未在规定时间解密成功、或未按采购文件要求签署、盖章的；</w:t>
      </w:r>
    </w:p>
    <w:p w14:paraId="06D49CAE">
      <w:pPr>
        <w:widowControl/>
        <w:ind w:firstLine="84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 注：但不得因签章地方的当前页面签章位置偏移，作无效标依据。</w:t>
      </w:r>
    </w:p>
    <w:p w14:paraId="4BAC7D3E">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（二）供应商不符合采购文件规定的资格要求的；</w:t>
      </w:r>
    </w:p>
    <w:p w14:paraId="4C16A522">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（三）项目接受联合体投标时，投标联合体未提交联合投标协议的；</w:t>
      </w:r>
    </w:p>
    <w:p w14:paraId="000E9EDE">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（四）经评标委员会认定为异常低价的；</w:t>
      </w:r>
    </w:p>
    <w:p w14:paraId="136E73DC">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（五）投标文件对采购文件的实质性要求明细表未作出响应的；</w:t>
      </w:r>
    </w:p>
    <w:p w14:paraId="33264D64">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（六）投标文件中含义不明确、同类问题表述不一致或者有明显文件和计算错误的内容，经评标委员会认定影响投标文件响应的；</w:t>
      </w:r>
    </w:p>
    <w:p w14:paraId="26BD1278">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（七）投标报价超过采购文件规定的预算金额或最高限价的；</w:t>
      </w:r>
    </w:p>
    <w:p w14:paraId="4EE11562">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（八）投标文件含有采购人不能接受的附加条件的；</w:t>
      </w:r>
    </w:p>
    <w:p w14:paraId="09000B6B">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（九）供应商有串通投标、弄虚作假、行贿等违法行为的；</w:t>
      </w:r>
    </w:p>
    <w:p w14:paraId="51E86CAB">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（十）有下列情形之一的，视为投标人串通投标，其投标无效：</w:t>
      </w:r>
    </w:p>
    <w:p w14:paraId="101AC3F1">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1.不同投标人的投标文件由同一单位或者个人编制；</w:t>
      </w:r>
    </w:p>
    <w:p w14:paraId="3C499C6E">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2.不同投标人委托同一单位或者个人办理投标事宜；</w:t>
      </w:r>
    </w:p>
    <w:p w14:paraId="47D0A654">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3.不同投标人的投标文件载明的项目管理成员或者联系人员为同一人；</w:t>
      </w:r>
    </w:p>
    <w:p w14:paraId="30C1378A">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4.不同投标人的投标文件异常一致或者投标报价呈规律性差异；</w:t>
      </w:r>
    </w:p>
    <w:p w14:paraId="0F82DBB4">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5.不同投标人的投标文件相互混装；</w:t>
      </w:r>
    </w:p>
    <w:p w14:paraId="50FC342B">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6.不同投标人的投标保证金从同一单位或者个人的账户转出。</w:t>
      </w:r>
    </w:p>
    <w:p w14:paraId="090D22F6">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（十一）投标有效期不满足采购文件要求的；</w:t>
      </w:r>
    </w:p>
    <w:p w14:paraId="3095C1E4">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（十二）单位负责人为同一人或者存在直接控股、管理关系的不同供应商，不得参加同一合同项下的政府采购活动；</w:t>
      </w:r>
    </w:p>
    <w:p w14:paraId="0C65E726">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（十三）除单一来源采购项目外，为采购项目提供整体设计、规范编制或者项目管理、监理、检测等服务的供应商，再参加该采购项目的其他采购活动的；</w:t>
      </w:r>
    </w:p>
    <w:p w14:paraId="5ACE8DA2">
      <w:pPr>
        <w:widowControl/>
        <w:ind w:firstLine="420"/>
        <w:rPr>
          <w:rFonts w:hint="eastAsia" w:ascii="宋体" w:hAnsi="宋体" w:eastAsia="宋体" w:cs="宋体"/>
          <w:b/>
          <w:bCs/>
          <w:kern w:val="0"/>
          <w:szCs w:val="21"/>
        </w:rPr>
      </w:pPr>
      <w:r>
        <w:rPr>
          <w:rFonts w:hint="eastAsia" w:ascii="宋体" w:hAnsi="宋体" w:eastAsia="宋体" w:cs="宋体"/>
          <w:b/>
          <w:bCs/>
          <w:kern w:val="0"/>
          <w:szCs w:val="21"/>
          <w:highlight w:val="white"/>
        </w:rPr>
        <w:t>（十四）违反政府采购法律法规，足以导致响应文件无效的情形。</w:t>
      </w:r>
    </w:p>
    <w:p w14:paraId="007350C1">
      <w:pPr>
        <w:widowControl/>
        <w:ind w:firstLine="840"/>
        <w:rPr>
          <w:rFonts w:hint="eastAsia" w:ascii="宋体" w:hAnsi="宋体" w:eastAsia="宋体" w:cs="宋体"/>
          <w:b/>
          <w:bCs/>
          <w:kern w:val="0"/>
          <w:szCs w:val="21"/>
        </w:rPr>
      </w:pPr>
      <w:r>
        <w:rPr>
          <w:rFonts w:hint="eastAsia" w:ascii="宋体" w:hAnsi="宋体" w:eastAsia="宋体" w:cs="宋体"/>
          <w:b/>
          <w:bCs/>
          <w:kern w:val="0"/>
          <w:szCs w:val="21"/>
          <w:highlight w:val="white"/>
          <w:shd w:val="clear" w:color="auto" w:fill="FFFFFF"/>
        </w:rPr>
        <w:t>注：不得因文件排序等非实质性的格式、形式问题限制和影响供应商投标（响应）。</w:t>
      </w:r>
    </w:p>
    <w:p w14:paraId="5503A61B">
      <w:pPr>
        <w:rPr>
          <w:rFonts w:hint="eastAsia" w:asciiTheme="minorEastAsia" w:hAnsiTheme="minorEastAsia" w:eastAsiaTheme="minorEastAsia" w:cstheme="minorEastAsia"/>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超细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45"/>
    <w:multiLevelType w:val="singleLevel"/>
    <w:tmpl w:val="58818F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GNmNDNkMTZhNjkyYzkyYWE5NzMyOWYxMzdhMTMifQ=="/>
  </w:docVars>
  <w:rsids>
    <w:rsidRoot w:val="24312B6B"/>
    <w:rsid w:val="032075E8"/>
    <w:rsid w:val="06D852E7"/>
    <w:rsid w:val="16663E9A"/>
    <w:rsid w:val="1DAC6F5B"/>
    <w:rsid w:val="24312B6B"/>
    <w:rsid w:val="337A3F3D"/>
    <w:rsid w:val="459B4F7E"/>
    <w:rsid w:val="499608F4"/>
    <w:rsid w:val="4F495A4B"/>
    <w:rsid w:val="548C74D6"/>
    <w:rsid w:val="621A0073"/>
    <w:rsid w:val="6A727428"/>
    <w:rsid w:val="6D072A45"/>
    <w:rsid w:val="7A70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adjustRightInd w:val="0"/>
      <w:snapToGrid w:val="0"/>
      <w:spacing w:line="360" w:lineRule="auto"/>
      <w:jc w:val="left"/>
      <w:outlineLvl w:val="1"/>
    </w:pPr>
    <w:rPr>
      <w:rFonts w:ascii="Arial" w:hAnsi="Arial" w:eastAsia="方正兰亭超细黑简体"/>
      <w:b/>
      <w:bCs/>
      <w:kern w:val="0"/>
      <w:sz w:val="28"/>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rPr>
      <w:sz w:val="28"/>
    </w:rPr>
  </w:style>
  <w:style w:type="paragraph" w:styleId="5">
    <w:name w:val="annotation text"/>
    <w:basedOn w:val="1"/>
    <w:qFormat/>
    <w:uiPriority w:val="99"/>
    <w:pPr>
      <w:jc w:val="left"/>
    </w:pPr>
    <w:rPr>
      <w:szCs w:val="24"/>
    </w:rPr>
  </w:style>
  <w:style w:type="paragraph" w:styleId="6">
    <w:name w:val="index 6"/>
    <w:basedOn w:val="1"/>
    <w:next w:val="1"/>
    <w:qFormat/>
    <w:uiPriority w:val="0"/>
    <w:pPr>
      <w:ind w:left="1000" w:leftChars="1000"/>
    </w:pPr>
  </w:style>
  <w:style w:type="paragraph" w:styleId="7">
    <w:name w:val="toc 1"/>
    <w:basedOn w:val="1"/>
    <w:next w:val="1"/>
    <w:qFormat/>
    <w:uiPriority w:val="39"/>
    <w:pPr>
      <w:spacing w:before="120" w:after="120"/>
      <w:jc w:val="left"/>
    </w:pPr>
    <w:rPr>
      <w:b/>
      <w:bCs/>
      <w: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1"/>
    <w:basedOn w:val="1"/>
    <w:qFormat/>
    <w:uiPriority w:val="0"/>
    <w:pPr>
      <w:spacing w:line="360" w:lineRule="auto"/>
      <w:ind w:firstLine="600" w:firstLineChars="200"/>
      <w:jc w:val="left"/>
    </w:pPr>
    <w:rPr>
      <w:rFonts w:ascii="Times New Roman" w:hAnsi="Times New Roman"/>
      <w:szCs w:val="24"/>
    </w:rPr>
  </w:style>
  <w:style w:type="character" w:customStyle="1" w:styleId="12">
    <w:name w:val="font41"/>
    <w:basedOn w:val="10"/>
    <w:qFormat/>
    <w:uiPriority w:val="0"/>
    <w:rPr>
      <w:rFonts w:hint="eastAsia" w:ascii="仿宋" w:hAnsi="仿宋" w:eastAsia="仿宋" w:cs="仿宋"/>
      <w:color w:val="000000"/>
      <w:sz w:val="20"/>
      <w:szCs w:val="20"/>
      <w:u w:val="none"/>
    </w:rPr>
  </w:style>
  <w:style w:type="character" w:customStyle="1" w:styleId="13">
    <w:name w:val="font61"/>
    <w:basedOn w:val="10"/>
    <w:qFormat/>
    <w:uiPriority w:val="0"/>
    <w:rPr>
      <w:rFonts w:hint="eastAsia" w:ascii="宋体" w:hAnsi="宋体" w:eastAsia="宋体" w:cs="宋体"/>
      <w:color w:val="000000"/>
      <w:sz w:val="20"/>
      <w:szCs w:val="20"/>
      <w:u w:val="none"/>
    </w:rPr>
  </w:style>
  <w:style w:type="paragraph" w:styleId="14">
    <w:name w:val="List Paragraph"/>
    <w:basedOn w:val="1"/>
    <w:autoRedefine/>
    <w:qFormat/>
    <w:uiPriority w:val="1"/>
    <w:pPr>
      <w:ind w:left="288"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6795</Words>
  <Characters>7776</Characters>
  <Lines>0</Lines>
  <Paragraphs>0</Paragraphs>
  <TotalTime>0</TotalTime>
  <ScaleCrop>false</ScaleCrop>
  <LinksUpToDate>false</LinksUpToDate>
  <CharactersWithSpaces>7827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2024-05-23T01:45:00Z</dcterms:created>
  <dc:creator>金峰屹</dc:creator>
  <cp:lastModifiedBy>shirley</cp:lastModifiedBy>
  <dcterms:modified xsi:type="dcterms:W3CDTF">2025-08-14T03:59:30Z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1B435FCFB1204F508DFF15A76B1206DF_11</vt:lpwstr>
  </property>
  <property fmtid="{D5CDD505-2E9C-101B-9397-08002B2CF9AE}" pid="4" name="KSOTemplateDocerSaveRecord">
    <vt:lpwstr>eyJoZGlkIjoiYWJjMGNmNDNkMTZhNjkyYzkyYWE5NzMyOWYxMzdhMTMiLCJ1c2VySWQiOiI0OTE1MjQxNDYifQ==</vt:lpwstr>
  </property>
</Properties>
</file>