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000000" w:themeColor="text1"/>
          <w:sz w:val="24"/>
          <w:highlight w:val="none"/>
          <w14:textFill>
            <w14:solidFill>
              <w14:schemeClr w14:val="tx1"/>
            </w14:solidFill>
          </w14:textFill>
        </w:rPr>
      </w:pPr>
    </w:p>
    <w:p>
      <w:pPr>
        <w:adjustRightInd/>
        <w:spacing w:line="360" w:lineRule="auto"/>
        <w:jc w:val="center"/>
        <w:rPr>
          <w:rFonts w:hint="eastAsia" w:ascii="宋体" w:hAnsi="宋体" w:cs="宋体"/>
          <w:color w:val="000000" w:themeColor="text1"/>
          <w:sz w:val="48"/>
          <w:szCs w:val="48"/>
          <w:highlight w:val="none"/>
          <w:lang w:eastAsia="zh-CN"/>
          <w14:textFill>
            <w14:solidFill>
              <w14:schemeClr w14:val="tx1"/>
            </w14:solidFill>
          </w14:textFill>
        </w:rPr>
      </w:pPr>
    </w:p>
    <w:p>
      <w:pPr>
        <w:adjustRightInd/>
        <w:spacing w:line="360" w:lineRule="auto"/>
        <w:jc w:val="center"/>
        <w:rPr>
          <w:rFonts w:hint="eastAsia" w:ascii="宋体" w:hAnsi="宋体" w:eastAsia="宋体" w:cs="宋体"/>
          <w:color w:val="000000" w:themeColor="text1"/>
          <w:sz w:val="48"/>
          <w:szCs w:val="48"/>
          <w:highlight w:val="none"/>
          <w:lang w:eastAsia="zh-CN"/>
          <w14:textFill>
            <w14:solidFill>
              <w14:schemeClr w14:val="tx1"/>
            </w14:solidFill>
          </w14:textFill>
        </w:rPr>
      </w:pPr>
      <w:r>
        <w:rPr>
          <w:rFonts w:hint="eastAsia" w:ascii="宋体" w:hAnsi="宋体" w:cs="宋体"/>
          <w:color w:val="000000" w:themeColor="text1"/>
          <w:sz w:val="48"/>
          <w:szCs w:val="48"/>
          <w:highlight w:val="none"/>
          <w:lang w:eastAsia="zh-CN"/>
          <w14:textFill>
            <w14:solidFill>
              <w14:schemeClr w14:val="tx1"/>
            </w14:solidFill>
          </w14:textFill>
        </w:rPr>
        <w:t xml:space="preserve">求是书院院落环境整治项目 </w:t>
      </w:r>
    </w:p>
    <w:p>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竞争性磋商文件</w:t>
      </w:r>
    </w:p>
    <w:p>
      <w:pPr>
        <w:adjustRightInd/>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（电子交易）</w:t>
      </w:r>
    </w:p>
    <w:p>
      <w:pPr>
        <w:snapToGrid w:val="0"/>
        <w:spacing w:line="360" w:lineRule="auto"/>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330100254070040000022（2）</w:t>
      </w:r>
    </w:p>
    <w:p>
      <w:pPr>
        <w:adjustRightInd/>
        <w:spacing w:line="360" w:lineRule="auto"/>
        <w:rPr>
          <w:rFonts w:ascii="宋体" w:hAnsi="宋体" w:cs="宋体"/>
          <w:color w:val="000000" w:themeColor="text1"/>
          <w:sz w:val="28"/>
          <w:szCs w:val="20"/>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pPr>
        <w:spacing w:line="360" w:lineRule="auto"/>
        <w:jc w:val="both"/>
        <w:rPr>
          <w:rFonts w:ascii="宋体" w:hAnsi="宋体" w:cs="宋体"/>
          <w:b/>
          <w:color w:val="000000" w:themeColor="text1"/>
          <w:sz w:val="44"/>
          <w:szCs w:val="44"/>
          <w:highlight w:val="none"/>
          <w14:textFill>
            <w14:solidFill>
              <w14:schemeClr w14:val="tx1"/>
            </w14:solidFill>
          </w14:textFill>
        </w:rPr>
      </w:pPr>
    </w:p>
    <w:p>
      <w:pPr>
        <w:pStyle w:val="2"/>
        <w:rPr>
          <w:rFonts w:ascii="宋体" w:hAnsi="宋体" w:cs="宋体"/>
          <w:b/>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pStyle w:val="2"/>
      </w:pPr>
    </w:p>
    <w:p>
      <w:pPr>
        <w:spacing w:line="360" w:lineRule="auto"/>
        <w:rPr>
          <w:rFonts w:ascii="宋体" w:hAnsi="宋体" w:cs="宋体"/>
          <w:color w:val="000000" w:themeColor="text1"/>
          <w:sz w:val="32"/>
          <w:szCs w:val="32"/>
          <w:highlight w:val="none"/>
          <w14:textFill>
            <w14:solidFill>
              <w14:schemeClr w14:val="tx1"/>
            </w14:solidFill>
          </w14:textFill>
        </w:rPr>
      </w:pPr>
    </w:p>
    <w:p>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杭州市文物遗产与历史建筑保护中心</w:t>
      </w:r>
    </w:p>
    <w:p>
      <w:pPr>
        <w:snapToGrid w:val="0"/>
        <w:spacing w:line="360" w:lineRule="auto"/>
        <w:jc w:val="center"/>
        <w:rPr>
          <w:rFonts w:hint="eastAsia" w:ascii="宋体" w:hAnsi="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eastAsia="zh-CN"/>
          <w14:textFill>
            <w14:solidFill>
              <w14:schemeClr w14:val="tx1"/>
            </w14:solidFill>
          </w14:textFill>
        </w:rPr>
        <w:t>浙江泛亚工程咨询有限公司</w:t>
      </w:r>
    </w:p>
    <w:p>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eastAsia="zh-CN"/>
          <w14:textFill>
            <w14:solidFill>
              <w14:schemeClr w14:val="tx1"/>
            </w14:solidFill>
          </w14:textFill>
        </w:rPr>
        <w:t>五</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val="en-US" w:eastAsia="zh-CN"/>
          <w14:textFill>
            <w14:solidFill>
              <w14:schemeClr w14:val="tx1"/>
            </w14:solidFill>
          </w14:textFill>
        </w:rPr>
        <w:t>十</w:t>
      </w:r>
      <w:r>
        <w:rPr>
          <w:rFonts w:hint="eastAsia" w:ascii="宋体" w:hAnsi="宋体" w:cs="宋体"/>
          <w:bCs/>
          <w:color w:val="000000" w:themeColor="text1"/>
          <w:sz w:val="32"/>
          <w:szCs w:val="32"/>
          <w:highlight w:val="none"/>
          <w14:textFill>
            <w14:solidFill>
              <w14:schemeClr w14:val="tx1"/>
            </w14:solidFill>
          </w14:textFill>
        </w:rPr>
        <w:t>月</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0" w:name="_Hlt67893495"/>
      <w:bookmarkEnd w:id="0"/>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第一部分      竞争性磋商公告</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第二部分      供应商须知</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第三部分      采购需求</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第四部分      评审办法</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第五部分      拟签订的合同文本</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第六部分      应提交的有关格式范例</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1" w:name="_Hlt91233176"/>
      <w:bookmarkEnd w:id="1"/>
      <w:bookmarkStart w:id="2" w:name="_Toc91899869"/>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3" w:name="第一部分"/>
      <w:r>
        <w:rPr>
          <w:rFonts w:hint="eastAsia" w:ascii="宋体" w:hAnsi="宋体" w:cs="宋体"/>
          <w:b/>
          <w:color w:val="000000" w:themeColor="text1"/>
          <w:sz w:val="36"/>
          <w:szCs w:val="36"/>
          <w:highlight w:val="none"/>
          <w14:textFill>
            <w14:solidFill>
              <w14:schemeClr w14:val="tx1"/>
            </w14:solidFill>
          </w14:textFill>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color w:val="000000" w:themeColor="text1"/>
          <w:sz w:val="36"/>
          <w:szCs w:val="20"/>
          <w:highlight w:val="none"/>
          <w14:textFill>
            <w14:solidFill>
              <w14:schemeClr w14:val="tx1"/>
            </w14:solidFill>
          </w14:textFill>
        </w:rPr>
        <w:t>第一部分 竞争性磋商公告</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求是书院院落环境整治项目</w:t>
      </w:r>
      <w:r>
        <w:rPr>
          <w:rFonts w:hint="eastAsia" w:ascii="宋体" w:hAnsi="宋体" w:cs="宋体"/>
          <w:color w:val="000000" w:themeColor="text1"/>
          <w:sz w:val="24"/>
          <w:highlight w:val="none"/>
          <w14:textFill>
            <w14:solidFill>
              <w14:schemeClr w14:val="tx1"/>
            </w14:solidFill>
          </w14:textFill>
        </w:rPr>
        <w:t>采购项目的潜在供应商应在政采云平台（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"https://www.zcygov.cn/）获取（下载）招标文件，并于2021年" </w:instrText>
      </w:r>
      <w:r>
        <w:rPr>
          <w:color w:val="000000" w:themeColor="text1"/>
          <w:highlight w:val="none"/>
          <w14:textFill>
            <w14:solidFill>
              <w14:schemeClr w14:val="tx1"/>
            </w14:solidFill>
          </w14:textFill>
        </w:rPr>
        <w:fldChar w:fldCharType="separate"/>
      </w:r>
      <w:r>
        <w:rPr>
          <w:rStyle w:val="77"/>
          <w:rFonts w:hint="eastAsia" w:ascii="宋体" w:hAnsi="宋体" w:eastAsia="宋体" w:cs="宋体"/>
          <w:snapToGrid/>
          <w:color w:val="000000" w:themeColor="text1"/>
          <w:kern w:val="2"/>
          <w:sz w:val="24"/>
          <w:szCs w:val="24"/>
          <w:highlight w:val="none"/>
          <w14:textFill>
            <w14:solidFill>
              <w14:schemeClr w14:val="tx1"/>
            </w14:solidFill>
          </w14:textFill>
        </w:rPr>
        <w:t>https://www.zcygov.cn/）获取（下载）采购文件，并于</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r>
        <w:rPr>
          <w:rFonts w:hint="eastAsia" w:ascii="宋体" w:hAnsi="宋体" w:cs="宋体"/>
          <w:bCs/>
          <w:color w:val="000000" w:themeColor="text1"/>
          <w:sz w:val="24"/>
          <w:highlight w:val="none"/>
          <w:u w:val="single"/>
          <w14:textFill>
            <w14:solidFill>
              <w14:schemeClr w14:val="tx1"/>
            </w14:solidFill>
          </w14:textFill>
        </w:rPr>
        <w:fldChar w:fldCharType="end"/>
      </w:r>
      <w:r>
        <w:rPr>
          <w:rFonts w:hint="eastAsia" w:ascii="宋体" w:hAnsi="宋体" w:cs="宋体"/>
          <w:bCs/>
          <w:color w:val="000000" w:themeColor="text1"/>
          <w:sz w:val="24"/>
          <w:highlight w:val="none"/>
          <w14:textFill>
            <w14:solidFill>
              <w14:schemeClr w14:val="tx1"/>
            </w14:solidFill>
          </w14:textFill>
        </w:rPr>
        <w:t>（北京时间）前</w:t>
      </w:r>
      <w:r>
        <w:rPr>
          <w:rFonts w:hint="eastAsia" w:ascii="宋体" w:hAnsi="宋体" w:cs="宋体"/>
          <w:color w:val="000000" w:themeColor="text1"/>
          <w:sz w:val="24"/>
          <w:highlight w:val="none"/>
          <w14:textFill>
            <w14:solidFill>
              <w14:schemeClr w14:val="tx1"/>
            </w14:solidFill>
          </w14:textFill>
        </w:rPr>
        <w:t>提交（上传）响应文件。</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pPr>
        <w:snapToGrid w:val="0"/>
        <w:spacing w:line="360" w:lineRule="auto"/>
        <w:ind w:firstLine="482"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p>
    <w:p>
      <w:pPr>
        <w:snapToGrid w:val="0"/>
        <w:spacing w:line="360" w:lineRule="auto"/>
        <w:ind w:firstLine="482"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p>
    <w:p>
      <w:pPr>
        <w:snapToGrid w:val="0"/>
        <w:spacing w:line="360" w:lineRule="auto"/>
        <w:ind w:firstLine="482" w:firstLineChars="200"/>
        <w:rPr>
          <w:rFonts w:hint="eastAsia" w:ascii="宋体" w:hAnsi="宋体" w:eastAsia="宋体" w:cs="宋体"/>
          <w:b/>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0"/>
          <w:highlight w:val="none"/>
          <w:u w:val="none"/>
          <w:lang w:val="en-US" w:eastAsia="zh-CN" w:bidi="ar-SA"/>
          <w14:textFill>
            <w14:solidFill>
              <w14:schemeClr w14:val="tx1"/>
            </w14:solidFill>
          </w14:textFill>
        </w:rPr>
        <w:t>预算金额（元）：</w:t>
      </w:r>
      <w:r>
        <w:rPr>
          <w:rFonts w:hint="eastAsia" w:ascii="宋体" w:hAnsi="宋体" w:cs="宋体"/>
          <w:b w:val="0"/>
          <w:bCs/>
          <w:color w:val="000000" w:themeColor="text1"/>
          <w:kern w:val="2"/>
          <w:sz w:val="24"/>
          <w:szCs w:val="20"/>
          <w:highlight w:val="none"/>
          <w:u w:val="none"/>
          <w:lang w:val="en-US" w:eastAsia="zh-CN" w:bidi="ar-SA"/>
          <w14:textFill>
            <w14:solidFill>
              <w14:schemeClr w14:val="tx1"/>
            </w14:solidFill>
          </w14:textFill>
        </w:rPr>
        <w:t>1211300.00</w:t>
      </w:r>
      <w:r>
        <w:rPr>
          <w:rFonts w:hint="eastAsia" w:ascii="宋体" w:hAnsi="宋体" w:eastAsia="宋体" w:cs="宋体"/>
          <w:b w:val="0"/>
          <w:bCs/>
          <w:color w:val="000000" w:themeColor="text1"/>
          <w:kern w:val="2"/>
          <w:sz w:val="24"/>
          <w:szCs w:val="20"/>
          <w:highlight w:val="none"/>
          <w:u w:val="none"/>
          <w:lang w:val="en-US" w:eastAsia="zh-CN" w:bidi="ar-SA"/>
          <w14:textFill>
            <w14:solidFill>
              <w14:schemeClr w14:val="tx1"/>
            </w14:solidFill>
          </w14:textFill>
        </w:rPr>
        <w:t xml:space="preserve">元  </w:t>
      </w:r>
    </w:p>
    <w:p>
      <w:pPr>
        <w:snapToGrid w:val="0"/>
        <w:spacing w:line="360" w:lineRule="auto"/>
        <w:ind w:firstLine="482" w:firstLineChars="200"/>
        <w:rPr>
          <w:rFonts w:ascii="宋体" w:hAnsi="宋体" w:cs="宋体"/>
          <w:b w:val="0"/>
          <w:bCs/>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2"/>
          <w:sz w:val="24"/>
          <w:szCs w:val="20"/>
          <w:highlight w:val="none"/>
          <w:u w:val="none"/>
          <w:lang w:val="en-US" w:eastAsia="zh-CN" w:bidi="ar-SA"/>
          <w14:textFill>
            <w14:solidFill>
              <w14:schemeClr w14:val="tx1"/>
            </w14:solidFill>
          </w14:textFill>
        </w:rPr>
        <w:t>最高限价（元）：</w:t>
      </w:r>
      <w:r>
        <w:rPr>
          <w:rFonts w:hint="eastAsia" w:ascii="宋体" w:hAnsi="宋体" w:cs="宋体"/>
          <w:color w:val="000000" w:themeColor="text1"/>
          <w:sz w:val="24"/>
          <w:highlight w:val="none"/>
          <w:lang w:val="en-US" w:eastAsia="zh-CN"/>
          <w14:textFill>
            <w14:solidFill>
              <w14:schemeClr w14:val="tx1"/>
            </w14:solidFill>
          </w14:textFill>
        </w:rPr>
        <w:t>1211300.00</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元 </w:t>
      </w:r>
      <w:r>
        <w:rPr>
          <w:rFonts w:hint="eastAsia" w:ascii="宋体" w:hAnsi="宋体" w:eastAsia="宋体" w:cs="宋体"/>
          <w:color w:val="000000" w:themeColor="text1"/>
          <w:sz w:val="24"/>
          <w:highlight w:val="none"/>
          <w:lang w:eastAsia="zh-CN"/>
          <w14:textFill>
            <w14:solidFill>
              <w14:schemeClr w14:val="tx1"/>
            </w14:solidFill>
          </w14:textFill>
        </w:rPr>
        <w:t xml:space="preserve"> </w:t>
      </w:r>
    </w:p>
    <w:p>
      <w:pPr>
        <w:pStyle w:val="6"/>
        <w:spacing w:line="360" w:lineRule="auto"/>
        <w:ind w:firstLine="482" w:firstLineChars="20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w:t>
      </w:r>
      <w:r>
        <w:rPr>
          <w:rFonts w:hint="eastAsia" w:hAnsi="宋体" w:cs="宋体"/>
          <w:bCs/>
          <w:snapToGrid/>
          <w:color w:val="000000" w:themeColor="text1"/>
          <w:kern w:val="2"/>
          <w:sz w:val="24"/>
          <w:szCs w:val="24"/>
          <w:highlight w:val="none"/>
          <w:lang w:eastAsia="zh-CN"/>
          <w14:textFill>
            <w14:solidFill>
              <w14:schemeClr w14:val="tx1"/>
            </w14:solidFill>
          </w14:textFill>
        </w:rPr>
        <w:t xml:space="preserve">求是书院院落环境整治项目 </w:t>
      </w:r>
      <w:r>
        <w:rPr>
          <w:rFonts w:hint="eastAsia" w:hAnsi="宋体" w:cs="宋体"/>
          <w:bCs/>
          <w:snapToGrid/>
          <w:color w:val="000000" w:themeColor="text1"/>
          <w:kern w:val="2"/>
          <w:sz w:val="24"/>
          <w:szCs w:val="24"/>
          <w:highlight w:val="none"/>
          <w14:textFill>
            <w14:solidFill>
              <w14:schemeClr w14:val="tx1"/>
            </w14:solidFill>
          </w14:textFill>
        </w:rPr>
        <w:t>主要内容：</w:t>
      </w:r>
      <w:r>
        <w:rPr>
          <w:rFonts w:hint="eastAsia" w:hAnsi="宋体" w:cs="宋体"/>
          <w:bCs/>
          <w:snapToGrid/>
          <w:color w:val="000000" w:themeColor="text1"/>
          <w:kern w:val="2"/>
          <w:sz w:val="24"/>
          <w:szCs w:val="24"/>
          <w:highlight w:val="none"/>
          <w:lang w:eastAsia="zh-CN"/>
          <w14:textFill>
            <w14:solidFill>
              <w14:schemeClr w14:val="tx1"/>
            </w14:solidFill>
          </w14:textFill>
        </w:rPr>
        <w:t>修缮工程</w:t>
      </w:r>
      <w:r>
        <w:rPr>
          <w:rFonts w:hint="eastAsia" w:hAnsi="宋体" w:cs="宋体"/>
          <w:bCs/>
          <w:snapToGrid/>
          <w:color w:val="000000" w:themeColor="text1"/>
          <w:kern w:val="2"/>
          <w:sz w:val="24"/>
          <w:szCs w:val="24"/>
          <w:highlight w:val="none"/>
          <w14:textFill>
            <w14:solidFill>
              <w14:schemeClr w14:val="tx1"/>
            </w14:solidFill>
          </w14:textFill>
        </w:rPr>
        <w:t>、水电安装、室外给排水、室外铺装、景观及绿化工程，</w:t>
      </w:r>
      <w:r>
        <w:rPr>
          <w:rFonts w:hint="eastAsia" w:hAnsi="宋体" w:cs="宋体"/>
          <w:color w:val="000000" w:themeColor="text1"/>
          <w:sz w:val="24"/>
          <w:highlight w:val="none"/>
          <w14:textFill>
            <w14:solidFill>
              <w14:schemeClr w14:val="tx1"/>
            </w14:solidFill>
          </w14:textFill>
        </w:rPr>
        <w:t>具体</w:t>
      </w:r>
      <w:r>
        <w:rPr>
          <w:rFonts w:hint="eastAsia" w:hAnsi="宋体" w:cs="宋体"/>
          <w:color w:val="000000" w:themeColor="text1"/>
          <w:sz w:val="24"/>
          <w:highlight w:val="none"/>
          <w:lang w:eastAsia="zh-CN"/>
          <w14:textFill>
            <w14:solidFill>
              <w14:schemeClr w14:val="tx1"/>
            </w14:solidFill>
          </w14:textFill>
        </w:rPr>
        <w:t>详见工程量清单及图纸</w:t>
      </w:r>
      <w:r>
        <w:rPr>
          <w:rFonts w:hint="eastAsia" w:hAnsi="宋体" w:cs="宋体"/>
          <w:bCs/>
          <w:snapToGrid/>
          <w:color w:val="000000" w:themeColor="text1"/>
          <w:kern w:val="2"/>
          <w:sz w:val="24"/>
          <w:szCs w:val="24"/>
          <w:highlight w:val="none"/>
          <w14:textFill>
            <w14:solidFill>
              <w14:schemeClr w14:val="tx1"/>
            </w14:solidFill>
          </w14:textFill>
        </w:rPr>
        <w:t>。详见采购文件第三部分采购需求。</w:t>
      </w:r>
    </w:p>
    <w:p>
      <w:pPr>
        <w:pStyle w:val="133"/>
        <w:snapToGrid w:val="0"/>
        <w:spacing w:before="0"/>
        <w:ind w:firstLine="482"/>
        <w:outlineLvl w:val="2"/>
        <w:rPr>
          <w:rFonts w:hint="default"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合同履约期限：</w:t>
      </w:r>
      <w:r>
        <w:rPr>
          <w:rFonts w:hint="eastAsia" w:ascii="宋体" w:hAnsi="宋体" w:cs="宋体"/>
          <w:b/>
          <w:color w:val="000000" w:themeColor="text1"/>
          <w:highlight w:val="none"/>
          <w:u w:val="single"/>
          <w:lang w:val="en-US" w:eastAsia="zh-CN"/>
          <w14:textFill>
            <w14:solidFill>
              <w14:schemeClr w14:val="tx1"/>
            </w14:solidFill>
          </w14:textFill>
        </w:rPr>
        <w:t xml:space="preserve"> 120 </w:t>
      </w:r>
      <w:r>
        <w:rPr>
          <w:rFonts w:hint="eastAsia" w:ascii="宋体" w:hAnsi="宋体" w:cs="宋体"/>
          <w:b/>
          <w:color w:val="000000" w:themeColor="text1"/>
          <w:highlight w:val="none"/>
          <w14:textFill>
            <w14:solidFill>
              <w14:schemeClr w14:val="tx1"/>
            </w14:solidFill>
          </w14:textFill>
        </w:rPr>
        <w:t>日历天</w:t>
      </w:r>
      <w:r>
        <w:rPr>
          <w:rFonts w:hint="eastAsia" w:ascii="宋体" w:hAnsi="宋体" w:cs="宋体"/>
          <w:b/>
          <w:color w:val="000000" w:themeColor="text1"/>
          <w:highlight w:val="none"/>
          <w:u w:val="none"/>
          <w:lang w:val="en-US" w:eastAsia="zh-CN"/>
          <w14:textFill>
            <w14:solidFill>
              <w14:schemeClr w14:val="tx1"/>
            </w14:solidFill>
          </w14:textFill>
        </w:rPr>
        <w:t>。</w:t>
      </w:r>
    </w:p>
    <w:p>
      <w:pPr>
        <w:pStyle w:val="6"/>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w:t>
      </w:r>
    </w:p>
    <w:p>
      <w:pPr>
        <w:pStyle w:val="6"/>
        <w:spacing w:line="360" w:lineRule="auto"/>
        <w:ind w:firstLine="480" w:firstLineChars="200"/>
        <w:rPr>
          <w:rFonts w:hAnsi="宋体" w:cs="宋体"/>
          <w:color w:val="000000" w:themeColor="text1"/>
          <w:kern w:val="0"/>
          <w:sz w:val="24"/>
          <w:highlight w:val="none"/>
          <w14:textFill>
            <w14:solidFill>
              <w14:schemeClr w14:val="tx1"/>
            </w14:solidFill>
          </w14:textFill>
        </w:rPr>
      </w:pPr>
      <w:sdt>
        <w:sdtPr>
          <w:rPr>
            <w:rFonts w:hint="eastAsia" w:hAnsi="宋体" w:cs="宋体"/>
            <w:color w:val="000000" w:themeColor="text1"/>
            <w:kern w:val="0"/>
            <w:sz w:val="24"/>
            <w:highlight w:val="none"/>
            <w14:textFill>
              <w14:solidFill>
                <w14:schemeClr w14:val="tx1"/>
              </w14:solidFill>
            </w14:textFill>
          </w:rPr>
          <w:id w:val="2035453831"/>
          <w14:checkbox>
            <w14:checked w14:val="1"/>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Ansi="宋体" w:cs="宋体"/>
              <w:color w:val="000000" w:themeColor="text1"/>
              <w:kern w:val="0"/>
              <w:sz w:val="24"/>
              <w:highlight w:val="none"/>
              <w14:textFill>
                <w14:solidFill>
                  <w14:schemeClr w14:val="tx1"/>
                </w14:solidFill>
              </w14:textFill>
            </w:rPr>
            <w:sym w:font="Wingdings" w:char="F0FE"/>
          </w:r>
        </w:sdtContent>
      </w:sdt>
      <w:r>
        <w:rPr>
          <w:rFonts w:hint="eastAsia" w:hAnsi="宋体" w:cs="宋体"/>
          <w:color w:val="000000" w:themeColor="text1"/>
          <w:sz w:val="24"/>
          <w:highlight w:val="none"/>
          <w14:textFill>
            <w14:solidFill>
              <w14:schemeClr w14:val="tx1"/>
            </w14:solidFill>
          </w14:textFill>
        </w:rPr>
        <w:t>是；</w:t>
      </w:r>
    </w:p>
    <w:p>
      <w:pPr>
        <w:pStyle w:val="133"/>
        <w:snapToGrid w:val="0"/>
        <w:spacing w:before="0"/>
        <w:ind w:firstLine="482"/>
        <w:outlineLvl w:val="2"/>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注：不得限制大中型企业与小微企业组成联合体参与。</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w:t>
      </w:r>
      <w:bookmarkStart w:id="11" w:name="_Hlk101132948"/>
      <w:r>
        <w:rPr>
          <w:rFonts w:hint="eastAsia" w:ascii="宋体" w:hAnsi="宋体" w:cs="宋体"/>
          <w:b/>
          <w:color w:val="000000" w:themeColor="text1"/>
          <w:sz w:val="24"/>
          <w:highlight w:val="none"/>
          <w14:textFill>
            <w14:solidFill>
              <w14:schemeClr w14:val="tx1"/>
            </w14:solidFill>
          </w14:textFill>
        </w:rPr>
        <w:t>申请人的资格要求</w:t>
      </w:r>
      <w:bookmarkEnd w:id="11"/>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 xml:space="preserve">    </w:t>
      </w:r>
      <w:r>
        <w:rPr>
          <w:rFonts w:ascii="宋体" w:hAnsi="宋体" w:cs="宋体"/>
          <w:snapToGrid w:val="0"/>
          <w:color w:val="000000" w:themeColor="text1"/>
          <w:kern w:val="28"/>
          <w:sz w:val="24"/>
          <w:szCs w:val="20"/>
          <w:highlight w:val="none"/>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kern w:val="28"/>
          <w:sz w:val="24"/>
          <w:szCs w:val="20"/>
          <w:highlight w:val="none"/>
          <w14:textFill>
            <w14:solidFill>
              <w14:schemeClr w14:val="tx1"/>
            </w14:solidFill>
          </w14:textFill>
        </w:rPr>
        <w:t>以联合体形式参与的，提供联合协议(本项目不接受联合体或者供应商不以联合体形式参与的，则不需要提供) ；</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sdt>
        <w:sdtPr>
          <w:rPr>
            <w:rFonts w:hint="eastAsia" w:ascii="宋体" w:hAnsi="宋体" w:cs="宋体"/>
            <w:color w:val="000000" w:themeColor="text1"/>
            <w:kern w:val="0"/>
            <w:sz w:val="24"/>
            <w:highlight w:val="none"/>
            <w14:textFill>
              <w14:solidFill>
                <w14:schemeClr w14:val="tx1"/>
              </w14:solidFill>
            </w14:textFill>
          </w:rPr>
          <w:id w:val="609159493"/>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r>
        <w:rPr>
          <w:rFonts w:hint="eastAsia" w:ascii="宋体" w:hAnsi="宋体" w:cs="宋体"/>
          <w:color w:val="000000" w:themeColor="text1"/>
          <w:sz w:val="24"/>
          <w:highlight w:val="none"/>
          <w:lang w:eastAsia="zh-CN"/>
          <w14:textFill>
            <w14:solidFill>
              <w14:schemeClr w14:val="tx1"/>
            </w14:solidFill>
          </w14:textFill>
        </w:rPr>
        <w:t>；</w:t>
      </w:r>
      <w:sdt>
        <w:sdtPr>
          <w:rPr>
            <w:rFonts w:hint="eastAsia" w:ascii="宋体" w:hAnsi="宋体" w:cs="宋体"/>
            <w:color w:val="000000" w:themeColor="text1"/>
            <w:kern w:val="0"/>
            <w:sz w:val="24"/>
            <w:highlight w:val="none"/>
            <w14:textFill>
              <w14:solidFill>
                <w14:schemeClr w14:val="tx1"/>
              </w14:solidFill>
            </w14:textFill>
          </w:rPr>
          <w:id w:val="22816380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sz w:val="24"/>
          <w:highlight w:val="none"/>
          <w14:textFill>
            <w14:solidFill>
              <w14:schemeClr w14:val="tx1"/>
            </w14:solidFill>
          </w14:textFill>
        </w:rPr>
        <w:t>工程全部由符合政策要求的中小企业承建，提供中小企业声明函；</w:t>
      </w:r>
    </w:p>
    <w:p>
      <w:pPr>
        <w:spacing w:line="360" w:lineRule="auto"/>
        <w:ind w:firstLine="480" w:firstLineChars="200"/>
        <w:rPr>
          <w:rFonts w:hint="default" w:ascii="宋体" w:hAnsi="宋体" w:cs="宋体"/>
          <w:b w:val="0"/>
          <w:bCs w:val="0"/>
          <w:color w:val="000000" w:themeColor="text1"/>
          <w:sz w:val="24"/>
          <w:highlight w:val="none"/>
          <w:lang w:val="en-US"/>
          <w14:textFill>
            <w14:solidFill>
              <w14:schemeClr w14:val="tx1"/>
            </w14:solidFill>
          </w14:textFill>
        </w:rPr>
      </w:pPr>
      <w:r>
        <w:rPr>
          <w:rFonts w:ascii="宋体" w:hAnsi="宋体" w:cs="宋体"/>
          <w:b w:val="0"/>
          <w:bCs w:val="0"/>
          <w:color w:val="000000" w:themeColor="text1"/>
          <w:sz w:val="24"/>
          <w:highlight w:val="none"/>
          <w14:textFill>
            <w14:solidFill>
              <w14:schemeClr w14:val="tx1"/>
            </w14:solidFill>
          </w14:textFill>
        </w:rPr>
        <w:t>4</w:t>
      </w:r>
      <w:r>
        <w:rPr>
          <w:rFonts w:hint="eastAsia" w:ascii="宋体" w:hAnsi="宋体" w:cs="宋体"/>
          <w:b w:val="0"/>
          <w:bCs w:val="0"/>
          <w:color w:val="000000" w:themeColor="text1"/>
          <w:sz w:val="24"/>
          <w:highlight w:val="none"/>
          <w14:textFill>
            <w14:solidFill>
              <w14:schemeClr w14:val="tx1"/>
            </w14:solidFill>
          </w14:textFill>
        </w:rPr>
        <w:t>.本项目的特定资格要求：</w:t>
      </w:r>
      <w:r>
        <w:rPr>
          <w:rFonts w:hint="eastAsia" w:ascii="宋体" w:hAnsi="宋体" w:cs="宋体"/>
          <w:b w:val="0"/>
          <w:bCs w:val="0"/>
          <w:color w:val="000000" w:themeColor="text1"/>
          <w:sz w:val="24"/>
          <w:highlight w:val="none"/>
          <w:u w:val="none"/>
          <w14:textFill>
            <w14:solidFill>
              <w14:schemeClr w14:val="tx1"/>
            </w14:solidFill>
          </w14:textFill>
        </w:rPr>
        <w:t>（1）</w:t>
      </w:r>
      <w:r>
        <w:rPr>
          <w:rFonts w:hint="eastAsia" w:ascii="宋体" w:hAnsi="宋体" w:cs="宋体"/>
          <w:b w:val="0"/>
          <w:bCs w:val="0"/>
          <w:color w:val="000000" w:themeColor="text1"/>
          <w:sz w:val="24"/>
          <w:highlight w:val="none"/>
          <w:u w:val="none"/>
          <w:lang w:val="en-US" w:eastAsia="zh-CN"/>
          <w14:textFill>
            <w14:solidFill>
              <w14:schemeClr w14:val="tx1"/>
            </w14:solidFill>
          </w14:textFill>
        </w:rPr>
        <w:t>供应商具有</w:t>
      </w:r>
      <w:r>
        <w:rPr>
          <w:rFonts w:hint="eastAsia" w:ascii="宋体" w:hAnsi="宋体" w:cs="宋体"/>
          <w:b w:val="0"/>
          <w:bCs w:val="0"/>
          <w:color w:val="000000" w:themeColor="text1"/>
          <w:sz w:val="24"/>
          <w:highlight w:val="none"/>
          <w:u w:val="none"/>
          <w14:textFill>
            <w14:solidFill>
              <w14:schemeClr w14:val="tx1"/>
            </w14:solidFill>
          </w14:textFill>
        </w:rPr>
        <w:t>文物保护工程施工</w:t>
      </w:r>
      <w:r>
        <w:rPr>
          <w:rFonts w:hint="eastAsia" w:ascii="宋体" w:hAnsi="宋体" w:cs="宋体"/>
          <w:b w:val="0"/>
          <w:bCs w:val="0"/>
          <w:color w:val="000000" w:themeColor="text1"/>
          <w:sz w:val="24"/>
          <w:highlight w:val="none"/>
          <w:u w:val="none"/>
          <w:lang w:val="en-US" w:eastAsia="zh-CN"/>
          <w14:textFill>
            <w14:solidFill>
              <w14:schemeClr w14:val="tx1"/>
            </w14:solidFill>
          </w14:textFill>
        </w:rPr>
        <w:t>资质二级及以上；②拟派项目负责人具有</w:t>
      </w:r>
      <w:r>
        <w:rPr>
          <w:rFonts w:hint="eastAsia" w:ascii="宋体" w:hAnsi="宋体" w:cs="宋体"/>
          <w:b w:val="0"/>
          <w:bCs w:val="0"/>
          <w:color w:val="000000" w:themeColor="text1"/>
          <w:sz w:val="24"/>
          <w:highlight w:val="none"/>
          <w:u w:val="none"/>
          <w:lang w:eastAsia="zh-CN"/>
          <w14:textFill>
            <w14:solidFill>
              <w14:schemeClr w14:val="tx1"/>
            </w14:solidFill>
          </w14:textFill>
        </w:rPr>
        <w:t>文物保护工程责任工程师资格</w:t>
      </w:r>
      <w:r>
        <w:rPr>
          <w:rFonts w:hint="eastAsia" w:ascii="宋体" w:hAnsi="宋体" w:cs="宋体"/>
          <w:b w:val="0"/>
          <w:bCs w:val="0"/>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三、获取采购文件 </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售价（元）：</w:t>
      </w:r>
      <w:r>
        <w:rPr>
          <w:rFonts w:hint="eastAsia" w:ascii="宋体" w:hAnsi="宋体" w:cs="宋体"/>
          <w:color w:val="000000" w:themeColor="text1"/>
          <w:sz w:val="24"/>
          <w:highlight w:val="non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ab/>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四、响应文件提交（上传）</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 xml:space="preserve">00秒 </w:t>
      </w:r>
      <w:r>
        <w:rPr>
          <w:rFonts w:hint="eastAsia" w:ascii="宋体" w:hAnsi="宋体" w:cs="宋体"/>
          <w:color w:val="000000" w:themeColor="text1"/>
          <w:sz w:val="24"/>
          <w:highlight w:val="none"/>
          <w14:textFill>
            <w14:solidFill>
              <w14:schemeClr w14:val="tx1"/>
            </w14:solidFill>
          </w14:textFill>
        </w:rPr>
        <w:t>（北京时间）</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五、响应文件开启 </w:t>
      </w:r>
    </w:p>
    <w:p>
      <w:pPr>
        <w:spacing w:line="360" w:lineRule="auto"/>
        <w:ind w:firstLine="482"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开启时间：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政采云平台（https://www.zcygov.cn/）</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六、公告期限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自本公告发布之日起3个工作日。</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七、其他补充事宜</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八、对本次采购提出询问、质疑、投诉，请按以下方式联系</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color w:val="000000" w:themeColor="text1"/>
          <w:sz w:val="24"/>
          <w:highlight w:val="none"/>
          <w:lang w:eastAsia="zh-CN"/>
          <w14:textFill>
            <w14:solidFill>
              <w14:schemeClr w14:val="tx1"/>
            </w14:solidFill>
          </w14:textFill>
        </w:rPr>
        <w:t>杭州市文物遗产与历史建筑保护中心</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杭州市上城区劳动路65号</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eastAsia="zh-CN"/>
          <w14:textFill>
            <w14:solidFill>
              <w14:schemeClr w14:val="tx1"/>
            </w14:solidFill>
          </w14:textFill>
        </w:rPr>
        <w:t>段虹</w:t>
      </w:r>
    </w:p>
    <w:p>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cs="宋体"/>
          <w:color w:val="000000" w:themeColor="text1"/>
          <w:sz w:val="24"/>
          <w:highlight w:val="none"/>
          <w:lang w:val="en-US" w:eastAsia="zh-CN"/>
          <w14:textFill>
            <w14:solidFill>
              <w14:schemeClr w14:val="tx1"/>
            </w14:solidFill>
          </w14:textFill>
        </w:rPr>
        <w:t xml:space="preserve">0571-87036581 </w:t>
      </w:r>
    </w:p>
    <w:p>
      <w:pPr>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 xml:space="preserve"> 胡骁</w:t>
      </w:r>
    </w:p>
    <w:p>
      <w:pPr>
        <w:snapToGrid w:val="0"/>
        <w:spacing w:line="360" w:lineRule="auto"/>
        <w:ind w:firstLine="480" w:firstLineChars="20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0571-87016722</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2.采购代理机构信息            </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浙江泛亚工程咨询有限公司</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杭州市西湖区天目山路181号天际大厦804室</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传    真： </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val="en-US" w:eastAsia="zh-CN"/>
          <w14:textFill>
            <w14:solidFill>
              <w14:schemeClr w14:val="tx1"/>
            </w14:solidFill>
          </w14:textFill>
        </w:rPr>
        <w:t>李芳芳</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cs="宋体"/>
          <w:color w:val="000000" w:themeColor="text1"/>
          <w:sz w:val="24"/>
          <w:highlight w:val="none"/>
          <w:lang w:val="en-US" w:eastAsia="zh-CN"/>
          <w14:textFill>
            <w14:solidFill>
              <w14:schemeClr w14:val="tx1"/>
            </w14:solidFill>
          </w14:textFill>
        </w:rPr>
        <w:t>13605802875</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杨佩瑾</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15068827539</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3.同级政府采购监督管理部门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称：杭州市财政局政府采购监管处 /浙江省政府采购行政裁决服务中心（杭州）</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联系人 ：朱女士、王女士</w:t>
      </w:r>
    </w:p>
    <w:p>
      <w:pPr>
        <w:snapToGrid w:val="0"/>
        <w:spacing w:line="360" w:lineRule="auto"/>
        <w:ind w:firstLine="480" w:firstLineChars="200"/>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监督投诉电话：</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0571-8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000000" w:themeColor="text1"/>
          <w:sz w:val="24"/>
          <w:highlight w:val="none"/>
          <w14:textFill>
            <w14:solidFill>
              <w14:schemeClr w14:val="tx1"/>
            </w14:solidFill>
          </w14:textFill>
        </w:rPr>
        <w:t>95763</w:t>
      </w:r>
      <w:r>
        <w:rPr>
          <w:rFonts w:hint="eastAsia" w:ascii="宋体" w:hAnsi="宋体" w:cs="宋体"/>
          <w:color w:val="000000" w:themeColor="text1"/>
          <w:sz w:val="24"/>
          <w:highlight w:val="none"/>
          <w14:textFill>
            <w14:solidFill>
              <w14:schemeClr w14:val="tx1"/>
            </w14:solidFill>
          </w14:textFill>
        </w:rPr>
        <w:t>获取热线服务帮助。</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000000" w:themeColor="text1"/>
          <w:sz w:val="24"/>
          <w:highlight w:val="none"/>
          <w14:textFill>
            <w14:solidFill>
              <w14:schemeClr w14:val="tx1"/>
            </w14:solidFill>
          </w14:textFill>
        </w:rPr>
        <w:t>CA问题联系电话（人工）：汇信CA 400-888-4636；天谷CA 400-087-8198。</w:t>
      </w:r>
    </w:p>
    <w:p>
      <w:pPr>
        <w:pStyle w:val="35"/>
        <w:spacing w:line="360" w:lineRule="auto"/>
        <w:jc w:val="center"/>
        <w:rPr>
          <w:rFonts w:hAnsi="宋体" w:cs="宋体"/>
          <w:b/>
          <w:snapToGrid/>
          <w:color w:val="000000" w:themeColor="text1"/>
          <w:sz w:val="36"/>
          <w:szCs w:val="20"/>
          <w:highlight w:val="none"/>
          <w14:textFill>
            <w14:solidFill>
              <w14:schemeClr w14:val="tx1"/>
            </w14:solidFill>
          </w14:textFill>
        </w:rPr>
      </w:pPr>
      <w:r>
        <w:rPr>
          <w:rFonts w:hint="eastAsia" w:hAnsi="宋体" w:cs="宋体"/>
          <w:b/>
          <w:snapToGrid/>
          <w:color w:val="000000" w:themeColor="text1"/>
          <w:sz w:val="36"/>
          <w:szCs w:val="20"/>
          <w:highlight w:val="none"/>
          <w14:textFill>
            <w14:solidFill>
              <w14:schemeClr w14:val="tx1"/>
            </w14:solidFill>
          </w14:textFill>
        </w:rPr>
        <w:t>第二部分</w:t>
      </w:r>
      <w:bookmarkEnd w:id="8"/>
      <w:r>
        <w:rPr>
          <w:rFonts w:hint="eastAsia" w:hAnsi="宋体" w:cs="宋体"/>
          <w:b/>
          <w:snapToGrid/>
          <w:color w:val="000000" w:themeColor="text1"/>
          <w:sz w:val="36"/>
          <w:szCs w:val="20"/>
          <w:highlight w:val="none"/>
          <w14:textFill>
            <w14:solidFill>
              <w14:schemeClr w14:val="tx1"/>
            </w14:solidFill>
          </w14:textFill>
        </w:rPr>
        <w:t xml:space="preserve"> 供应商须知</w:t>
      </w:r>
      <w:bookmarkEnd w:id="9"/>
    </w:p>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6927"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atLeast"/>
        </w:trPr>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w:t>
            </w:r>
          </w:p>
        </w:tc>
        <w:tc>
          <w:tcPr>
            <w:tcW w:w="6927"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工程</w:t>
            </w:r>
            <w:r>
              <w:rPr>
                <w:rFonts w:hint="eastAsia" w:ascii="宋体" w:hAnsi="宋体" w:cs="宋体"/>
                <w:color w:val="000000" w:themeColor="text1"/>
                <w:sz w:val="24"/>
                <w:highlight w:val="none"/>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6927" w:type="dxa"/>
            <w:vAlign w:val="center"/>
          </w:tcPr>
          <w:p>
            <w:pPr>
              <w:pStyle w:val="4"/>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（1）标的：</w:t>
            </w:r>
            <w:r>
              <w:rPr>
                <w:rFonts w:hint="eastAsia" w:ascii="宋体" w:hAnsi="宋体" w:cs="宋体"/>
                <w:color w:val="000000" w:themeColor="text1"/>
                <w:kern w:val="0"/>
                <w:sz w:val="24"/>
                <w:highlight w:val="none"/>
                <w:u w:val="single"/>
                <w:lang w:eastAsia="zh-CN"/>
                <w14:textFill>
                  <w14:solidFill>
                    <w14:schemeClr w14:val="tx1"/>
                  </w14:solidFill>
                </w14:textFill>
              </w:rPr>
              <w:t xml:space="preserve">求是书院院落环境整治项目 </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 xml:space="preserve"> 建筑业 </w:t>
            </w:r>
            <w:r>
              <w:rPr>
                <w:rFonts w:hint="eastAsia" w:ascii="宋体" w:hAnsi="宋体" w:cs="宋体"/>
                <w:color w:val="000000" w:themeColor="text1"/>
                <w:kern w:val="0"/>
                <w:sz w:val="24"/>
                <w:highlight w:val="none"/>
                <w14:textFill>
                  <w14:solidFill>
                    <w14:schemeClr w14:val="tx1"/>
                  </w14:solidFill>
                </w14:textFill>
              </w:rPr>
              <w:t>行业；</w:t>
            </w:r>
          </w:p>
          <w:p>
            <w:pPr>
              <w:pStyle w:val="4"/>
              <w:ind w:left="0" w:firstLine="0"/>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是否允许采购进口产品</w:t>
            </w:r>
          </w:p>
        </w:tc>
        <w:tc>
          <w:tcPr>
            <w:tcW w:w="6927" w:type="dxa"/>
            <w:vAlign w:val="center"/>
          </w:tcPr>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934812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93424903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6927" w:type="dxa"/>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83050787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劳务  </w:t>
            </w:r>
            <w:r>
              <w:rPr>
                <w:rFonts w:hint="eastAsia" w:ascii="宋体" w:hAnsi="宋体" w:cs="宋体"/>
                <w:color w:val="000000" w:themeColor="text1"/>
                <w:sz w:val="24"/>
                <w:highlight w:val="none"/>
                <w14:textFill>
                  <w14:solidFill>
                    <w14:schemeClr w14:val="tx1"/>
                  </w14:solidFill>
                </w14:textFill>
              </w:rPr>
              <w:t>工作分包。</w:t>
            </w:r>
          </w:p>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8957932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磋商前答疑会或现场考察</w:t>
            </w:r>
          </w:p>
        </w:tc>
        <w:tc>
          <w:tcPr>
            <w:tcW w:w="6927" w:type="dxa"/>
            <w:vAlign w:val="center"/>
          </w:tcPr>
          <w:p>
            <w:pPr>
              <w:pStyle w:val="81"/>
              <w:spacing w:line="360" w:lineRule="auto"/>
              <w:ind w:firstLine="0" w:firstLineChars="0"/>
              <w:rPr>
                <w:rFonts w:hint="eastAsia" w:ascii="宋体" w:hAnsi="宋体" w:eastAsia="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688692135"/>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4"/>
                  <w:highlight w:val="none"/>
                  <w14:textFill>
                    <w14:solidFill>
                      <w14:schemeClr w14:val="tx1"/>
                    </w14:solidFill>
                  </w14:textFill>
                </w:rPr>
              </w:sdtEndPr>
              <w:sdtContent>
                <w:r>
                  <w:rPr>
                    <w:rFonts w:hint="eastAsia" w:ascii="宋体" w:hAnsi="宋体" w:eastAsia="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eastAsia="宋体" w:cs="宋体"/>
                <w:color w:val="000000" w:themeColor="text1"/>
                <w:kern w:val="0"/>
                <w:sz w:val="24"/>
                <w:highlight w:val="none"/>
                <w14:textFill>
                  <w14:solidFill>
                    <w14:schemeClr w14:val="tx1"/>
                  </w14:solidFill>
                </w14:textFill>
              </w:rPr>
              <w:t>A</w:t>
            </w:r>
            <w:r>
              <w:rPr>
                <w:rFonts w:hint="eastAsia" w:ascii="宋体" w:hAnsi="宋体" w:eastAsia="宋体" w:cs="宋体"/>
                <w:color w:val="000000" w:themeColor="text1"/>
                <w:sz w:val="24"/>
                <w:highlight w:val="none"/>
                <w14:textFill>
                  <w14:solidFill>
                    <w14:schemeClr w14:val="tx1"/>
                  </w14:solidFill>
                </w14:textFill>
              </w:rPr>
              <w:t>不组织。</w:t>
            </w:r>
          </w:p>
          <w:p>
            <w:pPr>
              <w:pStyle w:val="81"/>
              <w:spacing w:line="360" w:lineRule="auto"/>
              <w:ind w:firstLine="0" w:firstLineChars="0"/>
              <w:rPr>
                <w:rFonts w:hint="eastAsia" w:ascii="宋体" w:hAnsi="宋体" w:eastAsia="宋体" w:cs="宋体"/>
                <w:color w:val="000000" w:themeColor="text1"/>
                <w:sz w:val="24"/>
                <w:szCs w:val="20"/>
                <w:highlight w:val="none"/>
                <w14:textFill>
                  <w14:solidFill>
                    <w14:schemeClr w14:val="tx1"/>
                  </w14:solidFill>
                </w14:textFill>
              </w:rPr>
            </w:pPr>
            <w:sdt>
              <w:sdtPr>
                <w:rPr>
                  <w:rFonts w:hint="eastAsia" w:ascii="宋体" w:hAnsi="宋体" w:eastAsia="宋体" w:cs="宋体"/>
                  <w:color w:val="000000" w:themeColor="text1"/>
                  <w:kern w:val="0"/>
                  <w:sz w:val="24"/>
                  <w:highlight w:val="none"/>
                  <w14:textFill>
                    <w14:solidFill>
                      <w14:schemeClr w14:val="tx1"/>
                    </w14:solidFill>
                  </w14:textFill>
                </w:rPr>
                <w:id w:val="37473118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4"/>
                  <w:highlight w:val="none"/>
                  <w14:textFill>
                    <w14:solidFill>
                      <w14:schemeClr w14:val="tx1"/>
                    </w14:solidFill>
                  </w14:textFill>
                </w:rPr>
              </w:sdtEndPr>
              <w:sdtContent>
                <w:r>
                  <w:rPr>
                    <w:rFonts w:hint="eastAsia" w:ascii="宋体" w:hAnsi="宋体" w:eastAsia="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0"/>
                <w:sz w:val="24"/>
                <w:highlight w:val="none"/>
                <w14:textFill>
                  <w14:solidFill>
                    <w14:schemeClr w14:val="tx1"/>
                  </w14:solidFill>
                </w14:textFill>
              </w:rPr>
              <w:t>B组织，</w:t>
            </w: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p>
          <w:p>
            <w:pPr>
              <w:pStyle w:val="81"/>
              <w:ind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☐C不统一组织，供应商在获取采购文件后，自行至项目现场考察。地点：</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，联系人：</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6927" w:type="dxa"/>
            <w:vAlign w:val="center"/>
          </w:tcPr>
          <w:p>
            <w:pPr>
              <w:spacing w:line="24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8621118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pPr>
              <w:spacing w:line="24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w:t>
            </w:r>
          </w:p>
          <w:p>
            <w:pPr>
              <w:spacing w:line="24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24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24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：详见</w:t>
            </w:r>
            <w:r>
              <w:rPr>
                <w:rFonts w:hint="eastAsia" w:ascii="宋体" w:hAnsi="宋体" w:cs="宋体"/>
                <w:color w:val="000000" w:themeColor="text1"/>
                <w:sz w:val="24"/>
                <w:highlight w:val="none"/>
                <w:u w:val="single"/>
                <w14:textFill>
                  <w14:solidFill>
                    <w14:schemeClr w14:val="tx1"/>
                  </w14:solidFill>
                </w14:textFill>
              </w:rPr>
              <w:t>评审办法</w:t>
            </w:r>
            <w:r>
              <w:rPr>
                <w:rFonts w:hint="eastAsia" w:ascii="宋体" w:hAnsi="宋体" w:cs="宋体"/>
                <w:color w:val="000000" w:themeColor="text1"/>
                <w:kern w:val="0"/>
                <w:sz w:val="24"/>
                <w:highlight w:val="none"/>
                <w14:textFill>
                  <w14:solidFill>
                    <w14:schemeClr w14:val="tx1"/>
                  </w14:solidFill>
                </w14:textFill>
              </w:rPr>
              <w:t>；</w:t>
            </w:r>
          </w:p>
          <w:p>
            <w:pPr>
              <w:spacing w:line="24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24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。请供应商在上述时间内提供样品并按规定位置安装完毕。超过截止时间的，采购人或采购代理机构将不予接收，并将清场并封闭样品现场。</w:t>
            </w:r>
          </w:p>
          <w:p>
            <w:pPr>
              <w:spacing w:line="24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提供的样品，采购人、</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将通知未</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在规定的时间内取回，逾期未取回的，采购人、</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不负保管义务；对于</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提供的样品，采购人将进行保管、封存，并作为履约验收的参考。</w:t>
            </w:r>
          </w:p>
          <w:p>
            <w:pPr>
              <w:spacing w:line="24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093" w:type="dxa"/>
            <w:vAlign w:val="center"/>
          </w:tcPr>
          <w:p>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6927" w:type="dxa"/>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0545689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（1）在评审时安排每个供应商进行方案讲解演示。每个供应商时间不超过</w:t>
            </w:r>
            <w:r>
              <w:rPr>
                <w:rFonts w:hint="eastAsia" w:ascii="宋体" w:hAnsi="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分钟，讲解次序以响应文件解密时间先后次序为准，讲解演示人员不超过</w:t>
            </w:r>
            <w:r>
              <w:rPr>
                <w:rFonts w:hint="eastAsia" w:ascii="宋体" w:hAnsi="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人。讲解演示结束后按要求解答磋商小组提问。</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方式一：政采云平台在线讲解演示。政采云平台在线讲解需供应商根据政采云平台操作要求做好准备工作，提前完善软硬件配置环境。</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方式二：现场讲解演示。现场讲解地点为</w:t>
            </w:r>
            <w:r>
              <w:rPr>
                <w:rFonts w:hint="eastAsia" w:ascii="宋体" w:hAnsi="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注：因供应商自身原因导致无法演示或者演示效果不理想的，责任自负。因平台原因导致本项目方案讲解演示环节无法顺利开展，按照《浙江省政府采购项目电子交易管理暂行办法》相关规定执行。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093" w:type="dxa"/>
            <w:vMerge w:val="restart"/>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供应商应当提供的资格、资信证明文件</w:t>
            </w:r>
          </w:p>
        </w:tc>
        <w:tc>
          <w:tcPr>
            <w:tcW w:w="6927"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（1）资格证明文件：见采购文件第二部分11.1。</w:t>
            </w:r>
          </w:p>
          <w:p>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供应商未提供有效的资格证明文件的，视为供应商不具备采购文件中规定的资格要求，响应文件无效。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93" w:type="dxa"/>
            <w:vMerge w:val="continue"/>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927"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（2）资信证明文件：根据采购文件第四部分评审标准提供。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节能产品、环境标志产品</w:t>
            </w:r>
          </w:p>
        </w:tc>
        <w:tc>
          <w:tcPr>
            <w:tcW w:w="6927" w:type="dxa"/>
            <w:vAlign w:val="center"/>
          </w:tcPr>
          <w:p>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pPr>
              <w:pStyle w:val="81"/>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sdt>
              <w:sdtP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id w:val="147461840"/>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强制采购节能产品。产品：    </w:t>
            </w:r>
          </w:p>
          <w:p>
            <w:pPr>
              <w:pStyle w:val="81"/>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□优先采购节能产品。产品：   </w:t>
            </w:r>
          </w:p>
          <w:p>
            <w:pPr>
              <w:pStyle w:val="81"/>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□优先采购环保产品。产品：    </w:t>
            </w:r>
          </w:p>
          <w:p>
            <w:pPr>
              <w:pStyle w:val="81"/>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6927" w:type="dxa"/>
            <w:vAlign w:val="center"/>
          </w:tcPr>
          <w:p>
            <w:pPr>
              <w:snapToGrid w:val="0"/>
              <w:spacing w:line="360" w:lineRule="auto"/>
              <w:jc w:val="left"/>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本项目最高限价：1211300.00元。</w:t>
            </w:r>
          </w:p>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color w:val="000000" w:themeColor="text1"/>
                <w:sz w:val="24"/>
                <w:highlight w:val="none"/>
                <w14:textFill>
                  <w14:solidFill>
                    <w14:schemeClr w14:val="tx1"/>
                  </w14:solidFill>
                </w14:textFill>
              </w:rPr>
              <w:t>报价单是报价的唯一载体</w:t>
            </w:r>
            <w:r>
              <w:rPr>
                <w:rFonts w:hint="eastAsia" w:ascii="宋体" w:hAnsi="宋体" w:cs="宋体"/>
                <w:color w:val="000000" w:themeColor="text1"/>
                <w:kern w:val="0"/>
                <w:sz w:val="24"/>
                <w:highlight w:val="none"/>
                <w:lang w:val="zh-CN"/>
                <w14:textFill>
                  <w14:solidFill>
                    <w14:schemeClr w14:val="tx1"/>
                  </w14:solidFill>
                </w14:textFill>
              </w:rPr>
              <w:t>。响应文件中价格全部采用人民币报价。采购文件未列明，而供应商认为必需的费用也需列入报价。</w:t>
            </w:r>
            <w:r>
              <w:rPr>
                <w:rFonts w:hint="eastAsia" w:ascii="宋体" w:hAnsi="宋体" w:cs="宋体"/>
                <w:b/>
                <w:color w:val="000000" w:themeColor="text1"/>
                <w:kern w:val="0"/>
                <w:sz w:val="24"/>
                <w:highlight w:val="none"/>
                <w:lang w:val="zh-CN"/>
                <w14:textFill>
                  <w14:solidFill>
                    <w14:schemeClr w14:val="tx1"/>
                  </w14:solidFill>
                </w14:textFill>
              </w:rPr>
              <w:t>提醒：验收时检测费用由采购人承担，不包含在总价中。</w:t>
            </w:r>
          </w:p>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最后报价出现下列情形的，响应文件无效：</w:t>
            </w:r>
          </w:p>
          <w:p>
            <w:pPr>
              <w:snapToGrid w:val="0"/>
              <w:spacing w:line="360" w:lineRule="auto"/>
              <w:ind w:firstLine="241" w:firstLineChars="1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响应文件出现不是唯一的、有选择性最后报价的；</w:t>
            </w:r>
          </w:p>
          <w:p>
            <w:pPr>
              <w:snapToGrid w:val="0"/>
              <w:spacing w:line="360" w:lineRule="auto"/>
              <w:ind w:firstLine="241" w:firstLineChars="100"/>
              <w:jc w:val="left"/>
              <w:rPr>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最后报价超过采购文件中规定的预算金额或者最高限价的;</w:t>
            </w:r>
          </w:p>
          <w:p>
            <w:pPr>
              <w:spacing w:line="360" w:lineRule="auto"/>
              <w:ind w:firstLine="241"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000000" w:themeColor="text1"/>
                <w:sz w:val="24"/>
                <w:szCs w:val="21"/>
                <w:highlight w:val="none"/>
                <w14:textFill>
                  <w14:solidFill>
                    <w14:schemeClr w14:val="tx1"/>
                  </w14:solidFill>
                </w14:textFill>
              </w:rPr>
              <w:t>;</w:t>
            </w:r>
          </w:p>
          <w:p>
            <w:pPr>
              <w:spacing w:line="360" w:lineRule="auto"/>
              <w:ind w:firstLine="241"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供应商对根据修正原则修正后的报价不确认的</w:t>
            </w:r>
            <w:r>
              <w:rPr>
                <w:rFonts w:hint="eastAsia" w:ascii="宋体" w:hAnsi="宋体" w:cs="宋体"/>
                <w:b/>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9" w:hRule="atLeast"/>
        </w:trPr>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6927" w:type="dxa"/>
            <w:vAlign w:val="center"/>
          </w:tcPr>
          <w:p>
            <w:pPr>
              <w:spacing w:line="24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备份响应文件送达地点和签收人员</w:t>
            </w:r>
          </w:p>
        </w:tc>
        <w:tc>
          <w:tcPr>
            <w:tcW w:w="6927" w:type="dxa"/>
            <w:vAlign w:val="center"/>
          </w:tcPr>
          <w:p>
            <w:pPr>
              <w:pStyle w:val="35"/>
              <w:spacing w:line="240" w:lineRule="auto"/>
              <w:rPr>
                <w:rFonts w:hAnsi="宋体" w:cs="宋体"/>
                <w:color w:val="000000" w:themeColor="text1"/>
                <w:kern w:val="28"/>
                <w:sz w:val="24"/>
                <w:szCs w:val="24"/>
                <w:highlight w:val="none"/>
                <w14:textFill>
                  <w14:solidFill>
                    <w14:schemeClr w14:val="tx1"/>
                  </w14:solidFill>
                </w14:textFill>
              </w:rPr>
            </w:pPr>
            <w:r>
              <w:rPr>
                <w:rFonts w:hint="eastAsia" w:hAnsi="宋体" w:cs="宋体"/>
                <w:color w:val="000000" w:themeColor="text1"/>
                <w:kern w:val="28"/>
                <w:sz w:val="24"/>
                <w:szCs w:val="24"/>
                <w:highlight w:val="none"/>
                <w14:textFill>
                  <w14:solidFill>
                    <w14:schemeClr w14:val="tx1"/>
                  </w14:solidFill>
                </w14:textFill>
              </w:rPr>
              <w:t>备份响应文件送达地点：</w:t>
            </w:r>
            <w:r>
              <w:rPr>
                <w:rFonts w:hint="eastAsia" w:hAnsi="宋体" w:cs="宋体"/>
                <w:color w:val="000000" w:themeColor="text1"/>
                <w:kern w:val="28"/>
                <w:sz w:val="24"/>
                <w:szCs w:val="24"/>
                <w:highlight w:val="none"/>
                <w:u w:val="single"/>
                <w:lang w:val="en-US" w:eastAsia="zh-CN"/>
                <w14:textFill>
                  <w14:solidFill>
                    <w14:schemeClr w14:val="tx1"/>
                  </w14:solidFill>
                </w14:textFill>
              </w:rPr>
              <w:t>杭州市西湖区天目山路181号天际大厦804室</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kern w:val="28"/>
                <w:sz w:val="24"/>
                <w:szCs w:val="24"/>
                <w:highlight w:val="none"/>
                <w14:textFill>
                  <w14:solidFill>
                    <w14:schemeClr w14:val="tx1"/>
                  </w14:solidFill>
                </w14:textFill>
              </w:rPr>
              <w:t>；</w:t>
            </w:r>
          </w:p>
          <w:p>
            <w:pPr>
              <w:pStyle w:val="35"/>
              <w:spacing w:line="24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kern w:val="28"/>
                <w:sz w:val="24"/>
                <w:szCs w:val="24"/>
                <w:highlight w:val="none"/>
                <w14:textFill>
                  <w14:solidFill>
                    <w14:schemeClr w14:val="tx1"/>
                  </w14:solidFill>
                </w14:textFill>
              </w:rPr>
              <w:t>备份响应文件签收人员联系电话：</w:t>
            </w:r>
            <w:r>
              <w:rPr>
                <w:rFonts w:hint="eastAsia" w:hAnsi="宋体" w:cs="宋体"/>
                <w:color w:val="000000" w:themeColor="text1"/>
                <w:sz w:val="24"/>
                <w:highlight w:val="none"/>
                <w:u w:val="single"/>
                <w:lang w:val="en-US" w:eastAsia="zh-CN"/>
                <w14:textFill>
                  <w14:solidFill>
                    <w14:schemeClr w14:val="tx1"/>
                  </w14:solidFill>
                </w14:textFill>
              </w:rPr>
              <w:t>杨工，15068827539</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w:t>
            </w:r>
          </w:p>
          <w:p>
            <w:pPr>
              <w:pStyle w:val="35"/>
              <w:spacing w:line="240" w:lineRule="auto"/>
              <w:rPr>
                <w:rFonts w:hAnsi="宋体" w:cs="宋体"/>
                <w:color w:val="000000" w:themeColor="text1"/>
                <w:kern w:val="28"/>
                <w:sz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采购人、</w:t>
            </w:r>
            <w:r>
              <w:rPr>
                <w:rFonts w:hint="eastAsia" w:hAnsi="宋体" w:cs="宋体"/>
                <w:b/>
                <w:color w:val="000000" w:themeColor="text1"/>
                <w:sz w:val="24"/>
                <w:szCs w:val="24"/>
                <w:highlight w:val="none"/>
                <w:lang w:eastAsia="zh-CN"/>
                <w14:textFill>
                  <w14:solidFill>
                    <w14:schemeClr w14:val="tx1"/>
                  </w14:solidFill>
                </w14:textFill>
              </w:rPr>
              <w:t>采购代理机构</w:t>
            </w:r>
            <w:r>
              <w:rPr>
                <w:rFonts w:hint="eastAsia" w:hAnsi="宋体" w:cs="宋体"/>
                <w:b/>
                <w:color w:val="000000" w:themeColor="text1"/>
                <w:sz w:val="24"/>
                <w:szCs w:val="24"/>
                <w:highlight w:val="none"/>
                <w14:textFill>
                  <w14:solidFill>
                    <w14:schemeClr w14:val="tx1"/>
                  </w14:solidFill>
                </w14:textFill>
              </w:rPr>
              <w:t>不强制或变相强制供应商提交备份响应文件。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其它说明</w:t>
            </w:r>
          </w:p>
        </w:tc>
        <w:tc>
          <w:tcPr>
            <w:tcW w:w="6927" w:type="dxa"/>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2093" w:type="dxa"/>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成交候选人数量</w:t>
            </w:r>
          </w:p>
        </w:tc>
        <w:tc>
          <w:tcPr>
            <w:tcW w:w="6927" w:type="dxa"/>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lang w:val="en" w:eastAsia="zh-CN"/>
                <w14:textFill>
                  <w14:solidFill>
                    <w14:schemeClr w14:val="tx1"/>
                  </w14:solidFill>
                </w14:textFill>
              </w:rPr>
              <w:t>本项目推荐的成交候选人数量：</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3家 </w:t>
            </w:r>
            <w:r>
              <w:rPr>
                <w:rFonts w:hint="eastAsia" w:ascii="宋体" w:hAnsi="宋体" w:cs="宋体"/>
                <w:color w:val="000000" w:themeColor="text1"/>
                <w:kern w:val="0"/>
                <w:sz w:val="24"/>
                <w:highlight w:val="none"/>
                <w:lang w:val="en"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pPr>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2093" w:type="dxa"/>
            <w:vAlign w:val="center"/>
          </w:tcPr>
          <w:p>
            <w:pPr>
              <w:snapToGrid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代理费用收取方式及标准</w:t>
            </w:r>
          </w:p>
        </w:tc>
        <w:tc>
          <w:tcPr>
            <w:tcW w:w="6927" w:type="dxa"/>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本次招标代理收取委托代理费招标代理费按发改价格[2011]534号文收费标准的</w:t>
            </w:r>
            <w:r>
              <w:rPr>
                <w:rFonts w:hint="eastAsia" w:ascii="宋体" w:hAnsi="宋体" w:cs="宋体"/>
                <w:snapToGrid w:val="0"/>
                <w:color w:val="000000" w:themeColor="text1"/>
                <w:kern w:val="28"/>
                <w:sz w:val="24"/>
                <w:highlight w:val="none"/>
                <w:lang w:val="en-US" w:eastAsia="zh-CN"/>
                <w14:textFill>
                  <w14:solidFill>
                    <w14:schemeClr w14:val="tx1"/>
                  </w14:solidFill>
                </w14:textFill>
              </w:rPr>
              <w:t>80</w:t>
            </w:r>
            <w:r>
              <w:rPr>
                <w:rFonts w:hint="eastAsia" w:ascii="宋体" w:hAnsi="宋体" w:cs="宋体"/>
                <w:snapToGrid w:val="0"/>
                <w:color w:val="000000" w:themeColor="text1"/>
                <w:kern w:val="28"/>
                <w:sz w:val="24"/>
                <w:highlight w:val="none"/>
                <w14:textFill>
                  <w14:solidFill>
                    <w14:schemeClr w14:val="tx1"/>
                  </w14:solidFill>
                </w14:textFill>
              </w:rPr>
              <w:t>%计取，造价咨询费参照浙价服【2009】84号文收费标准的</w:t>
            </w:r>
            <w:r>
              <w:rPr>
                <w:rFonts w:hint="eastAsia" w:ascii="宋体" w:hAnsi="宋体" w:cs="宋体"/>
                <w:snapToGrid w:val="0"/>
                <w:color w:val="000000" w:themeColor="text1"/>
                <w:kern w:val="28"/>
                <w:sz w:val="24"/>
                <w:highlight w:val="none"/>
                <w:lang w:val="en-US" w:eastAsia="zh-CN"/>
                <w14:textFill>
                  <w14:solidFill>
                    <w14:schemeClr w14:val="tx1"/>
                  </w14:solidFill>
                </w14:textFill>
              </w:rPr>
              <w:t>65</w:t>
            </w:r>
            <w:r>
              <w:rPr>
                <w:rFonts w:hint="eastAsia" w:ascii="宋体" w:hAnsi="宋体" w:cs="宋体"/>
                <w:snapToGrid w:val="0"/>
                <w:color w:val="000000" w:themeColor="text1"/>
                <w:kern w:val="28"/>
                <w:sz w:val="24"/>
                <w:highlight w:val="none"/>
                <w14:textFill>
                  <w14:solidFill>
                    <w14:schemeClr w14:val="tx1"/>
                  </w14:solidFill>
                </w14:textFill>
              </w:rPr>
              <w:t>%计取，成交供应商在领取成交通知书前，应向招标代理机构交纳招标代理服务费</w:t>
            </w: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造价咨询服务费</w:t>
            </w:r>
            <w:r>
              <w:rPr>
                <w:rFonts w:hint="eastAsia" w:ascii="宋体" w:hAnsi="宋体" w:cs="宋体"/>
                <w:snapToGrid w:val="0"/>
                <w:color w:val="000000" w:themeColor="text1"/>
                <w:kern w:val="28"/>
                <w:sz w:val="24"/>
                <w:highlight w:val="none"/>
                <w14:textFill>
                  <w14:solidFill>
                    <w14:schemeClr w14:val="tx1"/>
                  </w14:solidFill>
                </w14:textFill>
              </w:rPr>
              <w:t>。</w:t>
            </w:r>
          </w:p>
        </w:tc>
      </w:tr>
    </w:tbl>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0"/>
    <w:p>
      <w:pPr>
        <w:widowControl/>
        <w:adjustRightInd/>
        <w:jc w:val="left"/>
        <w:rPr>
          <w:rFonts w:ascii="宋体" w:hAnsi="宋体" w:cs="宋体"/>
          <w:b/>
          <w:color w:val="000000" w:themeColor="text1"/>
          <w:sz w:val="32"/>
          <w:szCs w:val="20"/>
          <w:highlight w:val="none"/>
          <w14:textFill>
            <w14:solidFill>
              <w14:schemeClr w14:val="tx1"/>
            </w14:solidFill>
          </w14:textFill>
        </w:rPr>
      </w:pPr>
      <w:bookmarkStart w:id="12" w:name="第三部分"/>
      <w:bookmarkStart w:id="13" w:name="_Toc164416483"/>
      <w:r>
        <w:rPr>
          <w:rFonts w:hint="eastAsia" w:ascii="宋体" w:hAnsi="宋体" w:cs="宋体"/>
          <w:b/>
          <w:color w:val="000000" w:themeColor="text1"/>
          <w:sz w:val="32"/>
          <w:szCs w:val="20"/>
          <w:highlight w:val="none"/>
          <w14:textFill>
            <w14:solidFill>
              <w14:schemeClr w14:val="tx1"/>
            </w14:solidFill>
          </w14:textFill>
        </w:rPr>
        <w:br w:type="page"/>
      </w:r>
      <w:bookmarkStart w:id="474" w:name="_GoBack"/>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一、</w:t>
      </w:r>
      <w:bookmarkEnd w:id="474"/>
      <w:r>
        <w:rPr>
          <w:rFonts w:hint="eastAsia" w:ascii="宋体" w:hAnsi="宋体" w:cs="宋体"/>
          <w:b/>
          <w:color w:val="000000" w:themeColor="text1"/>
          <w:sz w:val="32"/>
          <w:szCs w:val="20"/>
          <w:highlight w:val="none"/>
          <w14:textFill>
            <w14:solidFill>
              <w14:schemeClr w14:val="tx1"/>
            </w14:solidFill>
          </w14:textFill>
        </w:rPr>
        <w:t>总则</w:t>
      </w:r>
    </w:p>
    <w:p>
      <w:pPr>
        <w:snapToGrid w:val="0"/>
        <w:spacing w:line="360" w:lineRule="auto"/>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 适用范围</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本采购文件适用于该项目的采购邀请、响应文件提交、响应文件开启、资格审查及信用信息查询、磋商、评审、</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确定、合同、验收等行为（法律、法规另有规定的，从其规定）。</w:t>
      </w:r>
    </w:p>
    <w:p>
      <w:pPr>
        <w:snapToGrid w:val="0"/>
        <w:spacing w:line="360" w:lineRule="auto"/>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2.定义</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“采购人”系指竞争性磋商公告中载明的本项目的采购人。</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”系指竞争性磋商公告中载明的本项目的</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“供应商”系指是指提交响应文件和报价、参与竞争性磋商采购活动的法人、其他组织或者自然人。</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w:t>
      </w:r>
      <w:r>
        <w:rPr>
          <w:rFonts w:hint="eastAsia" w:ascii="宋体" w:hAnsi="宋体" w:cs="宋体"/>
          <w:color w:val="000000" w:themeColor="text1"/>
          <w:sz w:val="24"/>
          <w:highlight w:val="none"/>
          <w:lang w:val="en-US" w:eastAsia="zh-CN"/>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指本项目政府采购活动所依托的政府采购云平台（https://www.zcygov.cn/）。</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系指不适用本项目的要求，“※”系指磋商过程中可能实质性变动的内容。</w:t>
      </w: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不会对其加以限制，仍将按照公平竞争原则实施采购）；</w:t>
      </w:r>
      <w:r>
        <w:rPr>
          <w:rFonts w:hint="eastAsia" w:ascii="宋体" w:hAnsi="宋体" w:cs="宋体"/>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pPr>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采购人拟采购的产品属于政府强制采购的节能产品品目清单范围的，供应商未按采购文件要求提供国家确定的认证机构出具的、处于有效期之内的节能产品认证证书的，响应文件无效。</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pStyle w:val="4"/>
        <w:tabs>
          <w:tab w:val="left" w:pos="0"/>
          <w:tab w:val="clear" w:pos="432"/>
        </w:tabs>
        <w:ind w:left="0" w:firstLine="480" w:firstLineChars="200"/>
        <w:rPr>
          <w:color w:val="000000" w:themeColor="text1"/>
          <w:highlight w:val="none"/>
          <w:lang w:val="en-US"/>
          <w14:textFill>
            <w14:solidFill>
              <w14:schemeClr w14:val="tx1"/>
            </w14:solidFill>
          </w14:textFill>
        </w:rPr>
      </w:pPr>
      <w:r>
        <w:rPr>
          <w:rFonts w:ascii="宋体" w:hAnsi="宋体" w:eastAsia="宋体" w:cs="宋体"/>
          <w:b w:val="0"/>
          <w:bCs w:val="0"/>
          <w:color w:val="000000" w:themeColor="text1"/>
          <w:sz w:val="24"/>
          <w:szCs w:val="24"/>
          <w:highlight w:val="none"/>
          <w:lang w:val="en-US"/>
          <w14:textFill>
            <w14:solidFill>
              <w14:schemeClr w14:val="tx1"/>
            </w14:solidFill>
          </w14:textFill>
        </w:rPr>
        <w:t xml:space="preserve">3.2.4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在政府采购活动中，供应商提供的工程符合下列情形的，享受中小企业扶持政策：</w:t>
      </w:r>
      <w:r>
        <w:rPr>
          <w:rFonts w:ascii="宋体" w:hAnsi="宋体" w:cs="宋体"/>
          <w:color w:val="000000" w:themeColor="text1"/>
          <w:sz w:val="24"/>
          <w:highlight w:val="none"/>
          <w14:textFill>
            <w14:solidFill>
              <w14:schemeClr w14:val="tx1"/>
            </w14:solidFill>
          </w14:textFill>
        </w:rPr>
        <w:t>在工程采购项目中，工程由中小企业承建，即工程施工单位为中小企业</w:t>
      </w:r>
      <w:r>
        <w:rPr>
          <w:rFonts w:hint="eastAsia" w:ascii="宋体" w:hAnsi="宋体" w:cs="宋体"/>
          <w:color w:val="000000" w:themeColor="text1"/>
          <w:kern w:val="0"/>
          <w:sz w:val="24"/>
          <w:highlight w:val="none"/>
          <w14:textFill>
            <w14:solidFill>
              <w14:schemeClr w14:val="tx1"/>
            </w14:solidFill>
          </w14:textFill>
        </w:rPr>
        <w:t>。</w:t>
      </w:r>
    </w:p>
    <w:p>
      <w:pPr>
        <w:widowControl/>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4" w:name="_Hlk101132181"/>
      <w:r>
        <w:rPr>
          <w:rFonts w:hint="eastAsia" w:ascii="宋体" w:hAnsi="宋体" w:cs="宋体"/>
          <w:color w:val="000000" w:themeColor="text1"/>
          <w:sz w:val="24"/>
          <w:highlight w:val="none"/>
          <w14:textFill>
            <w14:solidFill>
              <w14:schemeClr w14:val="tx1"/>
            </w14:solidFill>
          </w14:textFill>
        </w:rPr>
        <w:t>联合协议或者分包意向协议约定小微企业的合同份额占到合同总金额30%以上的</w:t>
      </w:r>
      <w:bookmarkEnd w:id="14"/>
      <w:r>
        <w:rPr>
          <w:rFonts w:hint="eastAsia" w:ascii="宋体" w:hAnsi="宋体" w:cs="宋体"/>
          <w:color w:val="000000" w:themeColor="text1"/>
          <w:sz w:val="24"/>
          <w:highlight w:val="none"/>
          <w14:textFill>
            <w14:solidFill>
              <w14:schemeClr w14:val="tx1"/>
            </w14:solidFill>
          </w14:textFill>
        </w:rPr>
        <w:t>，对联合体或者大中型企业的报价给予2%的扣除，用扣除后的价格参加评审。组成联合体或者接受分包的小微企业与联合体内其他企业、分包企业之间存在直接控股、管理关系的，不享受价格扣除优惠政策。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3.6可享受中小企业扶持政策的供应商应按照磋商文件格式要求提供《中小企业声明函》，</w:t>
      </w:r>
      <w:r>
        <w:rPr>
          <w:rFonts w:hint="eastAsia" w:cs="宋体" w:asciiTheme="minorEastAsia" w:hAnsiTheme="minorEastAsia" w:eastAsiaTheme="minorEastAsia"/>
          <w:color w:val="000000" w:themeColor="text1"/>
          <w:sz w:val="24"/>
          <w:highlight w:val="none"/>
          <w:lang w:val="en" w:eastAsia="zh-CN"/>
          <w14:textFill>
            <w14:solidFill>
              <w14:schemeClr w14:val="tx1"/>
            </w14:solidFill>
          </w14:textFill>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r>
        <w:rPr>
          <w:rFonts w:hint="eastAsia" w:ascii="宋体" w:hAnsi="宋体" w:cs="宋体"/>
          <w:bCs/>
          <w:color w:val="000000" w:themeColor="text1"/>
          <w:sz w:val="24"/>
          <w:highlight w:val="none"/>
          <w14:textFill>
            <w14:solidFill>
              <w14:schemeClr w14:val="tx1"/>
            </w14:solidFill>
          </w14:textFill>
        </w:rPr>
        <w:t>支持创新发展</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3.4.1 </w:t>
      </w:r>
      <w:r>
        <w:rPr>
          <w:rFonts w:hint="eastAsia" w:ascii="宋体" w:hAnsi="宋体" w:cs="宋体"/>
          <w:color w:val="000000" w:themeColor="text1"/>
          <w:sz w:val="24"/>
          <w:highlight w:val="none"/>
          <w:lang w:eastAsia="zh-CN"/>
          <w14:textFill>
            <w14:solidFill>
              <w14:schemeClr w14:val="tx1"/>
            </w14:solidFill>
          </w14:textFill>
        </w:rPr>
        <w:t>首台套、“制造精品”、“专精特新”等创新产品按规定享受政府采购支持政策</w:t>
      </w:r>
      <w:r>
        <w:rPr>
          <w:rFonts w:hint="eastAsia" w:ascii="宋体" w:hAnsi="宋体" w:cs="宋体"/>
          <w:color w:val="000000" w:themeColor="text1"/>
          <w:sz w:val="24"/>
          <w:highlight w:val="none"/>
          <w14:textFill>
            <w14:solidFill>
              <w14:schemeClr w14:val="tx1"/>
            </w14:solidFill>
          </w14:textFill>
        </w:rPr>
        <w:t>。</w:t>
      </w:r>
    </w:p>
    <w:p>
      <w:pPr>
        <w:pStyle w:val="4"/>
        <w:adjustRightInd w:val="0"/>
        <w:ind w:left="0" w:firstLine="480" w:firstLineChars="200"/>
        <w:rPr>
          <w:color w:val="000000" w:themeColor="text1"/>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pPr>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b/>
          <w:color w:val="000000" w:themeColor="text1"/>
          <w:sz w:val="24"/>
          <w:highlight w:val="none"/>
          <w14:textFill>
            <w14:solidFill>
              <w14:schemeClr w14:val="tx1"/>
            </w14:solidFill>
          </w14:textFill>
        </w:rPr>
        <w:t>4. 询问、质疑、投</w:t>
      </w:r>
      <w:r>
        <w:rPr>
          <w:rFonts w:hint="eastAsia" w:ascii="宋体" w:hAnsi="宋体" w:cs="宋体"/>
          <w:b/>
          <w:bCs w:val="0"/>
          <w:color w:val="000000" w:themeColor="text1"/>
          <w:sz w:val="24"/>
          <w:highlight w:val="none"/>
          <w14:textFill>
            <w14:solidFill>
              <w14:schemeClr w14:val="tx1"/>
            </w14:solidFill>
          </w14:textFill>
        </w:rPr>
        <w:t>诉</w:t>
      </w:r>
      <w:r>
        <w:rPr>
          <w:rFonts w:hint="eastAsia" w:ascii="宋体" w:hAnsi="宋体" w:cs="仿宋"/>
          <w:b/>
          <w:bCs w:val="0"/>
          <w:color w:val="000000" w:themeColor="text1"/>
          <w:sz w:val="24"/>
          <w:highlight w:val="none"/>
          <w14:textFill>
            <w14:solidFill>
              <w14:schemeClr w14:val="tx1"/>
            </w14:solidFill>
          </w14:textFill>
        </w:rPr>
        <w:t>、补偿救济</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4.1在线询问、质疑、投诉</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autoSpaceDE w:val="0"/>
        <w:autoSpaceDN w:val="0"/>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pPr>
        <w:autoSpaceDE w:val="0"/>
        <w:autoSpaceDN w:val="0"/>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p>
    <w:p>
      <w:pPr>
        <w:pStyle w:val="35"/>
        <w:snapToGrid w:val="0"/>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.1提出质疑的供应商应当是参与所质疑项目采购活动的供应商。潜在供应商已依法获取其可质疑的采购文件的，可以对该文件提出质疑。</w:t>
      </w:r>
    </w:p>
    <w:p>
      <w:pPr>
        <w:pStyle w:val="35"/>
        <w:snapToGrid w:val="0"/>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.2供应商认为采购文件、采购过程和成交结果使自己的权益受到损害的，可以在知道或者应知其权益受到损害之日起七个工作日内，以书面形式向采购人或者</w:t>
      </w:r>
      <w:r>
        <w:rPr>
          <w:rFonts w:hint="eastAsia" w:hAnsi="宋体" w:cs="宋体"/>
          <w:color w:val="000000" w:themeColor="text1"/>
          <w:sz w:val="24"/>
          <w:highlight w:val="none"/>
          <w:lang w:eastAsia="zh-CN"/>
          <w14:textFill>
            <w14:solidFill>
              <w14:schemeClr w14:val="tx1"/>
            </w14:solidFill>
          </w14:textFill>
        </w:rPr>
        <w:t>采购代理机构</w:t>
      </w:r>
      <w:r>
        <w:rPr>
          <w:rFonts w:hint="eastAsia" w:hAnsi="宋体" w:cs="宋体"/>
          <w:color w:val="000000" w:themeColor="text1"/>
          <w:sz w:val="24"/>
          <w:highlight w:val="none"/>
          <w14:textFill>
            <w14:solidFill>
              <w14:schemeClr w14:val="tx1"/>
            </w14:solidFill>
          </w14:textFill>
        </w:rPr>
        <w:t>提出质疑，否则，采购人或者</w:t>
      </w:r>
      <w:r>
        <w:rPr>
          <w:rFonts w:hint="eastAsia" w:hAnsi="宋体" w:cs="宋体"/>
          <w:color w:val="000000" w:themeColor="text1"/>
          <w:sz w:val="24"/>
          <w:highlight w:val="none"/>
          <w:lang w:eastAsia="zh-CN"/>
          <w14:textFill>
            <w14:solidFill>
              <w14:schemeClr w14:val="tx1"/>
            </w14:solidFill>
          </w14:textFill>
        </w:rPr>
        <w:t>采购代理机构</w:t>
      </w:r>
      <w:r>
        <w:rPr>
          <w:rFonts w:hint="eastAsia" w:hAnsi="宋体" w:cs="宋体"/>
          <w:color w:val="000000" w:themeColor="text1"/>
          <w:sz w:val="24"/>
          <w:highlight w:val="none"/>
          <w14:textFill>
            <w14:solidFill>
              <w14:schemeClr w14:val="tx1"/>
            </w14:solidFill>
          </w14:textFill>
        </w:rPr>
        <w:t>不予受理：</w:t>
      </w:r>
    </w:p>
    <w:p>
      <w:pPr>
        <w:pStyle w:val="6"/>
        <w:spacing w:line="360" w:lineRule="auto"/>
        <w:ind w:firstLine="480" w:firstLineChars="200"/>
        <w:rPr>
          <w:rFonts w:hAnsi="宋体" w:cs="宋体"/>
          <w:snapToGrid/>
          <w:color w:val="000000" w:themeColor="text1"/>
          <w:kern w:val="2"/>
          <w:sz w:val="24"/>
          <w:highlight w:val="none"/>
          <w14:textFill>
            <w14:solidFill>
              <w14:schemeClr w14:val="tx1"/>
            </w14:solidFill>
          </w14:textFill>
        </w:rPr>
      </w:pPr>
      <w:r>
        <w:rPr>
          <w:rFonts w:hint="eastAsia" w:hAnsi="宋体" w:cs="宋体"/>
          <w:snapToGrid/>
          <w:color w:val="000000" w:themeColor="text1"/>
          <w:kern w:val="2"/>
          <w:sz w:val="24"/>
          <w:highlight w:val="none"/>
          <w14:textFill>
            <w14:solidFill>
              <w14:schemeClr w14:val="tx1"/>
            </w14:solidFill>
          </w14:textFill>
        </w:rPr>
        <w:t>4.3.2.1对采购文件提出质疑的，质疑期限为供应商获得采购文件之日或者采购文件公告期限届满之日起计算。</w:t>
      </w:r>
    </w:p>
    <w:p>
      <w:pPr>
        <w:pStyle w:val="35"/>
        <w:snapToGrid w:val="0"/>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4.3.2.2对采购过程提出质疑的，质疑期限为各采购程序环节结束之日起计算。</w:t>
      </w:r>
    </w:p>
    <w:p>
      <w:pPr>
        <w:pStyle w:val="35"/>
        <w:snapToGrid w:val="0"/>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4.3.2.3对采购结果提出质疑的，质疑期限自采购结果公告期限届满之日起计算。</w:t>
      </w:r>
    </w:p>
    <w:p>
      <w:pPr>
        <w:pStyle w:val="35"/>
        <w:snapToGrid w:val="0"/>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w:t>
      </w:r>
      <w:r>
        <w:rPr>
          <w:rFonts w:hint="eastAsia"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4.3.3.1供应商的姓名或者名称、地址、邮编、联系人及联系电话；</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4.3.3.2质疑项目的名称、编号；</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4.3.3.3具体、明确的质疑事项和与质疑事项相关的请求；</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4.3.3.4事实依据；</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4.3.3.5必要的法律依据；</w:t>
      </w:r>
    </w:p>
    <w:p>
      <w:pPr>
        <w:pStyle w:val="35"/>
        <w:snapToGrid w:val="0"/>
        <w:spacing w:line="360" w:lineRule="auto"/>
        <w:ind w:firstLine="720" w:firstLineChars="3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4.3.3.6提出质疑的日期。</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质疑函范本及制作说明详见附件2。</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4.3.4对同一采购程序环节的质疑，供应商须在法定质疑期内一次性提出。</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.5采购人或者</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在质疑回复后5个工作日内，在浙江政府采购网的“其他公告”栏目公开质疑答复，答复内容应当完整。质疑函作为附件上传。</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.6询问或者质疑事项可能影响采购结果的，采购人应当暂停签订合同，已经签订合同的，应当中止履行合同。</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的答复不满意或者采购人、</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未在规定的时间内作出答复的，可以在答复期满后十五个工作日内向同级政府采购监督管理部门提出投诉。</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4.4.4以联合体形式参加政府采购活动的，其投诉应当由组成联合体的所有供应商共同提出。</w:t>
      </w:r>
    </w:p>
    <w:p>
      <w:pPr>
        <w:pStyle w:val="890"/>
        <w:shd w:val="clear" w:color="auto" w:fill="FFFFFF"/>
        <w:snapToGrid w:val="0"/>
        <w:spacing w:after="240" w:afterAutospacing="0" w:line="360" w:lineRule="auto"/>
        <w:ind w:firstLine="480" w:firstLineChars="200"/>
        <w:contextualSpacing/>
        <w:rPr>
          <w:rFonts w:hint="eastAsia" w:eastAsia="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根据政府采购行政裁决省市区三级联动试点工作安排，杭州市本级</w:t>
      </w:r>
      <w:r>
        <w:rPr>
          <w:rFonts w:hint="eastAsia"/>
          <w:color w:val="000000" w:themeColor="text1"/>
          <w:highlight w:val="none"/>
          <w:lang w:eastAsia="zh-CN"/>
          <w14:textFill>
            <w14:solidFill>
              <w14:schemeClr w14:val="tx1"/>
            </w14:solidFill>
          </w14:textFill>
        </w:rPr>
        <w:t>及各区、县（市）</w:t>
      </w:r>
      <w:r>
        <w:rPr>
          <w:rFonts w:hint="eastAsia"/>
          <w:color w:val="000000" w:themeColor="text1"/>
          <w:highlight w:val="none"/>
          <w14:textFill>
            <w14:solidFill>
              <w14:schemeClr w14:val="tx1"/>
            </w14:solidFill>
          </w14:textFill>
        </w:rPr>
        <w:t>政府采购项目投诉材料可寄送至浙江省政府采购行政裁决服务中心（杭州），地址：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i w:val="0"/>
          <w:caps w:val="0"/>
          <w:color w:val="000000" w:themeColor="text1"/>
          <w:spacing w:val="0"/>
          <w:sz w:val="24"/>
          <w:szCs w:val="24"/>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收件人：朱女士</w:t>
      </w:r>
      <w:r>
        <w:rPr>
          <w:rFonts w:hint="eastAsia" w:ascii="宋体" w:hAnsi="宋体" w:cs="宋体"/>
          <w:color w:val="000000" w:themeColor="text1"/>
          <w:sz w:val="24"/>
          <w:highlight w:val="none"/>
          <w14:textFill>
            <w14:solidFill>
              <w14:schemeClr w14:val="tx1"/>
            </w14:solidFill>
          </w14:textFill>
        </w:rPr>
        <w:t>、王女士</w:t>
      </w:r>
      <w:r>
        <w:rPr>
          <w:rFonts w:hint="eastAsia"/>
          <w:color w:val="000000" w:themeColor="text1"/>
          <w:highlight w:val="none"/>
          <w14:textFill>
            <w14:solidFill>
              <w14:schemeClr w14:val="tx1"/>
            </w14:solidFill>
          </w14:textFill>
        </w:rPr>
        <w:t>，电话：0571-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采购人因政策变化、规划调整而不履行政府采购合同的，供应商可依据《杭州市涉企补偿救济实施办法（试行）》向采购人提起补偿申请。</w:t>
      </w:r>
    </w:p>
    <w:p>
      <w:pPr>
        <w:pStyle w:val="890"/>
        <w:shd w:val="clear" w:color="auto" w:fill="FFFFFF"/>
        <w:adjustRightInd w:val="0"/>
        <w:snapToGrid w:val="0"/>
        <w:spacing w:before="0" w:beforeAutospacing="0" w:after="0" w:afterAutospacing="0" w:line="360" w:lineRule="auto"/>
        <w:ind w:firstLine="48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投诉书范本及制作说明详见附件3。</w:t>
      </w:r>
    </w:p>
    <w:p>
      <w:pPr>
        <w:pStyle w:val="133"/>
        <w:snapToGrid w:val="0"/>
        <w:spacing w:before="0"/>
        <w:ind w:firstLine="360"/>
        <w:rPr>
          <w:rFonts w:ascii="宋体" w:hAnsi="宋体" w:cs="宋体"/>
          <w:color w:val="000000" w:themeColor="text1"/>
          <w:sz w:val="18"/>
          <w:szCs w:val="18"/>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二、采购文件的构成、澄清、修改</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5．采购文件的构成</w:t>
      </w:r>
    </w:p>
    <w:p>
      <w:pPr>
        <w:pStyle w:val="3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采购文件包括下列文件及附件：</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5.1.1竞争性磋商公告；</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5.1.2供应商须知；</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5.1.4评审办法；</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pPr>
        <w:pStyle w:val="35"/>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澄清或者修改的内容为采购文件的组成部分</w:t>
      </w:r>
      <w:r>
        <w:rPr>
          <w:rFonts w:hint="eastAsia" w:ascii="宋体" w:hAnsi="宋体" w:cs="宋体"/>
          <w:color w:val="000000" w:themeColor="text1"/>
          <w:sz w:val="24"/>
          <w:highlight w:val="none"/>
          <w14:textFill>
            <w14:solidFill>
              <w14:schemeClr w14:val="tx1"/>
            </w14:solidFill>
          </w14:textFill>
        </w:rPr>
        <w:t>。</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采购文件的澄清、修改</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6.1已获取采购文件的潜在供应商，若有问题需要澄清，应于响应文件提交（上传）截止时间前，以书面形式向</w:t>
      </w:r>
      <w:r>
        <w:rPr>
          <w:rFonts w:hint="eastAsia" w:ascii="宋体" w:hAnsi="宋体" w:cs="宋体"/>
          <w:color w:val="000000" w:themeColor="text1"/>
          <w:highlight w:val="none"/>
          <w:lang w:eastAsia="zh-CN"/>
          <w14:textFill>
            <w14:solidFill>
              <w14:schemeClr w14:val="tx1"/>
            </w14:solidFill>
          </w14:textFill>
        </w:rPr>
        <w:t>采购代理机构</w:t>
      </w:r>
      <w:r>
        <w:rPr>
          <w:rFonts w:hint="eastAsia" w:ascii="宋体" w:hAnsi="宋体" w:cs="宋体"/>
          <w:color w:val="000000" w:themeColor="text1"/>
          <w:highlight w:val="none"/>
          <w14:textFill>
            <w14:solidFill>
              <w14:schemeClr w14:val="tx1"/>
            </w14:solidFill>
          </w14:textFill>
        </w:rPr>
        <w:t>提出。</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6.2 </w:t>
      </w:r>
      <w:r>
        <w:rPr>
          <w:rFonts w:hint="eastAsia" w:ascii="宋体" w:hAnsi="宋体" w:cs="宋体"/>
          <w:color w:val="000000" w:themeColor="text1"/>
          <w:highlight w:val="none"/>
          <w:lang w:eastAsia="zh-CN"/>
          <w14:textFill>
            <w14:solidFill>
              <w14:schemeClr w14:val="tx1"/>
            </w14:solidFill>
          </w14:textFill>
        </w:rPr>
        <w:t>采购代理机构</w:t>
      </w:r>
      <w:r>
        <w:rPr>
          <w:rFonts w:hint="eastAsia" w:ascii="宋体" w:hAnsi="宋体" w:cs="宋体"/>
          <w:color w:val="000000" w:themeColor="text1"/>
          <w:highlight w:val="none"/>
          <w14:textFill>
            <w14:solidFill>
              <w14:schemeClr w14:val="tx1"/>
            </w14:solidFill>
          </w14:textFill>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pPr>
        <w:pStyle w:val="24"/>
        <w:rPr>
          <w:rFonts w:hAnsi="宋体" w:cs="宋体"/>
          <w:color w:val="000000" w:themeColor="text1"/>
          <w:sz w:val="18"/>
          <w:szCs w:val="18"/>
          <w:highlight w:val="none"/>
          <w:lang w:val="en-US"/>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三、提交响应文件</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采购文件的获取</w:t>
      </w:r>
    </w:p>
    <w:p>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详见竞争性磋商公告中获取采购文件的时间期限、地点、方式及采购文件售价。</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8.磋商前答疑会或现场考察</w:t>
      </w:r>
    </w:p>
    <w:p>
      <w:pPr>
        <w:pStyle w:val="3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采购人组织潜在供应商现场考察或者召开磋商前答疑会的，潜在供应商按第二部分供应商须知前附表的规定参加现场考察或者磋商前答疑会。</w:t>
      </w:r>
    </w:p>
    <w:p>
      <w:pPr>
        <w:pStyle w:val="35"/>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9.磋商保证金</w:t>
      </w:r>
    </w:p>
    <w:p>
      <w:pPr>
        <w:pStyle w:val="6"/>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本项目不需缴纳磋商保证金。</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响应文件的语言</w:t>
      </w:r>
    </w:p>
    <w:p>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响应文件及供应商与采购有关的来往通知、函件和文件均应使用中文。</w:t>
      </w:r>
    </w:p>
    <w:p>
      <w:pPr>
        <w:pStyle w:val="3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响应文件的组成</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11.1.1符合参加政府采购活动应当具备的一般条件的承诺函；</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bookmarkStart w:id="15" w:name="_Hlk101259339"/>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Start w:id="16" w:name="_Hlk101257010"/>
      <w:r>
        <w:rPr>
          <w:rFonts w:hint="eastAsia" w:ascii="宋体" w:hAnsi="宋体" w:cs="宋体"/>
          <w:snapToGrid w:val="0"/>
          <w:color w:val="000000" w:themeColor="text1"/>
          <w:kern w:val="28"/>
          <w:sz w:val="24"/>
          <w:szCs w:val="20"/>
          <w:highlight w:val="none"/>
          <w14:textFill>
            <w14:solidFill>
              <w14:schemeClr w14:val="tx1"/>
            </w14:solidFill>
          </w14:textFill>
        </w:rPr>
        <w:t>（如果有)</w:t>
      </w:r>
      <w:bookmarkEnd w:id="15"/>
      <w:bookmarkEnd w:id="16"/>
      <w:r>
        <w:rPr>
          <w:rFonts w:hint="eastAsia" w:ascii="宋体" w:hAnsi="宋体" w:cs="宋体"/>
          <w:snapToGrid w:val="0"/>
          <w:color w:val="000000" w:themeColor="text1"/>
          <w:kern w:val="28"/>
          <w:sz w:val="24"/>
          <w:szCs w:val="20"/>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11.2.1响应函；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11.2.3分包意向协议（如果有)；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11.2.4符合性审查资料；</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11.2.5评审标准相应的商务技术资料；</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11.2.6商务技术偏离表；</w:t>
      </w:r>
    </w:p>
    <w:p>
      <w:pPr>
        <w:snapToGrid w:val="0"/>
        <w:spacing w:line="360" w:lineRule="auto"/>
        <w:ind w:firstLine="960" w:firstLineChars="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firstLine="480"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11.3.1报价单；</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11.3.2已标价工程量清单；</w:t>
      </w:r>
    </w:p>
    <w:p>
      <w:pPr>
        <w:snapToGrid w:val="0"/>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11.3.3中小企业声明函。</w:t>
      </w:r>
    </w:p>
    <w:p>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响应文件含有采购人不能接受的附加条件的，响应文件无效；</w:t>
      </w:r>
    </w:p>
    <w:p>
      <w:pPr>
        <w:spacing w:line="360" w:lineRule="auto"/>
        <w:ind w:firstLine="723"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供应商提供虚假材料的，响应文件无效。</w:t>
      </w:r>
    </w:p>
    <w:p>
      <w:pPr>
        <w:spacing w:line="360" w:lineRule="auto"/>
        <w:ind w:firstLine="720" w:firstLineChars="3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供应商可事先在公开官网查询、核对相关证书和报告内容，确保投标（响应）文件资料准确无误。供应商应对响应文件中材料的真实性、合法性负责。</w:t>
      </w:r>
    </w:p>
    <w:p>
      <w:pPr>
        <w:pStyle w:val="133"/>
        <w:snapToGrid w:val="0"/>
        <w:spacing w:before="0"/>
        <w:ind w:firstLine="0" w:firstLineChars="0"/>
        <w:outlineLvl w:val="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12</w:t>
      </w:r>
      <w:r>
        <w:rPr>
          <w:rFonts w:hint="eastAsia" w:ascii="宋体" w:hAnsi="宋体" w:cs="宋体"/>
          <w:b/>
          <w:color w:val="000000" w:themeColor="text1"/>
          <w:kern w:val="0"/>
          <w:szCs w:val="24"/>
          <w:highlight w:val="none"/>
          <w:lang w:val="zh-CN"/>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响应文件的编制</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12.2供应商进行电子投标应安装客户端软件—“政采云电子交易客户端”，并按照采购文件和电子交易平台的要求编制并加密响应文件。供应商未按规定加密的响应文件，电子交易平台将拒收并提示。</w:t>
      </w:r>
    </w:p>
    <w:p>
      <w:pPr>
        <w:snapToGri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13.响应文件的签署、盖章</w:t>
      </w:r>
    </w:p>
    <w:p>
      <w:pPr>
        <w:pStyle w:val="133"/>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13.1响应文件按照采购文件第六部分格式要</w:t>
      </w:r>
      <w:r>
        <w:rPr>
          <w:rFonts w:hint="eastAsia" w:ascii="宋体" w:hAnsi="宋体" w:cs="宋体"/>
          <w:color w:val="000000" w:themeColor="text1"/>
          <w:highlight w:val="none"/>
          <w14:textFill>
            <w14:solidFill>
              <w14:schemeClr w14:val="tx1"/>
            </w14:solidFill>
          </w14:textFill>
        </w:rPr>
        <w:t>求进行签署、盖章。</w:t>
      </w:r>
      <w:r>
        <w:rPr>
          <w:rFonts w:hint="eastAsia" w:ascii="宋体" w:hAnsi="宋体" w:cs="宋体"/>
          <w:b/>
          <w:color w:val="000000" w:themeColor="text1"/>
          <w:highlight w:val="none"/>
          <w14:textFill>
            <w14:solidFill>
              <w14:schemeClr w14:val="tx1"/>
            </w14:solidFill>
          </w14:textFill>
        </w:rPr>
        <w:t>▲供应商的响应文件未按照采购文件要求签署、盖章的，其响应文件无效</w:t>
      </w:r>
      <w:r>
        <w:rPr>
          <w:rFonts w:hint="eastAsia" w:ascii="宋体" w:hAnsi="宋体" w:cs="宋体"/>
          <w:color w:val="000000" w:themeColor="text1"/>
          <w:szCs w:val="24"/>
          <w:highlight w:val="none"/>
          <w14:textFill>
            <w14:solidFill>
              <w14:schemeClr w14:val="tx1"/>
            </w14:solidFill>
          </w14:textFill>
        </w:rPr>
        <w:t>。</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13.2为确保网上操作合法、有效和安全，供应商应当在响应文件提交（上传）截止时间前完成在“政府采购云平台”的身份认证，确保在电子投标过程中能够对相关数据电文进行加密和使用电子签名。</w:t>
      </w:r>
    </w:p>
    <w:p>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13.3采购文件对响应文件签署、盖章的要求适用于电子签名。</w:t>
      </w:r>
    </w:p>
    <w:p>
      <w:pPr>
        <w:pStyle w:val="133"/>
        <w:snapToGrid w:val="0"/>
        <w:spacing w:before="0"/>
        <w:ind w:firstLine="0" w:firstLineChars="0"/>
        <w:rPr>
          <w:rFonts w:ascii="宋体" w:hAnsi="宋体" w:cs="宋体"/>
          <w:b/>
          <w:color w:val="000000" w:themeColor="text1"/>
          <w:szCs w:val="24"/>
          <w:highlight w:val="none"/>
          <w14:textFill>
            <w14:solidFill>
              <w14:schemeClr w14:val="tx1"/>
            </w14:solidFill>
          </w14:textFill>
        </w:rPr>
      </w:pPr>
    </w:p>
    <w:p>
      <w:pPr>
        <w:pStyle w:val="133"/>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响应文件的提交、补充、修改、撤回</w:t>
      </w:r>
    </w:p>
    <w:p>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14.2电子交易平台收到响应文件，将妥善保存并即时向供应商发出确认回执通知。在响应文件提交（上传）截止时间前，除供应商补充、修改或者撤回响应文件外，任何单位和个人不得解密或提取响应文件。</w:t>
      </w:r>
    </w:p>
    <w:p>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w:t>
      </w:r>
      <w:r>
        <w:rPr>
          <w:rFonts w:hint="eastAsia" w:ascii="宋体" w:hAnsi="宋体" w:cs="宋体"/>
          <w:color w:val="000000" w:themeColor="text1"/>
          <w:szCs w:val="24"/>
          <w:highlight w:val="none"/>
          <w:lang w:eastAsia="zh-CN"/>
          <w14:textFill>
            <w14:solidFill>
              <w14:schemeClr w14:val="tx1"/>
            </w14:solidFill>
          </w14:textFill>
        </w:rPr>
        <w:t>采购代理机构</w:t>
      </w:r>
      <w:r>
        <w:rPr>
          <w:rFonts w:hint="eastAsia" w:ascii="宋体" w:hAnsi="宋体" w:cs="宋体"/>
          <w:color w:val="000000" w:themeColor="text1"/>
          <w:szCs w:val="24"/>
          <w:highlight w:val="none"/>
          <w14:textFill>
            <w14:solidFill>
              <w14:schemeClr w14:val="tx1"/>
            </w14:solidFill>
          </w14:textFill>
        </w:rPr>
        <w:t>可以视情况延长响应文件提交的截止时间。在上述情况下，</w:t>
      </w:r>
      <w:r>
        <w:rPr>
          <w:rFonts w:hint="eastAsia" w:ascii="宋体" w:hAnsi="宋体" w:cs="宋体"/>
          <w:color w:val="000000" w:themeColor="text1"/>
          <w:szCs w:val="24"/>
          <w:highlight w:val="none"/>
          <w:lang w:eastAsia="zh-CN"/>
          <w14:textFill>
            <w14:solidFill>
              <w14:schemeClr w14:val="tx1"/>
            </w14:solidFill>
          </w14:textFill>
        </w:rPr>
        <w:t>采购代理机构</w:t>
      </w:r>
      <w:r>
        <w:rPr>
          <w:rFonts w:hint="eastAsia" w:ascii="宋体" w:hAnsi="宋体" w:cs="宋体"/>
          <w:color w:val="000000" w:themeColor="text1"/>
          <w:szCs w:val="24"/>
          <w:highlight w:val="none"/>
          <w14:textFill>
            <w14:solidFill>
              <w14:schemeClr w14:val="tx1"/>
            </w14:solidFill>
          </w14:textFill>
        </w:rPr>
        <w:t>与供应商以前在响应文件提交截止时间方面的全部权利、责任和义务，将适用于延长至新的响应文件提交截止时间。</w:t>
      </w:r>
    </w:p>
    <w:p>
      <w:pPr>
        <w:pStyle w:val="35"/>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15.备份响应文件</w:t>
      </w:r>
    </w:p>
    <w:p>
      <w:pPr>
        <w:pStyle w:val="35"/>
        <w:snapToGrid w:val="0"/>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15.1供应商在电子交易平台传输递交响应文件后，还可以在响应文件提交（上传）截止时间前直接提交或者以邮政快递方式递交备份响应文件1份，</w:t>
      </w:r>
      <w:r>
        <w:rPr>
          <w:rFonts w:hint="eastAsia" w:hAnsi="宋体" w:cs="宋体"/>
          <w:b/>
          <w:color w:val="000000" w:themeColor="text1"/>
          <w:sz w:val="24"/>
          <w:szCs w:val="24"/>
          <w:highlight w:val="none"/>
          <w14:textFill>
            <w14:solidFill>
              <w14:schemeClr w14:val="tx1"/>
            </w14:solidFill>
          </w14:textFill>
        </w:rPr>
        <w:t>但采购人、</w:t>
      </w:r>
      <w:r>
        <w:rPr>
          <w:rFonts w:hint="eastAsia" w:hAnsi="宋体" w:cs="宋体"/>
          <w:b/>
          <w:color w:val="000000" w:themeColor="text1"/>
          <w:sz w:val="24"/>
          <w:szCs w:val="24"/>
          <w:highlight w:val="none"/>
          <w:lang w:eastAsia="zh-CN"/>
          <w14:textFill>
            <w14:solidFill>
              <w14:schemeClr w14:val="tx1"/>
            </w14:solidFill>
          </w14:textFill>
        </w:rPr>
        <w:t>采购代理机构</w:t>
      </w:r>
      <w:r>
        <w:rPr>
          <w:rFonts w:hint="eastAsia" w:hAnsi="宋体" w:cs="宋体"/>
          <w:b/>
          <w:color w:val="000000" w:themeColor="text1"/>
          <w:sz w:val="24"/>
          <w:szCs w:val="24"/>
          <w:highlight w:val="none"/>
          <w14:textFill>
            <w14:solidFill>
              <w14:schemeClr w14:val="tx1"/>
            </w14:solidFill>
          </w14:textFill>
        </w:rPr>
        <w:t>不强制或变相强制供应商提交备份响应文件。</w:t>
      </w:r>
    </w:p>
    <w:p>
      <w:pPr>
        <w:pStyle w:val="35"/>
        <w:snapToGrid w:val="0"/>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15.2备份响应文件须在“政采云投标客户端”制作生成，并储存在</w:t>
      </w:r>
      <w:r>
        <w:rPr>
          <w:rFonts w:hint="eastAsia" w:hAnsi="宋体" w:cs="宋体"/>
          <w:color w:val="000000" w:themeColor="text1"/>
          <w:sz w:val="24"/>
          <w:highlight w:val="none"/>
          <w14:textFill>
            <w14:solidFill>
              <w14:schemeClr w14:val="tx1"/>
            </w14:solidFill>
          </w14:textFill>
        </w:rPr>
        <w:t>DVD光盘</w:t>
      </w:r>
      <w:r>
        <w:rPr>
          <w:rFonts w:hint="eastAsia" w:hAnsi="宋体" w:cs="宋体"/>
          <w:color w:val="000000" w:themeColor="text1"/>
          <w:sz w:val="24"/>
          <w:highlight w:val="none"/>
          <w:lang w:val="en-US" w:eastAsia="zh-CN"/>
          <w14:textFill>
            <w14:solidFill>
              <w14:schemeClr w14:val="tx1"/>
            </w14:solidFill>
          </w14:textFill>
        </w:rPr>
        <w:t>等存储介质</w:t>
      </w:r>
      <w:r>
        <w:rPr>
          <w:rFonts w:hint="eastAsia" w:hAnsi="宋体" w:cs="宋体"/>
          <w:color w:val="000000" w:themeColor="text1"/>
          <w:sz w:val="24"/>
          <w:szCs w:val="24"/>
          <w:highlight w:val="none"/>
          <w14:textFill>
            <w14:solidFill>
              <w14:schemeClr w14:val="tx1"/>
            </w14:solidFill>
          </w14:textFill>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存储、密封规定的备份响应文件将被视为无效或者被拒绝接收。</w:t>
      </w:r>
    </w:p>
    <w:p>
      <w:pPr>
        <w:pStyle w:val="35"/>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15.3直接提交备份响应文件的，供应商应于响应文件提交（上传）截止时间前在竞争性磋商公告中载明的响应文件开启地点将备份响应文件提交给</w:t>
      </w:r>
      <w:r>
        <w:rPr>
          <w:rFonts w:hint="eastAsia" w:hAnsi="宋体" w:cs="宋体"/>
          <w:color w:val="000000" w:themeColor="text1"/>
          <w:sz w:val="24"/>
          <w:szCs w:val="24"/>
          <w:highlight w:val="none"/>
          <w:lang w:eastAsia="zh-CN"/>
          <w14:textFill>
            <w14:solidFill>
              <w14:schemeClr w14:val="tx1"/>
            </w14:solidFill>
          </w14:textFill>
        </w:rPr>
        <w:t>采购代理机构</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采购代理机构</w:t>
      </w:r>
      <w:r>
        <w:rPr>
          <w:rFonts w:hint="eastAsia" w:hAnsi="宋体" w:cs="宋体"/>
          <w:color w:val="000000" w:themeColor="text1"/>
          <w:sz w:val="24"/>
          <w:szCs w:val="24"/>
          <w:highlight w:val="none"/>
          <w14:textFill>
            <w14:solidFill>
              <w14:schemeClr w14:val="tx1"/>
            </w14:solidFill>
          </w14:textFill>
        </w:rPr>
        <w:t>将拒绝接受逾期送达的备份响应文件。</w:t>
      </w:r>
    </w:p>
    <w:p>
      <w:pPr>
        <w:pStyle w:val="35"/>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000000" w:themeColor="text1"/>
          <w:sz w:val="24"/>
          <w:szCs w:val="24"/>
          <w:highlight w:val="none"/>
          <w14:textFill>
            <w14:solidFill>
              <w14:schemeClr w14:val="tx1"/>
            </w14:solidFill>
          </w14:textFill>
        </w:rPr>
        <w:t>采购文件第二部分供应商须知前附表规定的备份响应文件送达地点；</w:t>
      </w:r>
      <w:r>
        <w:rPr>
          <w:rFonts w:hint="eastAsia" w:hAnsi="宋体" w:cs="宋体"/>
          <w:color w:val="000000" w:themeColor="text1"/>
          <w:sz w:val="24"/>
          <w:szCs w:val="24"/>
          <w:highlight w:val="none"/>
          <w14:textFill>
            <w14:solidFill>
              <w14:schemeClr w14:val="tx1"/>
            </w14:solidFill>
          </w14:textFill>
        </w:rPr>
        <w:t>送达时间以签收人签收时间为准。</w:t>
      </w:r>
      <w:r>
        <w:rPr>
          <w:rFonts w:hint="eastAsia" w:hAnsi="宋体" w:cs="宋体"/>
          <w:color w:val="000000" w:themeColor="text1"/>
          <w:sz w:val="24"/>
          <w:szCs w:val="24"/>
          <w:highlight w:val="none"/>
          <w:lang w:eastAsia="zh-CN"/>
          <w14:textFill>
            <w14:solidFill>
              <w14:schemeClr w14:val="tx1"/>
            </w14:solidFill>
          </w14:textFill>
        </w:rPr>
        <w:t>采购代理机构</w:t>
      </w:r>
      <w:r>
        <w:rPr>
          <w:rFonts w:hint="eastAsia" w:hAnsi="宋体" w:cs="宋体"/>
          <w:color w:val="000000" w:themeColor="text1"/>
          <w:sz w:val="24"/>
          <w:szCs w:val="24"/>
          <w:highlight w:val="none"/>
          <w14:textFill>
            <w14:solidFill>
              <w14:schemeClr w14:val="tx1"/>
            </w14:solidFill>
          </w14:textFill>
        </w:rPr>
        <w:t>将拒绝接受逾期送达的备份响应文件。邮寄过程中，电子备份响应文件发生泄露、遗失、损坏或延期送达等情况的，由供应商自行负责。</w:t>
      </w:r>
    </w:p>
    <w:p>
      <w:pPr>
        <w:pStyle w:val="35"/>
        <w:snapToGrid w:val="0"/>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15.5供应商仅提交备份响应文件，未在电子交易平台传输递交响应文件的，响应文件无效。</w:t>
      </w:r>
    </w:p>
    <w:p>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16.响应文件的无效处理</w:t>
      </w:r>
    </w:p>
    <w:p>
      <w:pPr>
        <w:pStyle w:val="27"/>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有采购文件第四部分</w:t>
      </w:r>
      <w:r>
        <w:rPr>
          <w:rFonts w:hint="eastAsia" w:cs="宋体"/>
          <w:color w:val="000000" w:themeColor="text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的情形之一的，响应文件无效：</w:t>
      </w:r>
    </w:p>
    <w:p>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17.响应文件有效期</w:t>
      </w:r>
    </w:p>
    <w:p>
      <w:pPr>
        <w:spacing w:line="360" w:lineRule="auto"/>
        <w:ind w:firstLine="48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17.1响应文件有效期为从提交响应文件的截止之日起90天。▲</w:t>
      </w:r>
      <w:r>
        <w:rPr>
          <w:rFonts w:hint="eastAsia" w:ascii="宋体" w:hAnsi="宋体" w:cs="宋体"/>
          <w:b/>
          <w:color w:val="000000" w:themeColor="text1"/>
          <w:sz w:val="24"/>
          <w:szCs w:val="20"/>
          <w:highlight w:val="none"/>
          <w14:textFill>
            <w14:solidFill>
              <w14:schemeClr w14:val="tx1"/>
            </w14:solidFill>
          </w14:textFill>
        </w:rPr>
        <w:t>供应商的响应文件中承</w:t>
      </w:r>
      <w:r>
        <w:rPr>
          <w:rFonts w:hint="eastAsia" w:ascii="宋体" w:hAnsi="宋体" w:cs="宋体"/>
          <w:b/>
          <w:color w:val="000000" w:themeColor="text1"/>
          <w:sz w:val="24"/>
          <w:szCs w:val="21"/>
          <w:highlight w:val="none"/>
          <w14:textFill>
            <w14:solidFill>
              <w14:schemeClr w14:val="tx1"/>
            </w14:solidFill>
          </w14:textFill>
        </w:rPr>
        <w:t>诺的响应文件有效期少于采购文件中载明的响应文件有效期的，响应文件无效。</w:t>
      </w:r>
    </w:p>
    <w:p>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17.2响应文件合格投递后，自响应文件提交截止时间起，在响应文件有效期内有效。</w:t>
      </w:r>
    </w:p>
    <w:p>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17.3在原定响应文件有效期满之前，如果出现特殊情况，</w:t>
      </w:r>
      <w:r>
        <w:rPr>
          <w:rFonts w:hint="eastAsia" w:ascii="宋体" w:hAnsi="宋体" w:cs="宋体"/>
          <w:color w:val="000000" w:themeColor="text1"/>
          <w:highlight w:val="none"/>
          <w:lang w:eastAsia="zh-CN"/>
          <w14:textFill>
            <w14:solidFill>
              <w14:schemeClr w14:val="tx1"/>
            </w14:solidFill>
          </w14:textFill>
        </w:rPr>
        <w:t>采购代理机构</w:t>
      </w:r>
      <w:r>
        <w:rPr>
          <w:rFonts w:hint="eastAsia" w:ascii="宋体" w:hAnsi="宋体" w:cs="宋体"/>
          <w:color w:val="000000" w:themeColor="text1"/>
          <w:highlight w:val="none"/>
          <w14:textFill>
            <w14:solidFill>
              <w14:schemeClr w14:val="tx1"/>
            </w14:solidFill>
          </w14:textFill>
        </w:rPr>
        <w:t>可以以书面形式通知供应商延长响应文件有效期。供应商同意延长的，不得要求或被允许修改其响应文件，供应商拒绝延长的，其响应文件无效。</w:t>
      </w:r>
    </w:p>
    <w:p>
      <w:pPr>
        <w:pStyle w:val="133"/>
        <w:spacing w:before="0"/>
        <w:ind w:firstLine="643"/>
        <w:rPr>
          <w:rFonts w:ascii="宋体" w:hAnsi="宋体" w:cs="宋体"/>
          <w:b/>
          <w:color w:val="000000" w:themeColor="text1"/>
          <w:sz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四、响应文件开启、资格审查与信用信息查询</w:t>
      </w:r>
    </w:p>
    <w:p>
      <w:pPr>
        <w:pStyle w:val="558"/>
        <w:spacing w:before="0" w:line="360" w:lineRule="auto"/>
        <w:ind w:left="0" w:firstLine="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18.响应文件开启</w:t>
      </w:r>
      <w:r>
        <w:rPr>
          <w:rFonts w:hint="eastAsia" w:ascii="宋体" w:hAnsi="宋体" w:cs="宋体"/>
          <w:color w:val="000000" w:themeColor="text1"/>
          <w:sz w:val="24"/>
          <w:highlight w:val="none"/>
          <w14:textFill>
            <w14:solidFill>
              <w14:schemeClr w14:val="tx1"/>
            </w14:solidFill>
          </w14:textFill>
        </w:rPr>
        <w:t xml:space="preserve"> </w:t>
      </w:r>
    </w:p>
    <w:p>
      <w:pPr>
        <w:pStyle w:val="558"/>
        <w:snapToGrid w:val="0"/>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按照采购文件规定的时间通过电子交易平台组织响应文件开启，所有供应商均应当准时在线参加。供应商不足3家的，不得开启。</w:t>
      </w:r>
    </w:p>
    <w:p>
      <w:pPr>
        <w:pStyle w:val="558"/>
        <w:snapToGrid w:val="0"/>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18.2响应文件开启时，电子交易平台按响应文件开启时间自动提取所有响应文件。</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依托电子交易平台发起开始解密指令，供应商按照平台提示和采购文件的规定在半小时内完成在线解密。</w:t>
      </w:r>
    </w:p>
    <w:p>
      <w:pPr>
        <w:pStyle w:val="558"/>
        <w:snapToGrid w:val="0"/>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w:t>
      </w:r>
      <w:r>
        <w:rPr>
          <w:rFonts w:hint="eastAsia" w:ascii="宋体" w:hAnsi="宋体" w:cs="宋体"/>
          <w:b/>
          <w:bCs/>
          <w:color w:val="000000" w:themeColor="text1"/>
          <w:sz w:val="24"/>
          <w:highlight w:val="none"/>
          <w14:textFill>
            <w14:solidFill>
              <w14:schemeClr w14:val="tx1"/>
            </w14:solidFill>
          </w14:textFill>
        </w:rPr>
        <w:t>响应文件未按时解密，供应商提供了备份响应文件的，以备份响应文件作为依据，否则视为响应文件撤回。响应文件已按时解密的，备份响应文件自动失效。</w:t>
      </w:r>
    </w:p>
    <w:p>
      <w:pPr>
        <w:pStyle w:val="558"/>
        <w:spacing w:before="0" w:line="360" w:lineRule="auto"/>
        <w:ind w:left="0" w:firstLine="0"/>
        <w:contextualSpacing/>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19、资格审查</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或磋商小组依据法律法规和采购文件的规定，对供应商的资格进行审查。</w:t>
      </w:r>
    </w:p>
    <w:p>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kern w:val="0"/>
          <w:szCs w:val="24"/>
          <w:highlight w:val="none"/>
          <w:lang w:val="en-US" w:eastAsia="zh-CN"/>
          <w14:textFill>
            <w14:solidFill>
              <w14:schemeClr w14:val="tx1"/>
            </w14:solidFill>
          </w14:textFill>
        </w:rPr>
        <w:t>2</w:t>
      </w:r>
      <w:r>
        <w:rPr>
          <w:rFonts w:hint="eastAsia" w:ascii="宋体" w:hAnsi="宋体" w:cs="宋体"/>
          <w:color w:val="000000" w:themeColor="text1"/>
          <w:kern w:val="0"/>
          <w:szCs w:val="24"/>
          <w:highlight w:val="none"/>
          <w14:textFill>
            <w14:solidFill>
              <w14:schemeClr w14:val="tx1"/>
            </w14:solidFill>
          </w14:textFill>
        </w:rPr>
        <w:t>供应商未按照采购文件要求提供与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供应商不具备采购文件中规定的资格要求，其响应文件无效。</w:t>
      </w:r>
    </w:p>
    <w:p>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对未通过资格审查的供应商，采购人或</w:t>
      </w:r>
      <w:r>
        <w:rPr>
          <w:rFonts w:hint="eastAsia" w:ascii="宋体" w:hAnsi="宋体" w:cs="宋体"/>
          <w:color w:val="000000" w:themeColor="text1"/>
          <w:highlight w:val="none"/>
          <w:lang w:eastAsia="zh-CN"/>
          <w14:textFill>
            <w14:solidFill>
              <w14:schemeClr w14:val="tx1"/>
            </w14:solidFill>
          </w14:textFill>
        </w:rPr>
        <w:t>采购代理机构</w:t>
      </w:r>
      <w:r>
        <w:rPr>
          <w:rFonts w:hint="eastAsia" w:ascii="宋体" w:hAnsi="宋体" w:cs="宋体"/>
          <w:color w:val="000000" w:themeColor="text1"/>
          <w:highlight w:val="none"/>
          <w14:textFill>
            <w14:solidFill>
              <w14:schemeClr w14:val="tx1"/>
            </w14:solidFill>
          </w14:textFill>
        </w:rPr>
        <w:t>告知其未通过的原因。</w:t>
      </w:r>
    </w:p>
    <w:p>
      <w:pPr>
        <w:pStyle w:val="133"/>
        <w:spacing w:before="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合格供应商不足3家的，不再评审。</w:t>
      </w:r>
    </w:p>
    <w:p>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20、信用信息查询</w:t>
      </w:r>
    </w:p>
    <w:p>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w:t>
      </w:r>
      <w:r>
        <w:rPr>
          <w:rFonts w:hint="eastAsia" w:ascii="宋体" w:hAnsi="宋体" w:cs="宋体"/>
          <w:color w:val="000000" w:themeColor="text1"/>
          <w:kern w:val="0"/>
          <w:szCs w:val="24"/>
          <w:highlight w:val="none"/>
          <w:lang w:eastAsia="zh-CN"/>
          <w14:textFill>
            <w14:solidFill>
              <w14:schemeClr w14:val="tx1"/>
            </w14:solidFill>
          </w14:textFill>
        </w:rPr>
        <w:t>采购代理机构</w:t>
      </w:r>
      <w:r>
        <w:rPr>
          <w:rFonts w:hint="eastAsia" w:ascii="宋体" w:hAnsi="宋体" w:cs="宋体"/>
          <w:color w:val="000000" w:themeColor="text1"/>
          <w:kern w:val="0"/>
          <w:szCs w:val="24"/>
          <w:highlight w:val="none"/>
          <w14:textFill>
            <w14:solidFill>
              <w14:schemeClr w14:val="tx1"/>
            </w14:solidFill>
          </w14:textFill>
        </w:rPr>
        <w:t>将在资格审查时通过“信用中国”网站(www.creditchina.gov.cn)、中国政府采购网(www.ccgp.gov.cn)渠道查询供应商接受资格审查时的信用记录。</w:t>
      </w:r>
    </w:p>
    <w:p>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20.2信用信息查询记录和证据留存的具体方式：现场查询的供应商的信用记录、查询结果经确认后将与采购文件一起存档。</w:t>
      </w:r>
    </w:p>
    <w:p>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20.3信用信息的使用规则：经查询列入失信被执行人名单、重大税收违法案件当事人名单、政府采购严重违法失信行为记录名单的供应商将被拒绝参与政府采购活动。</w:t>
      </w:r>
    </w:p>
    <w:p>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pPr>
        <w:pStyle w:val="133"/>
        <w:spacing w:before="0"/>
        <w:ind w:firstLine="0" w:firstLineChars="0"/>
        <w:rPr>
          <w:rFonts w:ascii="宋体" w:hAnsi="宋体" w:cs="宋体"/>
          <w:color w:val="000000" w:themeColor="text1"/>
          <w:kern w:val="0"/>
          <w:szCs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五、评审</w:t>
      </w:r>
    </w:p>
    <w:p>
      <w:pPr>
        <w:spacing w:line="360" w:lineRule="auto"/>
        <w:rPr>
          <w:rFonts w:ascii="宋体" w:hAnsi="宋体" w:cs="宋体"/>
          <w:b/>
          <w:color w:val="000000" w:themeColor="text1"/>
          <w:sz w:val="24"/>
          <w:highlight w:val="none"/>
          <w14:textFill>
            <w14:solidFill>
              <w14:schemeClr w14:val="tx1"/>
            </w14:solidFill>
          </w14:textFill>
        </w:rPr>
      </w:pPr>
      <w:bookmarkStart w:id="17" w:name="_Toc91899903"/>
      <w:r>
        <w:rPr>
          <w:rFonts w:hint="eastAsia" w:ascii="宋体" w:hAnsi="宋体" w:cs="宋体"/>
          <w:b/>
          <w:color w:val="000000" w:themeColor="text1"/>
          <w:sz w:val="24"/>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000000" w:themeColor="text1"/>
          <w:sz w:val="24"/>
          <w:highlight w:val="none"/>
          <w14:textFill>
            <w14:solidFill>
              <w14:schemeClr w14:val="tx1"/>
            </w14:solidFill>
          </w14:textFill>
        </w:rPr>
        <w:t>详见采购文件第四部分评审办法。</w:t>
      </w:r>
    </w:p>
    <w:p>
      <w:pPr>
        <w:spacing w:line="360" w:lineRule="auto"/>
        <w:rPr>
          <w:rFonts w:ascii="宋体" w:hAnsi="宋体" w:cs="宋体"/>
          <w:b/>
          <w:color w:val="000000" w:themeColor="text1"/>
          <w:sz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六、</w:t>
      </w:r>
      <w:r>
        <w:rPr>
          <w:rFonts w:hint="eastAsia" w:ascii="宋体" w:hAnsi="宋体" w:cs="宋体"/>
          <w:b/>
          <w:color w:val="000000" w:themeColor="text1"/>
          <w:sz w:val="32"/>
          <w:szCs w:val="20"/>
          <w:highlight w:val="none"/>
          <w:lang w:eastAsia="zh-CN"/>
          <w14:textFill>
            <w14:solidFill>
              <w14:schemeClr w14:val="tx1"/>
            </w14:solidFill>
          </w14:textFill>
        </w:rPr>
        <w:t>成交人</w:t>
      </w:r>
      <w:r>
        <w:rPr>
          <w:rFonts w:hint="eastAsia" w:ascii="宋体" w:hAnsi="宋体" w:cs="宋体"/>
          <w:b/>
          <w:color w:val="000000" w:themeColor="text1"/>
          <w:sz w:val="32"/>
          <w:szCs w:val="20"/>
          <w:highlight w:val="none"/>
          <w14:textFill>
            <w14:solidFill>
              <w14:schemeClr w14:val="tx1"/>
            </w14:solidFill>
          </w14:textFill>
        </w:rPr>
        <w:t>确定</w:t>
      </w:r>
    </w:p>
    <w:p>
      <w:pPr>
        <w:pStyle w:val="27"/>
        <w:spacing w:line="360" w:lineRule="auto"/>
        <w:ind w:left="479" w:hanging="479" w:hangingChars="199"/>
        <w:rPr>
          <w:rFonts w:hint="eastAsia" w:eastAsia="宋体" w:cs="宋体"/>
          <w:b/>
          <w:color w:val="000000" w:themeColor="text1"/>
          <w:highlight w:val="none"/>
          <w:lang w:eastAsia="zh-CN"/>
          <w14:textFill>
            <w14:solidFill>
              <w14:schemeClr w14:val="tx1"/>
            </w14:solidFill>
          </w14:textFill>
        </w:rPr>
      </w:pPr>
      <w:r>
        <w:rPr>
          <w:rFonts w:hint="eastAsia" w:cs="宋体"/>
          <w:b/>
          <w:color w:val="000000" w:themeColor="text1"/>
          <w:highlight w:val="none"/>
          <w14:textFill>
            <w14:solidFill>
              <w14:schemeClr w14:val="tx1"/>
            </w14:solidFill>
          </w14:textFill>
        </w:rPr>
        <w:t>22. 确定</w:t>
      </w:r>
      <w:r>
        <w:rPr>
          <w:rFonts w:hint="eastAsia" w:cs="宋体"/>
          <w:b/>
          <w:color w:val="000000" w:themeColor="text1"/>
          <w:highlight w:val="none"/>
          <w:lang w:eastAsia="zh-CN"/>
          <w14:textFill>
            <w14:solidFill>
              <w14:schemeClr w14:val="tx1"/>
            </w14:solidFill>
          </w14:textFill>
        </w:rPr>
        <w:t>成交人</w:t>
      </w:r>
    </w:p>
    <w:p>
      <w:pPr>
        <w:pStyle w:val="133"/>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w:t>
      </w:r>
      <w:r>
        <w:rPr>
          <w:rFonts w:hint="eastAsia" w:ascii="宋体" w:hAnsi="宋体" w:cs="宋体"/>
          <w:color w:val="000000" w:themeColor="text1"/>
          <w:szCs w:val="24"/>
          <w:highlight w:val="none"/>
          <w:lang w:eastAsia="zh-CN"/>
          <w14:textFill>
            <w14:solidFill>
              <w14:schemeClr w14:val="tx1"/>
            </w14:solidFill>
          </w14:textFill>
        </w:rPr>
        <w:t>成交人</w:t>
      </w:r>
      <w:r>
        <w:rPr>
          <w:rFonts w:hint="eastAsia" w:ascii="宋体" w:hAnsi="宋体" w:cs="宋体"/>
          <w:color w:val="000000" w:themeColor="text1"/>
          <w:szCs w:val="24"/>
          <w:highlight w:val="none"/>
          <w14:textFill>
            <w14:solidFill>
              <w14:schemeClr w14:val="tx1"/>
            </w14:solidFill>
          </w14:textFill>
        </w:rPr>
        <w:t>，为提高政府采购效率，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w:t>
      </w:r>
      <w:r>
        <w:rPr>
          <w:rFonts w:hint="eastAsia" w:ascii="宋体" w:hAnsi="宋体" w:cs="宋体"/>
          <w:color w:val="000000" w:themeColor="text1"/>
          <w:szCs w:val="24"/>
          <w:highlight w:val="none"/>
          <w:lang w:eastAsia="zh-CN"/>
          <w14:textFill>
            <w14:solidFill>
              <w14:schemeClr w14:val="tx1"/>
            </w14:solidFill>
          </w14:textFill>
        </w:rPr>
        <w:t>成交人</w:t>
      </w:r>
      <w:r>
        <w:rPr>
          <w:rFonts w:hint="eastAsia" w:ascii="宋体" w:hAnsi="宋体" w:cs="宋体"/>
          <w:color w:val="000000" w:themeColor="text1"/>
          <w:szCs w:val="24"/>
          <w:highlight w:val="none"/>
          <w14:textFill>
            <w14:solidFill>
              <w14:schemeClr w14:val="tx1"/>
            </w14:solidFill>
          </w14:textFill>
        </w:rPr>
        <w:t>。中标、成交通知书和中标、成交结果公告应当在规定时间内同时发出。</w:t>
      </w:r>
    </w:p>
    <w:p>
      <w:pPr>
        <w:pStyle w:val="133"/>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23. 成交通知与成交结果公告</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23.1自</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确定之日起1个工作日内，</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通过电子交易平台向</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发出成交通知书，同时编制发布采购结果公告。</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也可以以纸质形式进行成交通知。</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23.2成交结果公告内容包括采购人及其委托的</w:t>
      </w:r>
      <w:r>
        <w:rPr>
          <w:rFonts w:hint="eastAsia" w:ascii="宋体" w:hAnsi="宋体" w:cs="宋体"/>
          <w:color w:val="000000" w:themeColor="text1"/>
          <w:sz w:val="24"/>
          <w:highlight w:val="none"/>
          <w:lang w:eastAsia="zh-CN"/>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的名称、地址、联系方式，项目名称和项目编号，</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名称、地址和成交金额，主要成交标的的名称、规格型号、数量、单价、服务要求，开标记录、资格审查情况、评审专家抽取规则、符合性审查情况、未成交情况说明、成交结果公告期限以及评审专家名单、评分汇总及明细。</w:t>
      </w:r>
    </w:p>
    <w:p>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23.3公告期限为1个工作日。</w:t>
      </w:r>
    </w:p>
    <w:p>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23.4</w:t>
      </w:r>
      <w:r>
        <w:rPr>
          <w:rFonts w:hint="eastAsia" w:ascii="宋体" w:hAnsi="宋体" w:cs="宋体"/>
          <w:color w:val="000000" w:themeColor="text1"/>
          <w:sz w:val="24"/>
          <w:highlight w:val="none"/>
          <w14:textFill>
            <w14:solidFill>
              <w14:schemeClr w14:val="tx1"/>
            </w14:solidFill>
          </w14:textFill>
        </w:rPr>
        <w:t>由于</w:t>
      </w:r>
      <w:r>
        <w:rPr>
          <w:rFonts w:hint="eastAsia" w:ascii="宋体" w:hAnsi="宋体" w:cs="宋体"/>
          <w:color w:val="000000" w:themeColor="text1"/>
          <w:sz w:val="24"/>
          <w:highlight w:val="none"/>
          <w:lang w:eastAsia="zh-CN"/>
          <w14:textFill>
            <w14:solidFill>
              <w14:schemeClr w14:val="tx1"/>
            </w14:solidFill>
          </w14:textFill>
        </w:rPr>
        <w:t>成交人</w:t>
      </w:r>
      <w:r>
        <w:rPr>
          <w:rFonts w:hint="eastAsia" w:ascii="宋体" w:hAnsi="宋体" w:cs="宋体"/>
          <w:color w:val="000000" w:themeColor="text1"/>
          <w:sz w:val="24"/>
          <w:highlight w:val="none"/>
          <w14:textFill>
            <w14:solidFill>
              <w14:schemeClr w14:val="tx1"/>
            </w14:solidFill>
          </w14:textFill>
        </w:rPr>
        <w:t>原因导致重新采购的，应当承担支付代理费和专家评审费等费用在内的赔偿责任。</w:t>
      </w:r>
    </w:p>
    <w:p>
      <w:pPr>
        <w:snapToGrid w:val="0"/>
        <w:spacing w:line="360" w:lineRule="auto"/>
        <w:ind w:left="120" w:leftChars="57" w:firstLine="482" w:firstLineChars="150"/>
        <w:jc w:val="center"/>
        <w:rPr>
          <w:rFonts w:ascii="宋体" w:hAnsi="宋体" w:cs="宋体"/>
          <w:b/>
          <w:color w:val="000000" w:themeColor="text1"/>
          <w:sz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七、合同授予</w:t>
      </w:r>
    </w:p>
    <w:p>
      <w:pPr>
        <w:pStyle w:val="27"/>
        <w:snapToGrid w:val="0"/>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 xml:space="preserve">24. </w:t>
      </w:r>
      <w:r>
        <w:rPr>
          <w:rFonts w:hint="eastAsia" w:cs="宋体"/>
          <w:color w:val="000000" w:themeColor="text1"/>
          <w:highlight w:val="none"/>
          <w14:textFill>
            <w14:solidFill>
              <w14:schemeClr w14:val="tx1"/>
            </w14:solidFill>
          </w14:textFill>
        </w:rPr>
        <w:t>合同主要条款详见第五部分拟签订的合同文本。</w:t>
      </w:r>
    </w:p>
    <w:p>
      <w:pPr>
        <w:pStyle w:val="27"/>
        <w:snapToGrid w:val="0"/>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25. 合同的签订</w:t>
      </w:r>
    </w:p>
    <w:p>
      <w:pPr>
        <w:widowControl/>
        <w:shd w:val="clear" w:color="auto" w:fill="FFFFFF"/>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w:t>
      </w:r>
      <w:r>
        <w:rPr>
          <w:rFonts w:hint="eastAsia" w:ascii="宋体" w:hAnsi="宋体" w:cs="宋体"/>
          <w:color w:val="000000" w:themeColor="text1"/>
          <w:kern w:val="0"/>
          <w:sz w:val="24"/>
          <w:highlight w:val="none"/>
          <w14:textFill>
            <w14:solidFill>
              <w14:schemeClr w14:val="tx1"/>
            </w14:solidFill>
          </w14:textFill>
        </w:rPr>
        <w:t xml:space="preserve"> 采购人与</w:t>
      </w:r>
      <w:r>
        <w:rPr>
          <w:rFonts w:hint="eastAsia" w:ascii="宋体" w:hAnsi="宋体" w:cs="宋体"/>
          <w:color w:val="000000" w:themeColor="text1"/>
          <w:kern w:val="0"/>
          <w:sz w:val="24"/>
          <w:highlight w:val="none"/>
          <w:lang w:eastAsia="zh-CN"/>
          <w14:textFill>
            <w14:solidFill>
              <w14:schemeClr w14:val="tx1"/>
            </w14:solidFill>
          </w14:textFill>
        </w:rPr>
        <w:t>成交人</w:t>
      </w:r>
      <w:r>
        <w:rPr>
          <w:rFonts w:hint="eastAsia" w:ascii="宋体" w:hAnsi="宋体" w:cs="宋体"/>
          <w:color w:val="000000" w:themeColor="text1"/>
          <w:kern w:val="0"/>
          <w:sz w:val="24"/>
          <w:highlight w:val="none"/>
          <w14:textFill>
            <w14:solidFill>
              <w14:schemeClr w14:val="tx1"/>
            </w14:solidFill>
          </w14:textFill>
        </w:rPr>
        <w:t>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w:t>
      </w:r>
      <w:r>
        <w:rPr>
          <w:rFonts w:hint="eastAsia" w:ascii="宋体" w:hAnsi="宋体" w:cs="宋体"/>
          <w:color w:val="000000" w:themeColor="text1"/>
          <w:kern w:val="0"/>
          <w:sz w:val="24"/>
          <w:highlight w:val="none"/>
          <w:lang w:eastAsia="zh-CN"/>
          <w14:textFill>
            <w14:solidFill>
              <w14:schemeClr w14:val="tx1"/>
            </w14:solidFill>
          </w14:textFill>
        </w:rPr>
        <w:t>成交人</w:t>
      </w:r>
      <w:r>
        <w:rPr>
          <w:rFonts w:hint="eastAsia" w:ascii="宋体" w:hAnsi="宋体" w:cs="宋体"/>
          <w:color w:val="000000" w:themeColor="text1"/>
          <w:kern w:val="0"/>
          <w:sz w:val="24"/>
          <w:highlight w:val="none"/>
          <w14:textFill>
            <w14:solidFill>
              <w14:schemeClr w14:val="tx1"/>
            </w14:solidFill>
          </w14:textFill>
        </w:rPr>
        <w:t>按照采购文件确定的事项签订政府采购合同。</w:t>
      </w:r>
    </w:p>
    <w:p>
      <w:pPr>
        <w:pStyle w:val="133"/>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25.2成交人按规定的日期、时间、地点，由法定代表人或其授权代表与采购人代表签订合同。如成交人为联合体的，由联合体成员各方法定代表人或其授权代表与采购人代表签订合同。</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25.4</w:t>
      </w:r>
      <w:r>
        <w:rPr>
          <w:rFonts w:hint="eastAsia" w:ascii="宋体" w:hAnsi="宋体" w:cs="宋体"/>
          <w:color w:val="000000" w:themeColor="text1"/>
          <w:highlight w:val="none"/>
          <w:lang w:eastAsia="zh-CN"/>
          <w14:textFill>
            <w14:solidFill>
              <w14:schemeClr w14:val="tx1"/>
            </w14:solidFill>
          </w14:textFill>
        </w:rPr>
        <w:t>成交人</w:t>
      </w:r>
      <w:r>
        <w:rPr>
          <w:rFonts w:hint="eastAsia" w:ascii="宋体" w:hAnsi="宋体" w:cs="宋体"/>
          <w:color w:val="000000" w:themeColor="text1"/>
          <w:highlight w:val="none"/>
          <w14:textFill>
            <w14:solidFill>
              <w14:schemeClr w14:val="tx1"/>
            </w14:solidFill>
          </w14:textFill>
        </w:rPr>
        <w:t>拒绝与采购人签订合同的，采购人可以按照评审报告推荐的成交候选人名单排序，确定下一候选人为</w:t>
      </w:r>
      <w:r>
        <w:rPr>
          <w:rFonts w:hint="eastAsia" w:ascii="宋体" w:hAnsi="宋体" w:cs="宋体"/>
          <w:color w:val="000000" w:themeColor="text1"/>
          <w:highlight w:val="none"/>
          <w:lang w:eastAsia="zh-CN"/>
          <w14:textFill>
            <w14:solidFill>
              <w14:schemeClr w14:val="tx1"/>
            </w14:solidFill>
          </w14:textFill>
        </w:rPr>
        <w:t>成交人</w:t>
      </w:r>
      <w:r>
        <w:rPr>
          <w:rFonts w:hint="eastAsia" w:ascii="宋体" w:hAnsi="宋体" w:cs="宋体"/>
          <w:color w:val="000000" w:themeColor="text1"/>
          <w:highlight w:val="none"/>
          <w14:textFill>
            <w14:solidFill>
              <w14:schemeClr w14:val="tx1"/>
            </w14:solidFill>
          </w14:textFill>
        </w:rPr>
        <w:t>，也可以重新开展政府采购活动。拒绝与采购人签订合同的</w:t>
      </w:r>
      <w:r>
        <w:rPr>
          <w:rFonts w:hint="eastAsia" w:ascii="宋体" w:hAnsi="宋体" w:cs="宋体"/>
          <w:color w:val="000000" w:themeColor="text1"/>
          <w:highlight w:val="none"/>
          <w:lang w:eastAsia="zh-CN"/>
          <w14:textFill>
            <w14:solidFill>
              <w14:schemeClr w14:val="tx1"/>
            </w14:solidFill>
          </w14:textFill>
        </w:rPr>
        <w:t>成交人</w:t>
      </w:r>
      <w:r>
        <w:rPr>
          <w:rFonts w:hint="eastAsia" w:ascii="宋体" w:hAnsi="宋体" w:cs="宋体"/>
          <w:color w:val="000000" w:themeColor="text1"/>
          <w:highlight w:val="none"/>
          <w14:textFill>
            <w14:solidFill>
              <w14:schemeClr w14:val="tx1"/>
            </w14:solidFill>
          </w14:textFill>
        </w:rPr>
        <w:t>应承担采购代理服务费、评审专家劳务报酬等相关费用。</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25.5采购合同由采购人与</w:t>
      </w:r>
      <w:r>
        <w:rPr>
          <w:rFonts w:hint="eastAsia" w:ascii="宋体" w:hAnsi="宋体" w:cs="宋体"/>
          <w:color w:val="000000" w:themeColor="text1"/>
          <w:highlight w:val="none"/>
          <w:lang w:eastAsia="zh-CN"/>
          <w14:textFill>
            <w14:solidFill>
              <w14:schemeClr w14:val="tx1"/>
            </w14:solidFill>
          </w14:textFill>
        </w:rPr>
        <w:t>成交人</w:t>
      </w:r>
      <w:r>
        <w:rPr>
          <w:rFonts w:hint="eastAsia" w:ascii="宋体" w:hAnsi="宋体" w:cs="宋体"/>
          <w:color w:val="000000" w:themeColor="text1"/>
          <w:highlight w:val="none"/>
          <w14:textFill>
            <w14:solidFill>
              <w14:schemeClr w14:val="tx1"/>
            </w14:solidFill>
          </w14:textFill>
        </w:rPr>
        <w:t>根据采购文件、响应文件等内容通过政府采购电子交易平台在线签订，自动备案。</w:t>
      </w:r>
    </w:p>
    <w:p>
      <w:pPr>
        <w:pStyle w:val="27"/>
        <w:snapToGrid w:val="0"/>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26. 履约保证金</w:t>
      </w:r>
    </w:p>
    <w:p>
      <w:pPr>
        <w:tabs>
          <w:tab w:val="left" w:pos="0"/>
        </w:tabs>
        <w:snapToGrid w:val="0"/>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拟签订的合同文本要求</w:t>
      </w:r>
      <w:r>
        <w:rPr>
          <w:rFonts w:hint="eastAsia" w:ascii="宋体" w:hAnsi="宋体" w:cs="宋体"/>
          <w:color w:val="000000" w:themeColor="text1"/>
          <w:kern w:val="0"/>
          <w:sz w:val="24"/>
          <w:highlight w:val="none"/>
          <w:lang w:eastAsia="zh-CN"/>
          <w14:textFill>
            <w14:solidFill>
              <w14:schemeClr w14:val="tx1"/>
            </w14:solidFill>
          </w14:textFill>
        </w:rPr>
        <w:t>成交人</w:t>
      </w:r>
      <w:r>
        <w:rPr>
          <w:rFonts w:hint="eastAsia" w:ascii="宋体" w:hAnsi="宋体" w:cs="宋体"/>
          <w:color w:val="000000" w:themeColor="text1"/>
          <w:kern w:val="0"/>
          <w:sz w:val="24"/>
          <w:highlight w:val="none"/>
          <w14:textFill>
            <w14:solidFill>
              <w14:schemeClr w14:val="tx1"/>
            </w14:solidFill>
          </w14:textFill>
        </w:rPr>
        <w:t>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。杭州市政府采购网公布的供应商履约评价为满分的供应商，采购单位应当免收履约保证金。确需收取履约保证金的，履约保证金缴纳最高比例由不超过</w:t>
      </w:r>
      <w:r>
        <w:rPr>
          <w:rFonts w:hint="eastAsia" w:ascii="宋体" w:hAnsi="宋体" w:cs="宋体"/>
          <w:color w:val="000000" w:themeColor="text1"/>
          <w:kern w:val="2"/>
          <w:sz w:val="24"/>
          <w:highlight w:val="none"/>
          <w14:textFill>
            <w14:solidFill>
              <w14:schemeClr w14:val="tx1"/>
            </w14:solidFill>
          </w14:textFill>
        </w:rPr>
        <w:t>合同金额的</w:t>
      </w:r>
      <w:r>
        <w:rPr>
          <w:rFonts w:ascii="宋体" w:hAnsi="宋体" w:cs="宋体"/>
          <w:color w:val="000000" w:themeColor="text1"/>
          <w:kern w:val="2"/>
          <w:sz w:val="24"/>
          <w:highlight w:val="none"/>
          <w14:textFill>
            <w14:solidFill>
              <w14:schemeClr w14:val="tx1"/>
            </w14:solidFill>
          </w14:textFill>
        </w:rPr>
        <w:t>1%</w:t>
      </w:r>
      <w:r>
        <w:rPr>
          <w:rFonts w:hint="eastAsia" w:ascii="宋体" w:hAnsi="宋体" w:cs="宋体"/>
          <w:color w:val="000000" w:themeColor="text1"/>
          <w:kern w:val="2"/>
          <w:sz w:val="24"/>
          <w:highlight w:val="none"/>
          <w14:textFill>
            <w14:solidFill>
              <w14:schemeClr w14:val="tx1"/>
            </w14:solidFill>
          </w14:textFill>
        </w:rPr>
        <w:t>，鼓励根据项目特点、供应商诚信等因素免收履约保证金或降低缴纳比例。</w:t>
      </w:r>
      <w:r>
        <w:rPr>
          <w:rFonts w:hint="eastAsia" w:ascii="宋体" w:hAnsi="宋体" w:cs="宋体"/>
          <w:color w:val="000000" w:themeColor="text1"/>
          <w:sz w:val="24"/>
          <w:highlight w:val="none"/>
          <w14:textFill>
            <w14:solidFill>
              <w14:schemeClr w14:val="tx1"/>
            </w14:solidFill>
          </w14:textFill>
        </w:rPr>
        <w:t>采购单位鼓励供应商采取履约保函形式提供信用保证；供应商提供保函的，采购单位不得拒收。项目验收结束后应及时退还，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pStyle w:val="4"/>
        <w:snapToGrid w:val="0"/>
        <w:ind w:left="0" w:firstLine="480" w:firstLineChars="200"/>
        <w:rPr>
          <w:rFonts w:ascii="宋体" w:hAnsi="宋体" w:eastAsia="宋体" w:cs="宋体"/>
          <w:b w:val="0"/>
          <w:bCs w:val="0"/>
          <w:snapToGrid w:val="0"/>
          <w:color w:val="000000" w:themeColor="text1"/>
          <w:kern w:val="28"/>
          <w:sz w:val="24"/>
          <w:highlight w:val="none"/>
          <w14:textFill>
            <w14:solidFill>
              <w14:schemeClr w14:val="tx1"/>
            </w14:solidFill>
          </w14:textFill>
        </w:rPr>
      </w:pP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w:t>
      </w:r>
    </w:p>
    <w:p>
      <w:pPr>
        <w:pStyle w:val="4"/>
        <w:rPr>
          <w:color w:val="000000" w:themeColor="text1"/>
          <w:highlight w:val="none"/>
          <w14:textFill>
            <w14:solidFill>
              <w14:schemeClr w14:val="tx1"/>
            </w14:solidFill>
          </w14:textFill>
        </w:rPr>
      </w:pPr>
      <w:r>
        <w:rPr>
          <w:rFonts w:ascii="宋体" w:hAnsi="宋体" w:eastAsia="宋体" w:cs="Times New Roman"/>
          <w:b/>
          <w:bCs/>
          <w:color w:val="000000" w:themeColor="text1"/>
          <w:kern w:val="2"/>
          <w:sz w:val="24"/>
          <w:szCs w:val="32"/>
          <w:highlight w:val="none"/>
          <w:lang w:val="en-US"/>
          <w14:textFill>
            <w14:solidFill>
              <w14:schemeClr w14:val="tx1"/>
            </w14:solidFill>
          </w14:textFill>
        </w:rPr>
        <w:t>27.预付款</w:t>
      </w:r>
    </w:p>
    <w:p>
      <w:pPr>
        <w:adjustRightInd/>
        <w:spacing w:line="360" w:lineRule="auto"/>
        <w:ind w:firstLine="480" w:firstLineChars="200"/>
        <w:rPr>
          <w:color w:val="000000" w:themeColor="text1"/>
          <w:highlight w:val="none"/>
          <w14:textFill>
            <w14:solidFill>
              <w14:schemeClr w14:val="tx1"/>
            </w14:solidFill>
          </w14:textFill>
        </w:rPr>
      </w:pPr>
      <w:r>
        <w:rPr>
          <w:rFonts w:hint="eastAsia" w:ascii="宋体" w:hAnsi="宋体" w:cs="Times New Roman"/>
          <w:color w:val="000000" w:themeColor="text1"/>
          <w:kern w:val="2"/>
          <w:sz w:val="24"/>
          <w:highlight w:val="none"/>
          <w14:textFill>
            <w14:solidFill>
              <w14:schemeClr w14:val="tx1"/>
            </w14:solidFill>
          </w14:textFill>
        </w:rPr>
        <w:t>采购单位应当在政府采购合同中约定预付款，对中小企业合同预付款比例原则上不低于合同金额的</w:t>
      </w:r>
      <w:r>
        <w:rPr>
          <w:rFonts w:ascii="宋体" w:hAnsi="宋体" w:cs="Times New Roman"/>
          <w:color w:val="000000" w:themeColor="text1"/>
          <w:kern w:val="2"/>
          <w:sz w:val="24"/>
          <w:highlight w:val="none"/>
          <w14:textFill>
            <w14:solidFill>
              <w14:schemeClr w14:val="tx1"/>
            </w14:solidFill>
          </w14:textFill>
        </w:rPr>
        <w:t>40％</w:t>
      </w:r>
      <w:r>
        <w:rPr>
          <w:rFonts w:hint="eastAsia" w:ascii="宋体" w:hAnsi="宋体" w:cs="Times New Roman"/>
          <w:color w:val="000000" w:themeColor="text1"/>
          <w:kern w:val="2"/>
          <w:sz w:val="24"/>
          <w:highlight w:val="none"/>
          <w14:textFill>
            <w14:solidFill>
              <w14:schemeClr w14:val="tx1"/>
            </w14:solidFill>
          </w14:textFill>
        </w:rPr>
        <w:t>，不高于合同金额的</w:t>
      </w:r>
      <w:r>
        <w:rPr>
          <w:rFonts w:ascii="宋体" w:hAnsi="宋体" w:cs="Times New Roman"/>
          <w:color w:val="000000" w:themeColor="text1"/>
          <w:kern w:val="2"/>
          <w:sz w:val="24"/>
          <w:highlight w:val="none"/>
          <w14:textFill>
            <w14:solidFill>
              <w14:schemeClr w14:val="tx1"/>
            </w14:solidFill>
          </w14:textFill>
        </w:rPr>
        <w:t>70%；项目分年安排预算的，每年预付款比例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s="Times New Roman"/>
          <w:color w:val="000000" w:themeColor="text1"/>
          <w:kern w:val="2"/>
          <w:sz w:val="24"/>
          <w:highlight w:val="none"/>
          <w14:textFill>
            <w14:solidFill>
              <w14:schemeClr w14:val="tx1"/>
            </w14:solidFill>
          </w14:textFill>
        </w:rPr>
        <w:t>项目年度计划支付资金额的40％</w:t>
      </w:r>
      <w:r>
        <w:rPr>
          <w:rFonts w:hint="eastAsia" w:ascii="宋体" w:hAnsi="宋体" w:cs="Times New Roman"/>
          <w:color w:val="000000" w:themeColor="text1"/>
          <w:kern w:val="2"/>
          <w:sz w:val="24"/>
          <w:highlight w:val="none"/>
          <w14:textFill>
            <w14:solidFill>
              <w14:schemeClr w14:val="tx1"/>
            </w14:solidFill>
          </w14:textFill>
        </w:rPr>
        <w:t>，不高于合同金额的</w:t>
      </w:r>
      <w:r>
        <w:rPr>
          <w:rFonts w:ascii="宋体" w:hAnsi="宋体" w:cs="Times New Roman"/>
          <w:color w:val="000000" w:themeColor="text1"/>
          <w:kern w:val="2"/>
          <w:sz w:val="24"/>
          <w:highlight w:val="none"/>
          <w14:textFill>
            <w14:solidFill>
              <w14:schemeClr w14:val="tx1"/>
            </w14:solidFill>
          </w14:textFill>
        </w:rPr>
        <w:t>70%；采购项目实施以人工投入为主的，</w:t>
      </w:r>
      <w:r>
        <w:rPr>
          <w:rFonts w:hint="eastAsia" w:ascii="宋体" w:hAnsi="宋体" w:cs="Times New Roman"/>
          <w:color w:val="000000" w:themeColor="text1"/>
          <w:kern w:val="2"/>
          <w:sz w:val="24"/>
          <w:highlight w:val="none"/>
          <w14:textFill>
            <w14:solidFill>
              <w14:schemeClr w14:val="tx1"/>
            </w14:solidFill>
          </w14:textFill>
        </w:rPr>
        <w:t>可适当降低预付款比例，但不得低于</w:t>
      </w:r>
      <w:r>
        <w:rPr>
          <w:rFonts w:ascii="宋体" w:hAnsi="宋体" w:cs="Times New Roman"/>
          <w:color w:val="000000" w:themeColor="text1"/>
          <w:kern w:val="2"/>
          <w:sz w:val="24"/>
          <w:highlight w:val="none"/>
          <w14:textFill>
            <w14:solidFill>
              <w14:schemeClr w14:val="tx1"/>
            </w14:solidFill>
          </w14:textFill>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000000" w:themeColor="text1"/>
          <w:kern w:val="2"/>
          <w:sz w:val="24"/>
          <w:highlight w:val="none"/>
          <w14:textFill>
            <w14:solidFill>
              <w14:schemeClr w14:val="tx1"/>
            </w14:solidFill>
          </w14:textFill>
        </w:rPr>
        <w:t>供应商</w:t>
      </w:r>
      <w:r>
        <w:rPr>
          <w:rFonts w:ascii="宋体" w:hAnsi="宋体" w:cs="Times New Roman"/>
          <w:color w:val="000000" w:themeColor="text1"/>
          <w:kern w:val="2"/>
          <w:sz w:val="24"/>
          <w:highlight w:val="none"/>
          <w14:textFill>
            <w14:solidFill>
              <w14:schemeClr w14:val="tx1"/>
            </w14:solidFill>
          </w14:textFill>
        </w:rPr>
        <w:t>明确表示无需预付款或者主动要求降低预付款比例的，</w:t>
      </w:r>
      <w:r>
        <w:rPr>
          <w:rFonts w:hint="eastAsia" w:ascii="宋体" w:hAnsi="宋体" w:cs="Times New Roman"/>
          <w:color w:val="000000" w:themeColor="text1"/>
          <w:kern w:val="2"/>
          <w:sz w:val="24"/>
          <w:highlight w:val="none"/>
          <w14:textFill>
            <w14:solidFill>
              <w14:schemeClr w14:val="tx1"/>
            </w14:solidFill>
          </w14:textFill>
        </w:rPr>
        <w:t>采购单位</w:t>
      </w:r>
      <w:r>
        <w:rPr>
          <w:rFonts w:ascii="宋体" w:hAnsi="宋体" w:cs="Times New Roman"/>
          <w:color w:val="000000" w:themeColor="text1"/>
          <w:kern w:val="2"/>
          <w:sz w:val="24"/>
          <w:highlight w:val="none"/>
          <w14:textFill>
            <w14:solidFill>
              <w14:schemeClr w14:val="tx1"/>
            </w14:solidFill>
          </w14:textFill>
        </w:rPr>
        <w:t>可不适用前述规定。</w:t>
      </w:r>
      <w:r>
        <w:rPr>
          <w:rFonts w:hint="eastAsia" w:ascii="宋体" w:hAnsi="宋体" w:cs="Times New Roman"/>
          <w:color w:val="000000" w:themeColor="text1"/>
          <w:kern w:val="2"/>
          <w:sz w:val="24"/>
          <w:highlight w:val="none"/>
          <w14:textFill>
            <w14:solidFill>
              <w14:schemeClr w14:val="tx1"/>
            </w14:solidFill>
          </w14:textFill>
        </w:rPr>
        <w:t>采购单位</w:t>
      </w:r>
      <w:r>
        <w:rPr>
          <w:rFonts w:ascii="宋体" w:hAnsi="宋体" w:cs="Times New Roman"/>
          <w:color w:val="000000" w:themeColor="text1"/>
          <w:kern w:val="2"/>
          <w:sz w:val="24"/>
          <w:highlight w:val="none"/>
          <w14:textFill>
            <w14:solidFill>
              <w14:schemeClr w14:val="tx1"/>
            </w14:solidFill>
          </w14:textFill>
        </w:rPr>
        <w:t>根据项目特点、供应商诚信等因素，可以要求</w:t>
      </w:r>
      <w:r>
        <w:rPr>
          <w:rFonts w:hint="eastAsia" w:ascii="宋体" w:hAnsi="宋体" w:cs="Times New Roman"/>
          <w:color w:val="000000" w:themeColor="text1"/>
          <w:kern w:val="2"/>
          <w:sz w:val="24"/>
          <w:highlight w:val="none"/>
          <w14:textFill>
            <w14:solidFill>
              <w14:schemeClr w14:val="tx1"/>
            </w14:solidFill>
          </w14:textFill>
        </w:rPr>
        <w:t>供应商</w:t>
      </w:r>
      <w:r>
        <w:rPr>
          <w:rFonts w:ascii="宋体" w:hAnsi="宋体" w:cs="Times New Roman"/>
          <w:color w:val="000000" w:themeColor="text1"/>
          <w:kern w:val="2"/>
          <w:sz w:val="24"/>
          <w:highlight w:val="none"/>
          <w14:textFill>
            <w14:solidFill>
              <w14:schemeClr w14:val="tx1"/>
            </w14:solidFill>
          </w14:textFill>
        </w:rPr>
        <w:t>提交银行、保险公司等金融机构出具的预付款保函或其他担保措施。政府采购预付款应在合同生效以及具备实施条件后5个工作日内支付。</w:t>
      </w:r>
      <w:r>
        <w:rPr>
          <w:rFonts w:hint="eastAsia" w:ascii="宋体" w:hAnsi="宋体" w:cs="Times New Roman"/>
          <w:color w:val="000000" w:themeColor="text1"/>
          <w:kern w:val="2"/>
          <w:sz w:val="24"/>
          <w:highlight w:val="none"/>
          <w14:textFill>
            <w14:solidFill>
              <w14:schemeClr w14:val="tx1"/>
            </w14:solidFill>
          </w14:textFill>
        </w:rPr>
        <w:t>政府采购工程以及与工程建设有关的货物、服务，采用招标方式采购的，预付款从其相关规定。供应商可登录政采云前台大厅选择金融服务</w:t>
      </w:r>
      <w:r>
        <w:rPr>
          <w:rFonts w:ascii="宋体" w:hAnsi="宋体" w:cs="Times New Roman"/>
          <w:color w:val="000000" w:themeColor="text1"/>
          <w:kern w:val="2"/>
          <w:sz w:val="24"/>
          <w:highlight w:val="none"/>
          <w14:textFill>
            <w14:solidFill>
              <w14:schemeClr w14:val="tx1"/>
            </w14:solidFill>
          </w14:textFill>
        </w:rPr>
        <w:t xml:space="preserve"> - </w:t>
      </w:r>
      <w:r>
        <w:rPr>
          <w:rFonts w:hint="eastAsia" w:ascii="宋体" w:hAnsi="宋体" w:cs="Times New Roman"/>
          <w:color w:val="000000" w:themeColor="text1"/>
          <w:kern w:val="2"/>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s="Times New Roman"/>
          <w:color w:val="000000" w:themeColor="text1"/>
          <w:kern w:val="2"/>
          <w:sz w:val="24"/>
          <w:highlight w:val="none"/>
          <w14:textFill>
            <w14:solidFill>
              <w14:schemeClr w14:val="tx1"/>
            </w14:solidFill>
          </w14:textFill>
        </w:rPr>
        <w:t>/保函受理—确认保单—支付保费—成功出单。政</w:t>
      </w:r>
      <w:r>
        <w:rPr>
          <w:rFonts w:hint="eastAsia" w:ascii="宋体" w:hAnsi="宋体" w:cs="Times New Roman"/>
          <w:color w:val="000000" w:themeColor="text1"/>
          <w:kern w:val="2"/>
          <w:sz w:val="24"/>
          <w:highlight w:val="none"/>
          <w14:textFill>
            <w14:solidFill>
              <w14:schemeClr w14:val="tx1"/>
            </w14:solidFill>
          </w14:textFill>
        </w:rPr>
        <w:t>采云金融专线</w:t>
      </w:r>
      <w:r>
        <w:rPr>
          <w:rFonts w:hint="eastAsia" w:ascii="宋体" w:hAnsi="宋体" w:cs="Times New Roman"/>
          <w:color w:val="000000" w:themeColor="text1"/>
          <w:kern w:val="2"/>
          <w:sz w:val="24"/>
          <w:highlight w:val="none"/>
          <w:lang w:val="en-US" w:eastAsia="zh-CN"/>
          <w14:textFill>
            <w14:solidFill>
              <w14:schemeClr w14:val="tx1"/>
            </w14:solidFill>
          </w14:textFill>
        </w:rPr>
        <w:t>95763</w:t>
      </w:r>
      <w:r>
        <w:rPr>
          <w:rFonts w:ascii="宋体" w:hAnsi="宋体" w:cs="Times New Roman"/>
          <w:color w:val="000000" w:themeColor="text1"/>
          <w:kern w:val="2"/>
          <w:sz w:val="24"/>
          <w:highlight w:val="none"/>
          <w14:textFill>
            <w14:solidFill>
              <w14:schemeClr w14:val="tx1"/>
            </w14:solidFill>
          </w14:textFill>
        </w:rPr>
        <w:t>。</w:t>
      </w:r>
    </w:p>
    <w:p>
      <w:pPr>
        <w:rPr>
          <w:color w:val="000000" w:themeColor="text1"/>
          <w:highlight w:val="none"/>
          <w14:textFill>
            <w14:solidFill>
              <w14:schemeClr w14:val="tx1"/>
            </w14:solidFill>
          </w14:textFill>
        </w:rPr>
      </w:pPr>
    </w:p>
    <w:p>
      <w:pPr>
        <w:snapToGrid w:val="0"/>
        <w:spacing w:line="360" w:lineRule="auto"/>
        <w:ind w:firstLine="3357" w:firstLineChars="1045"/>
        <w:rPr>
          <w:rFonts w:ascii="宋体" w:hAnsi="宋体" w:cs="宋体"/>
          <w:b/>
          <w:color w:val="000000" w:themeColor="text1"/>
          <w:sz w:val="32"/>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八、电子交易活动的中止</w:t>
      </w:r>
    </w:p>
    <w:p>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ascii="宋体" w:hAnsi="宋体" w:cs="宋体"/>
          <w:b/>
          <w:bCs/>
          <w:color w:val="000000" w:themeColor="text1"/>
          <w:kern w:val="2"/>
          <w:szCs w:val="20"/>
          <w:highlight w:val="none"/>
          <w14:textFill>
            <w14:solidFill>
              <w14:schemeClr w14:val="tx1"/>
            </w14:solidFill>
          </w14:textFill>
        </w:rPr>
        <w:t>2</w:t>
      </w:r>
      <w:r>
        <w:rPr>
          <w:rFonts w:ascii="宋体" w:hAnsi="宋体" w:cs="宋体"/>
          <w:b/>
          <w:bCs/>
          <w:color w:val="000000" w:themeColor="text1"/>
          <w:kern w:val="2"/>
          <w:szCs w:val="24"/>
          <w:highlight w:val="none"/>
          <w14:textFill>
            <w14:solidFill>
              <w14:schemeClr w14:val="tx1"/>
            </w14:solidFill>
          </w14:textFill>
        </w:rPr>
        <w:t>8</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w:t>
      </w:r>
      <w:r>
        <w:rPr>
          <w:rFonts w:hint="eastAsia" w:ascii="宋体" w:hAnsi="宋体" w:cs="宋体"/>
          <w:color w:val="000000" w:themeColor="text1"/>
          <w:highlight w:val="none"/>
          <w:lang w:eastAsia="zh-CN"/>
          <w14:textFill>
            <w14:solidFill>
              <w14:schemeClr w14:val="tx1"/>
            </w14:solidFill>
          </w14:textFill>
        </w:rPr>
        <w:t>采购代理机构</w:t>
      </w:r>
      <w:r>
        <w:rPr>
          <w:rFonts w:hint="eastAsia" w:ascii="宋体" w:hAnsi="宋体" w:cs="宋体"/>
          <w:color w:val="000000" w:themeColor="text1"/>
          <w:highlight w:val="none"/>
          <w14:textFill>
            <w14:solidFill>
              <w14:schemeClr w14:val="tx1"/>
            </w14:solidFill>
          </w14:textFill>
        </w:rPr>
        <w:t>可中止电子交易活动：</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28.1电子交易平台发生故障而无法登录访问的； </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28.2电子交易平台应用或数据库出现错误，不能进行正常操作的；</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28.3电子交易平台发现严重安全漏洞，有潜在泄密危险的；</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28.4病毒发作导致不能进行正常操作的； </w:t>
      </w:r>
    </w:p>
    <w:p>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28.5其他无法保证电子交易的公平、公正和安全的情况。</w:t>
      </w:r>
    </w:p>
    <w:p>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九、验收</w:t>
      </w:r>
    </w:p>
    <w:p>
      <w:pPr>
        <w:pStyle w:val="27"/>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30.验收</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pPr>
        <w:pStyle w:val="4"/>
        <w:adjustRightInd w:val="0"/>
        <w:snapToGrid w:val="0"/>
        <w:ind w:left="0"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bookmarkStart w:id="18" w:name="_Hlt74729768"/>
      <w:bookmarkEnd w:id="18"/>
      <w:bookmarkStart w:id="19" w:name="_Hlt75236011"/>
      <w:bookmarkEnd w:id="19"/>
      <w:bookmarkStart w:id="20" w:name="_Hlt68403820"/>
      <w:bookmarkEnd w:id="20"/>
      <w:bookmarkStart w:id="21" w:name="_Hlt74714665"/>
      <w:bookmarkEnd w:id="21"/>
      <w:bookmarkStart w:id="22" w:name="_Hlt75236290"/>
      <w:bookmarkEnd w:id="22"/>
      <w:bookmarkStart w:id="23" w:name="_Hlt68072998"/>
      <w:bookmarkEnd w:id="23"/>
      <w:bookmarkStart w:id="24" w:name="_Hlt74730295"/>
      <w:bookmarkEnd w:id="24"/>
      <w:bookmarkStart w:id="25" w:name="_Hlt68072990"/>
      <w:bookmarkEnd w:id="25"/>
      <w:bookmarkStart w:id="26" w:name="_Hlt75236101"/>
      <w:bookmarkEnd w:id="26"/>
      <w:bookmarkStart w:id="27" w:name="_Hlt68057669"/>
      <w:bookmarkEnd w:id="27"/>
      <w:bookmarkStart w:id="28" w:name="_Hlt68073093"/>
      <w:bookmarkEnd w:id="28"/>
      <w:bookmarkStart w:id="29" w:name="_Hlt74707468"/>
      <w:bookmarkEnd w:id="29"/>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pPr>
        <w:pStyle w:val="82"/>
        <w:rPr>
          <w:color w:val="000000" w:themeColor="text1"/>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bookmarkEnd w:id="12"/>
    <w:bookmarkEnd w:id="13"/>
    <w:p>
      <w:pPr>
        <w:pStyle w:val="35"/>
        <w:numPr>
          <w:ilvl w:val="0"/>
          <w:numId w:val="1"/>
        </w:numPr>
        <w:spacing w:line="360" w:lineRule="auto"/>
        <w:jc w:val="center"/>
        <w:rPr>
          <w:rFonts w:hint="eastAsia" w:hAnsi="宋体" w:cs="宋体"/>
          <w:b/>
          <w:snapToGrid/>
          <w:color w:val="000000" w:themeColor="text1"/>
          <w:sz w:val="36"/>
          <w:szCs w:val="20"/>
          <w:highlight w:val="none"/>
          <w14:textFill>
            <w14:solidFill>
              <w14:schemeClr w14:val="tx1"/>
            </w14:solidFill>
          </w14:textFill>
        </w:rPr>
      </w:pPr>
      <w:bookmarkStart w:id="30" w:name="第四部分"/>
      <w:r>
        <w:rPr>
          <w:rFonts w:hint="eastAsia" w:hAnsi="宋体" w:cs="宋体"/>
          <w:b/>
          <w:snapToGrid/>
          <w:color w:val="000000" w:themeColor="text1"/>
          <w:sz w:val="36"/>
          <w:szCs w:val="20"/>
          <w:highlight w:val="none"/>
          <w14:textFill>
            <w14:solidFill>
              <w14:schemeClr w14:val="tx1"/>
            </w14:solidFill>
          </w14:textFill>
        </w:rPr>
        <w:t>采购需求</w:t>
      </w:r>
    </w:p>
    <w:p>
      <w:pPr>
        <w:spacing w:line="360" w:lineRule="auto"/>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一、工程概况</w:t>
      </w:r>
    </w:p>
    <w:p>
      <w:pPr>
        <w:pStyle w:val="35"/>
        <w:numPr>
          <w:ilvl w:val="0"/>
          <w:numId w:val="0"/>
        </w:numPr>
        <w:spacing w:line="360" w:lineRule="auto"/>
        <w:ind w:firstLine="480" w:firstLineChars="200"/>
        <w:jc w:val="both"/>
        <w:rPr>
          <w:rFonts w:hint="eastAsia" w:ascii="宋体" w:hAnsi="宋体" w:eastAsia="宋体" w:cs="仿宋_GB2312"/>
          <w:snapToGrid/>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仿宋_GB2312"/>
          <w:snapToGrid/>
          <w:color w:val="000000" w:themeColor="text1"/>
          <w:kern w:val="2"/>
          <w:sz w:val="24"/>
          <w:szCs w:val="24"/>
          <w:highlight w:val="none"/>
          <w:u w:val="single"/>
          <w:lang w:val="en-US" w:eastAsia="zh-CN" w:bidi="ar-SA"/>
          <w14:textFill>
            <w14:solidFill>
              <w14:schemeClr w14:val="tx1"/>
            </w14:solidFill>
          </w14:textFill>
        </w:rPr>
        <w:t>本工程为</w:t>
      </w:r>
      <w:r>
        <w:rPr>
          <w:rFonts w:hint="eastAsia" w:hAnsi="宋体" w:cs="仿宋_GB2312"/>
          <w:snapToGrid/>
          <w:color w:val="000000" w:themeColor="text1"/>
          <w:kern w:val="2"/>
          <w:sz w:val="24"/>
          <w:szCs w:val="24"/>
          <w:highlight w:val="none"/>
          <w:u w:val="single"/>
          <w:lang w:val="en-US" w:eastAsia="zh-CN" w:bidi="ar-SA"/>
          <w14:textFill>
            <w14:solidFill>
              <w14:schemeClr w14:val="tx1"/>
            </w14:solidFill>
          </w14:textFill>
        </w:rPr>
        <w:t>求是书院院落环境整治项目</w:t>
      </w:r>
      <w:r>
        <w:rPr>
          <w:rFonts w:hint="eastAsia" w:ascii="宋体" w:hAnsi="宋体" w:eastAsia="宋体" w:cs="仿宋_GB2312"/>
          <w:snapToGrid/>
          <w:color w:val="000000" w:themeColor="text1"/>
          <w:kern w:val="2"/>
          <w:sz w:val="24"/>
          <w:szCs w:val="24"/>
          <w:highlight w:val="none"/>
          <w:u w:val="single"/>
          <w:lang w:val="en-US" w:eastAsia="zh-CN" w:bidi="ar-SA"/>
          <w14:textFill>
            <w14:solidFill>
              <w14:schemeClr w14:val="tx1"/>
            </w14:solidFill>
          </w14:textFill>
        </w:rPr>
        <w:t>,位于杭州市上城区小营街道老浙大社区大学路160号,主要内容为</w:t>
      </w:r>
      <w:r>
        <w:rPr>
          <w:rFonts w:hint="eastAsia" w:hAnsi="宋体" w:cs="仿宋_GB2312"/>
          <w:snapToGrid/>
          <w:color w:val="000000" w:themeColor="text1"/>
          <w:kern w:val="2"/>
          <w:sz w:val="24"/>
          <w:szCs w:val="24"/>
          <w:highlight w:val="none"/>
          <w:u w:val="single"/>
          <w:lang w:val="en-US" w:eastAsia="zh-CN" w:bidi="ar-SA"/>
          <w14:textFill>
            <w14:solidFill>
              <w14:schemeClr w14:val="tx1"/>
            </w14:solidFill>
          </w14:textFill>
        </w:rPr>
        <w:t>求是主要内容：修缮工程、水电安装、室外给排水、室外铺装、景观及绿化工程，具体详见工程量清单及图纸。根据施工图编制的招标控制价为1341787元，经综合考虑，本项目的招标价和投标最高限价为招标控制价的90.275%（即：1211300.00元）</w:t>
      </w:r>
      <w:r>
        <w:rPr>
          <w:rFonts w:hint="eastAsia" w:ascii="宋体" w:hAnsi="宋体" w:eastAsia="宋体" w:cs="仿宋_GB2312"/>
          <w:snapToGrid/>
          <w:color w:val="000000" w:themeColor="text1"/>
          <w:kern w:val="2"/>
          <w:sz w:val="24"/>
          <w:szCs w:val="24"/>
          <w:highlight w:val="none"/>
          <w:u w:val="single"/>
          <w:lang w:val="en-US" w:eastAsia="zh-CN" w:bidi="ar-SA"/>
          <w14:textFill>
            <w14:solidFill>
              <w14:schemeClr w14:val="tx1"/>
            </w14:solidFill>
          </w14:textFill>
        </w:rPr>
        <w:t>。</w:t>
      </w:r>
    </w:p>
    <w:p>
      <w:pPr>
        <w:spacing w:line="360" w:lineRule="auto"/>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 xml:space="preserve">二、工程内容 </w:t>
      </w:r>
    </w:p>
    <w:p>
      <w:pPr>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1.工程名称</w:t>
      </w:r>
    </w:p>
    <w:p>
      <w:pPr>
        <w:spacing w:line="360" w:lineRule="auto"/>
        <w:ind w:firstLine="480" w:firstLineChars="200"/>
        <w:jc w:val="left"/>
        <w:rPr>
          <w:rFonts w:hint="eastAsia" w:ascii="宋体" w:hAnsi="宋体" w:eastAsia="宋体" w:cs="仿宋_GB2312"/>
          <w:color w:val="000000" w:themeColor="text1"/>
          <w:sz w:val="24"/>
          <w:highlight w:val="none"/>
          <w:u w:val="single"/>
          <w:lang w:eastAsia="zh-CN"/>
          <w14:textFill>
            <w14:solidFill>
              <w14:schemeClr w14:val="tx1"/>
            </w14:solidFill>
          </w14:textFill>
        </w:rPr>
      </w:pPr>
      <w:r>
        <w:rPr>
          <w:rFonts w:hint="eastAsia" w:ascii="宋体" w:hAnsi="宋体" w:cs="仿宋_GB2312"/>
          <w:color w:val="000000" w:themeColor="text1"/>
          <w:sz w:val="24"/>
          <w:highlight w:val="none"/>
          <w:u w:val="single"/>
          <w:lang w:eastAsia="zh-CN"/>
          <w14:textFill>
            <w14:solidFill>
              <w14:schemeClr w14:val="tx1"/>
            </w14:solidFill>
          </w14:textFill>
        </w:rPr>
        <w:t>求是书院院落环境整治项目。</w:t>
      </w:r>
    </w:p>
    <w:p>
      <w:pPr>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2.现场条件</w:t>
      </w:r>
    </w:p>
    <w:p>
      <w:pPr>
        <w:spacing w:line="360" w:lineRule="auto"/>
        <w:ind w:firstLine="480" w:firstLineChars="200"/>
        <w:jc w:val="left"/>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具备项目施工条件</w:t>
      </w:r>
      <w:r>
        <w:rPr>
          <w:rFonts w:hint="eastAsia" w:ascii="宋体" w:hAnsi="宋体"/>
          <w:color w:val="000000" w:themeColor="text1"/>
          <w:sz w:val="24"/>
          <w:highlight w:val="none"/>
          <w:u w:val="single"/>
          <w:lang w:eastAsia="zh-CN"/>
          <w14:textFill>
            <w14:solidFill>
              <w14:schemeClr w14:val="tx1"/>
            </w14:solidFill>
          </w14:textFill>
        </w:rPr>
        <w:t>。</w:t>
      </w:r>
    </w:p>
    <w:p>
      <w:pPr>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3.工程承包范围</w:t>
      </w:r>
    </w:p>
    <w:p>
      <w:p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施工图及工程量清单范围内的全部工程内容，具体以提供的施工图、工程量清单及其编制说明、联系单（如有）中明确的内容为准。</w:t>
      </w:r>
    </w:p>
    <w:p>
      <w:pPr>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4.工程质量标准</w:t>
      </w:r>
    </w:p>
    <w:p>
      <w:p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符合（工程施工质量验收规范）合格标准</w:t>
      </w:r>
      <w:r>
        <w:rPr>
          <w:rFonts w:hint="eastAsia" w:ascii="宋体" w:hAnsi="宋体"/>
          <w:color w:val="000000" w:themeColor="text1"/>
          <w:sz w:val="24"/>
          <w:highlight w:val="none"/>
          <w:u w:val="none"/>
          <w14:textFill>
            <w14:solidFill>
              <w14:schemeClr w14:val="tx1"/>
            </w14:solidFill>
          </w14:textFill>
        </w:rPr>
        <w:t xml:space="preserve">。 </w:t>
      </w:r>
    </w:p>
    <w:p>
      <w:pPr>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5.工程施工要求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（1）工程技术规范要求：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①除有另行规定外，供应商实施项目中所有材料、设备和施工的质量均应符合国家和项目所在地已颁布标准、规范的相应规定和要求，有新标准按新标准执行，如下述标准如有不一致，执行两者中更严格的标准。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②对本工程所采用的标准或规范的任何部分，当供应商认为改用其他标准或规范，同样能够保证工程达到相同质量或更高的质量时，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（2）现场条件及踏勘</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采购人不组织现场踏勘，潜在供应商应自行申请对工程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工期等的要求，若有此类要求，采购人将不作任何答复与考虑，供应商应承担现场踏勘的责任和风险，踏勘现场的费用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②为减少施工对正常工作的影响，供应商需要响应临时调整施工时间等采购人的管理要求；并充分考虑施工作业环境的种种不利因素，如夜间施工、垃圾装袋外运、分区工作面等等。上述各项不利因素均需由供应商考虑，并将所需费用考虑在报价中。</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安全文明施工要求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①</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应对进度施工现场的施工人员进行安全文明施工教育，配备必要的劳动保护用具，保证工程的施工安全和人身安全。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应强化安全意识，抓好安全生产，杜绝事故发生，施工中若因供应商原因发生安全及人身事故由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自行负责处理，并承担全部费用。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③</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须遵守地方政府和有关部门及采购人对施工场地交通、环卫、安全和施工噪音等的管理规定，并按规定办理所有审批手续。</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④</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应采取有效措施尽量减小尘土和噪音污染，需要进行夜间作业时应经有关部门批准。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其它施工过程中需注意事项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（1）本工程在施工期间，</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应注意保护好采购人周边现有成品，如有损坏，须无条件修复至采购人满意。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（2）废弃材料不得丢弃或随意堆放在</w:t>
      </w:r>
      <w:r>
        <w:rPr>
          <w:rFonts w:hint="eastAsia" w:ascii="宋体" w:hAnsi="宋体"/>
          <w:color w:val="000000" w:themeColor="text1"/>
          <w:sz w:val="24"/>
          <w:highlight w:val="none"/>
          <w:u w:val="single"/>
          <w:lang w:eastAsia="zh-CN"/>
          <w14:textFill>
            <w14:solidFill>
              <w14:schemeClr w14:val="tx1"/>
            </w14:solidFill>
          </w14:textFill>
        </w:rPr>
        <w:t>场地内</w:t>
      </w:r>
      <w:r>
        <w:rPr>
          <w:rFonts w:hint="eastAsia" w:ascii="宋体" w:hAnsi="宋体"/>
          <w:color w:val="000000" w:themeColor="text1"/>
          <w:sz w:val="24"/>
          <w:highlight w:val="none"/>
          <w:u w:val="single"/>
          <w14:textFill>
            <w14:solidFill>
              <w14:schemeClr w14:val="tx1"/>
            </w14:solidFill>
          </w14:textFill>
        </w:rPr>
        <w:t>，清理产生的拆除费、搬运费、交通运输费等各项费用均由供应商自行考虑并计入响应总价且一次性包干</w:t>
      </w:r>
      <w:r>
        <w:rPr>
          <w:rFonts w:hint="eastAsia" w:ascii="宋体" w:hAnsi="宋体"/>
          <w:color w:val="000000" w:themeColor="text1"/>
          <w:sz w:val="24"/>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（3）工程完工后，</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需对施工现场进行全面的清洁工作。</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6.工程管理要求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应严格按已确认的</w:t>
      </w:r>
      <w:r>
        <w:rPr>
          <w:rFonts w:hint="eastAsia" w:ascii="宋体" w:hAnsi="宋体"/>
          <w:color w:val="000000" w:themeColor="text1"/>
          <w:sz w:val="24"/>
          <w:highlight w:val="none"/>
          <w:u w:val="single"/>
          <w:lang w:eastAsia="zh-CN"/>
          <w14:textFill>
            <w14:solidFill>
              <w14:schemeClr w14:val="tx1"/>
            </w14:solidFill>
          </w14:textFill>
        </w:rPr>
        <w:t>施工</w:t>
      </w:r>
      <w:r>
        <w:rPr>
          <w:rFonts w:hint="eastAsia" w:ascii="宋体" w:hAnsi="宋体"/>
          <w:color w:val="000000" w:themeColor="text1"/>
          <w:sz w:val="24"/>
          <w:highlight w:val="none"/>
          <w:u w:val="single"/>
          <w14:textFill>
            <w14:solidFill>
              <w14:schemeClr w14:val="tx1"/>
            </w14:solidFill>
          </w14:textFill>
        </w:rPr>
        <w:t>图纸说明及</w:t>
      </w:r>
      <w:r>
        <w:rPr>
          <w:rFonts w:hint="eastAsia" w:ascii="宋体" w:hAnsi="宋体"/>
          <w:color w:val="000000" w:themeColor="text1"/>
          <w:sz w:val="24"/>
          <w:highlight w:val="none"/>
          <w:u w:val="single"/>
          <w:lang w:eastAsia="zh-CN"/>
          <w14:textFill>
            <w14:solidFill>
              <w14:schemeClr w14:val="tx1"/>
            </w14:solidFill>
          </w14:textFill>
        </w:rPr>
        <w:t>工程量</w:t>
      </w:r>
      <w:r>
        <w:rPr>
          <w:rFonts w:hint="eastAsia" w:ascii="宋体" w:hAnsi="宋体"/>
          <w:color w:val="000000" w:themeColor="text1"/>
          <w:sz w:val="24"/>
          <w:highlight w:val="none"/>
          <w:u w:val="single"/>
          <w14:textFill>
            <w14:solidFill>
              <w14:schemeClr w14:val="tx1"/>
            </w14:solidFill>
          </w14:textFill>
        </w:rPr>
        <w:t>清单，并无条件地接受采购人对施工质量的监督和管理。施工过程中，</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必须要严格把关，按照相应规范标准要求施工，如出现不符合标准要求的情况，</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必须无条件返工，直至达到规范标准要求。所发生的费用均由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在响应文件中承诺的管理人员未经采购人同意，</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不得调换和撤离，并按工程进度及时到位。采购人有权要求</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撤换工作不负责任、管理不力、贻误工期和造成严重的安全事故和工程质量事故、违法乱纪的专业技术、管理人员直至技术负责人，直至采购人满意为止。如相应资质的专业技术人员未按要求到位，视作违约，采购人有权单方面终止合同。</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应有详细的工程安全措施和安全组织及配备专职安全负责人的说明和承诺，以确保安全施工。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在进场施工前，应对建筑、结构施工图及现场实物、预埋件等进行核对并对不符合要求部分提出整改意见，若</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未及时提出意见造成的有关损失由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）电力不足或停电，自备发电机，其费用由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自行承担。</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在工程施工全过程中要认真做好产品保护。因失窃或失火造成的损失均由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负责，凡由此而损及采购方利益时，采购</w:t>
      </w:r>
      <w:r>
        <w:rPr>
          <w:rFonts w:hint="eastAsia" w:ascii="宋体" w:hAnsi="宋体"/>
          <w:color w:val="000000" w:themeColor="text1"/>
          <w:sz w:val="24"/>
          <w:highlight w:val="none"/>
          <w:u w:val="single"/>
          <w:lang w:eastAsia="zh-CN"/>
          <w14:textFill>
            <w14:solidFill>
              <w14:schemeClr w14:val="tx1"/>
            </w14:solidFill>
          </w14:textFill>
        </w:rPr>
        <w:t>人</w:t>
      </w:r>
      <w:r>
        <w:rPr>
          <w:rFonts w:hint="eastAsia" w:ascii="宋体" w:hAnsi="宋体"/>
          <w:color w:val="000000" w:themeColor="text1"/>
          <w:sz w:val="24"/>
          <w:highlight w:val="none"/>
          <w:u w:val="single"/>
          <w14:textFill>
            <w14:solidFill>
              <w14:schemeClr w14:val="tx1"/>
            </w14:solidFill>
          </w14:textFill>
        </w:rPr>
        <w:t>将向</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索赔。</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）本工程工期较紧，响应文件中须提供详细的技术组织措施，确保按时完工。</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因工程需要进行夜间施工时，应提前告知，得到采购人认可后，方可施工。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）工程管理其他要求：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本项目施工现场采购人不提供食宿，施工期间，所有施工人员的食宿均由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自行安排，材料</w:t>
      </w:r>
      <w:r>
        <w:rPr>
          <w:rFonts w:hint="eastAsia" w:ascii="宋体" w:hAnsi="宋体"/>
          <w:color w:val="000000" w:themeColor="text1"/>
          <w:sz w:val="24"/>
          <w:highlight w:val="none"/>
          <w:u w:val="single"/>
          <w:lang w:eastAsia="zh-CN"/>
          <w14:textFill>
            <w14:solidFill>
              <w14:schemeClr w14:val="tx1"/>
            </w14:solidFill>
          </w14:textFill>
        </w:rPr>
        <w:t>、机械</w:t>
      </w:r>
      <w:r>
        <w:rPr>
          <w:rFonts w:hint="eastAsia" w:ascii="宋体" w:hAnsi="宋体"/>
          <w:color w:val="000000" w:themeColor="text1"/>
          <w:sz w:val="24"/>
          <w:highlight w:val="none"/>
          <w:u w:val="single"/>
          <w14:textFill>
            <w14:solidFill>
              <w14:schemeClr w14:val="tx1"/>
            </w14:solidFill>
          </w14:textFill>
        </w:rPr>
        <w:t>的堆放</w:t>
      </w:r>
      <w:r>
        <w:rPr>
          <w:rFonts w:hint="eastAsia" w:ascii="宋体" w:hAnsi="宋体"/>
          <w:color w:val="000000" w:themeColor="text1"/>
          <w:sz w:val="24"/>
          <w:highlight w:val="none"/>
          <w:u w:val="single"/>
          <w:lang w:eastAsia="zh-CN"/>
          <w14:textFill>
            <w14:solidFill>
              <w14:schemeClr w14:val="tx1"/>
            </w14:solidFill>
          </w14:textFill>
        </w:rPr>
        <w:t>等</w:t>
      </w:r>
      <w:r>
        <w:rPr>
          <w:rFonts w:hint="eastAsia" w:ascii="宋体" w:hAnsi="宋体"/>
          <w:color w:val="000000" w:themeColor="text1"/>
          <w:sz w:val="24"/>
          <w:highlight w:val="none"/>
          <w:u w:val="single"/>
          <w14:textFill>
            <w14:solidFill>
              <w14:schemeClr w14:val="tx1"/>
            </w14:solidFill>
          </w14:textFill>
        </w:rPr>
        <w:t>必须服从采购人的安排。</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②供应商</w:t>
      </w:r>
      <w:r>
        <w:rPr>
          <w:rFonts w:hint="eastAsia" w:ascii="宋体" w:hAnsi="宋体"/>
          <w:color w:val="000000" w:themeColor="text1"/>
          <w:sz w:val="24"/>
          <w:highlight w:val="none"/>
          <w:u w:val="single"/>
          <w14:textFill>
            <w14:solidFill>
              <w14:schemeClr w14:val="tx1"/>
            </w14:solidFill>
          </w14:textFill>
        </w:rPr>
        <w:t>须满足采购人管理的要求、遵守有关管理制度，服从监理的管理和协调，确保施工项目的安全、高效、顺利进行，满足采购人的日常需求，防范消防等安全事件的发生。</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③</w:t>
      </w:r>
      <w:r>
        <w:rPr>
          <w:rFonts w:hint="eastAsia" w:ascii="宋体" w:hAnsi="宋体"/>
          <w:color w:val="000000" w:themeColor="text1"/>
          <w:sz w:val="24"/>
          <w:highlight w:val="none"/>
          <w:u w:val="single"/>
          <w14:textFill>
            <w14:solidFill>
              <w14:schemeClr w14:val="tx1"/>
            </w14:solidFill>
          </w14:textFill>
        </w:rPr>
        <w:t>施工现场严禁吸烟。</w:t>
      </w:r>
    </w:p>
    <w:p>
      <w:pPr>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7.工程主要材料（设备）要求  </w:t>
      </w:r>
    </w:p>
    <w:p>
      <w:pPr>
        <w:spacing w:line="360" w:lineRule="auto"/>
        <w:ind w:firstLine="424" w:firstLineChars="177"/>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材料选择</w:t>
      </w:r>
    </w:p>
    <w:p>
      <w:pPr>
        <w:spacing w:line="360" w:lineRule="auto"/>
        <w:ind w:firstLine="424" w:firstLineChars="177"/>
        <w:jc w:val="left"/>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①本项目涉及的所有材料设备，必须经采购人或监理确认后方能采购、进场、施工。否则一律不予承认，不予支付相应款项。</w:t>
      </w:r>
    </w:p>
    <w:p>
      <w:pPr>
        <w:spacing w:line="360" w:lineRule="auto"/>
        <w:ind w:firstLine="424" w:firstLineChars="177"/>
        <w:jc w:val="left"/>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②材料规格：本磋商文件涉及的主要设备和材料，各供应商须根据磋商文件要求的用材规格进行选材并报价，并符合环保要求，</w:t>
      </w:r>
      <w:r>
        <w:rPr>
          <w:rFonts w:hint="eastAsia" w:ascii="宋体" w:hAnsi="宋体"/>
          <w:color w:val="000000" w:themeColor="text1"/>
          <w:sz w:val="24"/>
          <w:highlight w:val="none"/>
          <w:u w:val="single"/>
          <w:lang w:eastAsia="zh-CN"/>
          <w14:textFill>
            <w14:solidFill>
              <w14:schemeClr w14:val="tx1"/>
            </w14:solidFill>
          </w14:textFill>
        </w:rPr>
        <w:tab/>
      </w:r>
      <w:r>
        <w:rPr>
          <w:rFonts w:hint="eastAsia" w:ascii="宋体" w:hAnsi="宋体"/>
          <w:color w:val="000000" w:themeColor="text1"/>
          <w:sz w:val="24"/>
          <w:highlight w:val="none"/>
          <w:u w:val="single"/>
          <w:lang w:eastAsia="zh-CN"/>
          <w14:textFill>
            <w14:solidFill>
              <w14:schemeClr w14:val="tx1"/>
            </w14:solidFill>
          </w14:textFill>
        </w:rPr>
        <w:t>严禁选择不符合施工图纸要求的低档材料进行响应报价及组织施工实施，如有其它国家强制性认证要求的也必须满足；</w:t>
      </w:r>
    </w:p>
    <w:p>
      <w:pPr>
        <w:spacing w:line="360" w:lineRule="auto"/>
        <w:ind w:firstLine="424" w:firstLineChars="177"/>
        <w:jc w:val="left"/>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③供应商应在响应文件中写明各类主要材料（设备）的选用品牌、产地和规格，若未注明品牌的可由采购人自行选择。若成交后注明的品牌或采购人选择的品牌在施工期间市场上无现货供应，须进行订制，如该品牌无法订制时，采购人有权选择其它品牌。成交供应商不按该选用的材料和设备采购的，采购人有权拒绝验收。</w:t>
      </w:r>
    </w:p>
    <w:p>
      <w:pPr>
        <w:spacing w:line="360" w:lineRule="auto"/>
        <w:ind w:firstLine="424" w:firstLineChars="177"/>
        <w:jc w:val="left"/>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④供应商应当有详细的材料（设备）供应计划及质量保证措施；</w:t>
      </w:r>
    </w:p>
    <w:p>
      <w:pPr>
        <w:numPr>
          <w:ilvl w:val="0"/>
          <w:numId w:val="0"/>
        </w:num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材料的质量要求：</w:t>
      </w:r>
    </w:p>
    <w:p>
      <w:pPr>
        <w:spacing w:line="360" w:lineRule="auto"/>
        <w:ind w:firstLine="424" w:firstLineChars="177"/>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在免费保修期内，成交供应商对有缺陷的部位必须无偿地给予修理与更换，并承担一切由此引起的对采购人或第三者的直接损失，除非该缺陷是由于人为破坏或合同规定的不可抗力因素造成的损坏。</w:t>
      </w:r>
    </w:p>
    <w:p>
      <w:pPr>
        <w:spacing w:line="360" w:lineRule="auto"/>
        <w:ind w:firstLine="424" w:firstLineChars="177"/>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14:textFill>
            <w14:solidFill>
              <w14:schemeClr w14:val="tx1"/>
            </w14:solidFill>
          </w14:textFill>
        </w:rPr>
        <w:t>供应商应对所选用的材料的技术满足度和质量负全部责任，其责任不因该品牌是否为采购人推荐减轻或更改。当供应商选定的产品质量达不到设计要求和磋商文件要求的技术指标时，采购人保留更换的权利，且成交价不予调整。</w:t>
      </w:r>
    </w:p>
    <w:p>
      <w:pPr>
        <w:pStyle w:val="2"/>
        <w:rPr>
          <w:rFonts w:hint="eastAsia" w:eastAsia="宋体"/>
          <w:color w:val="000000" w:themeColor="text1"/>
          <w:highlight w:val="none"/>
          <w:lang w:val="en-US" w:eastAsia="zh-CN"/>
          <w14:textFill>
            <w14:solidFill>
              <w14:schemeClr w14:val="tx1"/>
            </w14:solidFill>
          </w14:textFill>
        </w:rPr>
      </w:pPr>
    </w:p>
    <w:p>
      <w:pPr>
        <w:spacing w:line="360" w:lineRule="auto"/>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三、商务要求</w:t>
      </w:r>
    </w:p>
    <w:p>
      <w:pPr>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olor w:val="000000" w:themeColor="text1"/>
          <w:sz w:val="24"/>
          <w:highlight w:val="none"/>
          <w:u w:val="single"/>
          <w:lang w:val="en-US" w:eastAsia="zh-CN"/>
          <w14:textFill>
            <w14:solidFill>
              <w14:schemeClr w14:val="tx1"/>
            </w14:solidFill>
          </w14:textFill>
        </w:rPr>
        <w:t>120日历天。</w:t>
      </w:r>
    </w:p>
    <w:p>
      <w:pPr>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2.工程地点：</w:t>
      </w:r>
      <w:r>
        <w:rPr>
          <w:rFonts w:hint="eastAsia" w:ascii="宋体" w:hAnsi="宋体" w:eastAsia="宋体" w:cs="仿宋_GB2312"/>
          <w:snapToGrid/>
          <w:color w:val="000000" w:themeColor="text1"/>
          <w:kern w:val="2"/>
          <w:sz w:val="24"/>
          <w:szCs w:val="24"/>
          <w:highlight w:val="none"/>
          <w:u w:val="single"/>
          <w:lang w:val="en-US" w:eastAsia="zh-CN" w:bidi="ar-SA"/>
          <w14:textFill>
            <w14:solidFill>
              <w14:schemeClr w14:val="tx1"/>
            </w14:solidFill>
          </w14:textFill>
        </w:rPr>
        <w:t>杭州市上城区小营街道老浙大社区大学路160号</w:t>
      </w:r>
      <w:r>
        <w:rPr>
          <w:rFonts w:hint="eastAsia" w:ascii="宋体" w:hAnsi="宋体"/>
          <w:color w:val="000000" w:themeColor="text1"/>
          <w:sz w:val="24"/>
          <w:highlight w:val="none"/>
          <w:u w:val="single"/>
          <w:lang w:eastAsia="zh-CN"/>
          <w14:textFill>
            <w14:solidFill>
              <w14:schemeClr w14:val="tx1"/>
            </w14:solidFill>
          </w14:textFill>
        </w:rPr>
        <w:t>。</w:t>
      </w:r>
    </w:p>
    <w:p>
      <w:pPr>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报价要求：</w:t>
      </w:r>
    </w:p>
    <w:p>
      <w:pPr>
        <w:pStyle w:val="725"/>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color w:val="000000" w:themeColor="text1"/>
          <w:szCs w:val="24"/>
          <w:highlight w:val="none"/>
          <w:u w:val="thick"/>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①</w:t>
      </w:r>
      <w:r>
        <w:rPr>
          <w:rFonts w:hint="eastAsia" w:ascii="宋体" w:hAnsi="宋体" w:eastAsia="宋体" w:cs="宋体"/>
          <w:color w:val="000000" w:themeColor="text1"/>
          <w:szCs w:val="24"/>
          <w:highlight w:val="none"/>
          <w14:textFill>
            <w14:solidFill>
              <w14:schemeClr w14:val="tx1"/>
            </w14:solidFill>
          </w14:textFill>
        </w:rPr>
        <w:t>▲本次磋商报价为含税人民币价。</w:t>
      </w:r>
    </w:p>
    <w:p>
      <w:pPr>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w:t>
      </w:r>
      <w:r>
        <w:rPr>
          <w:rFonts w:hint="eastAsia" w:ascii="宋体" w:hAnsi="宋体" w:eastAsia="宋体" w:cs="宋体"/>
          <w:color w:val="000000" w:themeColor="text1"/>
          <w:sz w:val="24"/>
          <w:highlight w:val="none"/>
          <w14:textFill>
            <w14:solidFill>
              <w14:schemeClr w14:val="tx1"/>
            </w14:solidFill>
          </w14:textFill>
        </w:rPr>
        <w:t>本工程的报价采用</w:t>
      </w:r>
      <w:r>
        <w:rPr>
          <w:rFonts w:hint="eastAsia" w:ascii="宋体" w:hAnsi="宋体" w:cs="宋体"/>
          <w:color w:val="000000" w:themeColor="text1"/>
          <w:sz w:val="24"/>
          <w:highlight w:val="none"/>
          <w:lang w:val="en-US" w:eastAsia="zh-CN"/>
          <w14:textFill>
            <w14:solidFill>
              <w14:schemeClr w14:val="tx1"/>
            </w14:solidFill>
          </w14:textFill>
        </w:rPr>
        <w:t>总价报价</w:t>
      </w:r>
      <w:r>
        <w:rPr>
          <w:rFonts w:hint="eastAsia" w:ascii="宋体" w:hAnsi="宋体" w:eastAsia="宋体" w:cs="宋体"/>
          <w:color w:val="000000" w:themeColor="text1"/>
          <w:sz w:val="24"/>
          <w:highlight w:val="none"/>
          <w14:textFill>
            <w14:solidFill>
              <w14:schemeClr w14:val="tx1"/>
            </w14:solidFill>
          </w14:textFill>
        </w:rPr>
        <w:t>的方式。</w:t>
      </w:r>
    </w:p>
    <w:p>
      <w:pPr>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③</w:t>
      </w:r>
      <w:r>
        <w:rPr>
          <w:rFonts w:hint="eastAsia" w:ascii="宋体" w:hAnsi="宋体" w:eastAsia="宋体" w:cs="宋体"/>
          <w:color w:val="000000" w:themeColor="text1"/>
          <w:sz w:val="24"/>
          <w:highlight w:val="none"/>
          <w14:textFill>
            <w14:solidFill>
              <w14:schemeClr w14:val="tx1"/>
            </w14:solidFill>
          </w14:textFill>
        </w:rPr>
        <w:t>报价为供应商在磋商响应文件中提出的各项支付金额的总和。</w:t>
      </w:r>
    </w:p>
    <w:p>
      <w:pPr>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④</w:t>
      </w:r>
      <w:r>
        <w:rPr>
          <w:rFonts w:hint="eastAsia" w:ascii="宋体" w:hAnsi="宋体" w:eastAsia="宋体" w:cs="宋体"/>
          <w:color w:val="000000" w:themeColor="text1"/>
          <w:sz w:val="24"/>
          <w:highlight w:val="none"/>
          <w14:textFill>
            <w14:solidFill>
              <w14:schemeClr w14:val="tx1"/>
            </w14:solidFill>
          </w14:textFill>
        </w:rPr>
        <w:t>应商的报价应是完成合同条款所列采购工程范围及工期的全部，不得以任何理由予以重复作为供应商计算单价或总价的依据。</w:t>
      </w:r>
    </w:p>
    <w:p>
      <w:pPr>
        <w:pageBreakBefore w:val="0"/>
        <w:kinsoku/>
        <w:wordWrap/>
        <w:overflowPunct/>
        <w:topLinePunct w:val="0"/>
        <w:bidi w:val="0"/>
        <w:adjustRightInd w:val="0"/>
        <w:spacing w:line="360" w:lineRule="auto"/>
        <w:ind w:left="0" w:leftChars="0"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⑤</w:t>
      </w:r>
      <w:r>
        <w:rPr>
          <w:rFonts w:hint="eastAsia" w:ascii="宋体" w:hAnsi="宋体" w:eastAsia="宋体" w:cs="宋体"/>
          <w:color w:val="000000" w:themeColor="text1"/>
          <w:sz w:val="24"/>
          <w:highlight w:val="none"/>
          <w14:textFill>
            <w14:solidFill>
              <w14:schemeClr w14:val="tx1"/>
            </w14:solidFill>
          </w14:textFill>
        </w:rPr>
        <w:t>计价方法统一以《建设工程工程量清单计价规范》（GB50500—2013）规定的项目编码、项目名称、项目特征、计量单位、工程量计算规则为依据，以采购人给出的工程量清单内容，参照《浙江省建设工程计价规则（2018版）》，结合项目具体条件自主报价。</w:t>
      </w:r>
      <w:r>
        <w:rPr>
          <w:rFonts w:hint="eastAsia" w:ascii="宋体" w:hAnsi="宋体" w:eastAsia="宋体" w:cs="宋体"/>
          <w:b/>
          <w:bCs/>
          <w:color w:val="000000" w:themeColor="text1"/>
          <w:sz w:val="24"/>
          <w:highlight w:val="none"/>
          <w14:textFill>
            <w14:solidFill>
              <w14:schemeClr w14:val="tx1"/>
            </w14:solidFill>
          </w14:textFill>
        </w:rPr>
        <w:t>其中，采购人提供的工程量清单项目特征有描述不清楚或不完整的，但又是完成该分项工程必须的工作内容，供应商应在磋商文件规定的时间向采购人或代理机构提出，否则采购人将视作供应商的报价已结合现场及施工规范进行综合考虑，竣工结算时不再调整。</w:t>
      </w:r>
    </w:p>
    <w:p>
      <w:pPr>
        <w:pageBreakBefore w:val="0"/>
        <w:kinsoku/>
        <w:wordWrap/>
        <w:overflowPunct/>
        <w:topLinePunct w:val="0"/>
        <w:bidi w:val="0"/>
        <w:adjustRightInd w:val="0"/>
        <w:spacing w:line="360" w:lineRule="auto"/>
        <w:ind w:left="0" w:leftChars="0" w:firstLine="482"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采购人有权根据工程实际情况调整（增减）工程量，供应商对此不得有异议。</w:t>
      </w:r>
    </w:p>
    <w:p>
      <w:pPr>
        <w:spacing w:line="360" w:lineRule="auto"/>
        <w:ind w:left="210" w:leftChars="100" w:firstLine="240" w:firstLine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付款条件（进度和方式）</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cs="宋体"/>
          <w:b w:val="0"/>
          <w:bCs w:val="0"/>
          <w:color w:val="000000" w:themeColor="text1"/>
          <w:sz w:val="24"/>
          <w:highlight w:val="none"/>
          <w:u w:val="single"/>
          <w:lang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（1）</w:t>
      </w:r>
      <w:r>
        <w:rPr>
          <w:rFonts w:hint="eastAsia" w:ascii="宋体" w:hAnsi="宋体" w:cs="宋体"/>
          <w:b w:val="0"/>
          <w:bCs w:val="0"/>
          <w:color w:val="000000" w:themeColor="text1"/>
          <w:sz w:val="24"/>
          <w:highlight w:val="none"/>
          <w:u w:val="single"/>
          <w14:textFill>
            <w14:solidFill>
              <w14:schemeClr w14:val="tx1"/>
            </w14:solidFill>
          </w14:textFill>
        </w:rPr>
        <w:t>预付款支付比例或金额：</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合同签订后7个工作日内且供应商提交合同总价1%的履约保证金、开工报告后；由采购人向供应商支付合同价（扣除安全文明施工费、暂列金额、暂估价）的40%预付款</w:t>
      </w:r>
      <w:r>
        <w:rPr>
          <w:rFonts w:hint="eastAsia" w:ascii="宋体" w:hAnsi="宋体" w:cs="宋体"/>
          <w:b w:val="0"/>
          <w:bCs w:val="0"/>
          <w:color w:val="000000" w:themeColor="text1"/>
          <w:sz w:val="24"/>
          <w:highlight w:val="none"/>
          <w:u w:val="single"/>
          <w:lang w:eastAsia="zh-CN"/>
          <w14:textFill>
            <w14:solidFill>
              <w14:schemeClr w14:val="tx1"/>
            </w14:solidFill>
          </w14:textFill>
        </w:rPr>
        <w:t>；</w:t>
      </w:r>
    </w:p>
    <w:p>
      <w:pPr>
        <w:spacing w:line="360" w:lineRule="auto"/>
        <w:ind w:firstLine="480" w:firstLineChars="200"/>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工资预付款支付比例或金额：合同价的的1%（含在40%预付款中）。</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cs="宋体"/>
          <w:b w:val="0"/>
          <w:bCs w:val="0"/>
          <w:color w:val="000000" w:themeColor="text1"/>
          <w:sz w:val="24"/>
          <w:highlight w:val="none"/>
          <w:u w:val="single"/>
          <w14:textFill>
            <w14:solidFill>
              <w14:schemeClr w14:val="tx1"/>
            </w14:solidFill>
          </w14:textFill>
        </w:rPr>
      </w:pPr>
      <w:r>
        <w:rPr>
          <w:rFonts w:hint="eastAsia" w:ascii="宋体" w:hAnsi="宋体" w:cs="宋体"/>
          <w:b w:val="0"/>
          <w:bCs w:val="0"/>
          <w:color w:val="000000" w:themeColor="text1"/>
          <w:sz w:val="24"/>
          <w:highlight w:val="none"/>
          <w:u w:val="single"/>
          <w14:textFill>
            <w14:solidFill>
              <w14:schemeClr w14:val="tx1"/>
            </w14:solidFill>
          </w14:textFill>
        </w:rPr>
        <w:t>预付款支付期限：</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合同签订后</w:t>
      </w:r>
      <w:r>
        <w:rPr>
          <w:rFonts w:hint="eastAsia" w:ascii="宋体" w:hAnsi="宋体" w:cs="宋体"/>
          <w:b w:val="0"/>
          <w:bCs w:val="0"/>
          <w:color w:val="000000" w:themeColor="text1"/>
          <w:sz w:val="24"/>
          <w:highlight w:val="none"/>
          <w:u w:val="single"/>
          <w:lang w:eastAsia="zh-CN"/>
          <w14:textFill>
            <w14:solidFill>
              <w14:schemeClr w14:val="tx1"/>
            </w14:solidFill>
          </w14:textFill>
        </w:rPr>
        <w:t>供应商</w:t>
      </w:r>
      <w:r>
        <w:rPr>
          <w:rFonts w:hint="eastAsia" w:ascii="宋体" w:hAnsi="宋体" w:cs="宋体"/>
          <w:b w:val="0"/>
          <w:bCs w:val="0"/>
          <w:color w:val="000000" w:themeColor="text1"/>
          <w:sz w:val="24"/>
          <w:highlight w:val="none"/>
          <w:u w:val="single"/>
          <w14:textFill>
            <w14:solidFill>
              <w14:schemeClr w14:val="tx1"/>
            </w14:solidFill>
          </w14:textFill>
        </w:rPr>
        <w:t>递交履约保证金，具备开工条件后支付。</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cs="宋体"/>
          <w:b w:val="0"/>
          <w:bCs w:val="0"/>
          <w:color w:val="000000" w:themeColor="text1"/>
          <w:sz w:val="24"/>
          <w:highlight w:val="none"/>
          <w:u w:val="singl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预付款扣回的方式：不扣回，在进度款中抵扣。</w:t>
      </w:r>
    </w:p>
    <w:p>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bCs/>
          <w:color w:val="000000" w:themeColor="text1"/>
          <w:sz w:val="24"/>
          <w:highlight w:val="none"/>
          <w:u w:val="singl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支付方式</w:t>
      </w:r>
      <w:r>
        <w:rPr>
          <w:rFonts w:hint="eastAsia" w:ascii="宋体" w:hAnsi="宋体" w:cs="宋体"/>
          <w:b/>
          <w:bCs/>
          <w:color w:val="000000" w:themeColor="text1"/>
          <w:sz w:val="24"/>
          <w:highlight w:val="none"/>
          <w:u w:val="single"/>
          <w:lang w:val="en-US"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①工程产值完成至 60%时，支付至签约合同价的50%；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②工程产值完成至90%时，支付至签约合同价的 85%；</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②工程竣工经初步验收合格，凭初验合格证明支付至签约合同价的 95%；</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④工程结算审核完成且经项目履约验收合格后，凭结算审核报告及履约验收报告支付至审定价的100%；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singl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（3）支付条件：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①各支付节点实际支付时间：以财政下达资金时间为准，若超出财政年度拨款额度，按财政年度拨款额度支付。采购人向供应商支付每笔款项前供应商应向采购人提供与当期合同款等额的正规有效增值税发票，未及时提供相应发票的，采购人有权暂不付款且不承担逾期违约的责任。</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②因履行合同发生争议的，采购人有权暂不支付除农民工工资以外的合同价款直至争议解决并不承担违约责任。因供应商履行合同不符合约定的，采购人有权从任何一笔待支付款项、履约保证金、质量保证金中扣减因此产生的违约金、实际损失等所有相关费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（5）</w:t>
      </w:r>
      <w:r>
        <w:rPr>
          <w:rFonts w:hint="eastAsia" w:ascii="宋体" w:hAnsi="宋体" w:cs="宋体"/>
          <w:b w:val="0"/>
          <w:bCs w:val="0"/>
          <w:color w:val="000000" w:themeColor="text1"/>
          <w:sz w:val="24"/>
          <w:highlight w:val="none"/>
          <w:u w:val="single"/>
          <w14:textFill>
            <w14:solidFill>
              <w14:schemeClr w14:val="tx1"/>
            </w14:solidFill>
          </w14:textFill>
        </w:rPr>
        <w:t>履约保证金：在合同生效之日起，</w:t>
      </w:r>
      <w:r>
        <w:rPr>
          <w:rFonts w:hint="eastAsia" w:ascii="宋体" w:hAnsi="宋体" w:cs="仿宋_GB2312"/>
          <w:b w:val="0"/>
          <w:bCs w:val="0"/>
          <w:color w:val="000000" w:themeColor="text1"/>
          <w:sz w:val="24"/>
          <w:highlight w:val="none"/>
          <w:u w:val="single"/>
          <w:lang w:val="en-US" w:eastAsia="zh-CN"/>
          <w14:textFill>
            <w14:solidFill>
              <w14:schemeClr w14:val="tx1"/>
            </w14:solidFill>
          </w14:textFill>
        </w:rPr>
        <w:t>供应商</w:t>
      </w:r>
      <w:r>
        <w:rPr>
          <w:rFonts w:hint="eastAsia" w:ascii="宋体" w:hAnsi="宋体" w:cs="宋体"/>
          <w:b w:val="0"/>
          <w:bCs w:val="0"/>
          <w:color w:val="000000" w:themeColor="text1"/>
          <w:sz w:val="24"/>
          <w:highlight w:val="none"/>
          <w:u w:val="single"/>
          <w14:textFill>
            <w14:solidFill>
              <w14:schemeClr w14:val="tx1"/>
            </w14:solidFill>
          </w14:textFill>
        </w:rPr>
        <w:t>应按成交价</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的</w:t>
      </w:r>
      <w:r>
        <w:rPr>
          <w:rFonts w:hint="eastAsia" w:ascii="宋体" w:hAnsi="宋体" w:cs="宋体"/>
          <w:b w:val="0"/>
          <w:bCs w:val="0"/>
          <w:color w:val="000000" w:themeColor="text1"/>
          <w:sz w:val="24"/>
          <w:highlight w:val="none"/>
          <w:u w:val="single"/>
          <w14:textFill>
            <w14:solidFill>
              <w14:schemeClr w14:val="tx1"/>
            </w14:solidFill>
          </w14:textFill>
        </w:rPr>
        <w:t>1%（其中：其中工期履约保证金25%，项目班子人员、施工机具到位25%，施工质量履约保证金25%，文明安全施工履约保证金25%）的金额以转账支票或电汇或银行转账或银行保函，接受金融机构、担保机构出具的以保函形式向</w:t>
      </w:r>
      <w:r>
        <w:rPr>
          <w:rFonts w:hint="eastAsia" w:ascii="宋体" w:hAnsi="宋体" w:cs="宋体"/>
          <w:b w:val="0"/>
          <w:bCs w:val="0"/>
          <w:color w:val="000000" w:themeColor="text1"/>
          <w:sz w:val="24"/>
          <w:highlight w:val="none"/>
          <w:u w:val="single"/>
          <w:lang w:eastAsia="zh-CN"/>
          <w14:textFill>
            <w14:solidFill>
              <w14:schemeClr w14:val="tx1"/>
            </w14:solidFill>
          </w14:textFill>
        </w:rPr>
        <w:t>采购人</w:t>
      </w:r>
      <w:r>
        <w:rPr>
          <w:rFonts w:hint="eastAsia" w:ascii="宋体" w:hAnsi="宋体" w:cs="宋体"/>
          <w:b w:val="0"/>
          <w:bCs w:val="0"/>
          <w:color w:val="000000" w:themeColor="text1"/>
          <w:sz w:val="24"/>
          <w:highlight w:val="none"/>
          <w:u w:val="single"/>
          <w14:textFill>
            <w14:solidFill>
              <w14:schemeClr w14:val="tx1"/>
            </w14:solidFill>
          </w14:textFill>
        </w:rPr>
        <w:t>提交履约担保</w:t>
      </w:r>
      <w:r>
        <w:rPr>
          <w:rFonts w:hint="eastAsia" w:ascii="宋体" w:hAnsi="宋体" w:cs="宋体"/>
          <w:b w:val="0"/>
          <w:bCs w:val="0"/>
          <w:color w:val="000000" w:themeColor="text1"/>
          <w:sz w:val="24"/>
          <w:highlight w:val="none"/>
          <w:u w:val="single"/>
          <w:lang w:eastAsia="zh-CN"/>
          <w14:textFill>
            <w14:solidFill>
              <w14:schemeClr w14:val="tx1"/>
            </w14:solidFill>
          </w14:textFill>
        </w:rPr>
        <w:t>，以保函形式递交的，保函有效期需包含</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两年质保期时间</w:t>
      </w:r>
      <w:r>
        <w:rPr>
          <w:rFonts w:hint="eastAsia" w:ascii="宋体" w:hAnsi="宋体" w:cs="宋体"/>
          <w:b w:val="0"/>
          <w:bCs w:val="0"/>
          <w:color w:val="000000" w:themeColor="text1"/>
          <w:sz w:val="24"/>
          <w:highlight w:val="none"/>
          <w:u w:val="single"/>
          <w:lang w:eastAsia="zh-CN"/>
          <w14:textFill>
            <w14:solidFill>
              <w14:schemeClr w14:val="tx1"/>
            </w14:solidFill>
          </w14:textFill>
        </w:rPr>
        <w:t>；</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退还时间：</w:t>
      </w:r>
      <w:r>
        <w:rPr>
          <w:rFonts w:hint="eastAsia" w:ascii="宋体" w:hAnsi="宋体" w:cs="宋体"/>
          <w:b/>
          <w:bCs/>
          <w:color w:val="000000" w:themeColor="text1"/>
          <w:sz w:val="24"/>
          <w:highlight w:val="none"/>
          <w:u w:val="single"/>
          <w:lang w:val="en-US" w:eastAsia="zh-CN"/>
          <w14:textFill>
            <w14:solidFill>
              <w14:schemeClr w14:val="tx1"/>
            </w14:solidFill>
          </w14:textFill>
        </w:rPr>
        <w:t>质保期两年满后，采购人在质量保修期满后，于7个工作日内将履约保证金无息返还供应商。</w:t>
      </w:r>
    </w:p>
    <w:p>
      <w:pPr>
        <w:numPr>
          <w:ilvl w:val="0"/>
          <w:numId w:val="0"/>
        </w:numPr>
        <w:spacing w:line="360" w:lineRule="auto"/>
        <w:ind w:leftChars="100"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.工程售后服务要求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b w:val="0"/>
          <w:bCs w:val="0"/>
          <w:color w:val="000000" w:themeColor="text1"/>
          <w:sz w:val="24"/>
          <w:highlight w:val="none"/>
          <w:u w:val="single"/>
          <w14:textFill>
            <w14:solidFill>
              <w14:schemeClr w14:val="tx1"/>
            </w14:solidFill>
          </w14:textFill>
        </w:rPr>
        <w:t>（1）保修期：</w:t>
      </w:r>
      <w:r>
        <w:rPr>
          <w:rFonts w:hint="eastAsia" w:ascii="宋体" w:hAnsi="宋体" w:cs="仿宋_GB2312"/>
          <w:color w:val="000000" w:themeColor="text1"/>
          <w:sz w:val="24"/>
          <w:highlight w:val="none"/>
          <w:u w:val="single"/>
          <w14:textFill>
            <w14:solidFill>
              <w14:schemeClr w14:val="tx1"/>
            </w14:solidFill>
          </w14:textFill>
        </w:rPr>
        <w:t>按工程质量保修书规定执行，质量保证期为本项目验收合格后</w:t>
      </w:r>
      <w:r>
        <w:rPr>
          <w:rFonts w:hint="eastAsia" w:ascii="宋体" w:hAnsi="宋体" w:cs="仿宋_GB2312"/>
          <w:color w:val="000000" w:themeColor="text1"/>
          <w:sz w:val="24"/>
          <w:highlight w:val="none"/>
          <w:u w:val="single"/>
          <w:lang w:val="en-US" w:eastAsia="zh-CN"/>
          <w14:textFill>
            <w14:solidFill>
              <w14:schemeClr w14:val="tx1"/>
            </w14:solidFill>
          </w14:textFill>
        </w:rPr>
        <w:t>2</w:t>
      </w:r>
      <w:r>
        <w:rPr>
          <w:rFonts w:hint="eastAsia" w:ascii="宋体" w:hAnsi="宋体" w:cs="仿宋_GB2312"/>
          <w:color w:val="000000" w:themeColor="text1"/>
          <w:sz w:val="24"/>
          <w:highlight w:val="none"/>
          <w:u w:val="singl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lang w:val="en-US" w:eastAsia="zh-CN"/>
          <w14:textFill>
            <w14:solidFill>
              <w14:schemeClr w14:val="tx1"/>
            </w14:solidFill>
          </w14:textFill>
        </w:rPr>
        <w:t>供应商</w:t>
      </w:r>
      <w:r>
        <w:rPr>
          <w:rFonts w:hint="eastAsia" w:ascii="宋体" w:hAnsi="宋体" w:cs="仿宋_GB2312"/>
          <w:color w:val="000000" w:themeColor="text1"/>
          <w:sz w:val="24"/>
          <w:highlight w:val="none"/>
          <w:u w:val="single"/>
          <w14:textFill>
            <w14:solidFill>
              <w14:schemeClr w14:val="tx1"/>
            </w14:solidFill>
          </w14:textFill>
        </w:rPr>
        <w:t>应与采购人签订工程质量保修书，在质量保修期内，按照有关</w:t>
      </w:r>
      <w:r>
        <w:rPr>
          <w:rFonts w:hint="eastAsia" w:ascii="宋体" w:hAnsi="宋体" w:cs="仿宋_GB2312"/>
          <w:color w:val="000000" w:themeColor="text1"/>
          <w:sz w:val="24"/>
          <w:highlight w:val="none"/>
          <w:u w:val="single"/>
          <w:lang w:eastAsia="zh-CN"/>
          <w14:textFill>
            <w14:solidFill>
              <w14:schemeClr w14:val="tx1"/>
            </w14:solidFill>
          </w14:textFill>
        </w:rPr>
        <w:t>法律法规</w:t>
      </w:r>
      <w:r>
        <w:rPr>
          <w:rFonts w:hint="eastAsia" w:ascii="宋体" w:hAnsi="宋体" w:cs="仿宋_GB2312"/>
          <w:color w:val="000000" w:themeColor="text1"/>
          <w:sz w:val="24"/>
          <w:highlight w:val="none"/>
          <w:u w:val="single"/>
          <w14:textFill>
            <w14:solidFill>
              <w14:schemeClr w14:val="tx1"/>
            </w14:solidFill>
          </w14:textFill>
        </w:rPr>
        <w:t>、规章的管理规定和双方约定，承担本工程质量保修责任。</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（2）在保修期内，</w:t>
      </w:r>
      <w:r>
        <w:rPr>
          <w:rFonts w:hint="eastAsia" w:ascii="宋体" w:hAnsi="宋体" w:cs="仿宋_GB2312"/>
          <w:color w:val="000000" w:themeColor="text1"/>
          <w:sz w:val="24"/>
          <w:highlight w:val="none"/>
          <w:u w:val="single"/>
          <w:lang w:val="en-US" w:eastAsia="zh-CN"/>
          <w14:textFill>
            <w14:solidFill>
              <w14:schemeClr w14:val="tx1"/>
            </w14:solidFill>
          </w14:textFill>
        </w:rPr>
        <w:t>供应商</w:t>
      </w:r>
      <w:r>
        <w:rPr>
          <w:rFonts w:hint="eastAsia" w:ascii="宋体" w:hAnsi="宋体" w:cs="仿宋_GB2312"/>
          <w:color w:val="000000" w:themeColor="text1"/>
          <w:sz w:val="24"/>
          <w:highlight w:val="none"/>
          <w:u w:val="single"/>
          <w14:textFill>
            <w14:solidFill>
              <w14:schemeClr w14:val="tx1"/>
            </w14:solidFill>
          </w14:textFill>
        </w:rPr>
        <w:t>对有缺陷的部位必须无偿地给予修理与更换，并承担一切由此引起的对采购人或第三者的直接损失，除非该缺陷是由于人为破坏或合同规定的不可</w:t>
      </w:r>
      <w:r>
        <w:rPr>
          <w:rFonts w:hint="eastAsia" w:ascii="宋体" w:hAnsi="宋体" w:cs="仿宋_GB2312"/>
          <w:color w:val="000000" w:themeColor="text1"/>
          <w:sz w:val="24"/>
          <w:highlight w:val="none"/>
          <w:u w:val="single"/>
          <w:lang w:eastAsia="zh-CN"/>
          <w14:textFill>
            <w14:solidFill>
              <w14:schemeClr w14:val="tx1"/>
            </w14:solidFill>
          </w14:textFill>
        </w:rPr>
        <w:t>抗力</w:t>
      </w:r>
      <w:r>
        <w:rPr>
          <w:rFonts w:hint="eastAsia" w:ascii="宋体" w:hAnsi="宋体" w:cs="仿宋_GB2312"/>
          <w:color w:val="000000" w:themeColor="text1"/>
          <w:sz w:val="24"/>
          <w:highlight w:val="none"/>
          <w:u w:val="single"/>
          <w14:textFill>
            <w14:solidFill>
              <w14:schemeClr w14:val="tx1"/>
            </w14:solidFill>
          </w14:textFill>
        </w:rPr>
        <w:t>因素造成的损坏。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（3）</w:t>
      </w:r>
      <w:r>
        <w:rPr>
          <w:rFonts w:hint="eastAsia" w:ascii="宋体" w:hAnsi="宋体" w:cs="仿宋_GB2312"/>
          <w:color w:val="000000" w:themeColor="text1"/>
          <w:sz w:val="24"/>
          <w:highlight w:val="none"/>
          <w:u w:val="single"/>
          <w:lang w:val="en-US" w:eastAsia="zh-CN"/>
          <w14:textFill>
            <w14:solidFill>
              <w14:schemeClr w14:val="tx1"/>
            </w14:solidFill>
          </w14:textFill>
        </w:rPr>
        <w:t>供应商</w:t>
      </w:r>
      <w:r>
        <w:rPr>
          <w:rFonts w:hint="eastAsia" w:ascii="宋体" w:hAnsi="宋体" w:cs="仿宋_GB2312"/>
          <w:color w:val="000000" w:themeColor="text1"/>
          <w:sz w:val="24"/>
          <w:highlight w:val="none"/>
          <w:u w:val="single"/>
          <w14:textFill>
            <w14:solidFill>
              <w14:schemeClr w14:val="tx1"/>
            </w14:solidFill>
          </w14:textFill>
        </w:rPr>
        <w:t>必须对所承包的工程的质量负全部责任，其责任不因其他材料生产商提供的保证书而减轻或更改。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（4）</w:t>
      </w:r>
      <w:r>
        <w:rPr>
          <w:rFonts w:hint="eastAsia" w:ascii="宋体" w:hAnsi="宋体" w:cs="仿宋_GB2312"/>
          <w:color w:val="000000" w:themeColor="text1"/>
          <w:sz w:val="24"/>
          <w:highlight w:val="none"/>
          <w:u w:val="single"/>
          <w:lang w:val="en-US" w:eastAsia="zh-CN"/>
          <w14:textFill>
            <w14:solidFill>
              <w14:schemeClr w14:val="tx1"/>
            </w14:solidFill>
          </w14:textFill>
        </w:rPr>
        <w:t>供应商</w:t>
      </w:r>
      <w:r>
        <w:rPr>
          <w:rFonts w:hint="eastAsia" w:ascii="宋体" w:hAnsi="宋体" w:cs="仿宋_GB2312"/>
          <w:color w:val="000000" w:themeColor="text1"/>
          <w:sz w:val="24"/>
          <w:highlight w:val="none"/>
          <w:u w:val="single"/>
          <w14:textFill>
            <w14:solidFill>
              <w14:schemeClr w14:val="tx1"/>
            </w14:solidFill>
          </w14:textFill>
        </w:rPr>
        <w:t>应当在缺陷责任期内具有完善的售后技术支持和服务体系，能够提供服务标准、服务流程、服务内容。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w:t>
      </w:r>
      <w:r>
        <w:rPr>
          <w:rFonts w:hint="eastAsia" w:ascii="宋体" w:hAnsi="宋体" w:cs="仿宋_GB2312"/>
          <w:color w:val="000000" w:themeColor="text1"/>
          <w:sz w:val="24"/>
          <w:highlight w:val="none"/>
          <w14:textFill>
            <w14:solidFill>
              <w14:schemeClr w14:val="tx1"/>
            </w14:solidFill>
          </w14:textFill>
        </w:rPr>
        <w:t>其他商务要求（包装和运输、保险等）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b w:val="0"/>
          <w:bCs w:val="0"/>
          <w:color w:val="000000" w:themeColor="text1"/>
          <w:sz w:val="24"/>
          <w:highlight w:val="none"/>
          <w:u w:val="single"/>
          <w:lang w:val="en-US" w:eastAsia="zh-CN"/>
          <w14:textFill>
            <w14:solidFill>
              <w14:schemeClr w14:val="tx1"/>
            </w14:solidFill>
          </w14:textFill>
        </w:rPr>
      </w:pPr>
      <w:r>
        <w:rPr>
          <w:rFonts w:hint="eastAsia" w:ascii="宋体" w:hAnsi="宋体" w:cs="仿宋_GB2312"/>
          <w:b w:val="0"/>
          <w:bCs w:val="0"/>
          <w:color w:val="000000" w:themeColor="text1"/>
          <w:sz w:val="24"/>
          <w:highlight w:val="none"/>
          <w:u w:val="single"/>
          <w:lang w:val="en-US" w:eastAsia="zh-CN"/>
          <w14:textFill>
            <w14:solidFill>
              <w14:schemeClr w14:val="tx1"/>
            </w14:solidFill>
          </w14:textFill>
        </w:rPr>
        <w:t>（1）供应商应当将因场地搬运不便而产生的二次搬运费用计算在磋商报价中。</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仿宋_GB2312"/>
          <w:b w:val="0"/>
          <w:bCs w:val="0"/>
          <w:color w:val="000000" w:themeColor="text1"/>
          <w:sz w:val="24"/>
          <w:highlight w:val="none"/>
          <w:u w:val="single"/>
          <w:lang w:val="en-US" w:eastAsia="zh-CN"/>
          <w14:textFill>
            <w14:solidFill>
              <w14:schemeClr w14:val="tx1"/>
            </w14:solidFill>
          </w14:textFill>
        </w:rPr>
      </w:pPr>
      <w:r>
        <w:rPr>
          <w:rFonts w:hint="eastAsia" w:ascii="宋体" w:hAnsi="宋体" w:cs="仿宋_GB2312"/>
          <w:b w:val="0"/>
          <w:bCs w:val="0"/>
          <w:color w:val="000000" w:themeColor="text1"/>
          <w:sz w:val="24"/>
          <w:highlight w:val="none"/>
          <w:u w:val="single"/>
          <w:lang w:val="en-US" w:eastAsia="zh-CN"/>
          <w14:textFill>
            <w14:solidFill>
              <w14:schemeClr w14:val="tx1"/>
            </w14:solidFill>
          </w14:textFill>
        </w:rPr>
        <w:t>（2）供应商应当将与本项目有关的农民工工伤保险相关费用计算在磋商报价中。</w:t>
      </w:r>
    </w:p>
    <w:p>
      <w:pPr>
        <w:spacing w:line="360" w:lineRule="auto"/>
        <w:jc w:val="left"/>
        <w:rPr>
          <w:rFonts w:hint="eastAsia" w:ascii="宋体" w:hAnsi="宋体" w:cs="仿宋_GB2312"/>
          <w:b/>
          <w:bCs/>
          <w:color w:val="000000" w:themeColor="text1"/>
          <w:sz w:val="24"/>
          <w:highlight w:val="none"/>
          <w:lang w:val="en-US" w:eastAsia="zh-CN"/>
          <w14:textFill>
            <w14:solidFill>
              <w14:schemeClr w14:val="tx1"/>
            </w14:solidFill>
          </w14:textFill>
        </w:rPr>
      </w:pPr>
      <w:r>
        <w:rPr>
          <w:rFonts w:hint="eastAsia" w:ascii="宋体" w:hAnsi="宋体" w:cs="仿宋_GB2312"/>
          <w:b/>
          <w:bCs/>
          <w:color w:val="000000" w:themeColor="text1"/>
          <w:sz w:val="24"/>
          <w:highlight w:val="none"/>
          <w:lang w:val="en-US" w:eastAsia="zh-CN"/>
          <w14:textFill>
            <w14:solidFill>
              <w14:schemeClr w14:val="tx1"/>
            </w14:solidFill>
          </w14:textFill>
        </w:rPr>
        <w:t>五、人员配置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仿宋_GB2312"/>
          <w:b w:val="0"/>
          <w:bCs w:val="0"/>
          <w:color w:val="000000" w:themeColor="text1"/>
          <w:sz w:val="24"/>
          <w:highlight w:val="none"/>
          <w:u w:val="single"/>
          <w14:textFill>
            <w14:solidFill>
              <w14:schemeClr w14:val="tx1"/>
            </w14:solidFill>
          </w14:textFill>
        </w:rPr>
      </w:pPr>
      <w:r>
        <w:rPr>
          <w:rFonts w:hint="eastAsia" w:ascii="宋体" w:hAnsi="宋体" w:cs="仿宋_GB2312"/>
          <w:b w:val="0"/>
          <w:bCs w:val="0"/>
          <w:color w:val="000000" w:themeColor="text1"/>
          <w:sz w:val="24"/>
          <w:highlight w:val="none"/>
          <w:u w:val="single"/>
          <w14:textFill>
            <w14:solidFill>
              <w14:schemeClr w14:val="tx1"/>
            </w14:solidFill>
          </w14:textFill>
        </w:rPr>
        <w:t>1.供应商应针对本项目组建一个服务团队，包括项目负责人（1人）及其他关键岗位人员。</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项目负责人要求：</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拟派项目负责人具有</w:t>
      </w:r>
      <w:r>
        <w:rPr>
          <w:rFonts w:hint="eastAsia" w:ascii="宋体" w:hAnsi="宋体" w:cs="宋体"/>
          <w:b w:val="0"/>
          <w:bCs w:val="0"/>
          <w:color w:val="000000" w:themeColor="text1"/>
          <w:sz w:val="24"/>
          <w:highlight w:val="none"/>
          <w:u w:val="single"/>
          <w:lang w:eastAsia="zh-CN"/>
          <w14:textFill>
            <w14:solidFill>
              <w14:schemeClr w14:val="tx1"/>
            </w14:solidFill>
          </w14:textFill>
        </w:rPr>
        <w:t>文物保护工程责任工程师资格</w:t>
      </w:r>
      <w:r>
        <w:rPr>
          <w:rFonts w:hint="eastAsia" w:ascii="宋体" w:hAnsi="宋体"/>
          <w:color w:val="000000" w:themeColor="text1"/>
          <w:sz w:val="24"/>
          <w:highlight w:val="none"/>
          <w:u w:val="single"/>
          <w14:textFill>
            <w14:solidFill>
              <w14:schemeClr w14:val="tx1"/>
            </w14:solidFill>
          </w14:textFill>
        </w:rPr>
        <w:t>，还应具有工程类工程师及以上技术职称，在施工过程中，应确保到位率达到80%</w:t>
      </w:r>
      <w:r>
        <w:rPr>
          <w:rFonts w:hint="eastAsia" w:ascii="宋体" w:hAnsi="宋体"/>
          <w:color w:val="000000" w:themeColor="text1"/>
          <w:sz w:val="24"/>
          <w:highlight w:val="none"/>
          <w:u w:val="single"/>
          <w:lang w:eastAsia="zh-CN"/>
          <w14:textFill>
            <w14:solidFill>
              <w14:schemeClr w14:val="tx1"/>
            </w14:solidFill>
          </w14:textFill>
        </w:rPr>
        <w:t>及</w:t>
      </w:r>
      <w:r>
        <w:rPr>
          <w:rFonts w:hint="eastAsia" w:ascii="宋体" w:hAnsi="宋体"/>
          <w:color w:val="000000" w:themeColor="text1"/>
          <w:sz w:val="24"/>
          <w:highlight w:val="none"/>
          <w:u w:val="single"/>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②拟派技术负责人具有工程类工程师及以上技术职称；</w:t>
      </w:r>
    </w:p>
    <w:p>
      <w:pPr>
        <w:spacing w:line="360" w:lineRule="auto"/>
        <w:ind w:left="210" w:leftChars="100" w:firstLine="240" w:firstLineChars="1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③拟派项目管理班子中施工员、安全员、质检员、材料员等重要岗位应人员配置齐全。</w:t>
      </w:r>
    </w:p>
    <w:p>
      <w:pPr>
        <w:pStyle w:val="2"/>
        <w:rPr>
          <w:rFonts w:hint="eastAsia"/>
          <w:color w:val="000000" w:themeColor="text1"/>
          <w:highlight w:val="none"/>
          <w14:textFill>
            <w14:solidFill>
              <w14:schemeClr w14:val="tx1"/>
            </w14:solidFill>
          </w14:textFill>
        </w:rPr>
      </w:pPr>
    </w:p>
    <w:p>
      <w:pPr>
        <w:numPr>
          <w:ilvl w:val="0"/>
          <w:numId w:val="0"/>
        </w:numPr>
        <w:spacing w:line="360" w:lineRule="auto"/>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lang w:val="en-US" w:eastAsia="zh-CN"/>
          <w14:textFill>
            <w14:solidFill>
              <w14:schemeClr w14:val="tx1"/>
            </w14:solidFill>
          </w14:textFill>
        </w:rPr>
        <w:t>六</w:t>
      </w:r>
      <w:r>
        <w:rPr>
          <w:rFonts w:hint="eastAsia" w:ascii="宋体" w:hAnsi="宋体" w:cs="仿宋_GB2312"/>
          <w:b/>
          <w:bCs/>
          <w:color w:val="000000" w:themeColor="text1"/>
          <w:sz w:val="24"/>
          <w:highlight w:val="none"/>
          <w14:textFill>
            <w14:solidFill>
              <w14:schemeClr w14:val="tx1"/>
            </w14:solidFill>
          </w14:textFill>
        </w:rPr>
        <w:t>、其他要求</w:t>
      </w:r>
    </w:p>
    <w:p>
      <w:pPr>
        <w:snapToGrid w:val="0"/>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（1）各供应商应先到工地踏勘以充分了解工地位置、现状情况</w:t>
      </w:r>
      <w:r>
        <w:rPr>
          <w:rFonts w:hint="eastAsia" w:ascii="宋体" w:hAnsi="宋体" w:cs="宋体"/>
          <w:color w:val="000000" w:themeColor="text1"/>
          <w:sz w:val="24"/>
          <w:highlight w:val="none"/>
          <w:u w:val="single"/>
          <w:lang w:eastAsia="zh-CN"/>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及任何</w:t>
      </w:r>
      <w:r>
        <w:rPr>
          <w:rFonts w:hint="eastAsia" w:ascii="宋体" w:hAnsi="宋体" w:cs="宋体"/>
          <w:color w:val="000000" w:themeColor="text1"/>
          <w:sz w:val="24"/>
          <w:highlight w:val="none"/>
          <w:u w:val="single"/>
          <w:lang w:eastAsia="zh-CN"/>
          <w14:textFill>
            <w14:solidFill>
              <w14:schemeClr w14:val="tx1"/>
            </w14:solidFill>
          </w14:textFill>
        </w:rPr>
        <w:t>其他</w:t>
      </w:r>
      <w:r>
        <w:rPr>
          <w:rFonts w:hint="eastAsia" w:ascii="宋体" w:hAnsi="宋体" w:cs="宋体"/>
          <w:color w:val="000000" w:themeColor="text1"/>
          <w:sz w:val="24"/>
          <w:highlight w:val="none"/>
          <w:u w:val="single"/>
          <w14:textFill>
            <w14:solidFill>
              <w14:schemeClr w14:val="tx1"/>
            </w14:solidFill>
          </w14:textFill>
        </w:rPr>
        <w:t>足以影响磋商报价的情况，任何因忽视或误解工地情况而导致的行政处罚、索赔或工期延长申请将不获批准。本项目为固定综合单价合同。</w:t>
      </w:r>
    </w:p>
    <w:p>
      <w:pPr>
        <w:snapToGrid w:val="0"/>
        <w:spacing w:line="360" w:lineRule="auto"/>
        <w:ind w:firstLine="48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（2）因工程施工要求或工程管理要求而产生的各项潜在费用支出均由供应商自行考虑并计入响应总价。</w:t>
      </w:r>
    </w:p>
    <w:p>
      <w:pPr>
        <w:snapToGrid w:val="0"/>
        <w:spacing w:line="360" w:lineRule="auto"/>
        <w:ind w:firstLine="422"/>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与报价相关的其他事宜见本项目“工程量清单”。</w:t>
      </w:r>
    </w:p>
    <w:p>
      <w:pPr>
        <w:snapToGrid w:val="0"/>
        <w:spacing w:line="360" w:lineRule="auto"/>
        <w:ind w:firstLine="422"/>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lang w:val="en-US" w:eastAsia="zh-CN"/>
          <w14:textFill>
            <w14:solidFill>
              <w14:schemeClr w14:val="tx1"/>
            </w14:solidFill>
          </w14:textFill>
        </w:rPr>
        <w:t>4</w:t>
      </w:r>
      <w:r>
        <w:rPr>
          <w:rFonts w:hint="eastAsia" w:ascii="宋体" w:hAnsi="宋体" w:cs="宋体"/>
          <w:color w:val="000000" w:themeColor="text1"/>
          <w:kern w:val="0"/>
          <w:sz w:val="24"/>
          <w:highlight w:val="none"/>
          <w:u w:val="single"/>
          <w14:textFill>
            <w14:solidFill>
              <w14:schemeClr w14:val="tx1"/>
            </w14:solidFill>
          </w14:textFill>
        </w:rPr>
        <w:t>）技术响应要求：</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供应商应当有全面、合理、针对本项目的工程施工技术方案和措施，此工程施工技术方案应当具有明确的针对性和可操作性，各项施工措施应当明确、到位；</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供应商应当有全面、合理、针对本项目的施工组织设计，此施工组织设计应当具有明确的针对性和可操作性，施工组织设计应当明确、到位； </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供应商应当有全面、合理、针对本项目的主要施工方法，主要施工方法应当具有明确的针对性和可操作性，对施工的各道程序应当明确、到位；</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供应商应当有特殊施工环境的具体措施、预防自然灾害</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台风及防汛等</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的组织和技术措施；</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供应商应当有针对</w:t>
      </w:r>
      <w:r>
        <w:rPr>
          <w:rFonts w:hint="eastAsia" w:ascii="宋体" w:hAnsi="宋体" w:cs="宋体"/>
          <w:color w:val="000000" w:themeColor="text1"/>
          <w:sz w:val="24"/>
          <w:highlight w:val="none"/>
          <w:u w:val="single"/>
          <w:lang w:val="en-US" w:eastAsia="zh-CN"/>
          <w14:textFill>
            <w14:solidFill>
              <w14:schemeClr w14:val="tx1"/>
            </w14:solidFill>
          </w14:textFill>
        </w:rPr>
        <w:t>性地</w:t>
      </w:r>
      <w:r>
        <w:rPr>
          <w:rFonts w:hint="eastAsia" w:ascii="宋体" w:hAnsi="宋体" w:cs="宋体"/>
          <w:color w:val="000000" w:themeColor="text1"/>
          <w:sz w:val="24"/>
          <w:highlight w:val="none"/>
          <w:u w:val="single"/>
          <w14:textFill>
            <w14:solidFill>
              <w14:schemeClr w14:val="tx1"/>
            </w14:solidFill>
          </w14:textFill>
        </w:rPr>
        <w:t>进出管理的具体措施，包括</w:t>
      </w:r>
      <w:r>
        <w:rPr>
          <w:rFonts w:hint="eastAsia" w:ascii="宋体" w:hAnsi="宋体" w:cs="宋体"/>
          <w:color w:val="000000" w:themeColor="text1"/>
          <w:sz w:val="24"/>
          <w:highlight w:val="none"/>
          <w:u w:val="single"/>
          <w:lang w:val="en-US" w:eastAsia="zh-CN"/>
          <w14:textFill>
            <w14:solidFill>
              <w14:schemeClr w14:val="tx1"/>
            </w14:solidFill>
          </w14:textFill>
        </w:rPr>
        <w:t>项目人员</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车辆</w:t>
      </w:r>
      <w:r>
        <w:rPr>
          <w:rFonts w:hint="eastAsia" w:ascii="宋体" w:hAnsi="宋体" w:cs="宋体"/>
          <w:color w:val="000000" w:themeColor="text1"/>
          <w:sz w:val="24"/>
          <w:highlight w:val="none"/>
          <w:u w:val="single"/>
          <w14:textFill>
            <w14:solidFill>
              <w14:schemeClr w14:val="tx1"/>
            </w14:solidFill>
          </w14:textFill>
        </w:rPr>
        <w:t>的进出管理、材料的运输管理等具体措施；</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供应商应当有针对现场施工的具体降噪措施，包括针对工作环境的降噪措施和针对附近居民的降噪措施；</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供应商应当有针对材料设备进场计划及施工计划，材料设备的进场计划应当包含材料设备进场的包装、运输、进场验收等各个环节，施工计划应当包含施工的各个环节；</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供应商应当有针对工程特点、难点的分析，并根据本工程项目的特点、难点提出有针对性的施工方案与措施；</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供应商应当具有针对本项目施工特点的安全、文明施工及市政、市容、环保、消防等的保证措施；</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供应商应当具有针对本项目的具体成品保护措施，措施应当完善、到位；</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供应商应当针对本项目施工工期要求编制进度计划及控制措施，包括人工的合理安排、工作量的前后分配等；</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供应商应具有针对本项目的具体施工质量控制措施，质量控制措施应当完善、到位；</w:t>
      </w:r>
    </w:p>
    <w:p>
      <w:pPr>
        <w:numPr>
          <w:ilvl w:val="0"/>
          <w:numId w:val="3"/>
        </w:num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供应商拟投入的施工机具和检验仪器应当满足装饰施工工程现场的要求；</w:t>
      </w:r>
    </w:p>
    <w:p>
      <w:pPr>
        <w:numPr>
          <w:ilvl w:val="0"/>
          <w:numId w:val="3"/>
        </w:numPr>
        <w:snapToGrid w:val="0"/>
        <w:spacing w:line="360" w:lineRule="auto"/>
        <w:ind w:firstLine="48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供应商在缺陷责任期内应当具有完善的售后技术支持和服务体系，能够保证采购人在缺陷责任期内得到不少于本磋商文件所附工程质量保修书的相关服务要求</w:t>
      </w:r>
      <w:r>
        <w:rPr>
          <w:rFonts w:hint="eastAsia" w:ascii="宋体" w:hAnsi="宋体" w:cs="宋体"/>
          <w:color w:val="000000" w:themeColor="text1"/>
          <w:sz w:val="24"/>
          <w:highlight w:val="none"/>
          <w:u w:val="single"/>
          <w:lang w:eastAsia="zh-CN"/>
          <w14:textFill>
            <w14:solidFill>
              <w14:schemeClr w14:val="tx1"/>
            </w14:solidFill>
          </w14:textFill>
        </w:rPr>
        <w:t>。</w:t>
      </w:r>
    </w:p>
    <w:p>
      <w:pPr>
        <w:spacing w:line="360" w:lineRule="auto"/>
        <w:ind w:firstLine="241" w:firstLineChars="100"/>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lang w:val="en-US" w:eastAsia="zh-CN"/>
          <w14:textFill>
            <w14:solidFill>
              <w14:schemeClr w14:val="tx1"/>
            </w14:solidFill>
          </w14:textFill>
        </w:rPr>
        <w:t>七</w:t>
      </w:r>
      <w:r>
        <w:rPr>
          <w:rFonts w:hint="eastAsia" w:ascii="宋体" w:hAnsi="宋体" w:cs="仿宋_GB2312"/>
          <w:b/>
          <w:bCs/>
          <w:color w:val="000000" w:themeColor="text1"/>
          <w:sz w:val="24"/>
          <w:highlight w:val="none"/>
          <w14:textFill>
            <w14:solidFill>
              <w14:schemeClr w14:val="tx1"/>
            </w14:solidFill>
          </w14:textFill>
        </w:rPr>
        <w:t>、履约验收</w:t>
      </w:r>
    </w:p>
    <w:p>
      <w:pPr>
        <w:spacing w:line="360" w:lineRule="auto"/>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采购人按照《杭州市政府采购履约验收暂行办法》（杭财采监[2019]10号）规定组织对供应商履约的验收。</w:t>
      </w:r>
    </w:p>
    <w:p>
      <w:pPr>
        <w:ind w:firstLine="241" w:firstLineChars="100"/>
        <w:rPr>
          <w:rFonts w:hint="eastAsia" w:eastAsia="宋体"/>
          <w:color w:val="000000" w:themeColor="text1"/>
          <w:highlight w:val="none"/>
          <w:lang w:eastAsia="zh-CN"/>
          <w14:textFill>
            <w14:solidFill>
              <w14:schemeClr w14:val="tx1"/>
            </w14:solidFill>
          </w14:textFill>
        </w:rPr>
      </w:pPr>
      <w:r>
        <w:rPr>
          <w:rFonts w:hint="eastAsia" w:ascii="宋体" w:hAnsi="宋体" w:cs="仿宋_GB2312"/>
          <w:b/>
          <w:bCs/>
          <w:color w:val="000000" w:themeColor="text1"/>
          <w:sz w:val="24"/>
          <w:highlight w:val="none"/>
          <w:lang w:eastAsia="zh-CN"/>
          <w14:textFill>
            <w14:solidFill>
              <w14:schemeClr w14:val="tx1"/>
            </w14:solidFill>
          </w14:textFill>
        </w:rPr>
        <w:t>八</w:t>
      </w:r>
      <w:r>
        <w:rPr>
          <w:rFonts w:hint="eastAsia" w:ascii="宋体" w:hAnsi="宋体" w:cs="仿宋_GB2312"/>
          <w:b/>
          <w:bCs/>
          <w:color w:val="000000" w:themeColor="text1"/>
          <w:sz w:val="24"/>
          <w:highlight w:val="none"/>
          <w14:textFill>
            <w14:solidFill>
              <w14:schemeClr w14:val="tx1"/>
            </w14:solidFill>
          </w14:textFill>
        </w:rPr>
        <w:t>、</w:t>
      </w:r>
      <w:r>
        <w:rPr>
          <w:rFonts w:hint="eastAsia" w:ascii="宋体" w:hAnsi="宋体" w:cs="仿宋_GB2312"/>
          <w:b/>
          <w:bCs/>
          <w:color w:val="000000" w:themeColor="text1"/>
          <w:sz w:val="24"/>
          <w:highlight w:val="none"/>
          <w:lang w:eastAsia="zh-CN"/>
          <w14:textFill>
            <w14:solidFill>
              <w14:schemeClr w14:val="tx1"/>
            </w14:solidFill>
          </w14:textFill>
        </w:rPr>
        <w:t>工程量清单及图纸：详见附件。</w:t>
      </w:r>
    </w:p>
    <w:p>
      <w:pPr>
        <w:rPr>
          <w:rFonts w:ascii="宋体" w:hAnsi="宋体" w:cs="宋体"/>
          <w:snapToGrid w:val="0"/>
          <w:color w:val="000000" w:themeColor="text1"/>
          <w:kern w:val="0"/>
          <w:sz w:val="24"/>
          <w:highlight w:val="none"/>
          <w14:textFill>
            <w14:solidFill>
              <w14:schemeClr w14:val="tx1"/>
            </w14:solidFill>
          </w14:textFill>
        </w:rPr>
      </w:pPr>
    </w:p>
    <w:p>
      <w:pPr>
        <w:snapToGrid w:val="0"/>
        <w:spacing w:line="360" w:lineRule="auto"/>
        <w:jc w:val="center"/>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36"/>
          <w:szCs w:val="20"/>
          <w:highlight w:val="none"/>
          <w14:textFill>
            <w14:solidFill>
              <w14:schemeClr w14:val="tx1"/>
            </w14:solidFill>
          </w14:textFill>
        </w:rPr>
        <w:t>第四部分</w:t>
      </w:r>
      <w:bookmarkStart w:id="31" w:name="_Toc184313306"/>
      <w:bookmarkEnd w:id="31"/>
      <w:bookmarkStart w:id="32" w:name="_Toc184312072"/>
      <w:bookmarkEnd w:id="32"/>
      <w:bookmarkStart w:id="33" w:name="_Toc184308041"/>
      <w:bookmarkEnd w:id="33"/>
      <w:bookmarkStart w:id="34" w:name="_Toc184314415"/>
      <w:bookmarkEnd w:id="34"/>
      <w:bookmarkStart w:id="35" w:name="_Toc184312096"/>
      <w:bookmarkEnd w:id="35"/>
      <w:bookmarkStart w:id="36" w:name="_Toc184312078"/>
      <w:bookmarkEnd w:id="36"/>
      <w:bookmarkStart w:id="37" w:name="_Toc184314433"/>
      <w:bookmarkEnd w:id="37"/>
      <w:bookmarkStart w:id="38" w:name="_Toc184308084"/>
      <w:bookmarkEnd w:id="38"/>
      <w:bookmarkStart w:id="39" w:name="_Toc184308103"/>
      <w:bookmarkEnd w:id="39"/>
      <w:bookmarkStart w:id="40" w:name="_Toc184314476"/>
      <w:bookmarkEnd w:id="40"/>
      <w:bookmarkStart w:id="41" w:name="_Toc184313268"/>
      <w:bookmarkEnd w:id="41"/>
      <w:bookmarkStart w:id="42" w:name="_Toc184310307"/>
      <w:bookmarkEnd w:id="42"/>
      <w:bookmarkStart w:id="43" w:name="_Toc184308092"/>
      <w:bookmarkEnd w:id="43"/>
      <w:bookmarkStart w:id="44" w:name="_Toc184308081"/>
      <w:bookmarkEnd w:id="44"/>
      <w:bookmarkStart w:id="45" w:name="_Toc184312127"/>
      <w:bookmarkEnd w:id="45"/>
      <w:bookmarkStart w:id="46" w:name="_Toc184314443"/>
      <w:bookmarkEnd w:id="46"/>
      <w:bookmarkStart w:id="47" w:name="_Toc184310301"/>
      <w:bookmarkEnd w:id="47"/>
      <w:bookmarkStart w:id="48" w:name="_Toc184310279"/>
      <w:bookmarkEnd w:id="48"/>
      <w:bookmarkStart w:id="49" w:name="_Toc184310284"/>
      <w:bookmarkEnd w:id="49"/>
      <w:bookmarkStart w:id="50" w:name="_Toc184310308"/>
      <w:bookmarkEnd w:id="50"/>
      <w:bookmarkStart w:id="51" w:name="_Toc184308068"/>
      <w:bookmarkEnd w:id="51"/>
      <w:bookmarkStart w:id="52" w:name="_Toc184312101"/>
      <w:bookmarkEnd w:id="52"/>
      <w:bookmarkStart w:id="53" w:name="_Toc184312092"/>
      <w:bookmarkEnd w:id="53"/>
      <w:bookmarkStart w:id="54" w:name="_Toc184313301"/>
      <w:bookmarkEnd w:id="54"/>
      <w:bookmarkStart w:id="55" w:name="_Toc184312076"/>
      <w:bookmarkEnd w:id="55"/>
      <w:bookmarkStart w:id="56" w:name="_Toc184313294"/>
      <w:bookmarkEnd w:id="56"/>
      <w:bookmarkStart w:id="57" w:name="_Toc184308038"/>
      <w:bookmarkEnd w:id="57"/>
      <w:bookmarkStart w:id="58" w:name="_Toc184310313"/>
      <w:bookmarkEnd w:id="58"/>
      <w:bookmarkStart w:id="59" w:name="_Toc184314453"/>
      <w:bookmarkEnd w:id="59"/>
      <w:bookmarkStart w:id="60" w:name="_Toc184314467"/>
      <w:bookmarkEnd w:id="60"/>
      <w:bookmarkStart w:id="61" w:name="_Toc184314427"/>
      <w:bookmarkEnd w:id="61"/>
      <w:bookmarkStart w:id="62" w:name="_Toc184310280"/>
      <w:bookmarkEnd w:id="62"/>
      <w:bookmarkStart w:id="63" w:name="_Toc184310332"/>
      <w:bookmarkEnd w:id="63"/>
      <w:bookmarkStart w:id="64" w:name="_Toc184313305"/>
      <w:bookmarkEnd w:id="64"/>
      <w:bookmarkStart w:id="65" w:name="_Toc184312110"/>
      <w:bookmarkEnd w:id="65"/>
      <w:bookmarkStart w:id="66" w:name="_Toc184313261"/>
      <w:bookmarkEnd w:id="66"/>
      <w:bookmarkStart w:id="67" w:name="_Toc184310300"/>
      <w:bookmarkEnd w:id="67"/>
      <w:bookmarkStart w:id="68" w:name="_Toc184314470"/>
      <w:bookmarkEnd w:id="68"/>
      <w:bookmarkStart w:id="69" w:name="_Toc184313272"/>
      <w:bookmarkEnd w:id="69"/>
      <w:bookmarkStart w:id="70" w:name="_Toc184314471"/>
      <w:bookmarkEnd w:id="70"/>
      <w:bookmarkStart w:id="71" w:name="_Toc184308083"/>
      <w:bookmarkEnd w:id="71"/>
      <w:bookmarkStart w:id="72" w:name="_Toc184313310"/>
      <w:bookmarkEnd w:id="72"/>
      <w:bookmarkStart w:id="73" w:name="_Toc184313284"/>
      <w:bookmarkEnd w:id="73"/>
      <w:bookmarkStart w:id="74" w:name="_Toc184312079"/>
      <w:bookmarkEnd w:id="74"/>
      <w:bookmarkStart w:id="75" w:name="_Toc184313258"/>
      <w:bookmarkEnd w:id="75"/>
      <w:bookmarkStart w:id="76" w:name="_Toc184308044"/>
      <w:bookmarkEnd w:id="76"/>
      <w:bookmarkStart w:id="77" w:name="_Toc184313238"/>
      <w:bookmarkEnd w:id="77"/>
      <w:bookmarkStart w:id="78" w:name="_Toc184308086"/>
      <w:bookmarkEnd w:id="78"/>
      <w:bookmarkStart w:id="79" w:name="_Toc184312069"/>
      <w:bookmarkEnd w:id="79"/>
      <w:bookmarkStart w:id="80" w:name="_Toc184312077"/>
      <w:bookmarkEnd w:id="80"/>
      <w:bookmarkStart w:id="81" w:name="_Toc184314475"/>
      <w:bookmarkEnd w:id="81"/>
      <w:bookmarkStart w:id="82" w:name="_Toc184312086"/>
      <w:bookmarkEnd w:id="82"/>
      <w:bookmarkStart w:id="83" w:name="_Toc184314469"/>
      <w:bookmarkEnd w:id="83"/>
      <w:bookmarkStart w:id="84" w:name="_Toc184310327"/>
      <w:bookmarkEnd w:id="84"/>
      <w:bookmarkStart w:id="85" w:name="_Toc184310321"/>
      <w:bookmarkEnd w:id="85"/>
      <w:bookmarkStart w:id="86" w:name="_Toc184308036"/>
      <w:bookmarkEnd w:id="86"/>
      <w:bookmarkStart w:id="87" w:name="_Toc184313263"/>
      <w:bookmarkEnd w:id="87"/>
      <w:bookmarkStart w:id="88" w:name="_Toc184310288"/>
      <w:bookmarkEnd w:id="88"/>
      <w:bookmarkStart w:id="89" w:name="_Toc184312117"/>
      <w:bookmarkEnd w:id="89"/>
      <w:bookmarkStart w:id="90" w:name="_Toc184308066"/>
      <w:bookmarkEnd w:id="90"/>
      <w:bookmarkStart w:id="91" w:name="_Toc184313262"/>
      <w:bookmarkEnd w:id="91"/>
      <w:bookmarkStart w:id="92" w:name="_Toc184312103"/>
      <w:bookmarkEnd w:id="92"/>
      <w:bookmarkStart w:id="93" w:name="_Toc184312109"/>
      <w:bookmarkEnd w:id="93"/>
      <w:bookmarkStart w:id="94" w:name="_Toc184310330"/>
      <w:bookmarkEnd w:id="94"/>
      <w:bookmarkStart w:id="95" w:name="_Toc184312073"/>
      <w:bookmarkEnd w:id="95"/>
      <w:bookmarkStart w:id="96" w:name="_Toc184308048"/>
      <w:bookmarkEnd w:id="96"/>
      <w:bookmarkStart w:id="97" w:name="_Toc184314422"/>
      <w:bookmarkEnd w:id="97"/>
      <w:bookmarkStart w:id="98" w:name="_Toc184310291"/>
      <w:bookmarkEnd w:id="98"/>
      <w:bookmarkStart w:id="99" w:name="_Toc184313243"/>
      <w:bookmarkEnd w:id="99"/>
      <w:bookmarkStart w:id="100" w:name="_Toc184314432"/>
      <w:bookmarkEnd w:id="100"/>
      <w:bookmarkStart w:id="101" w:name="_Toc184313297"/>
      <w:bookmarkEnd w:id="101"/>
      <w:bookmarkStart w:id="102" w:name="_Toc184310278"/>
      <w:bookmarkEnd w:id="102"/>
      <w:bookmarkStart w:id="103" w:name="_Toc184313270"/>
      <w:bookmarkEnd w:id="103"/>
      <w:bookmarkStart w:id="104" w:name="_Toc184314418"/>
      <w:bookmarkEnd w:id="104"/>
      <w:bookmarkStart w:id="105" w:name="_Toc184313252"/>
      <w:bookmarkEnd w:id="105"/>
      <w:bookmarkStart w:id="106" w:name="_Toc184308059"/>
      <w:bookmarkEnd w:id="106"/>
      <w:bookmarkStart w:id="107" w:name="_Toc184310276"/>
      <w:bookmarkEnd w:id="107"/>
      <w:bookmarkStart w:id="108" w:name="_Toc184310336"/>
      <w:bookmarkEnd w:id="108"/>
      <w:bookmarkStart w:id="109" w:name="_Toc184314457"/>
      <w:bookmarkEnd w:id="109"/>
      <w:bookmarkStart w:id="110" w:name="_Toc184310331"/>
      <w:bookmarkEnd w:id="110"/>
      <w:bookmarkStart w:id="111" w:name="_Toc184312099"/>
      <w:bookmarkEnd w:id="111"/>
      <w:bookmarkStart w:id="112" w:name="_Toc184310287"/>
      <w:bookmarkEnd w:id="112"/>
      <w:bookmarkStart w:id="113" w:name="_Toc184308067"/>
      <w:bookmarkEnd w:id="113"/>
      <w:bookmarkStart w:id="114" w:name="_Toc184312074"/>
      <w:bookmarkEnd w:id="114"/>
      <w:bookmarkStart w:id="115" w:name="_Toc184308075"/>
      <w:bookmarkEnd w:id="115"/>
      <w:bookmarkStart w:id="116" w:name="_Toc184313250"/>
      <w:bookmarkEnd w:id="116"/>
      <w:bookmarkStart w:id="117" w:name="_Toc184313299"/>
      <w:bookmarkEnd w:id="117"/>
      <w:bookmarkStart w:id="118" w:name="_Toc184310303"/>
      <w:bookmarkEnd w:id="118"/>
      <w:bookmarkStart w:id="119" w:name="_Toc184312108"/>
      <w:bookmarkEnd w:id="119"/>
      <w:bookmarkStart w:id="120" w:name="_Toc184314474"/>
      <w:bookmarkEnd w:id="120"/>
      <w:bookmarkStart w:id="121" w:name="_Toc184308077"/>
      <w:bookmarkEnd w:id="121"/>
      <w:bookmarkStart w:id="122" w:name="_Toc184313257"/>
      <w:bookmarkEnd w:id="122"/>
      <w:bookmarkStart w:id="123" w:name="_Toc184312068"/>
      <w:bookmarkEnd w:id="123"/>
      <w:bookmarkStart w:id="124" w:name="_Toc184310309"/>
      <w:bookmarkEnd w:id="124"/>
      <w:bookmarkStart w:id="125" w:name="_Toc184310311"/>
      <w:bookmarkEnd w:id="125"/>
      <w:bookmarkStart w:id="126" w:name="_Toc184313279"/>
      <w:bookmarkEnd w:id="126"/>
      <w:bookmarkStart w:id="127" w:name="_Toc184314448"/>
      <w:bookmarkEnd w:id="127"/>
      <w:bookmarkStart w:id="128" w:name="_Toc184308090"/>
      <w:bookmarkEnd w:id="128"/>
      <w:bookmarkStart w:id="129" w:name="_Toc184314458"/>
      <w:bookmarkEnd w:id="129"/>
      <w:bookmarkStart w:id="130" w:name="_Toc184310298"/>
      <w:bookmarkEnd w:id="130"/>
      <w:bookmarkStart w:id="131" w:name="_Toc184312123"/>
      <w:bookmarkEnd w:id="131"/>
      <w:bookmarkStart w:id="132" w:name="_Toc184312116"/>
      <w:bookmarkEnd w:id="132"/>
      <w:bookmarkStart w:id="133" w:name="_Toc184314436"/>
      <w:bookmarkEnd w:id="133"/>
      <w:bookmarkStart w:id="134" w:name="_Toc184312105"/>
      <w:bookmarkEnd w:id="134"/>
      <w:bookmarkStart w:id="135" w:name="_Toc184312100"/>
      <w:bookmarkEnd w:id="135"/>
      <w:bookmarkStart w:id="136" w:name="_Toc184314464"/>
      <w:bookmarkEnd w:id="136"/>
      <w:bookmarkStart w:id="137" w:name="_Toc184308100"/>
      <w:bookmarkEnd w:id="137"/>
      <w:bookmarkStart w:id="138" w:name="_Toc184314429"/>
      <w:bookmarkEnd w:id="138"/>
      <w:bookmarkStart w:id="139" w:name="_Toc184312102"/>
      <w:bookmarkEnd w:id="139"/>
      <w:bookmarkStart w:id="140" w:name="_Toc184308104"/>
      <w:bookmarkEnd w:id="140"/>
      <w:bookmarkStart w:id="141" w:name="_Toc184313304"/>
      <w:bookmarkEnd w:id="141"/>
      <w:bookmarkStart w:id="142" w:name="_Toc184314455"/>
      <w:bookmarkEnd w:id="142"/>
      <w:bookmarkStart w:id="143" w:name="_Toc184308049"/>
      <w:bookmarkEnd w:id="143"/>
      <w:bookmarkStart w:id="144" w:name="_Toc184314452"/>
      <w:bookmarkEnd w:id="144"/>
      <w:bookmarkStart w:id="145" w:name="_Toc184313278"/>
      <w:bookmarkEnd w:id="145"/>
      <w:bookmarkStart w:id="146" w:name="_Toc184308095"/>
      <w:bookmarkEnd w:id="146"/>
      <w:bookmarkStart w:id="147" w:name="_Toc184310317"/>
      <w:bookmarkEnd w:id="147"/>
      <w:bookmarkStart w:id="148" w:name="_Toc184313273"/>
      <w:bookmarkEnd w:id="148"/>
      <w:bookmarkStart w:id="149" w:name="_Toc184314426"/>
      <w:bookmarkEnd w:id="149"/>
      <w:bookmarkStart w:id="150" w:name="_Toc184312131"/>
      <w:bookmarkEnd w:id="150"/>
      <w:bookmarkStart w:id="151" w:name="_Toc184313288"/>
      <w:bookmarkEnd w:id="151"/>
      <w:bookmarkStart w:id="152" w:name="_Toc184308106"/>
      <w:bookmarkEnd w:id="152"/>
      <w:bookmarkStart w:id="153" w:name="_Toc184310275"/>
      <w:bookmarkEnd w:id="153"/>
      <w:bookmarkStart w:id="154" w:name="_Toc184314479"/>
      <w:bookmarkEnd w:id="154"/>
      <w:bookmarkStart w:id="155" w:name="_Toc184313271"/>
      <w:bookmarkEnd w:id="155"/>
      <w:bookmarkStart w:id="156" w:name="_Toc184310295"/>
      <w:bookmarkEnd w:id="156"/>
      <w:bookmarkStart w:id="157" w:name="_Toc184313285"/>
      <w:bookmarkEnd w:id="157"/>
      <w:bookmarkStart w:id="158" w:name="_Toc184310314"/>
      <w:bookmarkEnd w:id="158"/>
      <w:bookmarkStart w:id="159" w:name="_Toc184310325"/>
      <w:bookmarkEnd w:id="159"/>
      <w:bookmarkStart w:id="160" w:name="_Toc184310289"/>
      <w:bookmarkEnd w:id="160"/>
      <w:bookmarkStart w:id="161" w:name="_Toc184313291"/>
      <w:bookmarkEnd w:id="161"/>
      <w:bookmarkStart w:id="162" w:name="_Toc184314416"/>
      <w:bookmarkEnd w:id="162"/>
      <w:bookmarkStart w:id="163" w:name="_Toc184313298"/>
      <w:bookmarkEnd w:id="163"/>
      <w:bookmarkStart w:id="164" w:name="_Toc184308107"/>
      <w:bookmarkEnd w:id="164"/>
      <w:bookmarkStart w:id="165" w:name="_Toc184313242"/>
      <w:bookmarkEnd w:id="165"/>
      <w:bookmarkStart w:id="166" w:name="_Toc184314423"/>
      <w:bookmarkEnd w:id="166"/>
      <w:bookmarkStart w:id="167" w:name="_Toc184312139"/>
      <w:bookmarkEnd w:id="167"/>
      <w:bookmarkStart w:id="168" w:name="_Toc184308050"/>
      <w:bookmarkEnd w:id="168"/>
      <w:bookmarkStart w:id="169" w:name="_Toc184314478"/>
      <w:bookmarkEnd w:id="169"/>
      <w:bookmarkStart w:id="170" w:name="_Toc184313256"/>
      <w:bookmarkEnd w:id="170"/>
      <w:bookmarkStart w:id="171" w:name="_Toc184308058"/>
      <w:bookmarkEnd w:id="171"/>
      <w:bookmarkStart w:id="172" w:name="_Toc184308056"/>
      <w:bookmarkEnd w:id="172"/>
      <w:bookmarkStart w:id="173" w:name="_Toc184308096"/>
      <w:bookmarkEnd w:id="173"/>
      <w:bookmarkStart w:id="174" w:name="_Toc184310283"/>
      <w:bookmarkEnd w:id="174"/>
      <w:bookmarkStart w:id="175" w:name="_Toc184313293"/>
      <w:bookmarkEnd w:id="175"/>
      <w:bookmarkStart w:id="176" w:name="_Toc184312126"/>
      <w:bookmarkEnd w:id="176"/>
      <w:bookmarkStart w:id="177" w:name="_Toc184308105"/>
      <w:bookmarkEnd w:id="177"/>
      <w:bookmarkStart w:id="178" w:name="_Toc184314445"/>
      <w:bookmarkEnd w:id="178"/>
      <w:bookmarkStart w:id="179" w:name="_Toc184313307"/>
      <w:bookmarkEnd w:id="179"/>
      <w:bookmarkStart w:id="180" w:name="_Toc184308042"/>
      <w:bookmarkEnd w:id="180"/>
      <w:bookmarkStart w:id="181" w:name="_Toc184308043"/>
      <w:bookmarkEnd w:id="181"/>
      <w:bookmarkStart w:id="182" w:name="_Toc184308079"/>
      <w:bookmarkEnd w:id="182"/>
      <w:bookmarkStart w:id="183" w:name="_Toc184312085"/>
      <w:bookmarkEnd w:id="183"/>
      <w:bookmarkStart w:id="184" w:name="_Toc184310339"/>
      <w:bookmarkEnd w:id="184"/>
      <w:bookmarkStart w:id="185" w:name="_Toc184312129"/>
      <w:bookmarkEnd w:id="185"/>
      <w:bookmarkStart w:id="186" w:name="_Toc184310294"/>
      <w:bookmarkEnd w:id="186"/>
      <w:bookmarkStart w:id="187" w:name="_Toc184310344"/>
      <w:bookmarkEnd w:id="187"/>
      <w:bookmarkStart w:id="188" w:name="_Toc184308051"/>
      <w:bookmarkEnd w:id="188"/>
      <w:bookmarkStart w:id="189" w:name="_Toc184308089"/>
      <w:bookmarkEnd w:id="189"/>
      <w:bookmarkStart w:id="190" w:name="_Toc184310340"/>
      <w:bookmarkEnd w:id="190"/>
      <w:bookmarkStart w:id="191" w:name="_Toc184312106"/>
      <w:bookmarkEnd w:id="191"/>
      <w:bookmarkStart w:id="192" w:name="_Toc184314477"/>
      <w:bookmarkEnd w:id="192"/>
      <w:bookmarkStart w:id="193" w:name="_Toc184314465"/>
      <w:bookmarkEnd w:id="193"/>
      <w:bookmarkStart w:id="194" w:name="_Toc184308074"/>
      <w:bookmarkEnd w:id="194"/>
      <w:bookmarkStart w:id="195" w:name="_Toc184310323"/>
      <w:bookmarkEnd w:id="195"/>
      <w:bookmarkStart w:id="196" w:name="_Toc184314446"/>
      <w:bookmarkEnd w:id="196"/>
      <w:bookmarkStart w:id="197" w:name="_Toc184312075"/>
      <w:bookmarkEnd w:id="197"/>
      <w:bookmarkStart w:id="198" w:name="_Toc184314412"/>
      <w:bookmarkEnd w:id="198"/>
      <w:bookmarkStart w:id="199" w:name="_Toc184310319"/>
      <w:bookmarkEnd w:id="199"/>
      <w:bookmarkStart w:id="200" w:name="_Toc184310333"/>
      <w:bookmarkEnd w:id="200"/>
      <w:bookmarkStart w:id="201" w:name="_Toc184308062"/>
      <w:bookmarkEnd w:id="201"/>
      <w:bookmarkStart w:id="202" w:name="_Toc184308061"/>
      <w:bookmarkEnd w:id="202"/>
      <w:bookmarkStart w:id="203" w:name="_Toc184313245"/>
      <w:bookmarkEnd w:id="203"/>
      <w:bookmarkStart w:id="204" w:name="_Toc184313253"/>
      <w:bookmarkEnd w:id="204"/>
      <w:bookmarkStart w:id="205" w:name="_Toc184312124"/>
      <w:bookmarkEnd w:id="205"/>
      <w:bookmarkStart w:id="206" w:name="_Toc184314430"/>
      <w:bookmarkEnd w:id="206"/>
      <w:bookmarkStart w:id="207" w:name="_Toc184310290"/>
      <w:bookmarkEnd w:id="207"/>
      <w:bookmarkStart w:id="208" w:name="_Toc184312091"/>
      <w:bookmarkEnd w:id="208"/>
      <w:bookmarkStart w:id="209" w:name="_Toc184314410"/>
      <w:bookmarkEnd w:id="209"/>
      <w:bookmarkStart w:id="210" w:name="_Toc184310296"/>
      <w:bookmarkEnd w:id="210"/>
      <w:bookmarkStart w:id="211" w:name="_Toc184314444"/>
      <w:bookmarkEnd w:id="211"/>
      <w:bookmarkStart w:id="212" w:name="_Toc184314466"/>
      <w:bookmarkEnd w:id="212"/>
      <w:bookmarkStart w:id="213" w:name="_Toc184308073"/>
      <w:bookmarkEnd w:id="213"/>
      <w:bookmarkStart w:id="214" w:name="_Toc184314441"/>
      <w:bookmarkEnd w:id="214"/>
      <w:bookmarkStart w:id="215" w:name="_Toc184308039"/>
      <w:bookmarkEnd w:id="215"/>
      <w:bookmarkStart w:id="216" w:name="_Toc184313281"/>
      <w:bookmarkEnd w:id="216"/>
      <w:bookmarkStart w:id="217" w:name="_Toc184308055"/>
      <w:bookmarkEnd w:id="217"/>
      <w:bookmarkStart w:id="218" w:name="_Toc184314449"/>
      <w:bookmarkEnd w:id="218"/>
      <w:bookmarkStart w:id="219" w:name="_Toc184312090"/>
      <w:bookmarkEnd w:id="219"/>
      <w:bookmarkStart w:id="220" w:name="_Toc184312118"/>
      <w:bookmarkEnd w:id="220"/>
      <w:bookmarkStart w:id="221" w:name="_Toc184312133"/>
      <w:bookmarkEnd w:id="221"/>
      <w:bookmarkStart w:id="222" w:name="_Toc184314459"/>
      <w:bookmarkEnd w:id="222"/>
      <w:bookmarkStart w:id="223" w:name="_Toc184314454"/>
      <w:bookmarkEnd w:id="223"/>
      <w:bookmarkStart w:id="224" w:name="_Toc184310328"/>
      <w:bookmarkEnd w:id="224"/>
      <w:bookmarkStart w:id="225" w:name="_Toc184314411"/>
      <w:bookmarkEnd w:id="225"/>
      <w:bookmarkStart w:id="226" w:name="_Toc184312084"/>
      <w:bookmarkEnd w:id="226"/>
      <w:bookmarkStart w:id="227" w:name="_Toc184310272"/>
      <w:bookmarkEnd w:id="227"/>
      <w:bookmarkStart w:id="228" w:name="_Toc184312120"/>
      <w:bookmarkEnd w:id="228"/>
      <w:bookmarkStart w:id="229" w:name="_Toc184308040"/>
      <w:bookmarkEnd w:id="229"/>
      <w:bookmarkStart w:id="230" w:name="_Toc184314461"/>
      <w:bookmarkEnd w:id="230"/>
      <w:bookmarkStart w:id="231" w:name="_Toc184314482"/>
      <w:bookmarkEnd w:id="231"/>
      <w:bookmarkStart w:id="232" w:name="_Toc184312097"/>
      <w:bookmarkEnd w:id="232"/>
      <w:bookmarkStart w:id="233" w:name="_Toc184308082"/>
      <w:bookmarkEnd w:id="233"/>
      <w:bookmarkStart w:id="234" w:name="_Toc184310302"/>
      <w:bookmarkEnd w:id="234"/>
      <w:bookmarkStart w:id="235" w:name="_Toc184310282"/>
      <w:bookmarkEnd w:id="235"/>
      <w:bookmarkStart w:id="236" w:name="_Toc184314434"/>
      <w:bookmarkEnd w:id="236"/>
      <w:bookmarkStart w:id="237" w:name="_Toc184313287"/>
      <w:bookmarkEnd w:id="237"/>
      <w:bookmarkStart w:id="238" w:name="_Toc184308093"/>
      <w:bookmarkEnd w:id="238"/>
      <w:bookmarkStart w:id="239" w:name="_Toc184313296"/>
      <w:bookmarkEnd w:id="239"/>
      <w:bookmarkStart w:id="240" w:name="_Toc184310297"/>
      <w:bookmarkEnd w:id="240"/>
      <w:bookmarkStart w:id="241" w:name="_Toc184313290"/>
      <w:bookmarkEnd w:id="241"/>
      <w:bookmarkStart w:id="242" w:name="_Toc184313269"/>
      <w:bookmarkEnd w:id="242"/>
      <w:bookmarkStart w:id="243" w:name="_Toc184314419"/>
      <w:bookmarkEnd w:id="243"/>
      <w:bookmarkStart w:id="244" w:name="_Toc184312115"/>
      <w:bookmarkEnd w:id="244"/>
      <w:bookmarkStart w:id="245" w:name="_Toc184313244"/>
      <w:bookmarkEnd w:id="245"/>
      <w:bookmarkStart w:id="246" w:name="_Toc184313240"/>
      <w:bookmarkEnd w:id="246"/>
      <w:bookmarkStart w:id="247" w:name="_Toc184313286"/>
      <w:bookmarkEnd w:id="247"/>
      <w:bookmarkStart w:id="248" w:name="_Toc184310335"/>
      <w:bookmarkEnd w:id="248"/>
      <w:bookmarkStart w:id="249" w:name="_Toc184312125"/>
      <w:bookmarkEnd w:id="249"/>
      <w:bookmarkStart w:id="250" w:name="_Toc184310337"/>
      <w:bookmarkEnd w:id="250"/>
      <w:bookmarkStart w:id="251" w:name="_Toc184314447"/>
      <w:bookmarkEnd w:id="251"/>
      <w:bookmarkStart w:id="252" w:name="_Toc184314473"/>
      <w:bookmarkEnd w:id="252"/>
      <w:bookmarkStart w:id="253" w:name="_Toc184314472"/>
      <w:bookmarkEnd w:id="253"/>
      <w:bookmarkStart w:id="254" w:name="_Toc184308046"/>
      <w:bookmarkEnd w:id="254"/>
      <w:bookmarkStart w:id="255" w:name="_Toc184308065"/>
      <w:bookmarkEnd w:id="255"/>
      <w:bookmarkStart w:id="256" w:name="_Toc184310286"/>
      <w:bookmarkEnd w:id="256"/>
      <w:bookmarkStart w:id="257" w:name="_Toc184310310"/>
      <w:bookmarkEnd w:id="257"/>
      <w:bookmarkStart w:id="258" w:name="_Toc184312083"/>
      <w:bookmarkEnd w:id="258"/>
      <w:bookmarkStart w:id="259" w:name="_Toc184314417"/>
      <w:bookmarkEnd w:id="259"/>
      <w:bookmarkStart w:id="260" w:name="_Toc184308099"/>
      <w:bookmarkEnd w:id="260"/>
      <w:bookmarkStart w:id="261" w:name="_Toc184313292"/>
      <w:bookmarkEnd w:id="261"/>
      <w:bookmarkStart w:id="262" w:name="_Toc184312113"/>
      <w:bookmarkEnd w:id="262"/>
      <w:bookmarkStart w:id="263" w:name="_Toc184310342"/>
      <w:bookmarkEnd w:id="263"/>
      <w:bookmarkStart w:id="264" w:name="_Toc184308097"/>
      <w:bookmarkEnd w:id="264"/>
      <w:bookmarkStart w:id="265" w:name="_Toc184310299"/>
      <w:bookmarkEnd w:id="265"/>
      <w:bookmarkStart w:id="266" w:name="_Toc184310322"/>
      <w:bookmarkEnd w:id="266"/>
      <w:bookmarkStart w:id="267" w:name="_Toc184312134"/>
      <w:bookmarkEnd w:id="267"/>
      <w:bookmarkStart w:id="268" w:name="_Toc184308047"/>
      <w:bookmarkEnd w:id="268"/>
      <w:bookmarkStart w:id="269" w:name="_Toc184312112"/>
      <w:bookmarkEnd w:id="269"/>
      <w:bookmarkStart w:id="270" w:name="_Toc184312088"/>
      <w:bookmarkEnd w:id="270"/>
      <w:bookmarkStart w:id="271" w:name="_Toc184313295"/>
      <w:bookmarkEnd w:id="271"/>
      <w:bookmarkStart w:id="272" w:name="_Toc184313275"/>
      <w:bookmarkEnd w:id="272"/>
      <w:bookmarkStart w:id="273" w:name="_Toc184313239"/>
      <w:bookmarkEnd w:id="273"/>
      <w:bookmarkStart w:id="274" w:name="_Toc184314462"/>
      <w:bookmarkEnd w:id="274"/>
      <w:bookmarkStart w:id="275" w:name="_Toc184313255"/>
      <w:bookmarkEnd w:id="275"/>
      <w:bookmarkStart w:id="276" w:name="_Toc184308072"/>
      <w:bookmarkEnd w:id="276"/>
      <w:bookmarkStart w:id="277" w:name="_Toc184314414"/>
      <w:bookmarkEnd w:id="277"/>
      <w:bookmarkStart w:id="278" w:name="_Toc184310324"/>
      <w:bookmarkEnd w:id="278"/>
      <w:bookmarkStart w:id="279" w:name="_Toc184314463"/>
      <w:bookmarkEnd w:id="279"/>
      <w:bookmarkStart w:id="280" w:name="_Toc184312121"/>
      <w:bookmarkEnd w:id="280"/>
      <w:bookmarkStart w:id="281" w:name="_Toc184310312"/>
      <w:bookmarkEnd w:id="281"/>
      <w:bookmarkStart w:id="282" w:name="_Toc184313241"/>
      <w:bookmarkEnd w:id="282"/>
      <w:bookmarkStart w:id="283" w:name="_Toc184310277"/>
      <w:bookmarkEnd w:id="283"/>
      <w:bookmarkStart w:id="284" w:name="_Toc184314413"/>
      <w:bookmarkEnd w:id="284"/>
      <w:bookmarkStart w:id="285" w:name="_Toc184314420"/>
      <w:bookmarkEnd w:id="285"/>
      <w:bookmarkStart w:id="286" w:name="_Toc184312128"/>
      <w:bookmarkEnd w:id="286"/>
      <w:bookmarkStart w:id="287" w:name="_Toc184310274"/>
      <w:bookmarkEnd w:id="287"/>
      <w:bookmarkStart w:id="288" w:name="_Toc184313303"/>
      <w:bookmarkEnd w:id="288"/>
      <w:bookmarkStart w:id="289" w:name="_Toc184314438"/>
      <w:bookmarkEnd w:id="289"/>
      <w:bookmarkStart w:id="290" w:name="_Toc184313308"/>
      <w:bookmarkEnd w:id="290"/>
      <w:bookmarkStart w:id="291" w:name="_Toc184313251"/>
      <w:bookmarkEnd w:id="291"/>
      <w:bookmarkStart w:id="292" w:name="_Toc184313283"/>
      <w:bookmarkEnd w:id="292"/>
      <w:bookmarkStart w:id="293" w:name="_Toc184313289"/>
      <w:bookmarkEnd w:id="293"/>
      <w:bookmarkStart w:id="294" w:name="_Toc184312082"/>
      <w:bookmarkEnd w:id="294"/>
      <w:bookmarkStart w:id="295" w:name="_Toc184310338"/>
      <w:bookmarkEnd w:id="295"/>
      <w:bookmarkStart w:id="296" w:name="_Toc184308060"/>
      <w:bookmarkEnd w:id="296"/>
      <w:bookmarkStart w:id="297" w:name="_Toc184312081"/>
      <w:bookmarkEnd w:id="297"/>
      <w:bookmarkStart w:id="298" w:name="_Toc184312136"/>
      <w:bookmarkEnd w:id="298"/>
      <w:bookmarkStart w:id="299" w:name="_Toc184310334"/>
      <w:bookmarkEnd w:id="299"/>
      <w:bookmarkStart w:id="300" w:name="_Toc184313267"/>
      <w:bookmarkEnd w:id="300"/>
      <w:bookmarkStart w:id="301" w:name="_Toc184313266"/>
      <w:bookmarkEnd w:id="301"/>
      <w:bookmarkStart w:id="302" w:name="_Toc184313264"/>
      <w:bookmarkEnd w:id="302"/>
      <w:bookmarkStart w:id="303" w:name="_Toc184308045"/>
      <w:bookmarkEnd w:id="303"/>
      <w:bookmarkStart w:id="304" w:name="_Toc184313259"/>
      <w:bookmarkEnd w:id="304"/>
      <w:bookmarkStart w:id="305" w:name="_Toc184308080"/>
      <w:bookmarkEnd w:id="305"/>
      <w:bookmarkStart w:id="306" w:name="_Toc184312135"/>
      <w:bookmarkEnd w:id="306"/>
      <w:bookmarkStart w:id="307" w:name="_Toc184308078"/>
      <w:bookmarkEnd w:id="307"/>
      <w:bookmarkStart w:id="308" w:name="_Toc184312119"/>
      <w:bookmarkEnd w:id="308"/>
      <w:bookmarkStart w:id="309" w:name="_Toc184310285"/>
      <w:bookmarkEnd w:id="309"/>
      <w:bookmarkStart w:id="310" w:name="_Toc184308071"/>
      <w:bookmarkEnd w:id="310"/>
      <w:bookmarkStart w:id="311" w:name="_Toc184310318"/>
      <w:bookmarkEnd w:id="311"/>
      <w:bookmarkStart w:id="312" w:name="_Toc184313248"/>
      <w:bookmarkEnd w:id="312"/>
      <w:bookmarkStart w:id="313" w:name="_Toc184308091"/>
      <w:bookmarkEnd w:id="313"/>
      <w:bookmarkStart w:id="314" w:name="_Toc184308102"/>
      <w:bookmarkEnd w:id="314"/>
      <w:bookmarkStart w:id="315" w:name="_Toc184314481"/>
      <w:bookmarkEnd w:id="315"/>
      <w:bookmarkStart w:id="316" w:name="_Toc184314431"/>
      <w:bookmarkEnd w:id="316"/>
      <w:bookmarkStart w:id="317" w:name="_Toc184313260"/>
      <w:bookmarkEnd w:id="317"/>
      <w:bookmarkStart w:id="318" w:name="_Toc184314450"/>
      <w:bookmarkEnd w:id="318"/>
      <w:bookmarkStart w:id="319" w:name="_Toc184310292"/>
      <w:bookmarkEnd w:id="319"/>
      <w:bookmarkStart w:id="320" w:name="_Toc184312067"/>
      <w:bookmarkEnd w:id="320"/>
      <w:bookmarkStart w:id="321" w:name="_Toc184314442"/>
      <w:bookmarkEnd w:id="321"/>
      <w:bookmarkStart w:id="322" w:name="_Toc184314480"/>
      <w:bookmarkEnd w:id="322"/>
      <w:bookmarkStart w:id="323" w:name="_Toc184313276"/>
      <w:bookmarkEnd w:id="323"/>
      <w:bookmarkStart w:id="324" w:name="_Toc184312094"/>
      <w:bookmarkEnd w:id="324"/>
      <w:bookmarkStart w:id="325" w:name="_Toc184312137"/>
      <w:bookmarkEnd w:id="325"/>
      <w:bookmarkStart w:id="326" w:name="_Toc184313265"/>
      <w:bookmarkEnd w:id="326"/>
      <w:bookmarkStart w:id="327" w:name="_Toc184313246"/>
      <w:bookmarkEnd w:id="327"/>
      <w:bookmarkStart w:id="328" w:name="_Toc184312114"/>
      <w:bookmarkEnd w:id="328"/>
      <w:bookmarkStart w:id="329" w:name="_Toc184308063"/>
      <w:bookmarkEnd w:id="329"/>
      <w:bookmarkStart w:id="330" w:name="_Toc184312095"/>
      <w:bookmarkEnd w:id="330"/>
      <w:bookmarkStart w:id="331" w:name="_Toc184313254"/>
      <w:bookmarkEnd w:id="331"/>
      <w:bookmarkStart w:id="332" w:name="_Toc184308101"/>
      <w:bookmarkEnd w:id="332"/>
      <w:bookmarkStart w:id="333" w:name="_Toc184310320"/>
      <w:bookmarkEnd w:id="333"/>
      <w:bookmarkStart w:id="334" w:name="_Toc184312132"/>
      <w:bookmarkEnd w:id="334"/>
      <w:bookmarkStart w:id="335" w:name="_Toc184308057"/>
      <w:bookmarkEnd w:id="335"/>
      <w:bookmarkStart w:id="336" w:name="_Toc184314435"/>
      <w:bookmarkEnd w:id="336"/>
      <w:bookmarkStart w:id="337" w:name="_Toc184313302"/>
      <w:bookmarkEnd w:id="337"/>
      <w:bookmarkStart w:id="338" w:name="_Toc184312107"/>
      <w:bookmarkEnd w:id="338"/>
      <w:bookmarkStart w:id="339" w:name="_Toc184312089"/>
      <w:bookmarkEnd w:id="339"/>
      <w:bookmarkStart w:id="340" w:name="_Toc184313280"/>
      <w:bookmarkEnd w:id="340"/>
      <w:bookmarkStart w:id="341" w:name="_Toc184313309"/>
      <w:bookmarkEnd w:id="341"/>
      <w:bookmarkStart w:id="342" w:name="_Toc184310306"/>
      <w:bookmarkEnd w:id="342"/>
      <w:bookmarkStart w:id="343" w:name="_Toc184308094"/>
      <w:bookmarkEnd w:id="343"/>
      <w:bookmarkStart w:id="344" w:name="_Toc184313300"/>
      <w:bookmarkEnd w:id="344"/>
      <w:bookmarkStart w:id="345" w:name="_Toc184308037"/>
      <w:bookmarkEnd w:id="345"/>
      <w:bookmarkStart w:id="346" w:name="_Toc184310341"/>
      <w:bookmarkEnd w:id="346"/>
      <w:bookmarkStart w:id="347" w:name="_Toc184314425"/>
      <w:bookmarkEnd w:id="347"/>
      <w:bookmarkStart w:id="348" w:name="_Toc184314468"/>
      <w:bookmarkEnd w:id="348"/>
      <w:bookmarkStart w:id="349" w:name="_Toc184310315"/>
      <w:bookmarkEnd w:id="349"/>
      <w:bookmarkStart w:id="350" w:name="_Toc184310281"/>
      <w:bookmarkEnd w:id="350"/>
      <w:bookmarkStart w:id="351" w:name="_Toc184313247"/>
      <w:bookmarkEnd w:id="351"/>
      <w:bookmarkStart w:id="352" w:name="_Toc184314460"/>
      <w:bookmarkEnd w:id="352"/>
      <w:bookmarkStart w:id="353" w:name="_Toc184314439"/>
      <w:bookmarkEnd w:id="353"/>
      <w:bookmarkStart w:id="354" w:name="_Toc184314437"/>
      <w:bookmarkEnd w:id="354"/>
      <w:bookmarkStart w:id="355" w:name="_Toc184312080"/>
      <w:bookmarkEnd w:id="355"/>
      <w:bookmarkStart w:id="356" w:name="_Toc184310293"/>
      <w:bookmarkEnd w:id="356"/>
      <w:bookmarkStart w:id="357" w:name="_Toc184308088"/>
      <w:bookmarkEnd w:id="357"/>
      <w:bookmarkStart w:id="358" w:name="_Toc184310273"/>
      <w:bookmarkEnd w:id="358"/>
      <w:bookmarkStart w:id="359" w:name="_Toc184308087"/>
      <w:bookmarkEnd w:id="359"/>
      <w:bookmarkStart w:id="360" w:name="_Toc184310316"/>
      <w:bookmarkEnd w:id="360"/>
      <w:bookmarkStart w:id="361" w:name="_Toc184310326"/>
      <w:bookmarkEnd w:id="361"/>
      <w:bookmarkStart w:id="362" w:name="_Toc184310343"/>
      <w:bookmarkEnd w:id="362"/>
      <w:bookmarkStart w:id="363" w:name="_Toc184312070"/>
      <w:bookmarkEnd w:id="363"/>
      <w:bookmarkStart w:id="364" w:name="_Toc184312104"/>
      <w:bookmarkEnd w:id="364"/>
      <w:bookmarkStart w:id="365" w:name="_Toc184313274"/>
      <w:bookmarkEnd w:id="365"/>
      <w:bookmarkStart w:id="366" w:name="_Toc184308054"/>
      <w:bookmarkEnd w:id="366"/>
      <w:bookmarkStart w:id="367" w:name="_Toc184312122"/>
      <w:bookmarkEnd w:id="367"/>
      <w:bookmarkStart w:id="368" w:name="_Toc184313277"/>
      <w:bookmarkEnd w:id="368"/>
      <w:bookmarkStart w:id="369" w:name="_Toc184312093"/>
      <w:bookmarkEnd w:id="369"/>
      <w:bookmarkStart w:id="370" w:name="_Toc184312138"/>
      <w:bookmarkEnd w:id="370"/>
      <w:bookmarkStart w:id="371" w:name="_Toc184314428"/>
      <w:bookmarkEnd w:id="371"/>
      <w:bookmarkStart w:id="372" w:name="_Toc184308052"/>
      <w:bookmarkEnd w:id="372"/>
      <w:bookmarkStart w:id="373" w:name="_Toc184312087"/>
      <w:bookmarkEnd w:id="373"/>
      <w:bookmarkStart w:id="374" w:name="_Toc184310305"/>
      <w:bookmarkEnd w:id="374"/>
      <w:bookmarkStart w:id="375" w:name="_Toc184308053"/>
      <w:bookmarkEnd w:id="375"/>
      <w:bookmarkStart w:id="376" w:name="_Toc184308108"/>
      <w:bookmarkEnd w:id="376"/>
      <w:bookmarkStart w:id="377" w:name="_Toc184312098"/>
      <w:bookmarkEnd w:id="377"/>
      <w:bookmarkStart w:id="378" w:name="_Toc184308098"/>
      <w:bookmarkEnd w:id="378"/>
      <w:bookmarkStart w:id="379" w:name="_Toc184308069"/>
      <w:bookmarkEnd w:id="379"/>
      <w:bookmarkStart w:id="380" w:name="_Toc184314424"/>
      <w:bookmarkEnd w:id="380"/>
      <w:bookmarkStart w:id="381" w:name="_Toc184308064"/>
      <w:bookmarkEnd w:id="381"/>
      <w:bookmarkStart w:id="382" w:name="_Toc184312111"/>
      <w:bookmarkEnd w:id="382"/>
      <w:bookmarkStart w:id="383" w:name="_Toc184310329"/>
      <w:bookmarkEnd w:id="383"/>
      <w:bookmarkStart w:id="384" w:name="_Toc184313249"/>
      <w:bookmarkEnd w:id="384"/>
      <w:bookmarkStart w:id="385" w:name="_Toc184308085"/>
      <w:bookmarkEnd w:id="385"/>
      <w:bookmarkStart w:id="386" w:name="_Toc184312130"/>
      <w:bookmarkEnd w:id="386"/>
      <w:bookmarkStart w:id="387" w:name="_Toc184312071"/>
      <w:bookmarkEnd w:id="387"/>
      <w:bookmarkStart w:id="388" w:name="_Toc184314440"/>
      <w:bookmarkEnd w:id="388"/>
      <w:bookmarkStart w:id="389" w:name="_Toc184310304"/>
      <w:bookmarkEnd w:id="389"/>
      <w:bookmarkStart w:id="390" w:name="_Toc184314421"/>
      <w:bookmarkEnd w:id="390"/>
      <w:bookmarkStart w:id="391" w:name="_Toc184308076"/>
      <w:bookmarkEnd w:id="391"/>
      <w:bookmarkStart w:id="392" w:name="_Toc184308070"/>
      <w:bookmarkEnd w:id="392"/>
      <w:bookmarkStart w:id="393" w:name="_Toc184313282"/>
      <w:bookmarkEnd w:id="393"/>
      <w:bookmarkStart w:id="394" w:name="_Toc184314451"/>
      <w:bookmarkEnd w:id="394"/>
      <w:bookmarkStart w:id="395" w:name="_Toc184314456"/>
      <w:bookmarkEnd w:id="395"/>
      <w:r>
        <w:rPr>
          <w:rFonts w:hint="eastAsia" w:ascii="宋体" w:hAnsi="宋体" w:cs="宋体"/>
          <w:b/>
          <w:color w:val="000000" w:themeColor="text1"/>
          <w:sz w:val="36"/>
          <w:szCs w:val="20"/>
          <w:highlight w:val="none"/>
          <w14:textFill>
            <w14:solidFill>
              <w14:schemeClr w14:val="tx1"/>
            </w14:solidFill>
          </w14:textFill>
        </w:rPr>
        <w:t xml:space="preserve"> 评审办法</w:t>
      </w:r>
    </w:p>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评审办法前附表</w:t>
      </w:r>
    </w:p>
    <w:tbl>
      <w:tblPr>
        <w:tblStyle w:val="63"/>
        <w:tblW w:w="10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897"/>
        <w:gridCol w:w="793"/>
        <w:gridCol w:w="112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5897"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评审标准</w:t>
            </w:r>
          </w:p>
        </w:tc>
        <w:tc>
          <w:tcPr>
            <w:tcW w:w="793"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权重</w:t>
            </w:r>
          </w:p>
        </w:tc>
        <w:tc>
          <w:tcPr>
            <w:tcW w:w="1124" w:type="dxa"/>
          </w:tcPr>
          <w:p>
            <w:pPr>
              <w:snapToGrid w:val="0"/>
              <w:spacing w:line="360" w:lineRule="auto"/>
              <w:jc w:val="center"/>
              <w:outlineLvl w:val="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客观分/主观分</w:t>
            </w:r>
          </w:p>
        </w:tc>
        <w:tc>
          <w:tcPr>
            <w:tcW w:w="1795" w:type="dxa"/>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响应文件中评审标准相应的商务技术资料目录</w:t>
            </w:r>
            <w:r>
              <w:rPr>
                <w:rFonts w:hint="eastAsia" w:ascii="宋体" w:hAnsi="宋体" w:eastAsia="宋体" w:cs="宋体"/>
                <w:color w:val="000000" w:themeColor="text1"/>
                <w:sz w:val="18"/>
                <w:szCs w:val="18"/>
                <w:highlight w:val="none"/>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5897" w:type="dxa"/>
            <w:vAlign w:val="center"/>
          </w:tcPr>
          <w:p>
            <w:pPr>
              <w:snapToGri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napToGrid w:val="0"/>
              <w:spacing w:line="360" w:lineRule="auto"/>
              <w:jc w:val="left"/>
              <w:outlineLvl w:val="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供应商自20</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月1日以后承担过类似文保单位</w:t>
            </w:r>
            <w:r>
              <w:rPr>
                <w:rFonts w:hint="eastAsia" w:ascii="宋体" w:hAnsi="宋体" w:cs="宋体"/>
                <w:color w:val="000000" w:themeColor="text1"/>
                <w:sz w:val="24"/>
                <w:szCs w:val="24"/>
                <w:highlight w:val="none"/>
                <w:lang w:val="en-US" w:eastAsia="zh-CN"/>
                <w14:textFill>
                  <w14:solidFill>
                    <w14:schemeClr w14:val="tx1"/>
                  </w14:solidFill>
                </w14:textFill>
              </w:rPr>
              <w:t>修缮业</w:t>
            </w:r>
            <w:r>
              <w:rPr>
                <w:rFonts w:hint="eastAsia" w:ascii="宋体" w:hAnsi="宋体" w:cs="宋体"/>
                <w:color w:val="000000" w:themeColor="text1"/>
                <w:sz w:val="24"/>
                <w:szCs w:val="24"/>
                <w:highlight w:val="none"/>
                <w:lang w:eastAsia="zh-CN"/>
                <w14:textFill>
                  <w14:solidFill>
                    <w14:schemeClr w14:val="tx1"/>
                  </w14:solidFill>
                </w14:textFill>
              </w:rPr>
              <w:t>绩的，其中全国重点文物保护单位，每个得1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分；省级文保单位，每个得1分；市级文保单位，每个得0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分；其余不得分。最高</w:t>
            </w:r>
            <w:r>
              <w:rPr>
                <w:rFonts w:hint="eastAsia" w:ascii="宋体" w:hAnsi="宋体" w:cs="宋体"/>
                <w:color w:val="000000" w:themeColor="text1"/>
                <w:sz w:val="24"/>
                <w:szCs w:val="24"/>
                <w:highlight w:val="none"/>
                <w:lang w:val="en-US" w:eastAsia="zh-CN"/>
                <w14:textFill>
                  <w14:solidFill>
                    <w14:schemeClr w14:val="tx1"/>
                  </w14:solidFill>
                </w14:textFill>
              </w:rPr>
              <w:t>累计</w:t>
            </w:r>
            <w:r>
              <w:rPr>
                <w:rFonts w:hint="eastAsia" w:ascii="宋体" w:hAnsi="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,未提供的不得分</w:t>
            </w:r>
            <w:r>
              <w:rPr>
                <w:rFonts w:hint="eastAsia" w:ascii="宋体" w:hAnsi="宋体" w:cs="宋体"/>
                <w:color w:val="000000" w:themeColor="text1"/>
                <w:sz w:val="24"/>
                <w:szCs w:val="24"/>
                <w:highlight w:val="none"/>
                <w:lang w:eastAsia="zh-CN"/>
                <w14:textFill>
                  <w14:solidFill>
                    <w14:schemeClr w14:val="tx1"/>
                  </w14:solidFill>
                </w14:textFill>
              </w:rPr>
              <w:t>。</w:t>
            </w:r>
          </w:p>
          <w:p>
            <w:pPr>
              <w:snapToGrid w:val="0"/>
              <w:spacing w:line="360" w:lineRule="auto"/>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业绩证明材料：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须同时</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中标通知书</w:t>
            </w:r>
            <w:r>
              <w:rPr>
                <w:rFonts w:hint="eastAsia" w:ascii="宋体" w:hAnsi="宋体" w:eastAsia="宋体" w:cs="宋体"/>
                <w:color w:val="000000" w:themeColor="text1"/>
                <w:sz w:val="24"/>
                <w:szCs w:val="24"/>
                <w:highlight w:val="none"/>
                <w:lang w:eastAsia="zh-CN"/>
                <w14:textFill>
                  <w14:solidFill>
                    <w14:schemeClr w14:val="tx1"/>
                  </w14:solidFill>
                </w14:textFill>
              </w:rPr>
              <w:t>或中标资料、②</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竣工验收证明（竣工验收报告或竣工验收记录或竣工验收备案表）复印件并加盖公章。</w:t>
            </w:r>
          </w:p>
          <w:p>
            <w:pPr>
              <w:snapToGrid w:val="0"/>
              <w:spacing w:line="360" w:lineRule="auto"/>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所提供的业绩证明材料任意一项需反应上述业绩指标内容，证明材料信息不一致的，认定顺序为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①；未按要求提供证明材料的，则视为该业绩无效。）</w:t>
            </w:r>
          </w:p>
        </w:tc>
        <w:tc>
          <w:tcPr>
            <w:tcW w:w="793"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1124"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客观分</w:t>
            </w:r>
          </w:p>
        </w:tc>
        <w:tc>
          <w:tcPr>
            <w:tcW w:w="1795"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供应商具有质量管理体系认证证书、环境认证体系认证证书和职业健康管理体系认证证书且在有效期内的，每提供一个证书得1分，最高得3分。</w:t>
            </w:r>
          </w:p>
          <w:p>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证明材料：提供有效的认证证书复印件或扫描件、全国认证认可信息公共服务平台（http://cx.cnca.cn/CertECloud/index/index/page）查询截图加盖公章。</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5897" w:type="dxa"/>
            <w:vAlign w:val="center"/>
          </w:tcPr>
          <w:p>
            <w:pPr>
              <w:snapToGrid w:val="0"/>
              <w:spacing w:line="360" w:lineRule="auto"/>
              <w:jc w:val="left"/>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【团队配置】</w:t>
            </w:r>
          </w:p>
        </w:tc>
        <w:tc>
          <w:tcPr>
            <w:tcW w:w="793" w:type="dxa"/>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p>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p>
        </w:tc>
        <w:tc>
          <w:tcPr>
            <w:tcW w:w="1124"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p>
        </w:tc>
        <w:tc>
          <w:tcPr>
            <w:tcW w:w="5897" w:type="dxa"/>
            <w:vAlign w:val="center"/>
          </w:tcPr>
          <w:p>
            <w:pPr>
              <w:pStyle w:val="82"/>
              <w:spacing w:line="360" w:lineRule="auto"/>
              <w:ind w:left="0" w:leftChars="0" w:firstLine="0" w:firstLineChars="0"/>
              <w:jc w:val="left"/>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拟派项目负责人具有工程类专业高级及以上职称的，得3分；具有工程类中级职称的得1.5分，其余不得分。一人多证不累计得分，按最高得分计。</w:t>
            </w:r>
          </w:p>
          <w:p>
            <w:pPr>
              <w:pStyle w:val="82"/>
              <w:spacing w:line="36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证明材料：提供职称证书扫描件及投标截止月上溯2个月（含投标截止日当月，共3个月）中任意1个月的社保缴纳证明扫描件（加盖投标人所属社保机构印章）。</w:t>
            </w:r>
          </w:p>
        </w:tc>
        <w:tc>
          <w:tcPr>
            <w:tcW w:w="793"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p>
        </w:tc>
        <w:tc>
          <w:tcPr>
            <w:tcW w:w="1124"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p>
        </w:tc>
        <w:tc>
          <w:tcPr>
            <w:tcW w:w="5897" w:type="dxa"/>
            <w:vAlign w:val="center"/>
          </w:tcPr>
          <w:p>
            <w:pPr>
              <w:pStyle w:val="82"/>
              <w:spacing w:line="36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拟派团队人员中（除项目负责人外）具有工程类专业高级及以上职称的每个得3分，最多得6分；中级职称的每个得1.5分；最多得3分；两项累计最高得6分（1人多证不累计得分，按最高得分计）。</w:t>
            </w:r>
          </w:p>
          <w:p>
            <w:pPr>
              <w:pStyle w:val="82"/>
              <w:spacing w:line="36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证明材料：提供职称证书扫描件及投标截止月上溯2个月（含投标截止日当月，共3个月）中任意1个月的社保缴纳证明扫描件（加盖投标人所属社保机构印章）。</w:t>
            </w:r>
          </w:p>
        </w:tc>
        <w:tc>
          <w:tcPr>
            <w:tcW w:w="793"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5897" w:type="dxa"/>
            <w:shd w:val="clear" w:color="auto" w:fill="auto"/>
            <w:vAlign w:val="center"/>
          </w:tcPr>
          <w:p>
            <w:pPr>
              <w:pStyle w:val="2"/>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【工程施工技术方案和措施方案】</w:t>
            </w:r>
          </w:p>
          <w:p>
            <w:pPr>
              <w:pStyle w:val="2"/>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施工技术措施内容全面、合理，具有明确的针对性及可操作性的评审。（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【施工组织设计方案】</w:t>
            </w:r>
          </w:p>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施工组织设计内容全面、合理，具有明确的针对性及可操作性的评审。（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主要施工方法</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针对本项目的主要施工方法合理，具有明确的针对性及可操作性的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top"/>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p>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特殊施工环境的具体措施、预防自然灾害</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台风及防汛等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的组织和技术措施的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施工降噪措施的内容完整性及可行性的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人员、车辆、</w:t>
            </w:r>
            <w:r>
              <w:rPr>
                <w:rFonts w:hint="eastAsia" w:ascii="宋体" w:hAnsi="宋体" w:eastAsia="宋体" w:cs="宋体"/>
                <w:color w:val="000000" w:themeColor="text1"/>
                <w:sz w:val="24"/>
                <w:szCs w:val="24"/>
                <w:highlight w:val="none"/>
                <w14:textFill>
                  <w14:solidFill>
                    <w14:schemeClr w14:val="tx1"/>
                  </w14:solidFill>
                </w14:textFill>
              </w:rPr>
              <w:t>材料设备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施工机具和检验仪器</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进场计划及施工计划情况：具有详细的材料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设备的投入完善并到位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进场计划，计划周密</w:t>
            </w:r>
            <w:r>
              <w:rPr>
                <w:rFonts w:hint="eastAsia" w:ascii="宋体" w:hAnsi="宋体" w:eastAsia="宋体" w:cs="宋体"/>
                <w:color w:val="000000" w:themeColor="text1"/>
                <w:sz w:val="24"/>
                <w:szCs w:val="24"/>
                <w:highlight w:val="none"/>
                <w:lang w:val="en-US" w:eastAsia="zh-CN"/>
                <w14:textFill>
                  <w14:solidFill>
                    <w14:schemeClr w14:val="tx1"/>
                  </w14:solidFill>
                </w14:textFill>
              </w:rPr>
              <w:t>性</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对本工程特点、难点的分析及针对性的施工方案与措施的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安全、文明施工（包括不影响现有环境）及环保、消防等的保证措施：根据方案的科学性、合理性以及措施的可行性进行评审。（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项目实施过程中针对成品保护的各项措施</w:t>
            </w:r>
            <w:r>
              <w:rPr>
                <w:rFonts w:hint="eastAsia" w:ascii="宋体" w:hAnsi="宋体" w:eastAsia="宋体" w:cs="宋体"/>
                <w:color w:val="000000" w:themeColor="text1"/>
                <w:sz w:val="24"/>
                <w:szCs w:val="24"/>
                <w:highlight w:val="none"/>
                <w:lang w:val="en-US" w:eastAsia="zh-CN"/>
                <w14:textFill>
                  <w14:solidFill>
                    <w14:schemeClr w14:val="tx1"/>
                  </w14:solidFill>
                </w14:textFill>
              </w:rPr>
              <w:t>以及施工质量控制措施，施工质量控制措施内容完善并到位的评审。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针对满足工期要求的进度计划及控制措施的评审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评分范围：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0,1,2,3,4,5）</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缺陷责任期内具备完善的售后技术支持和服务体系，服务时限、服务内容满足采购需求的，得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分；服务体系及内容基本满足采购需求的，得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分；服务体系及内容仅不满足或未体现相关内容的，不得分。</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5897" w:type="dxa"/>
            <w:shd w:val="clear" w:color="auto" w:fill="auto"/>
            <w:vAlign w:val="center"/>
          </w:tcPr>
          <w:p>
            <w:pPr>
              <w:snapToGri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供应商针对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提出的合理化建议情况：供应商提出的合理化建议可操作性及针对性均较强的得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分，不具备操作性或针对性的得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分，未体现相关内容的不得分。</w:t>
            </w:r>
          </w:p>
        </w:tc>
        <w:tc>
          <w:tcPr>
            <w:tcW w:w="793" w:type="dxa"/>
            <w:shd w:val="clear" w:color="auto" w:fill="auto"/>
            <w:vAlign w:val="center"/>
          </w:tcPr>
          <w:p>
            <w:pPr>
              <w:snapToGrid w:val="0"/>
              <w:spacing w:line="360" w:lineRule="auto"/>
              <w:jc w:val="center"/>
              <w:outlineLvl w:val="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1124" w:type="dxa"/>
            <w:shd w:val="clear" w:color="auto" w:fill="auto"/>
            <w:vAlign w:val="center"/>
          </w:tcPr>
          <w:p>
            <w:pPr>
              <w:snapToGrid w:val="0"/>
              <w:spacing w:line="360" w:lineRule="auto"/>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主观分</w:t>
            </w:r>
          </w:p>
        </w:tc>
        <w:tc>
          <w:tcPr>
            <w:tcW w:w="1795" w:type="dxa"/>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5897" w:type="dxa"/>
          </w:tcPr>
          <w:p>
            <w:pPr>
              <w:shd w:val="clear"/>
              <w:adjustRightInd/>
              <w:spacing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1.</w:t>
            </w:r>
            <w:r>
              <w:rPr>
                <w:rFonts w:hint="eastAsia" w:ascii="宋体" w:hAnsi="宋体" w:eastAsia="宋体" w:cs="宋体"/>
                <w:b/>
                <w:bCs/>
                <w:color w:val="000000" w:themeColor="text1"/>
                <w:sz w:val="24"/>
                <w:szCs w:val="24"/>
                <w:highlight w:val="none"/>
                <w:lang w:val="zh-CN"/>
                <w14:textFill>
                  <w14:solidFill>
                    <w14:schemeClr w14:val="tx1"/>
                  </w14:solidFill>
                </w14:textFill>
              </w:rPr>
              <w:t>投标价格的合理性</w:t>
            </w:r>
            <w:r>
              <w:rPr>
                <w:rFonts w:hint="eastAsia" w:ascii="宋体" w:hAnsi="宋体" w:eastAsia="宋体" w:cs="宋体"/>
                <w:b/>
                <w:bCs/>
                <w:color w:val="000000" w:themeColor="text1"/>
                <w:sz w:val="24"/>
                <w:szCs w:val="24"/>
                <w:highlight w:val="none"/>
                <w14:textFill>
                  <w14:solidFill>
                    <w14:schemeClr w14:val="tx1"/>
                  </w14:solidFill>
                </w14:textFill>
              </w:rPr>
              <w:t>和有效性评价</w:t>
            </w:r>
          </w:p>
          <w:p>
            <w:pPr>
              <w:pStyle w:val="968"/>
              <w:shd w:val="clear"/>
              <w:adjustRightInd/>
              <w:spacing w:line="360" w:lineRule="auto"/>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分析总报价及各个分项报价是否合理，报价范围是否完整，有否重大错漏项，</w:t>
            </w:r>
            <w:r>
              <w:rPr>
                <w:rFonts w:hint="eastAsia" w:ascii="宋体" w:hAnsi="宋体" w:eastAsia="宋体" w:cs="宋体"/>
                <w:color w:val="000000" w:themeColor="text1"/>
                <w:sz w:val="24"/>
                <w:szCs w:val="24"/>
                <w:highlight w:val="none"/>
                <w14:textFill>
                  <w14:solidFill>
                    <w14:schemeClr w14:val="tx1"/>
                  </w14:solidFill>
                </w14:textFill>
              </w:rPr>
              <w:t>评审小组</w:t>
            </w:r>
            <w:r>
              <w:rPr>
                <w:rFonts w:hint="eastAsia" w:ascii="宋体" w:hAnsi="宋体" w:eastAsia="宋体" w:cs="宋体"/>
                <w:color w:val="000000" w:themeColor="text1"/>
                <w:sz w:val="24"/>
                <w:szCs w:val="24"/>
                <w:highlight w:val="none"/>
                <w:lang w:val="zh-CN"/>
                <w14:textFill>
                  <w14:solidFill>
                    <w14:schemeClr w14:val="tx1"/>
                  </w14:solidFill>
                </w14:textFill>
              </w:rPr>
              <w:t>认为投标报价出现异常时，有权要求</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评审</w:t>
            </w:r>
            <w:r>
              <w:rPr>
                <w:rFonts w:hint="eastAsia" w:ascii="宋体" w:hAnsi="宋体" w:eastAsia="宋体" w:cs="宋体"/>
                <w:color w:val="000000" w:themeColor="text1"/>
                <w:sz w:val="24"/>
                <w:szCs w:val="24"/>
                <w:highlight w:val="none"/>
                <w:lang w:val="zh-CN"/>
                <w14:textFill>
                  <w14:solidFill>
                    <w14:schemeClr w14:val="tx1"/>
                  </w14:solidFill>
                </w14:textFill>
              </w:rPr>
              <w:t>期间对投标报价的详细组成作出解释和澄清，并确认其投标报价是否有效。</w:t>
            </w:r>
          </w:p>
          <w:p>
            <w:pPr>
              <w:pStyle w:val="968"/>
              <w:shd w:val="clear"/>
              <w:adjustRightInd/>
              <w:spacing w:line="360" w:lineRule="auto"/>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2.报价评审</w:t>
            </w:r>
          </w:p>
          <w:p>
            <w:pPr>
              <w:snapToGrid w:val="0"/>
              <w:spacing w:line="360" w:lineRule="auto"/>
              <w:jc w:val="both"/>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有效最后报价的最低价作为评审基准价，其最低报价为满分；按［最后报价得分=（评审基准价/最后报价）*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0］的计算公式计算。</w:t>
            </w:r>
          </w:p>
          <w:p>
            <w:pPr>
              <w:widowControl/>
              <w:shd w:val="clear" w:color="auto" w:fill="FFFFFF"/>
              <w:adjustRightInd/>
              <w:snapToGrid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评审过程中，不得去掉报价中的最高报价和最低报价。</w:t>
            </w:r>
          </w:p>
          <w:p>
            <w:pPr>
              <w:widowControl/>
              <w:shd w:val="clear" w:color="auto" w:fill="FFFFFF"/>
              <w:adjustRightInd/>
              <w:snapToGrid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3.针对本项目的价格政策规定：</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执行价格评审优惠的扶持政策。</w:t>
            </w:r>
          </w:p>
        </w:tc>
        <w:tc>
          <w:tcPr>
            <w:tcW w:w="793" w:type="dxa"/>
            <w:vAlign w:val="center"/>
          </w:tcPr>
          <w:p>
            <w:pPr>
              <w:snapToGrid w:val="0"/>
              <w:spacing w:line="360" w:lineRule="auto"/>
              <w:jc w:val="center"/>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0</w:t>
            </w:r>
          </w:p>
        </w:tc>
        <w:tc>
          <w:tcPr>
            <w:tcW w:w="1124"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95" w:type="dxa"/>
            <w:vAlign w:val="center"/>
          </w:tcPr>
          <w:p>
            <w:pPr>
              <w:snapToGrid w:val="0"/>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bl>
    <w:p>
      <w:pPr>
        <w:snapToGrid w:val="0"/>
        <w:spacing w:line="360" w:lineRule="auto"/>
        <w:jc w:val="left"/>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供应商编制响应文件（商务技术文件部分）时，建议按此目录（序号和内容）提供评审标准相应的商务技术资料。 </w:t>
      </w:r>
      <w:r>
        <w:rPr>
          <w:rFonts w:hint="eastAsia" w:ascii="宋体" w:hAnsi="宋体" w:cs="宋体"/>
          <w:b/>
          <w:color w:val="000000" w:themeColor="text1"/>
          <w:sz w:val="32"/>
          <w:highlight w:val="none"/>
          <w14:textFill>
            <w14:solidFill>
              <w14:schemeClr w14:val="tx1"/>
            </w14:solidFill>
          </w14:textFill>
        </w:rPr>
        <w:br w:type="page"/>
      </w:r>
      <w:r>
        <w:rPr>
          <w:rFonts w:hint="eastAsia" w:ascii="宋体" w:hAnsi="宋体" w:cs="宋体"/>
          <w:b/>
          <w:color w:val="000000" w:themeColor="text1"/>
          <w:sz w:val="32"/>
          <w:highlight w:val="none"/>
          <w14:textFill>
            <w14:solidFill>
              <w14:schemeClr w14:val="tx1"/>
            </w14:solidFill>
          </w14:textFill>
        </w:rPr>
        <w:t>一、评审方法</w:t>
      </w:r>
    </w:p>
    <w:p>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pPr>
        <w:snapToGrid w:val="0"/>
        <w:spacing w:line="360" w:lineRule="auto"/>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二、评审标准</w:t>
      </w:r>
    </w:p>
    <w:p>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评审标准：</w:t>
      </w:r>
      <w:r>
        <w:rPr>
          <w:rFonts w:hint="eastAsia" w:ascii="宋体" w:hAnsi="宋体" w:cs="宋体"/>
          <w:color w:val="000000" w:themeColor="text1"/>
          <w:kern w:val="0"/>
          <w:sz w:val="24"/>
          <w:highlight w:val="none"/>
          <w14:textFill>
            <w14:solidFill>
              <w14:schemeClr w14:val="tx1"/>
            </w14:solidFill>
          </w14:textFill>
        </w:rPr>
        <w:t>见评审办法前附表。</w:t>
      </w:r>
    </w:p>
    <w:p>
      <w:pPr>
        <w:snapToGrid w:val="0"/>
        <w:spacing w:line="360" w:lineRule="auto"/>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三、评审程序</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磋商小组应当对符合资格的供应商的响应文件进行符合性审查，以确定其是否满足采购文件的实质性要求。不满足采购文件的实质性要求的，响应文件无效。</w:t>
      </w:r>
    </w:p>
    <w:p>
      <w:pPr>
        <w:spacing w:line="360" w:lineRule="auto"/>
        <w:ind w:firstLine="472"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磋商。</w:t>
      </w:r>
      <w:r>
        <w:rPr>
          <w:rFonts w:hint="eastAsia" w:ascii="宋体" w:hAnsi="宋体" w:cs="宋体"/>
          <w:color w:val="000000" w:themeColor="text1"/>
          <w:sz w:val="24"/>
          <w:highlight w:val="none"/>
          <w14:textFill>
            <w14:solidFill>
              <w14:schemeClr w14:val="tx1"/>
            </w14:solidFill>
          </w14:textFill>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000000" w:themeColor="text1"/>
          <w:kern w:val="0"/>
          <w:sz w:val="24"/>
          <w:highlight w:val="none"/>
          <w14:textFill>
            <w14:solidFill>
              <w14:schemeClr w14:val="tx1"/>
            </w14:solidFill>
          </w14:textFill>
        </w:rPr>
        <w:t>符合性审查合格的</w:t>
      </w:r>
      <w:r>
        <w:rPr>
          <w:rFonts w:hint="eastAsia" w:ascii="宋体" w:hAnsi="宋体" w:cs="宋体"/>
          <w:color w:val="000000" w:themeColor="text1"/>
          <w:sz w:val="24"/>
          <w:highlight w:val="none"/>
          <w14:textFill>
            <w14:solidFill>
              <w14:schemeClr w14:val="tx1"/>
            </w14:solidFill>
          </w14:textFill>
        </w:rPr>
        <w:t>供应商逐一进行磋商。</w:t>
      </w:r>
    </w:p>
    <w:p>
      <w:pPr>
        <w:spacing w:line="360" w:lineRule="auto"/>
        <w:ind w:firstLine="470"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3.2.1 </w:t>
      </w:r>
      <w:r>
        <w:rPr>
          <w:rFonts w:hint="eastAsia" w:ascii="宋体" w:hAnsi="宋体" w:cs="宋体"/>
          <w:color w:val="000000" w:themeColor="text1"/>
          <w:sz w:val="24"/>
          <w:highlight w:val="none"/>
          <w14:textFill>
            <w14:solidFill>
              <w14:schemeClr w14:val="tx1"/>
            </w14:solidFill>
          </w14:textFill>
        </w:rPr>
        <w:t>供应商逐家回答磋商小组的提问；</w:t>
      </w:r>
      <w:r>
        <w:rPr>
          <w:rFonts w:hint="eastAsia" w:ascii="宋体" w:hAnsi="宋体" w:cs="宋体"/>
          <w:b/>
          <w:color w:val="000000" w:themeColor="text1"/>
          <w:sz w:val="24"/>
          <w:highlight w:val="none"/>
          <w14:textFill>
            <w14:solidFill>
              <w14:schemeClr w14:val="tx1"/>
            </w14:solidFill>
          </w14:textFill>
        </w:rPr>
        <w:t>逐家磋商一次为一个轮次，磋商轮次根据实际情况进行。</w:t>
      </w:r>
    </w:p>
    <w:p>
      <w:pPr>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3.2.2 </w:t>
      </w:r>
      <w:r>
        <w:rPr>
          <w:rFonts w:hint="eastAsia" w:ascii="宋体" w:hAnsi="宋体" w:cs="宋体"/>
          <w:color w:val="000000" w:themeColor="text1"/>
          <w:sz w:val="24"/>
          <w:highlight w:val="none"/>
          <w14:textFill>
            <w14:solidFill>
              <w14:schemeClr w14:val="tx1"/>
            </w14:solidFill>
          </w14:textFill>
        </w:rPr>
        <w:t>供应商应按磋商小组通知的时间在线或以邮件回复做出承诺或回复，承诺或回复的内容须由供应商法定代表人或授权代表签署，并作为响应文件的补充部分。</w:t>
      </w:r>
    </w:p>
    <w:p>
      <w:pPr>
        <w:spacing w:line="360" w:lineRule="auto"/>
        <w:ind w:firstLine="470" w:firstLineChars="196"/>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3.2.3 </w:t>
      </w:r>
      <w:r>
        <w:rPr>
          <w:rFonts w:hint="eastAsia" w:ascii="宋体" w:hAnsi="宋体" w:cs="宋体"/>
          <w:b/>
          <w:bCs/>
          <w:color w:val="000000" w:themeColor="text1"/>
          <w:sz w:val="24"/>
          <w:highlight w:val="none"/>
          <w14:textFill>
            <w14:solidFill>
              <w14:schemeClr w14:val="tx1"/>
            </w14:solidFill>
          </w14:textFill>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000000" w:themeColor="text1"/>
          <w:sz w:val="24"/>
          <w:highlight w:val="none"/>
          <w14:textFill>
            <w14:solidFill>
              <w14:schemeClr w14:val="tx1"/>
            </w14:solidFill>
          </w14:textFill>
        </w:rPr>
        <w:t>实质性变动的内容，须经采购人代表确认。磋商文件有实质性变动的，磋商小组将以书面形式通知所有</w:t>
      </w:r>
      <w:r>
        <w:rPr>
          <w:rFonts w:hint="eastAsia" w:ascii="宋体" w:hAnsi="宋体" w:cs="宋体"/>
          <w:color w:val="000000" w:themeColor="text1"/>
          <w:kern w:val="0"/>
          <w:sz w:val="24"/>
          <w:highlight w:val="none"/>
          <w14:textFill>
            <w14:solidFill>
              <w14:schemeClr w14:val="tx1"/>
            </w14:solidFill>
          </w14:textFill>
        </w:rPr>
        <w:t>符合性审查合格的</w:t>
      </w:r>
      <w:r>
        <w:rPr>
          <w:rFonts w:hint="eastAsia" w:ascii="宋体" w:hAnsi="宋体" w:cs="宋体"/>
          <w:color w:val="000000" w:themeColor="text1"/>
          <w:sz w:val="24"/>
          <w:highlight w:val="none"/>
          <w14:textFill>
            <w14:solidFill>
              <w14:schemeClr w14:val="tx1"/>
            </w14:solidFill>
          </w14:textFill>
        </w:rPr>
        <w:t xml:space="preserve">供应商。 </w:t>
      </w:r>
    </w:p>
    <w:p>
      <w:pPr>
        <w:spacing w:line="360" w:lineRule="auto"/>
        <w:ind w:firstLine="472" w:firstLineChars="196"/>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3.3最后报价</w:t>
      </w:r>
    </w:p>
    <w:p>
      <w:pPr>
        <w:spacing w:line="360" w:lineRule="auto"/>
        <w:ind w:firstLine="470"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3.3.1 磋商文件能够详细列明采购标的的技术、服务要求的，磋商结束后，磋商小组应当要求所有符合性审查合格的供应商在规定时间内提交最后报价，提交最后报价的供应商不得少于3家。</w:t>
      </w:r>
    </w:p>
    <w:p>
      <w:pPr>
        <w:spacing w:line="360" w:lineRule="auto"/>
        <w:ind w:firstLine="470"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70"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3.3.3 已提交响应文件的供应商，在提交最后报价之前，可以根据磋商情况退出磋商</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 综合评分。</w:t>
      </w:r>
      <w:r>
        <w:rPr>
          <w:rFonts w:hint="eastAsia" w:ascii="宋体" w:hAnsi="宋体" w:cs="宋体"/>
          <w:bCs/>
          <w:color w:val="000000" w:themeColor="text1"/>
          <w:kern w:val="0"/>
          <w:sz w:val="24"/>
          <w:highlight w:val="none"/>
          <w14:textFill>
            <w14:solidFill>
              <w14:schemeClr w14:val="tx1"/>
            </w14:solidFill>
          </w14:textFill>
        </w:rPr>
        <w:t>经磋商确定最终采购需求和提交最后报价的供应商后，</w:t>
      </w:r>
      <w:r>
        <w:rPr>
          <w:rFonts w:hint="eastAsia" w:ascii="宋体" w:hAnsi="宋体" w:cs="宋体"/>
          <w:color w:val="000000" w:themeColor="text1"/>
          <w:kern w:val="0"/>
          <w:sz w:val="24"/>
          <w:highlight w:val="none"/>
          <w14:textFill>
            <w14:solidFill>
              <w14:schemeClr w14:val="tx1"/>
            </w14:solidFill>
          </w14:textFill>
        </w:rPr>
        <w:t>磋商小组应当按照采购文件中规定的评审标准，对符合性审查合格的响应文件进行综合评分。磋商文件中没有规定的评审标准不得作为评审依据。</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3.5汇总商务技术得分。</w:t>
      </w:r>
      <w:r>
        <w:rPr>
          <w:rFonts w:hint="eastAsia" w:ascii="宋体" w:hAnsi="宋体" w:cs="宋体"/>
          <w:color w:val="000000" w:themeColor="text1"/>
          <w:kern w:val="0"/>
          <w:sz w:val="24"/>
          <w:highlight w:val="none"/>
          <w14:textFill>
            <w14:solidFill>
              <w14:schemeClr w14:val="tx1"/>
            </w14:solidFill>
          </w14:textFill>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000000" w:themeColor="text1"/>
          <w:kern w:val="0"/>
          <w:sz w:val="24"/>
          <w:highlight w:val="none"/>
          <w14:textFill>
            <w14:solidFill>
              <w14:schemeClr w14:val="tx1"/>
            </w14:solidFill>
          </w14:textFill>
        </w:rPr>
        <w:t>30%以上的，由</w:t>
      </w:r>
      <w:r>
        <w:rPr>
          <w:rFonts w:hint="eastAsia" w:ascii="宋体" w:hAnsi="宋体" w:cs="宋体"/>
          <w:color w:val="000000" w:themeColor="text1"/>
          <w:kern w:val="0"/>
          <w:sz w:val="24"/>
          <w:highlight w:val="none"/>
          <w14:textFill>
            <w14:solidFill>
              <w14:schemeClr w14:val="tx1"/>
            </w14:solidFill>
          </w14:textFill>
        </w:rPr>
        <w:t>磋商小组</w:t>
      </w:r>
      <w:r>
        <w:rPr>
          <w:rFonts w:ascii="宋体" w:hAnsi="宋体" w:cs="宋体"/>
          <w:color w:val="000000" w:themeColor="text1"/>
          <w:kern w:val="0"/>
          <w:sz w:val="24"/>
          <w:highlight w:val="none"/>
          <w14:textFill>
            <w14:solidFill>
              <w14:schemeClr w14:val="tx1"/>
            </w14:solidFill>
          </w14:textFill>
        </w:rPr>
        <w:t>启动评分畸高、畸低行为认定程序</w:t>
      </w:r>
      <w:r>
        <w:rPr>
          <w:rFonts w:hint="eastAsia" w:ascii="宋体" w:hAnsi="宋体" w:cs="宋体"/>
          <w:color w:val="000000" w:themeColor="text1"/>
          <w:kern w:val="0"/>
          <w:sz w:val="24"/>
          <w:highlight w:val="none"/>
          <w14:textFill>
            <w14:solidFill>
              <w14:schemeClr w14:val="tx1"/>
            </w14:solidFill>
          </w14:textFill>
        </w:rPr>
        <w:t>，磋商小组组长应提醒相关评审人员进行复核或书面说明理由，评审人员拒绝说明的，由现场监督员据实记录；评审人员的评审、修改记录应保留原件，随项目其他资料一并存档。</w:t>
      </w:r>
    </w:p>
    <w:p>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3.6报价评审。</w:t>
      </w:r>
    </w:p>
    <w:p>
      <w:pPr>
        <w:pStyle w:val="133"/>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3.6.1响应文件报价出现前后不一致的，按照下列规定修正：</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3.6.1.1响应文件中已标价工程量清单内容与响应文件中相应内容不一致的，以已标价工程量清单为准;</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3.6.1.2大写金额和小写金额不一致的，以大写金额为准;</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3.6.1.3单价金额小数点或者百分比有明显错位的，以已标价工程量清单的总价为准，并修改单价;</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3.6.1.4总价金额与按单价汇总金额不一致的，以单价金额计算结果为准。</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3.6.1.5同时出现两种以上不一致的，按照3.6.1规定的顺序修正。修正后的报价经供应商确认后产生约束力。</w:t>
      </w:r>
    </w:p>
    <w:p>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3.6.2响应文件出现不是唯一的、有选择性最后报价的，响应文件无效。</w:t>
      </w:r>
    </w:p>
    <w:p>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3.6.3最后报价超过采购文件中规定的预算金额或者最高限价的，响应文件无效。</w:t>
      </w:r>
    </w:p>
    <w:p>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3.7排序与推荐。</w:t>
      </w:r>
      <w:r>
        <w:rPr>
          <w:rFonts w:hint="eastAsia" w:ascii="宋体" w:hAnsi="宋体" w:cs="宋体"/>
          <w:color w:val="000000" w:themeColor="text1"/>
          <w:kern w:val="0"/>
          <w:sz w:val="24"/>
          <w:highlight w:val="none"/>
          <w14:textFill>
            <w14:solidFill>
              <w14:schemeClr w14:val="tx1"/>
            </w14:solidFill>
          </w14:textFill>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 w:eastAsia="zh-CN"/>
          <w14:textFill>
            <w14:solidFill>
              <w14:schemeClr w14:val="tx1"/>
            </w14:solidFill>
          </w14:textFill>
        </w:rPr>
        <w:t>本项目推荐的中标候选人数量：</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3家 </w:t>
      </w:r>
      <w:r>
        <w:rPr>
          <w:rFonts w:hint="eastAsia" w:ascii="宋体" w:hAnsi="宋体" w:cs="宋体"/>
          <w:color w:val="000000" w:themeColor="text1"/>
          <w:kern w:val="0"/>
          <w:sz w:val="24"/>
          <w:highlight w:val="none"/>
          <w:lang w:val="en" w:eastAsia="zh-CN"/>
          <w14:textFill>
            <w14:solidFill>
              <w14:schemeClr w14:val="tx1"/>
            </w14:solidFill>
          </w14:textFill>
        </w:rPr>
        <w:t>。</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3.8编写评审报告。</w:t>
      </w:r>
      <w:r>
        <w:rPr>
          <w:rFonts w:hint="eastAsia" w:ascii="宋体" w:hAnsi="宋体" w:cs="宋体"/>
          <w:color w:val="000000" w:themeColor="text1"/>
          <w:kern w:val="0"/>
          <w:sz w:val="24"/>
          <w:highlight w:val="none"/>
          <w14:textFill>
            <w14:solidFill>
              <w14:schemeClr w14:val="tx1"/>
            </w14:solidFill>
          </w14:textFill>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pPr>
        <w:snapToGrid w:val="0"/>
        <w:spacing w:line="360" w:lineRule="auto"/>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四、评审中的其他事项</w:t>
      </w:r>
    </w:p>
    <w:p>
      <w:pPr>
        <w:pStyle w:val="133"/>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4.1供应商澄清、说明或者补正。</w:t>
      </w:r>
      <w:r>
        <w:rPr>
          <w:rFonts w:hint="eastAsia" w:ascii="宋体" w:hAnsi="宋体" w:cs="宋体"/>
          <w:color w:val="000000" w:themeColor="text1"/>
          <w:kern w:val="0"/>
          <w:szCs w:val="24"/>
          <w:highlight w:val="none"/>
          <w14:textFill>
            <w14:solidFill>
              <w14:schemeClr w14:val="tx1"/>
            </w14:solidFill>
          </w14:textFill>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27"/>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4.2响应文件无效。</w:t>
      </w:r>
      <w:r>
        <w:rPr>
          <w:rFonts w:hint="eastAsia" w:cs="宋体"/>
          <w:color w:val="000000" w:themeColor="text1"/>
          <w:szCs w:val="21"/>
          <w:highlight w:val="none"/>
          <w14:textFill>
            <w14:solidFill>
              <w14:schemeClr w14:val="tx1"/>
            </w14:solidFill>
          </w14:textFill>
        </w:rPr>
        <w:t>有下列情形之一的，响应文件无效：</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4.2.1供应商不具备采购文件中规定的资格要求的（供应商未提供有效的资格文件的，视为供应商不具备采购文件中规定的资格要求）；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4.2.2响应文件未按照采购文件要求签署、盖章的；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4.2.3采购人拟采购的产品属于政府强制采购的节能产品品目清单范围的，供应商未按采购文件要求提供国家确定的认证机构出具的、处于有效期之内的节能产品认证证书的；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4.2.4响应文件含有采购人不能接受的附加条件的；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4.2.5响应文件中承诺的响应文件有效期少于采购文件中载明的响应文件有效期的；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4.2.6响应文件出现不是唯一的、有选择性最后报价的;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4.2.7最后报价超过采购文件中规定的预算金额或者最高限价的;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供应商对根据修正原则修正后的报价不确认的；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供应商提供虚假材料响应的；</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0</w:t>
      </w:r>
      <w:r>
        <w:rPr>
          <w:rFonts w:hint="eastAsia" w:ascii="宋体" w:hAnsi="宋体" w:cs="宋体"/>
          <w:color w:val="000000" w:themeColor="text1"/>
          <w:kern w:val="0"/>
          <w:sz w:val="24"/>
          <w:highlight w:val="none"/>
          <w14:textFill>
            <w14:solidFill>
              <w14:schemeClr w14:val="tx1"/>
            </w14:solidFill>
          </w14:textFill>
        </w:rPr>
        <w:t>供应商有恶意串通、妨碍其他供应商的竞争行为、损害采购人或者其他供应商的合法权益情形的；</w:t>
      </w:r>
    </w:p>
    <w:p>
      <w:pPr>
        <w:pStyle w:val="81"/>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4.2.11</w:t>
      </w:r>
      <w:r>
        <w:rPr>
          <w:rFonts w:hint="eastAsia" w:ascii="宋体" w:hAnsi="宋体" w:eastAsia="宋体" w:cs="宋体"/>
          <w:color w:val="000000" w:themeColor="text1"/>
          <w:kern w:val="0"/>
          <w:sz w:val="24"/>
          <w:szCs w:val="24"/>
          <w:highlight w:val="none"/>
          <w:lang w:val="en" w:eastAsia="zh-CN" w:bidi="ar-SA"/>
          <w14:textFill>
            <w14:solidFill>
              <w14:schemeClr w14:val="tx1"/>
            </w14:solidFill>
          </w14:textFill>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供应商仅提交备份响应文件，未在电子交易平台传输递交响应文件的，响应文件无效；</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 xml:space="preserve"> 响应文件不满足采购文件的其它实质性要求的；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pPr>
        <w:pStyle w:val="27"/>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5.终止竞争性磋商采购活动。</w:t>
      </w:r>
      <w:r>
        <w:rPr>
          <w:rFonts w:hint="eastAsia" w:cs="宋体"/>
          <w:color w:val="000000" w:themeColor="text1"/>
          <w:highlight w:val="none"/>
          <w14:textFill>
            <w14:solidFill>
              <w14:schemeClr w14:val="tx1"/>
            </w14:solidFill>
          </w14:textFill>
        </w:rPr>
        <w:t>出现下列情形之一的，采购人或者采购代理机构应当终止竞争性磋商采购活动，发布项目终止公告并说明原因，重新开展采购活动：</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5.1因情况变化，不再符合规定的竞争性磋商采购方式适用情形的；</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5.3除本办法第二十一条第三款规定的情形外，在采购过程中符合要求的供应商或者报价未超过采购预算的供应商不足3家的。</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5.4在采购活动中因重大变故，采购任务取消的，采购人或者采购代理机构应当终止采购活动，通知所有参加采购活动的供应商，并将项目实施情况和采购任务取消原因报送本级财政部门。</w:t>
      </w:r>
    </w:p>
    <w:p>
      <w:pPr>
        <w:pStyle w:val="27"/>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6.重新开展采购。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有政府采购法第七十一条、第七十二条规定的违法行为之一，影响或者可能影响成交结果的，依照下列规定处理：</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6.1未确定</w:t>
      </w:r>
      <w:r>
        <w:rPr>
          <w:rFonts w:hint="eastAsia" w:cs="宋体"/>
          <w:color w:val="000000" w:themeColor="text1"/>
          <w:highlight w:val="none"/>
          <w:lang w:eastAsia="zh-CN"/>
          <w14:textFill>
            <w14:solidFill>
              <w14:schemeClr w14:val="tx1"/>
            </w14:solidFill>
          </w14:textFill>
        </w:rPr>
        <w:t>成交人</w:t>
      </w:r>
      <w:r>
        <w:rPr>
          <w:rFonts w:hint="eastAsia" w:cs="宋体"/>
          <w:color w:val="000000" w:themeColor="text1"/>
          <w:highlight w:val="none"/>
          <w14:textFill>
            <w14:solidFill>
              <w14:schemeClr w14:val="tx1"/>
            </w14:solidFill>
          </w14:textFill>
        </w:rPr>
        <w:t>的，终止本次政府采购活动，重新开展政府采购活动。</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6.2已确定</w:t>
      </w:r>
      <w:r>
        <w:rPr>
          <w:rFonts w:hint="eastAsia" w:cs="宋体"/>
          <w:color w:val="000000" w:themeColor="text1"/>
          <w:highlight w:val="none"/>
          <w:lang w:eastAsia="zh-CN"/>
          <w14:textFill>
            <w14:solidFill>
              <w14:schemeClr w14:val="tx1"/>
            </w14:solidFill>
          </w14:textFill>
        </w:rPr>
        <w:t>成交人</w:t>
      </w:r>
      <w:r>
        <w:rPr>
          <w:rFonts w:hint="eastAsia" w:cs="宋体"/>
          <w:color w:val="000000" w:themeColor="text1"/>
          <w:highlight w:val="none"/>
          <w14:textFill>
            <w14:solidFill>
              <w14:schemeClr w14:val="tx1"/>
            </w14:solidFill>
          </w14:textFill>
        </w:rPr>
        <w:t>但尚未签订政府采购合同的，成交结果无效，从合格的成交候选供应商中另行确定</w:t>
      </w:r>
      <w:r>
        <w:rPr>
          <w:rFonts w:hint="eastAsia" w:cs="宋体"/>
          <w:color w:val="000000" w:themeColor="text1"/>
          <w:highlight w:val="none"/>
          <w:lang w:eastAsia="zh-CN"/>
          <w14:textFill>
            <w14:solidFill>
              <w14:schemeClr w14:val="tx1"/>
            </w14:solidFill>
          </w14:textFill>
        </w:rPr>
        <w:t>成交人</w:t>
      </w:r>
      <w:r>
        <w:rPr>
          <w:rFonts w:hint="eastAsia" w:cs="宋体"/>
          <w:color w:val="000000" w:themeColor="text1"/>
          <w:highlight w:val="none"/>
          <w14:textFill>
            <w14:solidFill>
              <w14:schemeClr w14:val="tx1"/>
            </w14:solidFill>
          </w14:textFill>
        </w:rPr>
        <w:t>；没有合格的成交候选供应商的，重新开展政府采购活动。</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6.3政府采购合同已签订但尚未履行的，撤销合同，从合格的成交候选供应商中另行确定</w:t>
      </w:r>
      <w:r>
        <w:rPr>
          <w:rFonts w:hint="eastAsia" w:cs="宋体"/>
          <w:color w:val="000000" w:themeColor="text1"/>
          <w:highlight w:val="none"/>
          <w:lang w:eastAsia="zh-CN"/>
          <w14:textFill>
            <w14:solidFill>
              <w14:schemeClr w14:val="tx1"/>
            </w14:solidFill>
          </w14:textFill>
        </w:rPr>
        <w:t>成交人</w:t>
      </w:r>
      <w:r>
        <w:rPr>
          <w:rFonts w:hint="eastAsia" w:cs="宋体"/>
          <w:color w:val="000000" w:themeColor="text1"/>
          <w:highlight w:val="none"/>
          <w14:textFill>
            <w14:solidFill>
              <w14:schemeClr w14:val="tx1"/>
            </w14:solidFill>
          </w14:textFill>
        </w:rPr>
        <w:t>；没有合格的成交候选供应商的，重新开展政府采购活动。</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6.4政府采购合同已经履行，给采购人、供应商造成损失的，由责任人承担赔偿责任。</w:t>
      </w:r>
    </w:p>
    <w:p>
      <w:pPr>
        <w:pStyle w:val="27"/>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6.5政府采购当事人有其他违反政府采购法或者政府采购法实施条例等法律法规规定的行为，经改正后仍然影响或者可能影响成交结果或者依法被认定为成交无效的，依照6.1-6.4规定处理。</w:t>
      </w:r>
    </w:p>
    <w:p>
      <w:pPr>
        <w:pStyle w:val="27"/>
        <w:snapToGrid w:val="0"/>
        <w:spacing w:line="360" w:lineRule="auto"/>
        <w:ind w:firstLine="0" w:firstLineChars="0"/>
        <w:rPr>
          <w:rFonts w:cs="宋体"/>
          <w:color w:val="000000" w:themeColor="text1"/>
          <w:highlight w:val="none"/>
          <w14:textFill>
            <w14:solidFill>
              <w14:schemeClr w14:val="tx1"/>
            </w14:solidFill>
          </w14:textFill>
        </w:rPr>
        <w:sectPr>
          <w:pgSz w:w="11907" w:h="16840"/>
          <w:pgMar w:top="1440" w:right="1080" w:bottom="1440" w:left="1080" w:header="851" w:footer="851" w:gutter="0"/>
          <w:cols w:space="720" w:num="1"/>
        </w:sectPr>
      </w:pPr>
    </w:p>
    <w:bookmarkEnd w:id="30"/>
    <w:p>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396" w:name="第五部分"/>
      <w:bookmarkStart w:id="397" w:name="_Toc86217003"/>
      <w:r>
        <w:rPr>
          <w:rFonts w:hint="eastAsia" w:ascii="宋体" w:hAnsi="宋体" w:cs="宋体"/>
          <w:b/>
          <w:color w:val="000000" w:themeColor="text1"/>
          <w:sz w:val="36"/>
          <w:szCs w:val="36"/>
          <w:highlight w:val="none"/>
          <w14:textFill>
            <w14:solidFill>
              <w14:schemeClr w14:val="tx1"/>
            </w14:solidFill>
          </w14:textFill>
        </w:rPr>
        <w:t>第五部分 拟签订的合同文本</w:t>
      </w:r>
    </w:p>
    <w:p>
      <w:pPr>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参考住房城乡建设部、原国家工商行政管理总局制定的《建设工程施工合同（示范文本）》（GF-2017-0201）。</w:t>
      </w:r>
    </w:p>
    <w:p>
      <w:pPr>
        <w:spacing w:line="560" w:lineRule="exact"/>
        <w:jc w:val="center"/>
        <w:rPr>
          <w:rFonts w:hint="eastAsia" w:ascii="宋体" w:hAnsi="宋体" w:cs="宋体"/>
          <w:bCs/>
          <w:color w:val="000000" w:themeColor="text1"/>
          <w:sz w:val="28"/>
          <w:szCs w:val="20"/>
          <w:highlight w:val="none"/>
          <w14:textFill>
            <w14:solidFill>
              <w14:schemeClr w14:val="tx1"/>
            </w14:solidFill>
          </w14:textFill>
        </w:rPr>
      </w:pPr>
      <w:r>
        <w:rPr>
          <w:rFonts w:hint="eastAsia" w:ascii="宋体" w:hAnsi="宋体" w:cs="宋体"/>
          <w:snapToGrid w:val="0"/>
          <w:color w:val="000000" w:themeColor="text1"/>
          <w:kern w:val="44"/>
          <w:sz w:val="24"/>
          <w:szCs w:val="20"/>
          <w:highlight w:val="none"/>
          <w14:textFill>
            <w14:solidFill>
              <w14:schemeClr w14:val="tx1"/>
            </w14:solidFill>
          </w14:textFill>
        </w:rPr>
        <w:br w:type="page"/>
      </w:r>
      <w:r>
        <w:rPr>
          <w:rFonts w:hint="eastAsia" w:ascii="宋体" w:hAnsi="宋体" w:cs="宋体"/>
          <w:bCs/>
          <w:color w:val="000000" w:themeColor="text1"/>
          <w:sz w:val="28"/>
          <w:szCs w:val="20"/>
          <w:highlight w:val="none"/>
          <w14:textFill>
            <w14:solidFill>
              <w14:schemeClr w14:val="tx1"/>
            </w14:solidFill>
          </w14:textFill>
        </w:rPr>
        <w:t>第一部分  合同协议书</w:t>
      </w:r>
    </w:p>
    <w:p>
      <w:pPr>
        <w:adjustRightInd w:val="0"/>
        <w:snapToGrid w:val="0"/>
        <w:spacing w:line="360" w:lineRule="auto"/>
        <w:rPr>
          <w:rFonts w:hint="eastAsia" w:ascii="宋体" w:hAnsi="宋体" w:eastAsia="宋体" w:cs="宋体"/>
          <w:bCs/>
          <w:strike/>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发包人（全称）：</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杭州市文物遗产与历史建筑保护中心</w:t>
      </w:r>
      <w:r>
        <w:rPr>
          <w:rFonts w:hint="eastAsia" w:ascii="宋体" w:hAnsi="宋体" w:eastAsia="宋体" w:cs="宋体"/>
          <w:bCs/>
          <w:color w:val="000000" w:themeColor="text1"/>
          <w:sz w:val="24"/>
          <w:szCs w:val="24"/>
          <w:highlight w:val="none"/>
          <w:u w:val="none"/>
          <w14:textFill>
            <w14:solidFill>
              <w14:schemeClr w14:val="tx1"/>
            </w14:solidFill>
          </w14:textFill>
        </w:rPr>
        <w:t></w:t>
      </w:r>
    </w:p>
    <w:p>
      <w:pPr>
        <w:adjustRightInd w:val="0"/>
        <w:snapToGrid w:val="0"/>
        <w:spacing w:line="360" w:lineRule="auto"/>
        <w:rPr>
          <w:rFonts w:hint="eastAsia" w:ascii="宋体" w:hAnsi="宋体" w:eastAsia="宋体" w:cs="宋体"/>
          <w:bCs/>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承包人（全称）：</w:t>
      </w:r>
      <w:bookmarkStart w:id="398" w:name="OLE_LINK3"/>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bookmarkEnd w:id="398"/>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 xml:space="preserve">求是书院院落环境整治项目 </w:t>
      </w:r>
      <w:r>
        <w:rPr>
          <w:rFonts w:hint="eastAsia" w:ascii="宋体" w:hAnsi="宋体" w:eastAsia="宋体" w:cs="宋体"/>
          <w:bCs/>
          <w:color w:val="000000" w:themeColor="text1"/>
          <w:sz w:val="24"/>
          <w:szCs w:val="24"/>
          <w:highlight w:val="none"/>
          <w14:textFill>
            <w14:solidFill>
              <w14:schemeClr w14:val="tx1"/>
            </w14:solidFill>
          </w14:textFill>
        </w:rPr>
        <w:t>施工及有关事项协商一致，共同达成如下协议：</w:t>
      </w:r>
      <w:bookmarkStart w:id="399" w:name="_Toc351203481"/>
      <w:bookmarkEnd w:id="399"/>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一、工程概况</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1.工程名称：</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求是书院院落环境整治项目</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2.工程地点：</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杭州市上城区小营街道老浙大社区大学路160号</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3.工程立项批准文号：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 </w:t>
      </w:r>
    </w:p>
    <w:p>
      <w:pPr>
        <w:adjustRightInd w:val="0"/>
        <w:snapToGrid w:val="0"/>
        <w:spacing w:line="360" w:lineRule="auto"/>
        <w:ind w:firstLine="470" w:firstLineChars="196"/>
        <w:rPr>
          <w:rFonts w:hint="eastAsia" w:ascii="宋体" w:hAnsi="宋体" w:eastAsia="宋体" w:cs="宋体"/>
          <w:bCs/>
          <w:strike/>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4.资金来源：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财政资金   </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5.工程内容：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 xml:space="preserve">求是书院院落环境整治项目 </w:t>
      </w:r>
    </w:p>
    <w:p>
      <w:pPr>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6.工程承包范围：</w:t>
      </w:r>
      <w:bookmarkStart w:id="400" w:name="_Toc351203482"/>
      <w:bookmarkEnd w:id="400"/>
      <w:r>
        <w:rPr>
          <w:rFonts w:hint="eastAsia" w:ascii="宋体" w:hAnsi="宋体" w:eastAsia="宋体" w:cs="宋体"/>
          <w:bCs/>
          <w:color w:val="000000" w:themeColor="text1"/>
          <w:sz w:val="24"/>
          <w:szCs w:val="24"/>
          <w:highlight w:val="none"/>
          <w:u w:val="single"/>
          <w14:textFill>
            <w14:solidFill>
              <w14:schemeClr w14:val="tx1"/>
            </w14:solidFill>
          </w14:textFill>
        </w:rPr>
        <w:t>施工图及工程量清单范围内的全部工程内容，具体以提供的施工图、工程量清单及其编制说明、联系单</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（如有）</w:t>
      </w:r>
      <w:r>
        <w:rPr>
          <w:rFonts w:hint="eastAsia" w:ascii="宋体" w:hAnsi="宋体" w:eastAsia="宋体" w:cs="宋体"/>
          <w:bCs/>
          <w:color w:val="000000" w:themeColor="text1"/>
          <w:sz w:val="24"/>
          <w:szCs w:val="24"/>
          <w:highlight w:val="none"/>
          <w:u w:val="single"/>
          <w14:textFill>
            <w14:solidFill>
              <w14:schemeClr w14:val="tx1"/>
            </w14:solidFill>
          </w14:textFill>
        </w:rPr>
        <w:t>中明确的内容为准。</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二、合同工期</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计划开工日期：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计划竣工日期：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工期总日历天数：</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120 </w:t>
      </w:r>
      <w:r>
        <w:rPr>
          <w:rFonts w:hint="eastAsia" w:ascii="宋体" w:hAnsi="宋体" w:eastAsia="宋体" w:cs="宋体"/>
          <w:bCs/>
          <w:color w:val="000000" w:themeColor="text1"/>
          <w:sz w:val="24"/>
          <w:szCs w:val="24"/>
          <w:highlight w:val="none"/>
          <w14:textFill>
            <w14:solidFill>
              <w14:schemeClr w14:val="tx1"/>
            </w14:solidFill>
          </w14:textFill>
        </w:rPr>
        <w:t>天。工期总日历天数与根据前述计划开竣工日期计算的工期天数不一致的，以工期总日历天数为准。</w:t>
      </w:r>
      <w:bookmarkStart w:id="401" w:name="_Toc351203483"/>
      <w:bookmarkEnd w:id="401"/>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三、质量标准</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工程质量符合</w:t>
      </w:r>
      <w:r>
        <w:rPr>
          <w:rFonts w:hint="eastAsia" w:ascii="宋体" w:hAnsi="宋体" w:eastAsia="宋体" w:cs="宋体"/>
          <w:bCs/>
          <w:color w:val="000000" w:themeColor="text1"/>
          <w:sz w:val="24"/>
          <w:szCs w:val="24"/>
          <w:highlight w:val="none"/>
          <w:u w:val="single"/>
          <w14:textFill>
            <w14:solidFill>
              <w14:schemeClr w14:val="tx1"/>
            </w14:solidFill>
          </w14:textFill>
        </w:rPr>
        <w:t>工程施工质量验收规范合格</w:t>
      </w:r>
      <w:r>
        <w:rPr>
          <w:rFonts w:hint="eastAsia" w:ascii="宋体" w:hAnsi="宋体" w:eastAsia="宋体" w:cs="宋体"/>
          <w:bCs/>
          <w:color w:val="000000" w:themeColor="text1"/>
          <w:sz w:val="24"/>
          <w:szCs w:val="24"/>
          <w:highlight w:val="none"/>
          <w14:textFill>
            <w14:solidFill>
              <w14:schemeClr w14:val="tx1"/>
            </w14:solidFill>
          </w14:textFill>
        </w:rPr>
        <w:t>标准。</w:t>
      </w:r>
      <w:bookmarkStart w:id="402" w:name="_Toc351203484"/>
      <w:bookmarkEnd w:id="402"/>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四、签约合同价与合同价格形式</w:t>
      </w:r>
      <w:r>
        <w:rPr>
          <w:rFonts w:hint="eastAsia" w:ascii="宋体" w:hAnsi="宋体" w:eastAsia="宋体" w:cs="宋体"/>
          <w:bCs/>
          <w:color w:val="000000" w:themeColor="text1"/>
          <w:sz w:val="24"/>
          <w:szCs w:val="24"/>
          <w:highlight w:val="none"/>
          <w14:textFill>
            <w14:solidFill>
              <w14:schemeClr w14:val="tx1"/>
            </w14:solidFill>
          </w14:textFill>
        </w:rPr>
        <w:tab/>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1.签约合同价为：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p>
    <w:p>
      <w:pPr>
        <w:adjustRightInd w:val="0"/>
        <w:snapToGrid w:val="0"/>
        <w:spacing w:line="360" w:lineRule="auto"/>
        <w:ind w:firstLine="470" w:firstLineChars="196"/>
        <w:rPr>
          <w:rFonts w:hint="eastAsia" w:ascii="宋体" w:hAnsi="宋体" w:eastAsia="宋体" w:cs="宋体"/>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w:t>
      </w:r>
      <w:r>
        <w:rPr>
          <w:rFonts w:hint="eastAsia" w:ascii="宋体" w:hAnsi="宋体" w:eastAsia="宋体" w:cs="宋体"/>
          <w:bCs/>
          <w:color w:val="000000" w:themeColor="text1"/>
          <w:sz w:val="24"/>
          <w:szCs w:val="24"/>
          <w:highlight w:val="none"/>
          <w:lang w:val="en"/>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tabs>
          <w:tab w:val="left" w:pos="7800"/>
        </w:tabs>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2.合同价格形式：</w:t>
      </w:r>
      <w:r>
        <w:rPr>
          <w:rFonts w:hint="eastAsia" w:ascii="宋体" w:hAnsi="宋体" w:eastAsia="宋体" w:cs="宋体"/>
          <w:bCs/>
          <w:color w:val="000000" w:themeColor="text1"/>
          <w:sz w:val="24"/>
          <w:szCs w:val="24"/>
          <w:highlight w:val="none"/>
          <w:u w:val="single"/>
          <w:lang w:val="en"/>
          <w14:textFill>
            <w14:solidFill>
              <w14:schemeClr w14:val="tx1"/>
            </w14:solidFill>
          </w14:textFill>
        </w:rPr>
        <w:t>单价合同</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ab/>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五、项目经理</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承包人项目经理：</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bookmarkStart w:id="403" w:name="_Toc351203486"/>
      <w:bookmarkEnd w:id="403"/>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六、合同文件构成</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本协议书与下列文件一起构成合同文件：</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（1）中标通知书（如果有）；</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（2）投标函及其附录（如果有）； </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（3）专用合同条款及其附件；</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（4）通用合同条款；</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（5）技术标准和要求；</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（6）图纸；</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（7）已标价工程量清单或预算书；</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（8）其他合同文件。</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bookmarkStart w:id="404" w:name="_Toc351203487"/>
      <w:bookmarkEnd w:id="404"/>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七、承诺</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3.发包人和承包人通过招投标形式签订合同的，双方理解并承诺不再就同一工程另行签订与合同实质性内容相背离的协议。</w:t>
      </w:r>
      <w:bookmarkStart w:id="405" w:name="_Toc351203488"/>
      <w:bookmarkEnd w:id="405"/>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4、乙方承诺放弃因甲方内部请款流程等原因造成的支付合同价款时间与合同约定的支付时间不匹配而向</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bCs/>
          <w:color w:val="000000" w:themeColor="text1"/>
          <w:sz w:val="24"/>
          <w:szCs w:val="24"/>
          <w:highlight w:val="none"/>
          <w14:textFill>
            <w14:solidFill>
              <w14:schemeClr w14:val="tx1"/>
            </w14:solidFill>
          </w14:textFill>
        </w:rPr>
        <w:t>追究相关违约责任的权利。</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5、任何一方违反本协议的约定即视为违约，违约方除应承担违约损害赔偿外，还应承担守约方为实现权利而支出的合理费用，包括但不限于诉讼费、保全费、</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保全保险费、</w:t>
      </w:r>
      <w:r>
        <w:rPr>
          <w:rFonts w:hint="eastAsia" w:ascii="宋体" w:hAnsi="宋体" w:eastAsia="宋体" w:cs="宋体"/>
          <w:bCs/>
          <w:color w:val="000000" w:themeColor="text1"/>
          <w:sz w:val="24"/>
          <w:szCs w:val="24"/>
          <w:highlight w:val="none"/>
          <w14:textFill>
            <w14:solidFill>
              <w14:schemeClr w14:val="tx1"/>
            </w14:solidFill>
          </w14:textFill>
        </w:rPr>
        <w:t>鉴定费、律师代理费、执行费、差旅费等。</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6、乙方有任何违约行为的，甲方均有权暂缓付款而不视为甲方违约，甲方有权在任意一笔应支付给乙方的费用中扣除乙方应承担的全部款项（包括但不限于违约金、损害赔偿金等），且不视为甲方违约。</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八、词语含义</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本协议书中词语含义与第二部分通用合同条款中赋予的含义相同。</w:t>
      </w:r>
      <w:bookmarkStart w:id="406" w:name="_Toc351203489"/>
      <w:bookmarkEnd w:id="406"/>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九、签订时间</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本合同于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日签订。</w:t>
      </w:r>
      <w:bookmarkStart w:id="407" w:name="_Toc351203490"/>
      <w:bookmarkEnd w:id="407"/>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十、签订地点</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本合同在</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杭州市文物遗产与历史建筑保护中心</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签订。</w:t>
      </w:r>
      <w:bookmarkStart w:id="408" w:name="_Toc351203491"/>
      <w:bookmarkEnd w:id="408"/>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十一、补充协议</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合同未尽事宜，合同当事人另行签订补充协议，补充协议是合同的组成部分。</w:t>
      </w:r>
      <w:bookmarkStart w:id="409" w:name="_Toc351203492"/>
      <w:bookmarkEnd w:id="409"/>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十二、合同生效</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本合同自</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双方签字盖章    </w:t>
      </w:r>
      <w:r>
        <w:rPr>
          <w:rFonts w:hint="eastAsia" w:ascii="宋体" w:hAnsi="宋体" w:eastAsia="宋体" w:cs="宋体"/>
          <w:bCs/>
          <w:color w:val="000000" w:themeColor="text1"/>
          <w:sz w:val="24"/>
          <w:szCs w:val="24"/>
          <w:highlight w:val="none"/>
          <w14:textFill>
            <w14:solidFill>
              <w14:schemeClr w14:val="tx1"/>
            </w14:solidFill>
          </w14:textFill>
        </w:rPr>
        <w:t>生效。</w:t>
      </w:r>
      <w:bookmarkStart w:id="410" w:name="_Toc351203493"/>
      <w:bookmarkEnd w:id="410"/>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十三、合同份数</w:t>
      </w:r>
    </w:p>
    <w:p>
      <w:pPr>
        <w:adjustRightInd w:val="0"/>
        <w:snapToGrid w:val="0"/>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本合同一式</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捌</w:t>
      </w:r>
      <w:r>
        <w:rPr>
          <w:rFonts w:hint="eastAsia" w:ascii="宋体" w:hAnsi="宋体" w:eastAsia="宋体" w:cs="宋体"/>
          <w:bCs/>
          <w:color w:val="000000" w:themeColor="text1"/>
          <w:sz w:val="24"/>
          <w:szCs w:val="24"/>
          <w:highlight w:val="none"/>
          <w14:textFill>
            <w14:solidFill>
              <w14:schemeClr w14:val="tx1"/>
            </w14:solidFill>
          </w14:textFill>
        </w:rPr>
        <w:t>份，发包人执</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肆</w:t>
      </w:r>
      <w:r>
        <w:rPr>
          <w:rFonts w:hint="eastAsia" w:ascii="宋体" w:hAnsi="宋体" w:eastAsia="宋体" w:cs="宋体"/>
          <w:bCs/>
          <w:color w:val="000000" w:themeColor="text1"/>
          <w:sz w:val="24"/>
          <w:szCs w:val="24"/>
          <w:highlight w:val="none"/>
          <w14:textFill>
            <w14:solidFill>
              <w14:schemeClr w14:val="tx1"/>
            </w14:solidFill>
          </w14:textFill>
        </w:rPr>
        <w:t>份，承包人执</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肆</w:t>
      </w:r>
      <w:r>
        <w:rPr>
          <w:rFonts w:hint="eastAsia" w:ascii="宋体" w:hAnsi="宋体" w:eastAsia="宋体" w:cs="宋体"/>
          <w:bCs/>
          <w:color w:val="000000" w:themeColor="text1"/>
          <w:sz w:val="24"/>
          <w:szCs w:val="24"/>
          <w:highlight w:val="none"/>
          <w14:textFill>
            <w14:solidFill>
              <w14:schemeClr w14:val="tx1"/>
            </w14:solidFill>
          </w14:textFill>
        </w:rPr>
        <w:t>份；具有同等法律效力</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如正本与副本有不一致处，以正本为准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  (公章)                   承包人：  (公章)</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法定代表人：                       法定代表人：</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委托代理人：                       委托代理人：</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（签字）                          （签字）</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bookmarkStart w:id="411" w:name="ed_2020Y3M13D15H21M45"/>
      <w:bookmarkEnd w:id="411"/>
      <w:r>
        <w:rPr>
          <w:rFonts w:hint="eastAsia" w:ascii="宋体" w:hAnsi="宋体" w:eastAsia="宋体" w:cs="宋体"/>
          <w:color w:val="000000" w:themeColor="text1"/>
          <w:kern w:val="0"/>
          <w:sz w:val="24"/>
          <w:szCs w:val="24"/>
          <w:highlight w:val="none"/>
          <w14:textFill>
            <w14:solidFill>
              <w14:schemeClr w14:val="tx1"/>
            </w14:solidFill>
          </w14:textFill>
        </w:rPr>
        <w:t>组织机构代码：                    组织机构代码：</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                           地  址：</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邮政编码：                         邮政编码：</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法定代表人：                       法定代表人：</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委托代理人：                       委托代理人：</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  话：                           电  话：</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传  真：                           传  真：</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电子信箱：                         电子信箱：</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开户银行：                         开户银行：</w:t>
      </w:r>
    </w:p>
    <w:p>
      <w:pPr>
        <w:autoSpaceDE w:val="0"/>
        <w:autoSpaceDN w:val="0"/>
        <w:adjustRightInd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账  号：                           账 号：</w:t>
      </w: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420" w:firstLineChars="200"/>
        <w:rPr>
          <w:rFonts w:hint="eastAsia" w:ascii="宋体" w:hAnsi="宋体" w:cs="宋体"/>
          <w:bCs/>
          <w:color w:val="000000" w:themeColor="text1"/>
          <w:szCs w:val="21"/>
          <w:highlight w:val="none"/>
          <w:lang w:eastAsia="zh-CN"/>
          <w14:textFill>
            <w14:solidFill>
              <w14:schemeClr w14:val="tx1"/>
            </w14:solidFill>
          </w14:textFill>
        </w:rPr>
      </w:pPr>
    </w:p>
    <w:p>
      <w:pPr>
        <w:pStyle w:val="2"/>
        <w:rPr>
          <w:rFonts w:hint="eastAsia" w:ascii="宋体" w:hAnsi="宋体" w:cs="宋体"/>
          <w:bCs/>
          <w:color w:val="000000" w:themeColor="text1"/>
          <w:szCs w:val="21"/>
          <w:highlight w:val="none"/>
          <w:lang w:eastAsia="zh-CN"/>
          <w14:textFill>
            <w14:solidFill>
              <w14:schemeClr w14:val="tx1"/>
            </w14:solidFill>
          </w14:textFill>
        </w:rPr>
      </w:pPr>
    </w:p>
    <w:p>
      <w:pPr>
        <w:adjustRightInd w:val="0"/>
        <w:snapToGrid w:val="0"/>
        <w:spacing w:line="400" w:lineRule="exact"/>
        <w:ind w:firstLine="0" w:firstLineChars="0"/>
        <w:jc w:val="center"/>
        <w:rPr>
          <w:rFonts w:hint="eastAsia" w:ascii="宋体" w:hAnsi="宋体" w:cs="宋体"/>
          <w:bCs/>
          <w:color w:val="000000" w:themeColor="text1"/>
          <w:sz w:val="28"/>
          <w:szCs w:val="28"/>
          <w:highlight w:val="none"/>
          <w14:textFill>
            <w14:solidFill>
              <w14:schemeClr w14:val="tx1"/>
            </w14:solidFill>
          </w14:textFill>
        </w:rPr>
      </w:pPr>
      <w:bookmarkStart w:id="412" w:name="_Toc351203494"/>
      <w:bookmarkEnd w:id="412"/>
      <w:bookmarkStart w:id="413" w:name="_Toc384371330"/>
      <w:r>
        <w:rPr>
          <w:rFonts w:hint="eastAsia" w:ascii="宋体" w:hAnsi="宋体" w:cs="宋体"/>
          <w:bCs/>
          <w:color w:val="000000" w:themeColor="text1"/>
          <w:szCs w:val="21"/>
          <w:highlight w:val="none"/>
          <w14:textFill>
            <w14:solidFill>
              <w14:schemeClr w14:val="tx1"/>
            </w14:solidFill>
          </w14:textFill>
        </w:rPr>
        <w:br w:type="page"/>
      </w:r>
      <w:bookmarkEnd w:id="413"/>
      <w:r>
        <w:rPr>
          <w:rFonts w:hint="eastAsia" w:ascii="宋体" w:hAnsi="宋体" w:cs="宋体"/>
          <w:bCs/>
          <w:color w:val="000000" w:themeColor="text1"/>
          <w:sz w:val="28"/>
          <w:szCs w:val="20"/>
          <w:highlight w:val="none"/>
          <w14:textFill>
            <w14:solidFill>
              <w14:schemeClr w14:val="tx1"/>
            </w14:solidFill>
          </w14:textFill>
        </w:rPr>
        <w:t>第二部分 通用合同条款（略）</w:t>
      </w:r>
    </w:p>
    <w:p>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通用合同条款采用住房和城乡建设部、国家工商行政管理总局制定的《建设工程施工 合同（示范文本）》（GF—2017—0201）的通用合同条款。</w:t>
      </w:r>
    </w:p>
    <w:p>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val="0"/>
          <w:color w:val="000000" w:themeColor="text1"/>
          <w:sz w:val="28"/>
          <w:szCs w:val="28"/>
          <w:highlight w:val="none"/>
          <w14:textFill>
            <w14:solidFill>
              <w14:schemeClr w14:val="tx1"/>
            </w14:solidFill>
          </w14:textFill>
        </w:rPr>
      </w:pPr>
      <w:bookmarkStart w:id="414" w:name="_Toc351203632"/>
      <w:bookmarkEnd w:id="414"/>
      <w:r>
        <w:rPr>
          <w:rFonts w:hint="eastAsia" w:ascii="宋体" w:hAnsi="宋体" w:eastAsia="宋体" w:cs="宋体"/>
          <w:b/>
          <w:bCs w:val="0"/>
          <w:color w:val="000000" w:themeColor="text1"/>
          <w:sz w:val="28"/>
          <w:szCs w:val="28"/>
          <w:highlight w:val="none"/>
          <w14:textFill>
            <w14:solidFill>
              <w14:schemeClr w14:val="tx1"/>
            </w14:solidFill>
          </w14:textFill>
        </w:rPr>
        <w:t>第三部分 专用合同条款</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 一般约定</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 词语定义</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1.1.1合同</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1.1.1.10其他合同文件包括：</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施工组织设计：</w:t>
      </w:r>
      <w:r>
        <w:rPr>
          <w:rFonts w:hint="eastAsia" w:ascii="宋体" w:hAnsi="宋体" w:eastAsia="宋体" w:cs="宋体"/>
          <w:bCs/>
          <w:color w:val="000000" w:themeColor="text1"/>
          <w:sz w:val="24"/>
          <w:szCs w:val="24"/>
          <w:highlight w:val="none"/>
          <w:u w:val="single"/>
          <w14:textFill>
            <w14:solidFill>
              <w14:schemeClr w14:val="tx1"/>
            </w14:solidFill>
          </w14:textFill>
        </w:rPr>
        <w:t>施工组织</w:t>
      </w: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HYPERLINK "http://baike.baidu.com/view/14417.htm"</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u w:val="single"/>
          <w14:textFill>
            <w14:solidFill>
              <w14:schemeClr w14:val="tx1"/>
            </w14:solidFill>
          </w14:textFill>
        </w:rPr>
        <w:t>设计</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u w:val="single"/>
          <w14:textFill>
            <w14:solidFill>
              <w14:schemeClr w14:val="tx1"/>
            </w14:solidFill>
          </w14:textFill>
        </w:rPr>
        <w:t>是用来指导</w:t>
      </w: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HYPERLINK "http://baike.baidu.com/view/1094820.htm"</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u w:val="single"/>
          <w14:textFill>
            <w14:solidFill>
              <w14:schemeClr w14:val="tx1"/>
            </w14:solidFill>
          </w14:textFill>
        </w:rPr>
        <w:t>施工项目</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u w:val="single"/>
          <w14:textFill>
            <w14:solidFill>
              <w14:schemeClr w14:val="tx1"/>
            </w14:solidFill>
          </w14:textFill>
        </w:rPr>
        <w:t>全过程各项活动的技术、经济和组织的综合性文件。</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1.1.2 合同当事人及其他相关方</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1.1.2.4监理人：</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名    称：</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姓</w:t>
      </w:r>
      <w:r>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名：</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联系电话：</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电子信箱：</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通信地址：</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1.1.2.5 设计人：</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名称：</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姓</w:t>
      </w:r>
      <w:r>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名：</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联系电话：</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电子邮箱：</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pStyle w:val="57"/>
        <w:shd w:val="clear" w:color="auto" w:fill="FFFFFF"/>
        <w:spacing w:line="360" w:lineRule="auto"/>
        <w:ind w:left="478" w:leftChars="228"/>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通信地址：</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1.1.3 工程和设备</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1.1.3.9 永久占地包括：</w:t>
      </w:r>
      <w:r>
        <w:rPr>
          <w:rFonts w:hint="eastAsia" w:ascii="宋体" w:hAnsi="宋体" w:eastAsia="宋体" w:cs="宋体"/>
          <w:color w:val="000000" w:themeColor="text1"/>
          <w:kern w:val="0"/>
          <w:sz w:val="24"/>
          <w:szCs w:val="24"/>
          <w:highlight w:val="none"/>
          <w:u w:val="single"/>
          <w14:textFill>
            <w14:solidFill>
              <w14:schemeClr w14:val="tx1"/>
            </w14:solidFill>
          </w14:textFill>
        </w:rPr>
        <w:t>用地红线范围内为实施合同工程需永久占用的土地</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1.1.3.10 临时占地包括：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指永久占地之外为实施合同工程需临时占用的土地</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1.3法律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适用于合同的其他规范性文件：</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1.3.1《杭州市建设工程工程量清单计价实施细则》(杭建市发〔2018〕578号)；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1.3.2《关于进一步加强杭州市建设工程市场要素价格动态管理的指导意见》（杭建市发〔2018〕579号）；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1.3.3《关于发布&lt;杭州市新冠病毒肺炎疫情期间在建工程合同及工程价款调整的指导性细则&gt;的通知》（杭建市发〔2020〕164号）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1.3.4 《关于贯彻《省厅调整安全文明施工费的通知》的通知》（杭建市发〔2022〕54号）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1.3.5  省市建设行政部门颁发的其他现行有效文件(包括但不仅限于以下文件)：</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（1）《关于转发省建设厅&lt;关于进一步加强建筑施工领域企业安全生产工作的实施意见&gt;的通知》（杭建工发〔2011〕130号）；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（2）《关于进一步加强建设工程安全质量物联网管理应用平台建设的通知》（杭建工发〔2012〕426号）；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（3）《关于开展建筑工程扬尘在线监测设施安装工作的通知》（杭建工〔2019〕103号）；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（4）《关于巩固G20杭州峰会成果进一步加强建设工程文明施工管理的若干意见》（杭建工发〔2017〕112号）；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（5）《杭州市建设领域农民工“无欠薪”管理实施细则（试行）》（杭建市〔2018〕161号）；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（6）《关于杭州市建筑工地全面推广使用“浙里工程建设现场管控”重大应用（浙里建）的通知》（杭建数改办（2022）1号）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（7）《杭州市建设工程渣土管理办法》（市政府令第192号）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（8）市政府办公厅2022年5月15日发布的《杭州市人民政府办公厅关于进一步规范工程建筑垃圾管理的通知》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（9）《关于发布杭州市工程渣土消纳市场信息价的通知》（杭渣土领〔2020〕1号）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（10）市建委2020年10月30日发布的《关于明确杭州市渣土运输及消纳项目计价清单编制和报价口径的通知》</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（11）《关于转发&lt;关于在全省工程建设领域改革保证金制度的通知&gt;的通知》（杭建市通知〔2020〕4号）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（12）《关于进一步提升杭州市市政道路建设质量管理的若干意见》（杭建工发〔2021〕32 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（13）《关于全面推广应用承插型盘扣式脚手架的通知》（杭建工发〔2021〕358号）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（14）《关于明确杭州市建筑施工领域安全生产责任保险费用计取的通知》（杭建招标造价中心〔2021〕84号 ）</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（15）《关于进一步规范建设工程建筑垃圾处置相关事项的通知》（杭建工〔2023〕169号）</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杭政办函【</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41号杭州市人民政府办公厅关于进一步推进建筑垃圾长效管理的通知</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其它法律、行政法规、地方性法规等</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新工艺、新技术的约定：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 其他</w:t>
      </w:r>
      <w:r>
        <w:rPr>
          <w:rFonts w:hint="eastAsia" w:ascii="宋体" w:hAnsi="宋体" w:eastAsia="宋体" w:cs="宋体"/>
          <w:color w:val="000000" w:themeColor="text1"/>
          <w:sz w:val="24"/>
          <w:szCs w:val="24"/>
          <w:highlight w:val="none"/>
          <w:u w:val="single"/>
          <w14:textFill>
            <w14:solidFill>
              <w14:schemeClr w14:val="tx1"/>
            </w14:solidFill>
          </w14:textFill>
        </w:rPr>
        <w:t>相关部门颁发的有关文件对上述文件有调整的，按其最新规定执行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1.4 标准和规范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1.4.1适用于工程的标准规范包括：</w:t>
      </w:r>
      <w:r>
        <w:rPr>
          <w:rFonts w:hint="eastAsia" w:ascii="宋体" w:hAnsi="宋体" w:eastAsia="宋体" w:cs="宋体"/>
          <w:bCs/>
          <w:color w:val="000000" w:themeColor="text1"/>
          <w:sz w:val="24"/>
          <w:szCs w:val="24"/>
          <w:highlight w:val="none"/>
          <w:u w:val="single"/>
          <w14:textFill>
            <w14:solidFill>
              <w14:schemeClr w14:val="tx1"/>
            </w14:solidFill>
          </w14:textFill>
        </w:rPr>
        <w:t>按通用条款</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1.4.2 发包人提供国外标准、规范的名称：</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发包人提供国外标准、规范的份数：</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发包人提供国外标准、规范的名称：</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bCs/>
          <w:color w:val="000000" w:themeColor="text1"/>
          <w:sz w:val="24"/>
          <w:szCs w:val="24"/>
          <w:highlight w:val="none"/>
          <w:u w:val="single"/>
          <w14:textFill>
            <w14:solidFill>
              <w14:schemeClr w14:val="tx1"/>
            </w14:solidFill>
          </w14:textFill>
        </w:rPr>
        <w:t>按通用条款约定</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 合同文件的优先顺序</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合同文件组成及优先顺序为：</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（1）合同协议书；</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（2）中标通知书（或项目发承包基本情况表）；</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（3）投标函及其附录（如果有）；</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（4）专用合同条款及其附件；</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（5）通用合同条款；</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（6）技术标准和要求；</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（7）图纸；</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（8）已标价工程量清单或预算书；</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（9）其他合同文件：</w:t>
      </w:r>
    </w:p>
    <w:p>
      <w:pPr>
        <w:spacing w:line="360" w:lineRule="auto"/>
        <w:ind w:firstLine="420" w:firstLineChars="175"/>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①施工组织设计；</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②其他：</w:t>
      </w:r>
      <w:r>
        <w:rPr>
          <w:rFonts w:hint="eastAsia" w:ascii="宋体" w:hAnsi="宋体" w:eastAsia="宋体" w:cs="宋体"/>
          <w:bCs/>
          <w:color w:val="000000" w:themeColor="text1"/>
          <w:kern w:val="0"/>
          <w:sz w:val="24"/>
          <w:szCs w:val="24"/>
          <w:highlight w:val="none"/>
          <w:u w:val="single"/>
          <w:lang w:eastAsia="zh-CN"/>
          <w14:textFill>
            <w14:solidFill>
              <w14:schemeClr w14:val="tx1"/>
            </w14:solidFill>
          </w14:textFill>
        </w:rPr>
        <w:t>磋商</w:t>
      </w:r>
      <w:r>
        <w:rPr>
          <w:rFonts w:hint="eastAsia" w:ascii="宋体" w:hAnsi="宋体" w:eastAsia="宋体" w:cs="宋体"/>
          <w:color w:val="000000" w:themeColor="text1"/>
          <w:sz w:val="24"/>
          <w:szCs w:val="24"/>
          <w:highlight w:val="none"/>
          <w:u w:val="single"/>
          <w14:textFill>
            <w14:solidFill>
              <w14:schemeClr w14:val="tx1"/>
            </w14:solidFill>
          </w14:textFill>
        </w:rPr>
        <w:t>文件及</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更正文件</w:t>
      </w:r>
      <w:r>
        <w:rPr>
          <w:rFonts w:hint="eastAsia" w:ascii="宋体" w:hAnsi="宋体" w:eastAsia="宋体" w:cs="宋体"/>
          <w:color w:val="000000" w:themeColor="text1"/>
          <w:sz w:val="24"/>
          <w:szCs w:val="24"/>
          <w:highlight w:val="none"/>
          <w:u w:val="single"/>
          <w14:textFill>
            <w14:solidFill>
              <w14:schemeClr w14:val="tx1"/>
            </w14:solidFill>
          </w14:textFill>
        </w:rPr>
        <w:t>、询标纪要；合同履行中，双方有关工程的洽商、变更等书面协议或会议纪要等文件均视为本合同的组成部分</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 图纸和承包人文件</w:t>
      </w:r>
      <w:r>
        <w:rPr>
          <w:rFonts w:hint="eastAsia" w:ascii="宋体" w:hAnsi="宋体" w:eastAsia="宋体" w:cs="宋体"/>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1.6.1 图纸的提供</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发包人向承包人提供图纸的期限：</w:t>
      </w:r>
      <w:r>
        <w:rPr>
          <w:rFonts w:hint="eastAsia" w:ascii="宋体" w:hAnsi="宋体" w:eastAsia="宋体" w:cs="宋体"/>
          <w:bCs/>
          <w:color w:val="000000" w:themeColor="text1"/>
          <w:sz w:val="24"/>
          <w:szCs w:val="24"/>
          <w:highlight w:val="none"/>
          <w:u w:val="single"/>
          <w14:textFill>
            <w14:solidFill>
              <w14:schemeClr w14:val="tx1"/>
            </w14:solidFill>
          </w14:textFill>
        </w:rPr>
        <w:t>开工前</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7日内</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发包人向承包人提供图纸的数量：</w:t>
      </w:r>
      <w:r>
        <w:rPr>
          <w:rFonts w:hint="eastAsia" w:ascii="宋体" w:hAnsi="宋体" w:eastAsia="宋体" w:cs="宋体"/>
          <w:color w:val="000000" w:themeColor="text1"/>
          <w:sz w:val="24"/>
          <w:szCs w:val="24"/>
          <w:highlight w:val="none"/>
          <w:u w:val="single"/>
          <w14:textFill>
            <w14:solidFill>
              <w14:schemeClr w14:val="tx1"/>
            </w14:solidFill>
          </w14:textFill>
        </w:rPr>
        <w:t>发包人向承包人提供工程图纸 4 套，如承包人额外需要提供施工图纸的，则额外增加的施工图纸的制作费由承包人承担</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发包人向承包人提供图纸的内容：</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图、设计联系单等。施工过程中承包人要求增加图纸的，发包人应在承包人支付复制工本费后提供承包人要求增加的图纸。使用标准图的，标准图由承包人负责提供，产生的费用由承包人承担。未经发包人同意，承包人不得将图纸泄露给与工程无关的他方</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1.6.4 承包人文件</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bCs/>
          <w:color w:val="000000" w:themeColor="text1"/>
          <w:sz w:val="24"/>
          <w:szCs w:val="24"/>
          <w:highlight w:val="none"/>
          <w:u w:val="single"/>
          <w14:textFill>
            <w14:solidFill>
              <w14:schemeClr w14:val="tx1"/>
            </w14:solidFill>
          </w14:textFill>
        </w:rPr>
        <w:t>发包人、监理人、质监站等相关部门要求提供与施工有关的一切必要文件；（如施工组织设计和施工进度计划、材料和设备采购计划等）；对危险性较大的分部分项工程，投标人需提供与自身报价相应的安全专项施工方案</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color w:val="000000" w:themeColor="text1"/>
          <w:sz w:val="24"/>
          <w:szCs w:val="24"/>
          <w:highlight w:val="none"/>
          <w:u w:val="single"/>
          <w14:textFill>
            <w14:solidFill>
              <w14:schemeClr w14:val="tx1"/>
            </w14:solidFill>
          </w14:textFill>
        </w:rPr>
        <w:t>在合同签订后7天内提供</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color w:val="000000" w:themeColor="text1"/>
          <w:sz w:val="24"/>
          <w:szCs w:val="24"/>
          <w:highlight w:val="none"/>
          <w:u w:val="single"/>
          <w14:textFill>
            <w14:solidFill>
              <w14:schemeClr w14:val="tx1"/>
            </w14:solidFill>
          </w14:textFill>
        </w:rPr>
        <w:t>双方协商确定</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color w:val="000000" w:themeColor="text1"/>
          <w:sz w:val="24"/>
          <w:szCs w:val="24"/>
          <w:highlight w:val="none"/>
          <w:u w:val="single"/>
          <w14:textFill>
            <w14:solidFill>
              <w14:schemeClr w14:val="tx1"/>
            </w14:solidFill>
          </w14:textFill>
        </w:rPr>
        <w:t>按发包人要求</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承包人提供完备资料文件情况下，发包人收到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u w:val="single"/>
          <w14:textFill>
            <w14:solidFill>
              <w14:schemeClr w14:val="tx1"/>
            </w14:solidFill>
          </w14:textFill>
        </w:rPr>
        <w:t>天内予以审批或提出修改意见（不包括专用条款10.4 工程变更文件审批），如需专家论证的相应顺延</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1.6.5 现场图纸准备</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1）承包人应在现场保留一套完整图纸，供发包人代表、监理人员、其它有关人员进行工程检查时使用；（2）承包人需要增加图纸份数，发包人可代为复制，复制费用由承包人承担；（3）工程竣工后，除承包人存档需要的图纸外，应将剩余图纸退还给发包人</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1.7 联络</w:t>
      </w:r>
    </w:p>
    <w:p>
      <w:pPr>
        <w:spacing w:line="360" w:lineRule="auto"/>
        <w:ind w:firstLine="480" w:firstLineChars="20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1.7.1发包人和承包人应当在天内将与合同有关的通知、批准、证明、证书、指示、指令、要求、请求、同意、意见、确定和决定等书面函件送达对方当事人。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1.7.2 发包人接收文件的地点：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工程现场或发包人所在地</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发包人代表</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工程现场</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项目经理</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工程现场；</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总监或总监代表。</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1.10 交通运输</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1.10.1 出入现场的权利</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1.10.3 场内交通</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highlight w:val="none"/>
          <w:u w:val="single"/>
          <w14:textFill>
            <w14:solidFill>
              <w14:schemeClr w14:val="tx1"/>
            </w14:solidFill>
          </w14:textFill>
        </w:rPr>
        <w:t>以施工红线范围为界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关于发包人向承包人免费提供满足工程施工需要的场内道路和交通设施的约定：利用现有的场内道路和交通设施，如需新建，承包人自行建设，并自行承担费用。</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1.10.4超大件和超重件的运输</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承包人 </w:t>
      </w:r>
      <w:r>
        <w:rPr>
          <w:rFonts w:hint="eastAsia" w:ascii="宋体" w:hAnsi="宋体" w:eastAsia="宋体" w:cs="宋体"/>
          <w:bCs/>
          <w:color w:val="000000" w:themeColor="text1"/>
          <w:sz w:val="24"/>
          <w:szCs w:val="24"/>
          <w:highlight w:val="none"/>
          <w14:textFill>
            <w14:solidFill>
              <w14:schemeClr w14:val="tx1"/>
            </w14:solidFill>
          </w14:textFill>
        </w:rPr>
        <w:t>承担。</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本工程的超大件：</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本工程的超重件：</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 知识产权</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Cs/>
          <w:color w:val="000000" w:themeColor="text1"/>
          <w:sz w:val="24"/>
          <w:szCs w:val="24"/>
          <w:highlight w:val="none"/>
          <w:u w:val="single"/>
          <w14:textFill>
            <w14:solidFill>
              <w14:schemeClr w14:val="tx1"/>
            </w14:solidFill>
          </w14:textFill>
        </w:rPr>
        <w:t>归发包人。</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bCs/>
          <w:color w:val="000000" w:themeColor="text1"/>
          <w:sz w:val="24"/>
          <w:szCs w:val="24"/>
          <w:highlight w:val="none"/>
          <w:u w:val="single"/>
          <w14:textFill>
            <w14:solidFill>
              <w14:schemeClr w14:val="tx1"/>
            </w14:solidFill>
          </w14:textFill>
        </w:rPr>
        <w:t>未经发包人同意，不得向他人提供，否则发包人有权解除合同并有权向承包人进行索赔。</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按通用条款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本工程实施、结算全过程</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bCs/>
          <w:color w:val="000000" w:themeColor="text1"/>
          <w:sz w:val="24"/>
          <w:szCs w:val="24"/>
          <w:highlight w:val="none"/>
          <w:u w:val="single"/>
          <w14:textFill>
            <w14:solidFill>
              <w14:schemeClr w14:val="tx1"/>
            </w14:solidFill>
          </w14:textFill>
        </w:rPr>
        <w:t>（除发包人指明外）承包人在施工过程中所采用的专利、专有技术、技术秘密的使用费包含在合同价款内</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1.13工程量清单错误的修正</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是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strike/>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允许调整合同价格的工程量偏差范围：</w:t>
      </w:r>
      <w:r>
        <w:rPr>
          <w:rFonts w:hint="eastAsia" w:ascii="宋体" w:hAnsi="宋体" w:eastAsia="宋体" w:cs="宋体"/>
          <w:bCs/>
          <w:color w:val="000000" w:themeColor="text1"/>
          <w:sz w:val="24"/>
          <w:szCs w:val="24"/>
          <w:highlight w:val="none"/>
          <w:u w:val="single"/>
          <w14:textFill>
            <w14:solidFill>
              <w14:schemeClr w14:val="tx1"/>
            </w14:solidFill>
          </w14:textFill>
        </w:rPr>
        <w:t>按本专用条款第10.4.1条执行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调整合同价格的修正时间：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竣工结算时经审核后调整</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 发包人</w:t>
      </w:r>
    </w:p>
    <w:p>
      <w:pPr>
        <w:autoSpaceDE w:val="0"/>
        <w:autoSpaceDN w:val="0"/>
        <w:adjustRightInd w:val="0"/>
        <w:spacing w:line="360" w:lineRule="auto"/>
        <w:ind w:firstLine="352" w:firstLineChars="147"/>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发包人应根据工程所需配备发包人代表，同时配备1-2名相关人员到岗履职。发包人应做好承包人农民工工资保证金缴存情况的审核工作，督促未缴存农民工工资保证金的承包人及时缴存。</w:t>
      </w:r>
    </w:p>
    <w:p>
      <w:pPr>
        <w:autoSpaceDE w:val="0"/>
        <w:autoSpaceDN w:val="0"/>
        <w:adjustRightInd w:val="0"/>
        <w:spacing w:line="360" w:lineRule="auto"/>
        <w:ind w:firstLine="352" w:firstLineChars="147"/>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建设工程施工前，发包人必须对工程项目建筑垃圾总量、回填利用量进行全面准确测算，并到项目所在地城管部门办理建筑垃圾处置手续。</w:t>
      </w:r>
    </w:p>
    <w:p>
      <w:pPr>
        <w:autoSpaceDE w:val="0"/>
        <w:autoSpaceDN w:val="0"/>
        <w:adjustRightInd w:val="0"/>
        <w:spacing w:line="360" w:lineRule="auto"/>
        <w:ind w:firstLine="352" w:firstLineChars="147"/>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发包人有权开展现场检查，督促承包人落实规范垃圾处置合同分包、车辆装载、车辆冲洗和规范消纳等措施。</w:t>
      </w:r>
    </w:p>
    <w:p>
      <w:pPr>
        <w:autoSpaceDE w:val="0"/>
        <w:autoSpaceDN w:val="0"/>
        <w:adjustRightInd w:val="0"/>
        <w:spacing w:line="360" w:lineRule="auto"/>
        <w:ind w:firstLine="352" w:firstLineChars="147"/>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工程结算时，发包人有权对建筑垃圾处置核准证、消纳场地接纳回执联、工程竣工结算清单中建筑垃圾工程量三者进行比对：如实际消纳方量大于(或等于)工程竣工结算清单中建筑垃圾工程量90%的，按竣工结算清单工程量进行结算；如实际消纳方量小于工程竣工结算清单建筑垃圾工程量90%的，可要求承包人提供情况说明并附以佐证材料，无法提供佐证材料的：根据消纳场地接纳回执联工程量进行竣工结算。</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2.2 发包人代表</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发包人代表：</w:t>
      </w:r>
    </w:p>
    <w:p>
      <w:pPr>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姓    名</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联系电话：</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通信地址：</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kern w:val="0"/>
          <w:sz w:val="24"/>
          <w:szCs w:val="24"/>
          <w:highlight w:val="none"/>
          <w:u w:val="single"/>
          <w14:textFill>
            <w14:solidFill>
              <w14:schemeClr w14:val="tx1"/>
            </w14:solidFill>
          </w14:textFill>
        </w:rPr>
        <w:t>代表发包方行使工程现场管理协调，对任何作为结算价款调整依据的工期、工程变更、签证单的最终审核确认</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2.4 施工现场、施工条件和基础资料的提供</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2.4.1 提供施工现场</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已具备施工条件</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2.4.2 提供施工条件</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kern w:val="0"/>
          <w:sz w:val="24"/>
          <w:szCs w:val="24"/>
          <w:highlight w:val="none"/>
          <w:u w:val="single"/>
          <w14:textFill>
            <w14:solidFill>
              <w14:schemeClr w14:val="tx1"/>
            </w14:solidFill>
          </w14:textFill>
        </w:rPr>
        <w:t>（1）发包人提供水、电接入点，位置以现场实际条件为准；电讯线路由承包人自行解决，需要时发包人可协助承包人与电信部门联系，费用全部由承包人承担。</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（2）开工前向承包人提交工程地质和地下管网线资料，承包人收到发包人提交的资料后7 日内对资料进行复核，逾期未提异议的，视为承包人对资料无异议。承包人需采取措施保护地下管网线，费用由承包人负责，如工程施工损坏地下管线的，由承包人承担责任。非因发包人原因，发包人向承包人提交工程地质和地下管网线资料不全的，施工过程中，承包人如发现施工场地周围可能存在资料中未反映的地下管网线的，应立即停止施工并向发包人及相关单位书面报告，待确认安全后方可施工，否则，因施工损坏地下管网线的，由承包人承担责任。</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（3）开工前由发包人办理施工许可证。以不影响承包人开工、正常施工和工程验收为限。</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在工程开工前，发包人将通过工程师提供一个水准点与坐标控制点，双方代表应做好现场的校验工作并签字确认。移交后，承包人应予以良好保护，此后由于破坏或失准带来的重新测量、放点费用及由此造成的其他损失由承包人承担。完工后将水准点完好地交还给发包人。</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（5）图纸会审和设计交底时间: （承包人在收到施工图纸后需组织图纸自审，形成内审纪要，开工前 7 天发包人组织监理人、设计人、承包人四方参与进行图纸会审，会审纪要由四方盖章确认后作为施工依据。）</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2.5 资金来源证明及</w:t>
      </w:r>
      <w:bookmarkStart w:id="415" w:name="ed_2017Y7M19D16H51M40"/>
      <w:r>
        <w:rPr>
          <w:rFonts w:hint="eastAsia" w:ascii="宋体" w:hAnsi="宋体" w:eastAsia="宋体" w:cs="宋体"/>
          <w:bCs/>
          <w:color w:val="000000" w:themeColor="text1"/>
          <w:sz w:val="24"/>
          <w:szCs w:val="24"/>
          <w:highlight w:val="none"/>
          <w14:textFill>
            <w14:solidFill>
              <w14:schemeClr w14:val="tx1"/>
            </w14:solidFill>
          </w14:textFill>
        </w:rPr>
        <w:t>支付担保</w:t>
      </w:r>
      <w:bookmarkEnd w:id="415"/>
    </w:p>
    <w:p>
      <w:pPr>
        <w:spacing w:line="360" w:lineRule="auto"/>
        <w:ind w:firstLine="480" w:firstLineChars="200"/>
        <w:rPr>
          <w:rFonts w:hint="eastAsia" w:ascii="宋体" w:hAnsi="宋体" w:eastAsia="宋体" w:cs="宋体"/>
          <w:bCs/>
          <w:strike/>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按通用条款执行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发包人是否提供支付担保：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发包人提供支付担保的形式：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 承包人</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3.1 承包人的一般义务</w:t>
      </w:r>
    </w:p>
    <w:p>
      <w:pPr>
        <w:spacing w:line="360" w:lineRule="auto"/>
        <w:ind w:firstLine="480" w:firstLineChars="200"/>
        <w:jc w:val="left"/>
        <w:rPr>
          <w:rFonts w:hint="eastAsia" w:ascii="宋体" w:hAnsi="宋体" w:eastAsia="宋体" w:cs="宋体"/>
          <w:bCs/>
          <w:strike/>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承包人提交的竣工资料的内容：</w:t>
      </w: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提交的竣工验收报告及竣工验收资料后，认为工程尚不具备竣工验收条件或承包人提交的竣工验收资料不完整的，有权不组织竣工验收，直至工程符合工程竣工验收条件或竣工验收资料完整。若工程验收时，竣工验收资料尚不完整，或不完全符合主管部门要求的，工程竣工验收通过后，承包人仍应按要求提交完整的符合要求的竣工资料。承包人应在发包人指定的时间内向发包人提供符合存档备案要求的竣工图、竣工资料及竣工验收报告等，并有义务配合发包人将该些资料存档备案。归档资料应符合工程所在地建设行政主管部门和城市建设档案管理机构有关施工资料的要求</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两套（一套原件，一套复印件）</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承包人自行承担</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bCs/>
          <w:color w:val="000000" w:themeColor="text1"/>
          <w:sz w:val="24"/>
          <w:szCs w:val="24"/>
          <w:highlight w:val="none"/>
          <w:u w:val="single"/>
          <w14:textFill>
            <w14:solidFill>
              <w14:schemeClr w14:val="tx1"/>
            </w14:solidFill>
          </w14:textFill>
        </w:rPr>
        <w:t>工程竣工验收合格后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28</w:t>
      </w:r>
      <w:r>
        <w:rPr>
          <w:rFonts w:hint="eastAsia" w:ascii="宋体" w:hAnsi="宋体" w:eastAsia="宋体" w:cs="宋体"/>
          <w:bCs/>
          <w:color w:val="000000" w:themeColor="text1"/>
          <w:sz w:val="24"/>
          <w:szCs w:val="24"/>
          <w:highlight w:val="none"/>
          <w:u w:val="single"/>
          <w14:textFill>
            <w14:solidFill>
              <w14:schemeClr w14:val="tx1"/>
            </w14:solidFill>
          </w14:textFill>
        </w:rPr>
        <w:t>天内</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纸质及电子文档两套</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（10）承包人应履行的其他义务：</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承包人应建立实名制电子考勤系统，做好与杭州市智慧工地实名制管理应用系统以及全国建筑工人管理服务信息平台的数据对接工作。</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承包人应当在工程开工建设前，到项目所在地商业银行开设农民工工资专用账户，专项用于支付该工程建设项目农民工工资。</w:t>
      </w:r>
    </w:p>
    <w:p>
      <w:pPr>
        <w:spacing w:line="360" w:lineRule="auto"/>
        <w:ind w:firstLine="480" w:firstLineChars="200"/>
        <w:contextualSpacing/>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承包人应及时向项目所在地保证金管理部门缴存农民工工资保证金，并做好分包单位农民工工资保证金缴存的查验工作。</w:t>
      </w:r>
    </w:p>
    <w:p>
      <w:pPr>
        <w:spacing w:line="360" w:lineRule="auto"/>
        <w:ind w:firstLine="480" w:firstLineChars="200"/>
        <w:contextualSpacing/>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当在施工现场醒目位置设立维权信息告示牌，明示：（1）建设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color w:val="000000" w:themeColor="text1"/>
          <w:kern w:val="0"/>
          <w:sz w:val="24"/>
          <w:szCs w:val="24"/>
          <w:highlight w:val="none"/>
          <w:u w:val="single"/>
          <w14:textFill>
            <w14:solidFill>
              <w14:schemeClr w14:val="tx1"/>
            </w14:solidFill>
          </w14:textFill>
        </w:rPr>
        <w:t>承包人应规范建筑垃圾处置分包合同管理，建筑垃圾运输业务应当发包给本工程建筑垃圾处置证核准确定的运输单位。</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color w:val="000000" w:themeColor="text1"/>
          <w:kern w:val="0"/>
          <w:sz w:val="24"/>
          <w:szCs w:val="24"/>
          <w:highlight w:val="none"/>
          <w:u w:val="single"/>
          <w14:textFill>
            <w14:solidFill>
              <w14:schemeClr w14:val="tx1"/>
            </w14:solidFill>
          </w14:textFill>
        </w:rPr>
        <w:t>承包人负责根据施工合同约定和相关法律法规要求，编制工程建筑垃圾处置方案，向项目所在地城管部门进行备案，并在工地出入口做好公示及日常维护工作。</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color w:val="000000" w:themeColor="text1"/>
          <w:kern w:val="0"/>
          <w:sz w:val="24"/>
          <w:szCs w:val="24"/>
          <w:highlight w:val="none"/>
          <w:u w:val="single"/>
          <w14:textFill>
            <w14:solidFill>
              <w14:schemeClr w14:val="tx1"/>
            </w14:solidFill>
          </w14:textFill>
        </w:rPr>
        <w:t>承包人要加强建筑垃圾处置分包合同履约监管，严格核对建筑垃圾运输车辆，对不具备垃圾处置证、准运证、通行证的工程车辆，要及时清退。杜绝运输单位将建筑垃圾运输至非指定消纳场所，确保运输和处置规范。</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color w:val="000000" w:themeColor="text1"/>
          <w:kern w:val="0"/>
          <w:sz w:val="24"/>
          <w:szCs w:val="24"/>
          <w:highlight w:val="none"/>
          <w:u w:val="single"/>
          <w14:textFill>
            <w14:solidFill>
              <w14:schemeClr w14:val="tx1"/>
            </w14:solidFill>
          </w14:textFill>
        </w:rPr>
        <w:t>承包人与运输、处置单位结算相关费用前应当查验接纳回执。</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color w:val="000000" w:themeColor="text1"/>
          <w:kern w:val="0"/>
          <w:sz w:val="24"/>
          <w:szCs w:val="24"/>
          <w:highlight w:val="none"/>
          <w:u w:val="single"/>
          <w14:textFill>
            <w14:solidFill>
              <w14:schemeClr w14:val="tx1"/>
            </w14:solidFill>
          </w14:textFill>
        </w:rPr>
        <w:t>承包人应在工地车辆出入口安装运行符合标准的数字化管控设备，并根据浙江省住房和城乡建设厅等8部门联合印发的《关于浙江省建筑垃圾电子转移联单运行管理工作的实施意见》,落实建筑垃圾转移电子联单运行管理，落实出场每车(次)识别，并督促运输单位与接纳场地扫码识别，形成正常转移电子联单后，再与运输、处置单位结算建筑垃圾运输处置费用。工程结算时，承包人需提供建筑垃圾去向及实际消纳方量情况。</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成品保护：承包人应做好施工现场建筑物、构筑物、设备、管线的保护工作，并对所造成的损伤、损害负全部责任，承担全部费用。对采取的保护措施发生的费用列入措施费；发现损坏应及时抢修，确保在影响范围内的设备、管线、建筑物、构筑物的正常使用，并承担有关费用。为此增加的技术措施费包含在投标报价中。</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施工现场清洁卫生的要求：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浙江省、杭州市标化工地管理的有关要求、规定执行。所发生的各项清理费用、临时性收费、临时性占用场地费、临时性设施费及不可预见的费用，均已包括在合同总价内。施工场地做到“工完、料净、场地清”，承担因自身原因违反有关规定造成的损失和罚款。</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遵守政府及主管部门管理规定，符合《建设项目环境保护管理条理》及《杭州市环境噪音管理条理》规定；负责办理有关施工场地交通、环卫和施工噪音管理等手续，承担相关费用，若有相关投诉，施工方承担一切后果。</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承包人应严格按已确认的施工技术方案实施，并无条件在接受发包人派遣的现场代表对施工质量、进度、安全、投资及协调方面的监督和管理。</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承包人应按期支付工人（农民工）的劳动工资，发包人有权监督承包人对于工人工资支付的发放。并有权按劳动仲裁部门的意见支付相应工资款项。</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承包人应加强安全、文明施工，确保安全操作，在施工现场采取相应的安全防护措施，合同价内的安全文明施工措施费费不得挪作他用。</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场内施工用水、用电接管自行解决，水电费用按实际发生费用（装表计量）加损耗，由承包人向</w:t>
      </w:r>
      <w:r>
        <w:rPr>
          <w:rFonts w:hint="eastAsia" w:ascii="宋体" w:hAnsi="宋体" w:cs="宋体"/>
          <w:color w:val="000000" w:themeColor="text1"/>
          <w:kern w:val="0"/>
          <w:sz w:val="24"/>
          <w:szCs w:val="24"/>
          <w:highlight w:val="none"/>
          <w:u w:val="singl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u w:val="single"/>
          <w14:textFill>
            <w14:solidFill>
              <w14:schemeClr w14:val="tx1"/>
            </w14:solidFill>
          </w14:textFill>
        </w:rPr>
        <w:t>缴纳。</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承包人应承担与周围居民的协调、沟通、安抚任务，并承担所发生的费用，如承包人不能协调好与周围群众的关系而导致施工无法正常进行，承包人应无条件服从发包人的协调结果，并承担相关费用。</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办施工暂住人口证手续及计划生育，施工现场的夜间照明线路必须单独铺设；承担所有安全保卫责任以及引起的所有经济和法律责任；承担各级政府管理部门所要求的一切责任以及所引起的所有经济和法律责任，并参照通用条款有关规定。</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承包人对于必须连续施工的分部分项工程，因电力不足或停电，应自备发电机确保连续施工，费用自理，否则由承包人承担造成的损失。</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承包人应严格按照设计施工图，国家现行规范进行施工，对工程的质量、安全、进度负责。</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向发包人提供的办公和生活房屋及设施的要求:应无偿提供给发包人及监理现场办公室。 </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开工前提供施工组织设计、进度计划及人员、机械的配备情况表，施工现场的平面布置图，必须经发包人有关工程师及监理工程师签字认可，每月25日前提供经总监工程师审核和发包人有关工程师签字认可的下月施工进度计划及当月完成的工程量报表。</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需承包人办理的有关施工场地交通、环卫和施工噪音管理等手续: </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按有关部门规定办理监理、排污、夜间施工等手续，发包人协助，承包人承担费用。</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承包人完工后半个月内通过预验收，竣工预验收后1 个半月内提交工程竣工决算资料，否则每延迟一天，应向发包人支付违约金人民币壹仟元整，发包人有权在工期保证金中扣除。</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须完成被杭州市城管办数字城管抄告的整改项目，若整改原因由承包人造成，则费用由承包人自行承担，若整改非承包人原因造成，则费用由发包人代表及监理签证后由发包人支付，但若承包人不按有关要求进行整改，并超出规定整改期限的，承包人应按5000 元/次向发包人支付违约金，发包人有权在质量保证金中扣除。</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3.2 项目经理</w:t>
      </w:r>
    </w:p>
    <w:p>
      <w:pPr>
        <w:keepNext w:val="0"/>
        <w:keepLines w:val="0"/>
        <w:spacing w:line="360" w:lineRule="auto"/>
        <w:ind w:left="420" w:leftChars="200" w:firstLine="120" w:firstLineChars="5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3.2.1 项目经理：</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姓    名：</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身份证号：</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建造师执业资格等级：</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建造师注册证书号：</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建造师执业印章号：</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安全生产考核合格证书号：</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联系电话：</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spacing w:line="360" w:lineRule="auto"/>
        <w:ind w:left="420" w:leftChars="200" w:firstLine="120" w:firstLineChars="50"/>
        <w:jc w:val="left"/>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电子信箱:</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jc w:val="left"/>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通信地址：</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
          <w14:textFill>
            <w14:solidFill>
              <w14:schemeClr w14:val="tx1"/>
            </w14:solidFill>
          </w14:textFill>
        </w:rPr>
        <w:t>3.2.2</w:t>
      </w:r>
      <w:r>
        <w:rPr>
          <w:rFonts w:hint="eastAsia" w:ascii="宋体" w:hAnsi="宋体" w:eastAsia="宋体" w:cs="宋体"/>
          <w:bCs/>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宋体"/>
          <w:color w:val="000000" w:themeColor="text1"/>
          <w:kern w:val="0"/>
          <w:sz w:val="24"/>
          <w:szCs w:val="24"/>
          <w:highlight w:val="none"/>
          <w:u w:val="single"/>
          <w14:textFill>
            <w14:solidFill>
              <w14:schemeClr w14:val="tx1"/>
            </w14:solidFill>
          </w14:textFill>
        </w:rPr>
        <w:t>负责本工程全面的施工管理工作，包括与各参建方的联系、协调，对工程的质量、安全、文明现场、施工进度、资金成本及人力、物力等实施指挥调试，全面管理，代表承包人对重要文件的谈判、决策并行使基本权利，且按国家相关法规约定</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关于项目经理每月在施工现场的时间要求：</w:t>
      </w:r>
      <w:r>
        <w:rPr>
          <w:rFonts w:hint="eastAsia" w:ascii="宋体" w:hAnsi="宋体" w:eastAsia="宋体" w:cs="宋体"/>
          <w:color w:val="000000" w:themeColor="text1"/>
          <w:kern w:val="0"/>
          <w:sz w:val="24"/>
          <w:szCs w:val="24"/>
          <w:highlight w:val="none"/>
          <w:u w:val="single"/>
          <w14:textFill>
            <w14:solidFill>
              <w14:schemeClr w14:val="tx1"/>
            </w14:solidFill>
          </w14:textFill>
        </w:rPr>
        <w:t>到位率为80%(按每月24天,每天工作8小时考勤)，重要施工工序或环节时项目经理、技术负责人等必须到场</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项目经理未经批准，擅自离开施工现场的违约责任：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按人民币3000 元/天计扣，发包人有权在项目班子到位保证金中扣除，且承包人承担因违约给发包人造成的损失 </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3.2.3 承包人擅自更换项目经理的违约责任：</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kern w:val="0"/>
          <w:sz w:val="24"/>
          <w:szCs w:val="24"/>
          <w:highlight w:val="none"/>
          <w14:textFill>
            <w14:solidFill>
              <w14:schemeClr w14:val="tx1"/>
            </w14:solidFill>
          </w14:textFill>
        </w:rPr>
        <w:t>承包人确需更换项目经理的，继任项目经理注册执业资格、管理经验的约定：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不得低于原项目经理的注册执业资格、管理经验。承包人更换项目经理时，应提前7天书面通知监理人，并征得发包人书面同意。通知中应当载明继任人员的注册执业资格、管理经验等资料</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承包人擅自更换项目经理的违约责任：</w:t>
      </w:r>
      <w:r>
        <w:rPr>
          <w:rFonts w:hint="eastAsia" w:ascii="宋体" w:hAnsi="宋体" w:eastAsia="宋体" w:cs="宋体"/>
          <w:bCs/>
          <w:color w:val="000000" w:themeColor="text1"/>
          <w:sz w:val="24"/>
          <w:szCs w:val="24"/>
          <w:highlight w:val="none"/>
          <w:u w:val="single"/>
          <w14:textFill>
            <w14:solidFill>
              <w14:schemeClr w14:val="tx1"/>
            </w14:solidFill>
          </w14:textFill>
        </w:rPr>
        <w:t>每发生一次，承包人应向发包人支付违约金2万元 ，发包人有权在项目班子到位保证金中扣除，且承包人承担因违约给发包人造成的损失</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6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3.2.4 承包人无正当理由拒绝更换项目经理的违约责任：</w:t>
      </w:r>
      <w:r>
        <w:rPr>
          <w:rFonts w:hint="eastAsia" w:ascii="宋体" w:hAnsi="宋体" w:eastAsia="宋体" w:cs="宋体"/>
          <w:bCs/>
          <w:color w:val="000000" w:themeColor="text1"/>
          <w:sz w:val="24"/>
          <w:szCs w:val="24"/>
          <w:highlight w:val="none"/>
          <w:u w:val="single"/>
          <w14:textFill>
            <w14:solidFill>
              <w14:schemeClr w14:val="tx1"/>
            </w14:solidFill>
          </w14:textFill>
        </w:rPr>
        <w:t>每发生一次，承包人向发包人支付违约金2万元人民币，发包人有权在项目班子到位保证金中扣除，且承包人承担因违约给发包人造成的全部损失</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 承包人人员</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按通用条款约定</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3.3.2 承包人需更换主要施工管理人员的，继任人员的数量、注册执业资格、管理经验的约定：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不得低于原主要施工管理人员的数量、注册执业资格、管理经验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53" w:firstLineChars="18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未按要求撤换，每人次承包人应支付发包人违约金1万元人民币，发包人有权在项目班子到位保证金中扣除，且承包人承担因违约给发包人造成的全部损失</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经总监工程师批准，发包人认可后方可离开</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每擅自更换1人，承包人应支付发包人违约金1万元人民币，发包人有权</w:t>
      </w:r>
      <w:bookmarkStart w:id="416" w:name="ed_2021Y1M29D11H38M49"/>
      <w:r>
        <w:rPr>
          <w:rFonts w:hint="eastAsia" w:ascii="宋体" w:hAnsi="宋体" w:eastAsia="宋体" w:cs="宋体"/>
          <w:bCs/>
          <w:color w:val="000000" w:themeColor="text1"/>
          <w:sz w:val="24"/>
          <w:szCs w:val="24"/>
          <w:highlight w:val="none"/>
          <w:u w:val="single"/>
          <w14:textFill>
            <w14:solidFill>
              <w14:schemeClr w14:val="tx1"/>
            </w14:solidFill>
          </w14:textFill>
        </w:rPr>
        <w:t>在</w:t>
      </w:r>
      <w:bookmarkEnd w:id="416"/>
      <w:r>
        <w:rPr>
          <w:rFonts w:hint="eastAsia" w:ascii="宋体" w:hAnsi="宋体" w:eastAsia="宋体" w:cs="宋体"/>
          <w:bCs/>
          <w:color w:val="000000" w:themeColor="text1"/>
          <w:sz w:val="24"/>
          <w:szCs w:val="24"/>
          <w:highlight w:val="none"/>
          <w:u w:val="single"/>
          <w14:textFill>
            <w14:solidFill>
              <w14:schemeClr w14:val="tx1"/>
            </w14:solidFill>
          </w14:textFill>
        </w:rPr>
        <w:t>项目班子到位保证金中扣除，且承包人承担因违约给发包人造成的全部损</w:t>
      </w:r>
      <w:r>
        <w:rPr>
          <w:rFonts w:hint="eastAsia" w:ascii="宋体" w:hAnsi="宋体" w:eastAsia="宋体" w:cs="宋体"/>
          <w:color w:val="000000" w:themeColor="text1"/>
          <w:kern w:val="0"/>
          <w:sz w:val="24"/>
          <w:szCs w:val="24"/>
          <w:highlight w:val="none"/>
          <w:u w:val="single"/>
          <w14:textFill>
            <w14:solidFill>
              <w14:schemeClr w14:val="tx1"/>
            </w14:solidFill>
          </w14:textFill>
        </w:rPr>
        <w:t>失</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承包人主要施工管理人员擅自离开施工现场的违约责任：</w:t>
      </w:r>
      <w:r>
        <w:rPr>
          <w:rFonts w:hint="eastAsia" w:ascii="宋体" w:hAnsi="宋体" w:eastAsia="宋体" w:cs="宋体"/>
          <w:bCs/>
          <w:color w:val="000000" w:themeColor="text1"/>
          <w:sz w:val="24"/>
          <w:szCs w:val="24"/>
          <w:highlight w:val="none"/>
          <w:u w:val="single"/>
          <w14:textFill>
            <w14:solidFill>
              <w14:schemeClr w14:val="tx1"/>
            </w14:solidFill>
          </w14:textFill>
        </w:rPr>
        <w:t>每发生一次，承包人应支付发包人违约金1万元人民币，发包人有权在项目班子到位保证金中扣除，且承包人承担因违约给发包人造成的全部损失</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 分包</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3.5.1 分包的一般约定</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禁止分包的工程包括：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本工程主体结构不得分包。承包人资质范围以内的工程未经发包人同意不得分包，如果承包人未经发包人同意而自行分包、转包，一经发现并查实，发包人有权解除合同并由承包人承担由此造成的一切责任和损失</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主体结构、关键性工作的范围：</w:t>
      </w:r>
      <w:r>
        <w:rPr>
          <w:rFonts w:hint="eastAsia" w:ascii="宋体" w:hAnsi="宋体" w:eastAsia="宋体" w:cs="宋体"/>
          <w:color w:val="000000" w:themeColor="text1"/>
          <w:kern w:val="0"/>
          <w:sz w:val="24"/>
          <w:szCs w:val="24"/>
          <w:highlight w:val="none"/>
          <w:u w:val="single"/>
          <w14:textFill>
            <w14:solidFill>
              <w14:schemeClr w14:val="tx1"/>
            </w14:solidFill>
          </w14:textFill>
        </w:rPr>
        <w:t>根据工程项目情况由监理工程师和发包人开工后确认</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3.5.2分包的确定</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允许分包的专业工程包括：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承包人不具备相关专业工程的专业承包资质，可以将项目中的专业工程依法分包给具备相应专业承包资质的施工单位，确定的分包单位需经发包人同意</w:t>
      </w:r>
      <w:r>
        <w:rPr>
          <w:rFonts w:hint="eastAsia" w:ascii="宋体" w:hAnsi="宋体" w:eastAsia="宋体" w:cs="宋体"/>
          <w:bCs/>
          <w:color w:val="000000" w:themeColor="text1"/>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其他关于分包的约定：</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本工程不得转包、非法分包，一经发现，以承包人违约处理，发包人可终止合同，承包人应于合同终止后30天内清退出场，承包人逾期未清退出场，视为其放弃场地内其物品所有权，发包人自行清退，产生的费用由承包人承担，并从其结算工程款中扣除，同时发包人有权没收全部履约保证金。在合同执行过程中，若发现存在下列情况的视作转包或非法分包：</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（1）承包人不履行合同约定的工期，成本、质量，安全生产等责任和义务，将其承包的全部建设工程转给他人承包的。</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（2）承包人将其承包的全部建设工程肢解后，以分包名义转给他人承包的。</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（3）承包人将主体结构、关键性工作转给他人承包的。</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（4）施工承包人未在施工现场设立项目管理机构和派驻相应人员进行组织管理的。或者施工现场的项目经理及主要工程管理人员与承包人之间无劳动合同及社会保险关系。</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（5）施工现场的项目经理及主要管理人员与合同约定的项目经理及主要管理人员不符。</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（6）承包人将自身不具备专业承包资质的专业工程分包给不具备相应资质条件的单位，或分包内容未经发包人同意。</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3.5.4 分包合同价款</w:t>
      </w:r>
    </w:p>
    <w:p>
      <w:pPr>
        <w:spacing w:line="360" w:lineRule="auto"/>
        <w:ind w:firstLine="480" w:firstLineChars="200"/>
        <w:rPr>
          <w:rFonts w:hint="eastAsia" w:ascii="宋体" w:hAnsi="宋体" w:eastAsia="宋体" w:cs="宋体"/>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关于分包合同价款支付的约定：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按通用合同条款约定（实行分包单位农民工工资委托施工总承包单位代发制度）</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3.6 工程照管与成品、半成品保护</w:t>
      </w:r>
    </w:p>
    <w:p>
      <w:pPr>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负责照管工程及工程相关的材料、工程设备的起始时间：自发包人向承包人移交施工现场之日起至工程竣工验收交付前。发包人对已完工程保护有特殊要求的，应按发包人要求采取相应保护措施；发包人另行发包的工程经发包人、承包人、分包单位、设计人、监理单位验收合格后移交给承包人的，由承包人负责保护，以上费用均由承包人承担。施工期间因承包人原因造成现场所有材料、设施设备、已完工程、成品、半成品被盗或损毁的，由承包人负责赔偿（包括直接的和间接的）</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3.7 履约担保</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是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承包人提供履约担保的形式、金额及期限的，采用以下第</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种方式：</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（1）保证保险，金额及期限为：；</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（2）银行保函，金额及期限为：；</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（3）其他方式: </w:t>
      </w:r>
      <w:r>
        <w:rPr>
          <w:rFonts w:hint="eastAsia" w:ascii="宋体" w:hAnsi="宋体" w:cs="宋体"/>
          <w:b w:val="0"/>
          <w:bCs w:val="0"/>
          <w:color w:val="000000" w:themeColor="text1"/>
          <w:sz w:val="24"/>
          <w:highlight w:val="none"/>
          <w:u w:val="single"/>
          <w14:textFill>
            <w14:solidFill>
              <w14:schemeClr w14:val="tx1"/>
            </w14:solidFill>
          </w14:textFill>
        </w:rPr>
        <w:t>在合同生效之日起，</w:t>
      </w:r>
      <w:r>
        <w:rPr>
          <w:rFonts w:hint="eastAsia" w:ascii="宋体" w:hAnsi="宋体" w:cs="宋体"/>
          <w:b w:val="0"/>
          <w:bCs w:val="0"/>
          <w:color w:val="000000" w:themeColor="text1"/>
          <w:sz w:val="24"/>
          <w:highlight w:val="none"/>
          <w:u w:val="single"/>
          <w:lang w:eastAsia="zh-CN"/>
          <w14:textFill>
            <w14:solidFill>
              <w14:schemeClr w14:val="tx1"/>
            </w14:solidFill>
          </w14:textFill>
        </w:rPr>
        <w:t>承包人</w:t>
      </w:r>
      <w:r>
        <w:rPr>
          <w:rFonts w:hint="eastAsia" w:ascii="宋体" w:hAnsi="宋体" w:cs="宋体"/>
          <w:b w:val="0"/>
          <w:bCs w:val="0"/>
          <w:color w:val="000000" w:themeColor="text1"/>
          <w:sz w:val="24"/>
          <w:highlight w:val="none"/>
          <w:u w:val="single"/>
          <w14:textFill>
            <w14:solidFill>
              <w14:schemeClr w14:val="tx1"/>
            </w14:solidFill>
          </w14:textFill>
        </w:rPr>
        <w:t>应按</w:t>
      </w:r>
      <w:r>
        <w:rPr>
          <w:rFonts w:hint="eastAsia" w:ascii="宋体" w:hAnsi="宋体" w:cs="宋体"/>
          <w:b w:val="0"/>
          <w:bCs w:val="0"/>
          <w:color w:val="000000" w:themeColor="text1"/>
          <w:sz w:val="24"/>
          <w:highlight w:val="none"/>
          <w:u w:val="single"/>
          <w:lang w:eastAsia="zh-CN"/>
          <w14:textFill>
            <w14:solidFill>
              <w14:schemeClr w14:val="tx1"/>
            </w14:solidFill>
          </w14:textFill>
        </w:rPr>
        <w:t>合同价</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的</w:t>
      </w:r>
      <w:r>
        <w:rPr>
          <w:rFonts w:hint="eastAsia" w:ascii="宋体" w:hAnsi="宋体" w:cs="宋体"/>
          <w:b w:val="0"/>
          <w:bCs w:val="0"/>
          <w:color w:val="000000" w:themeColor="text1"/>
          <w:sz w:val="24"/>
          <w:highlight w:val="none"/>
          <w:u w:val="single"/>
          <w14:textFill>
            <w14:solidFill>
              <w14:schemeClr w14:val="tx1"/>
            </w14:solidFill>
          </w14:textFill>
        </w:rPr>
        <w:t>1%（其中：其中工期履约保证金25%，项目班子人员、施工机具到位25%，施工质量履约保证金25%，文明安全施工履约保证金25%）的金额以转账支票或电汇或银行转账或银行保函，接受金融机构、担保机构出具的以保函形式向</w:t>
      </w:r>
      <w:r>
        <w:rPr>
          <w:rFonts w:hint="eastAsia" w:ascii="宋体" w:hAnsi="宋体" w:cs="宋体"/>
          <w:b w:val="0"/>
          <w:bCs w:val="0"/>
          <w:color w:val="000000" w:themeColor="text1"/>
          <w:sz w:val="24"/>
          <w:highlight w:val="none"/>
          <w:u w:val="single"/>
          <w:lang w:eastAsia="zh-CN"/>
          <w14:textFill>
            <w14:solidFill>
              <w14:schemeClr w14:val="tx1"/>
            </w14:solidFill>
          </w14:textFill>
        </w:rPr>
        <w:t>发包人</w:t>
      </w:r>
      <w:r>
        <w:rPr>
          <w:rFonts w:hint="eastAsia" w:ascii="宋体" w:hAnsi="宋体" w:cs="宋体"/>
          <w:b w:val="0"/>
          <w:bCs w:val="0"/>
          <w:color w:val="000000" w:themeColor="text1"/>
          <w:sz w:val="24"/>
          <w:highlight w:val="none"/>
          <w:u w:val="single"/>
          <w14:textFill>
            <w14:solidFill>
              <w14:schemeClr w14:val="tx1"/>
            </w14:solidFill>
          </w14:textFill>
        </w:rPr>
        <w:t>提交履约担保</w:t>
      </w:r>
      <w:r>
        <w:rPr>
          <w:rFonts w:hint="eastAsia" w:ascii="宋体" w:hAnsi="宋体" w:cs="宋体"/>
          <w:b w:val="0"/>
          <w:bCs w:val="0"/>
          <w:color w:val="000000" w:themeColor="text1"/>
          <w:sz w:val="24"/>
          <w:highlight w:val="none"/>
          <w:u w:val="single"/>
          <w:lang w:eastAsia="zh-CN"/>
          <w14:textFill>
            <w14:solidFill>
              <w14:schemeClr w14:val="tx1"/>
            </w14:solidFill>
          </w14:textFill>
        </w:rPr>
        <w:t>，以保函形式递交的，保函有效期需包含</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两年质保期时间</w:t>
      </w:r>
      <w:r>
        <w:rPr>
          <w:rFonts w:hint="eastAsia" w:ascii="宋体" w:hAnsi="宋体" w:cs="宋体"/>
          <w:b w:val="0"/>
          <w:bCs w:val="0"/>
          <w:color w:val="000000" w:themeColor="text1"/>
          <w:sz w:val="24"/>
          <w:highlight w:val="none"/>
          <w:u w:val="single"/>
          <w:lang w:eastAsia="zh-CN"/>
          <w14:textFill>
            <w14:solidFill>
              <w14:schemeClr w14:val="tx1"/>
            </w14:solidFill>
          </w14:textFill>
        </w:rPr>
        <w:t>；</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退还时间：质保期两年满后，发包人在质量保修期满后，于7个工作日内将履约保证金无息返还承包人。</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 监理人</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4.1监理人的一般规定</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关于监理人的监理内容：</w:t>
      </w:r>
      <w:r>
        <w:rPr>
          <w:rFonts w:hint="eastAsia" w:ascii="宋体" w:hAnsi="宋体" w:eastAsia="宋体" w:cs="宋体"/>
          <w:color w:val="000000" w:themeColor="text1"/>
          <w:kern w:val="0"/>
          <w:sz w:val="24"/>
          <w:szCs w:val="24"/>
          <w:highlight w:val="none"/>
          <w:u w:val="single"/>
          <w14:textFill>
            <w14:solidFill>
              <w14:schemeClr w14:val="tx1"/>
            </w14:solidFill>
          </w14:textFill>
        </w:rPr>
        <w:t>按照国家监理规范要求及通用条款相关约定，对工程质量、进度、投资、安全、信息管理、合同管理、组织协调等进行全过程管理（包括但不限于）</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关于监理人的监理权限：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按通用条款约定</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按通用条款约定</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4.2监理人员</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总监理工程师：</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姓名：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职务：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监理工程师执业资格证书号：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关于监理人的其他约定：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按通用条款约定。</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 商定或确定</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 工程质量</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 质量要求</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5.1.1 特殊质量标准和要求：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承包人应根据施工现场情况和变化，负责承包范围内工程有二次深化要求的二次深化设计任务，费用已综合考虑在投标报价中，不再另行计取。二次深化设计人员根据发包人提供图纸内容深化，深化设计时不得擅自修改原设计图已明确的内容，同时必须符合相关国家标准和规范，且必须经设计方、发包人及其它相关部门确认后方可进一步实施。</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如</w:t>
      </w:r>
      <w:r>
        <w:rPr>
          <w:rFonts w:hint="eastAsia" w:ascii="宋体" w:hAnsi="宋体" w:eastAsia="宋体" w:cs="宋体"/>
          <w:color w:val="000000" w:themeColor="text1"/>
          <w:sz w:val="24"/>
          <w:szCs w:val="24"/>
          <w:highlight w:val="none"/>
          <w:u w:val="single"/>
          <w14:textFill>
            <w14:solidFill>
              <w14:schemeClr w14:val="tx1"/>
            </w14:solidFill>
          </w14:textFill>
        </w:rPr>
        <w:t>有消防要求的材料、设备检验需与工程同步，不得影响消防验收。</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双方对工程质量有争议的，由双方同意的检测机构鉴定，所需费用及因此造成的损失，由责任方承担。双方都有责任的，由双方根据责任分别承担。双方对工程质量有争议，选择检测机构达不成一致意见的，发包人有单方选择检测机构的权利，检测结果对承包人有约束力。</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（4）承包人在报价时应充分考虑本工程的质量要求，对本工程各项工艺、材料的检查、检验、试验、测试等所需费用和时间应充分考虑。</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（5）在交付及保修期间，如因质量问题需维修，而责任暂时无法界定时，承包人应无条件先进行维修，待界定责任主体后向相应责任主体追偿。</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关于工程奖项的约定：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5.3 隐蔽工程检查</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highlight w:val="none"/>
          <w:u w:val="single"/>
          <w14:textFill>
            <w14:solidFill>
              <w14:schemeClr w14:val="tx1"/>
            </w14:solidFill>
          </w14:textFill>
        </w:rPr>
        <w:t>承包人应在共同检查前48 小时书面通知监理人检查，通知中应载明隐蔽检查的内容、时间和地点，并应附有自检记录和必要的检查资料。隐蔽工程必须做好影像资料收集、整理</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504" w:firstLineChars="21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监理人不能按时进行检查时，应提前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bCs/>
          <w:color w:val="000000" w:themeColor="text1"/>
          <w:sz w:val="24"/>
          <w:szCs w:val="24"/>
          <w:highlight w:val="none"/>
          <w14:textFill>
            <w14:solidFill>
              <w14:schemeClr w14:val="tx1"/>
            </w14:solidFill>
          </w14:textFill>
        </w:rPr>
        <w:t>小时提交书面延期要求。</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关于延期最长不得超过：</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48 </w:t>
      </w:r>
      <w:r>
        <w:rPr>
          <w:rFonts w:hint="eastAsia" w:ascii="宋体" w:hAnsi="宋体" w:eastAsia="宋体" w:cs="宋体"/>
          <w:bCs/>
          <w:color w:val="000000" w:themeColor="text1"/>
          <w:sz w:val="24"/>
          <w:szCs w:val="24"/>
          <w:highlight w:val="none"/>
          <w14:textFill>
            <w14:solidFill>
              <w14:schemeClr w14:val="tx1"/>
            </w14:solidFill>
          </w14:textFill>
        </w:rPr>
        <w:t>小时。</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 安全文明施工与环境保护</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6.1安全文明施工</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6.1.1 项目安全生产的达标目标及相应事项的约定：</w:t>
      </w:r>
      <w:r>
        <w:rPr>
          <w:rFonts w:hint="eastAsia" w:ascii="宋体" w:hAnsi="宋体" w:eastAsia="宋体" w:cs="宋体"/>
          <w:bCs/>
          <w:color w:val="000000" w:themeColor="text1"/>
          <w:sz w:val="24"/>
          <w:szCs w:val="24"/>
          <w:highlight w:val="none"/>
          <w:u w:val="single"/>
          <w14:textFill>
            <w14:solidFill>
              <w14:schemeClr w14:val="tx1"/>
            </w14:solidFill>
          </w14:textFill>
        </w:rPr>
        <w:t>施工现场按照《建筑施工安全检查标准》（JGJ59-2011）评定达到“合格”标准。</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6.1.4 关于治安保卫的特别约定：</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承</w:t>
      </w:r>
      <w:r>
        <w:rPr>
          <w:rFonts w:hint="eastAsia" w:ascii="宋体" w:hAnsi="宋体" w:eastAsia="宋体" w:cs="宋体"/>
          <w:color w:val="000000" w:themeColor="text1"/>
          <w:kern w:val="0"/>
          <w:sz w:val="24"/>
          <w:szCs w:val="24"/>
          <w:highlight w:val="none"/>
          <w:u w:val="single"/>
          <w14:textFill>
            <w14:solidFill>
              <w14:schemeClr w14:val="tx1"/>
            </w14:solidFill>
          </w14:textFill>
        </w:rPr>
        <w:t>包人负责施工区域范围内的交通组织、做好治安管理及保卫工作，安排专人对进出施工区域范围内的人员和车辆进行管理，杜绝治安事件的发生。出现治安事件，承包人应第一时间报警，如存在承包人对内管理不到位导致自身民工或管理人员与其他人员产生冲突，按1万元/次支付违约金，发包人有权在</w:t>
      </w:r>
      <w:bookmarkStart w:id="417" w:name="ed_2021Y1M29D12H21M42"/>
      <w:bookmarkEnd w:id="417"/>
      <w:r>
        <w:rPr>
          <w:rFonts w:hint="eastAsia" w:ascii="宋体" w:hAnsi="宋体" w:eastAsia="宋体" w:cs="宋体"/>
          <w:color w:val="000000" w:themeColor="text1"/>
          <w:kern w:val="0"/>
          <w:sz w:val="24"/>
          <w:szCs w:val="24"/>
          <w:highlight w:val="none"/>
          <w:u w:val="single"/>
          <w14:textFill>
            <w14:solidFill>
              <w14:schemeClr w14:val="tx1"/>
            </w14:solidFill>
          </w14:textFill>
        </w:rPr>
        <w:t>安全文明施工保证金中扣除。且承包人无条件赔偿相关损失，如导致发包人受到任何损失的，由承包人负责赔偿，发包人有权在未付工程款中扣除</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按通用条款约定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6.1.5 文明施工</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合同当事人对文明施工的要求：</w:t>
      </w:r>
    </w:p>
    <w:p>
      <w:pPr>
        <w:spacing w:line="360" w:lineRule="auto"/>
        <w:ind w:firstLine="475" w:firstLineChars="198"/>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（1）遵守地方政府和有关部门对施工场地交通、环卫、安全和施工噪音等管理规定，并办理相关审批手续。</w:t>
      </w:r>
    </w:p>
    <w:p>
      <w:pPr>
        <w:spacing w:line="360" w:lineRule="auto"/>
        <w:ind w:firstLine="475" w:firstLineChars="198"/>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（2）承包人应采取有效措施尽量减小尘土和噪音污染，需要进行夜间作业时应经有关部门批准。</w:t>
      </w:r>
    </w:p>
    <w:p>
      <w:pPr>
        <w:spacing w:line="360" w:lineRule="auto"/>
        <w:ind w:firstLine="475" w:firstLineChars="198"/>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lang w:val="zh-CN"/>
          <w14:textFill>
            <w14:solidFill>
              <w14:schemeClr w14:val="tx1"/>
            </w14:solidFill>
          </w14:textFill>
        </w:rPr>
        <w:t>（3）其他：</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u w:val="single"/>
          <w14:textFill>
            <w14:solidFill>
              <w14:schemeClr w14:val="tx1"/>
            </w14:solidFill>
          </w14:textFill>
        </w:rPr>
        <w:t>。</w:t>
      </w:r>
    </w:p>
    <w:p>
      <w:pPr>
        <w:spacing w:line="360" w:lineRule="auto"/>
        <w:ind w:firstLine="475" w:firstLineChars="198"/>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u w:val="single"/>
          <w14:textFill>
            <w14:solidFill>
              <w14:schemeClr w14:val="tx1"/>
            </w14:solidFill>
          </w14:textFill>
        </w:rPr>
        <w:t>（4）上述手续办理费用约定如下： 由承包人承担。</w:t>
      </w:r>
    </w:p>
    <w:p>
      <w:pPr>
        <w:spacing w:line="360" w:lineRule="auto"/>
        <w:ind w:left="149" w:leftChars="71" w:firstLine="360" w:firstLineChars="15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6.1.6 关于安全文明施工费支付比例和支付期限的约定，按以下</w:t>
      </w:r>
      <w:r>
        <w:rPr>
          <w:rFonts w:hint="eastAsia" w:ascii="宋体" w:hAnsi="宋体" w:eastAsia="宋体" w:cs="宋体"/>
          <w:bCs/>
          <w:color w:val="000000" w:themeColor="text1"/>
          <w:sz w:val="24"/>
          <w:szCs w:val="24"/>
          <w:highlight w:val="none"/>
          <w:u w:val="single"/>
          <w14:textFill>
            <w14:solidFill>
              <w14:schemeClr w14:val="tx1"/>
            </w14:solidFill>
          </w14:textFill>
        </w:rPr>
        <w:t>第（2）种方式</w:t>
      </w:r>
      <w:r>
        <w:rPr>
          <w:rFonts w:hint="eastAsia" w:ascii="宋体" w:hAnsi="宋体" w:eastAsia="宋体" w:cs="宋体"/>
          <w:bCs/>
          <w:color w:val="000000" w:themeColor="text1"/>
          <w:sz w:val="24"/>
          <w:szCs w:val="24"/>
          <w:highlight w:val="none"/>
          <w14:textFill>
            <w14:solidFill>
              <w14:schemeClr w14:val="tx1"/>
            </w14:solidFill>
          </w14:textFill>
        </w:rPr>
        <w:t>约定：</w:t>
      </w:r>
    </w:p>
    <w:p>
      <w:pPr>
        <w:autoSpaceDE w:val="0"/>
        <w:autoSpaceDN w:val="0"/>
        <w:adjustRightInd w:val="0"/>
        <w:spacing w:line="360" w:lineRule="auto"/>
        <w:ind w:firstLine="475" w:firstLineChars="198"/>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（1）发包人应在开工后28天内预付安全文明施工费总额的60%，剩余部分支付按以下第（①）</w:t>
      </w:r>
      <w:r>
        <w:rPr>
          <w:rFonts w:hint="eastAsia" w:ascii="宋体" w:hAnsi="宋体" w:eastAsia="宋体" w:cs="宋体"/>
          <w:color w:val="000000" w:themeColor="text1"/>
          <w:kern w:val="0"/>
          <w:sz w:val="24"/>
          <w:szCs w:val="24"/>
          <w:highlight w:val="none"/>
          <w14:textFill>
            <w14:solidFill>
              <w14:schemeClr w14:val="tx1"/>
            </w14:solidFill>
          </w14:textFill>
        </w:rPr>
        <w:t>种方式约定：</w:t>
      </w:r>
    </w:p>
    <w:p>
      <w:pPr>
        <w:autoSpaceDE w:val="0"/>
        <w:autoSpaceDN w:val="0"/>
        <w:adjustRightInd w:val="0"/>
        <w:spacing w:line="360" w:lineRule="auto"/>
        <w:ind w:firstLine="475" w:firstLineChars="19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①视相关措施的落实情况与进度款同期支付。</w:t>
      </w:r>
    </w:p>
    <w:p>
      <w:pPr>
        <w:autoSpaceDE w:val="0"/>
        <w:autoSpaceDN w:val="0"/>
        <w:adjustRightInd w:val="0"/>
        <w:spacing w:line="360" w:lineRule="auto"/>
        <w:ind w:firstLine="475" w:firstLineChars="19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bookmarkStart w:id="418" w:name="ed_2021Y1M29D12H22M16"/>
      <w:bookmarkEnd w:id="418"/>
      <w:r>
        <w:rPr>
          <w:rFonts w:hint="eastAsia" w:ascii="宋体" w:hAnsi="宋体" w:eastAsia="宋体" w:cs="宋体"/>
          <w:color w:val="000000" w:themeColor="text1"/>
          <w:kern w:val="0"/>
          <w:sz w:val="24"/>
          <w:szCs w:val="24"/>
          <w:highlight w:val="none"/>
          <w14:textFill>
            <w14:solidFill>
              <w14:schemeClr w14:val="tx1"/>
            </w14:solidFill>
          </w14:textFill>
        </w:rPr>
        <w:t>②其他：</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bookmarkStart w:id="419" w:name="ed_2021Y1M29D12H23M11"/>
      <w:bookmarkEnd w:id="419"/>
      <w:r>
        <w:rPr>
          <w:rFonts w:hint="eastAsia" w:ascii="宋体" w:hAnsi="宋体" w:eastAsia="宋体" w:cs="宋体"/>
          <w:color w:val="000000" w:themeColor="text1"/>
          <w:kern w:val="0"/>
          <w:sz w:val="24"/>
          <w:szCs w:val="24"/>
          <w:highlight w:val="none"/>
          <w14:textFill>
            <w14:solidFill>
              <w14:schemeClr w14:val="tx1"/>
            </w14:solidFill>
          </w14:textFill>
        </w:rPr>
        <w:t>（2）其他：</w:t>
      </w:r>
      <w:r>
        <w:rPr>
          <w:rFonts w:hint="eastAsia" w:ascii="宋体" w:hAnsi="宋体" w:eastAsia="宋体" w:cs="宋体"/>
          <w:color w:val="000000" w:themeColor="text1"/>
          <w:kern w:val="0"/>
          <w:sz w:val="24"/>
          <w:szCs w:val="24"/>
          <w:highlight w:val="none"/>
          <w:u w:val="single"/>
          <w14:textFill>
            <w14:solidFill>
              <w14:schemeClr w14:val="tx1"/>
            </w14:solidFill>
          </w14:textFill>
        </w:rPr>
        <w:t>视相关措施的落实情况与进度款同期支付，未实施的安全文明施工措施费将不予支付。</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 工期和进度</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 施工组织设计</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7.1.1 合</w:t>
      </w:r>
      <w:r>
        <w:rPr>
          <w:rFonts w:hint="eastAsia" w:ascii="宋体" w:hAnsi="宋体" w:eastAsia="宋体" w:cs="宋体"/>
          <w:bCs/>
          <w:color w:val="000000" w:themeColor="text1"/>
          <w:kern w:val="0"/>
          <w:sz w:val="24"/>
          <w:szCs w:val="24"/>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按通用条款</w:t>
      </w:r>
      <w:r>
        <w:rPr>
          <w:rFonts w:hint="eastAsia" w:ascii="宋体" w:hAnsi="宋体" w:eastAsia="宋体" w:cs="宋体"/>
          <w:bCs/>
          <w:color w:val="000000" w:themeColor="text1"/>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7.1.2</w:t>
      </w:r>
      <w:r>
        <w:rPr>
          <w:rFonts w:hint="eastAsia" w:ascii="宋体" w:hAnsi="宋体" w:eastAsia="宋体" w:cs="宋体"/>
          <w:bCs/>
          <w:color w:val="000000" w:themeColor="text1"/>
          <w:kern w:val="0"/>
          <w:sz w:val="24"/>
          <w:szCs w:val="24"/>
          <w:highlight w:val="none"/>
          <w14:textFill>
            <w14:solidFill>
              <w14:schemeClr w14:val="tx1"/>
            </w14:solidFill>
          </w14:textFill>
        </w:rPr>
        <w:t>施工组织设计的提交和修改</w:t>
      </w:r>
    </w:p>
    <w:p>
      <w:pPr>
        <w:autoSpaceDE w:val="0"/>
        <w:autoSpaceDN w:val="0"/>
        <w:adjustRightInd w:val="0"/>
        <w:spacing w:line="360" w:lineRule="auto"/>
        <w:ind w:firstLine="504" w:firstLineChars="21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合同签订后（</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）天内提供详细施工组织设计（施工方案）和进度计划</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收到详细的施工组织设计后3日内</w:t>
      </w:r>
      <w:r>
        <w:rPr>
          <w:rFonts w:hint="eastAsia" w:ascii="宋体" w:hAnsi="宋体" w:eastAsia="宋体" w:cs="宋体"/>
          <w:bCs/>
          <w:color w:val="000000" w:themeColor="text1"/>
          <w:sz w:val="24"/>
          <w:szCs w:val="24"/>
          <w:highlight w:val="none"/>
          <w:u w:val="singl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 施工进度计划</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7.2.2 施工进度计划的修订</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收到修订的施工进度计划后3日内</w:t>
      </w:r>
      <w:r>
        <w:rPr>
          <w:rFonts w:hint="eastAsia" w:ascii="宋体" w:hAnsi="宋体" w:eastAsia="宋体" w:cs="宋体"/>
          <w:bCs/>
          <w:color w:val="000000" w:themeColor="text1"/>
          <w:sz w:val="24"/>
          <w:szCs w:val="24"/>
          <w:highlight w:val="none"/>
          <w:u w:val="single"/>
          <w14:textFill>
            <w14:solidFill>
              <w14:schemeClr w14:val="tx1"/>
            </w14:solidFill>
          </w14:textFill>
        </w:rPr>
        <w:t>。发包人、监理单位对施工进度计划的确认是对施工进度计划可行性的确认，并不是对所涉费用的确认，也不免除承包人对施工进度计划应承担的责任。</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7.3 开工</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7.3.1 开工准备</w:t>
      </w:r>
    </w:p>
    <w:p>
      <w:pPr>
        <w:spacing w:line="360" w:lineRule="auto"/>
        <w:ind w:firstLine="645"/>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关于承包人提交</w:t>
      </w:r>
      <w:r>
        <w:rPr>
          <w:rFonts w:hint="eastAsia" w:ascii="宋体" w:hAnsi="宋体" w:eastAsia="宋体" w:cs="宋体"/>
          <w:bCs/>
          <w:color w:val="000000" w:themeColor="text1"/>
          <w:kern w:val="0"/>
          <w:sz w:val="24"/>
          <w:szCs w:val="24"/>
          <w:highlight w:val="none"/>
          <w14:textFill>
            <w14:solidFill>
              <w14:schemeClr w14:val="tx1"/>
            </w14:solidFill>
          </w14:textFill>
        </w:rPr>
        <w:t>工程开工报审表的期限：</w:t>
      </w:r>
      <w:r>
        <w:rPr>
          <w:rFonts w:hint="eastAsia" w:ascii="宋体" w:hAnsi="宋体" w:eastAsia="宋体" w:cs="宋体"/>
          <w:bCs/>
          <w:color w:val="000000" w:themeColor="text1"/>
          <w:sz w:val="24"/>
          <w:szCs w:val="24"/>
          <w:highlight w:val="none"/>
          <w:u w:val="single"/>
          <w14:textFill>
            <w14:solidFill>
              <w14:schemeClr w14:val="tx1"/>
            </w14:solidFill>
          </w14:textFill>
        </w:rPr>
        <w:t>开工日期前7天</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645"/>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bCs/>
          <w:color w:val="000000" w:themeColor="text1"/>
          <w:sz w:val="24"/>
          <w:szCs w:val="24"/>
          <w:highlight w:val="none"/>
          <w:u w:val="single"/>
          <w14:textFill>
            <w14:solidFill>
              <w14:schemeClr w14:val="tx1"/>
            </w14:solidFill>
          </w14:textFill>
        </w:rPr>
        <w:t>开工日期前7天</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bCs/>
          <w:color w:val="000000" w:themeColor="text1"/>
          <w:sz w:val="24"/>
          <w:szCs w:val="24"/>
          <w:highlight w:val="none"/>
          <w:u w:val="single"/>
          <w14:textFill>
            <w14:solidFill>
              <w14:schemeClr w14:val="tx1"/>
            </w14:solidFill>
          </w14:textFill>
        </w:rPr>
        <w:t>开工日期前7天</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7.3.2开工通知</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因发包人原因造成监理人未能在计划开工日期之日起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bCs/>
          <w:color w:val="000000" w:themeColor="text1"/>
          <w:sz w:val="24"/>
          <w:szCs w:val="24"/>
          <w:highlight w:val="none"/>
          <w14:textFill>
            <w14:solidFill>
              <w14:schemeClr w14:val="tx1"/>
            </w14:solidFill>
          </w14:textFill>
        </w:rPr>
        <w:t>天内发出开工通知的，承包人有权提出价格调整要求，或者解除合同。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7.4 测量放线</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 工期延误</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7.5.1 因发包人原因导致工期延误</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（7）因发包人原因导致工期延误的其他情形：</w:t>
      </w:r>
    </w:p>
    <w:p>
      <w:pPr>
        <w:spacing w:line="360" w:lineRule="auto"/>
        <w:ind w:firstLine="475" w:firstLineChars="198"/>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①重大设计变更引起的工期延误</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501" w:firstLineChars="209"/>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②其他：不可抗力</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7.5.2 因承包人原因导致工期延误</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因承包人原因造成工期延误，逾期竣工违约金的计算方法为：</w:t>
      </w:r>
      <w:r>
        <w:rPr>
          <w:rFonts w:hint="eastAsia" w:ascii="宋体" w:hAnsi="宋体" w:eastAsia="宋体" w:cs="宋体"/>
          <w:color w:val="000000" w:themeColor="text1"/>
          <w:kern w:val="0"/>
          <w:sz w:val="24"/>
          <w:szCs w:val="24"/>
          <w:highlight w:val="none"/>
          <w:u w:val="single"/>
          <w14:textFill>
            <w14:solidFill>
              <w14:schemeClr w14:val="tx1"/>
            </w14:solidFill>
          </w14:textFill>
        </w:rPr>
        <w:t>除扣除全部工期保证金外，每延误一天按合同价的千分之三计算违约金。如延误工期超过合同工期的20%，发包人有权解除合同，并将承包人清退出场</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因承包人原因造成工期延误，逾期竣工违约金的上限：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7.6 不利物质条件</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不利物质条件的其他情形和有关约定：</w:t>
      </w:r>
    </w:p>
    <w:p>
      <w:pPr>
        <w:spacing w:line="360" w:lineRule="auto"/>
        <w:ind w:firstLine="475" w:firstLineChars="198"/>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（1）施工场地周围地下管线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75" w:firstLineChars="198"/>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（2）地下障碍物和污染物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75" w:firstLineChars="198"/>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（3）邻近建筑物、构筑物的保护要求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75" w:firstLineChars="198"/>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（4）其他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7.7异常恶劣的气候条件</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发包人和承包人同意以下情形视为异常恶劣的气候条件：</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（1）日最高气温达到40度及以上的天气；</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（2）启动台风橙色及以上预警的天气；</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（3）启动防汛预案一级响应的天气；启动防冻预案一级响应的天气。</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7.9 提前竣工的奖励</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7.9.2提前竣工的奖励：</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 材料与设备</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8.4材料与工程设备的保管与使用</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8.4.1发包人供应的材料设备的保管费用的承担：</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由承包人承担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8.6 样品</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8.6.1样品的报送与封存</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（1）除行政监督部门规定必须报送与封存的材料设备外，对直接影响工程品质和外观效果的材料、设备，必须经发包人和监理认可后才能大面积使用</w:t>
      </w:r>
      <w:bookmarkStart w:id="420" w:name="ed_2021Y2M1D10H35M08"/>
      <w:bookmarkEnd w:id="420"/>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材料设备采购应根据工程量清单、设计技术文件和国家有关规定的具体要求进行采购，所有材料设备必须具有产品合格证、质保书或试验报告，符合国家规定的技术标准；承包人需提前15天向发包人提供所购材料设备的相关技术资料及产品小样，经监理和发包人审核同意后方可封存小样并采购；采购进场的材料设备应与设计及投标承诺的品牌，规格、质量档次及封存的产品小样相一致，在取得发包人书面认可意见后，承包人方可用于工程。</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对于招投标文件中没有规定的材料（设备）或者投标人采用的材料（设备）品牌与招投标文件不一致时，承包人必须书面上报发包人，并取得发包人书面批准同后方可采用。若擅自使用未经发包人书面批准同意的品牌，一经发现，发包人或监理工程师有权予以制止，已使用的无条件返工，造成损失的承包人承担一切责任，如影响进度和交付的承担相应违约责任，如造成建设方损失，承包人赔偿相应的损失。</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若承包人使用了劣质材料设备，一经发现，发包人或监理工程师有权勒令承包人无条件返工。无论发包人或监理工程师是否发现和制止，由于使用劣质材料设备所引起的一切责任均由承包人自负。如影响工期交付的还需承担相应违约责任，若造成发包人损失的，承包人应赔偿全部损失。</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（5）承包人必须按与材料商、分包商签订的合同条款按时支付各种款项。否则，发包人有权暂扣工程款，直至承包人付清欠款后再予支付 。</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8.8 施工设备和临时设施</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由承包人承担相应费用。</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 试验与检验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9.1试验设备与试验人员</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9.1.2 试验设备</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施工现场需要配置的试验场所：</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由承包人承担相应费用</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由承包人承担相应费用</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由承包人承担相应费用</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9.3</w:t>
      </w:r>
      <w:r>
        <w:rPr>
          <w:rFonts w:hint="eastAsia" w:ascii="宋体" w:hAnsi="宋体" w:eastAsia="宋体" w:cs="宋体"/>
          <w:bCs/>
          <w:color w:val="000000" w:themeColor="text1"/>
          <w:kern w:val="0"/>
          <w:sz w:val="24"/>
          <w:szCs w:val="24"/>
          <w:highlight w:val="none"/>
          <w14:textFill>
            <w14:solidFill>
              <w14:schemeClr w14:val="tx1"/>
            </w14:solidFill>
          </w14:textFill>
        </w:rPr>
        <w:t>材料、工程设备和工程的试验和检验</w:t>
      </w:r>
    </w:p>
    <w:p>
      <w:pPr>
        <w:spacing w:line="360" w:lineRule="auto"/>
        <w:ind w:firstLine="453" w:firstLineChars="189"/>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试验、检测单位资质条件约定：</w:t>
      </w:r>
      <w:r>
        <w:rPr>
          <w:rFonts w:hint="eastAsia" w:ascii="宋体" w:hAnsi="宋体" w:eastAsia="宋体" w:cs="宋体"/>
          <w:color w:val="000000" w:themeColor="text1"/>
          <w:sz w:val="24"/>
          <w:szCs w:val="24"/>
          <w:highlight w:val="none"/>
          <w:u w:val="single"/>
          <w14:textFill>
            <w14:solidFill>
              <w14:schemeClr w14:val="tx1"/>
            </w14:solidFill>
          </w14:textFill>
        </w:rPr>
        <w:t>按有关规定和监理人要求执行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53" w:firstLineChars="189"/>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试验、检测单位选择约定：</w:t>
      </w:r>
      <w:r>
        <w:rPr>
          <w:rFonts w:hint="eastAsia" w:ascii="宋体" w:hAnsi="宋体" w:eastAsia="宋体" w:cs="宋体"/>
          <w:color w:val="000000" w:themeColor="text1"/>
          <w:sz w:val="24"/>
          <w:szCs w:val="24"/>
          <w:highlight w:val="none"/>
          <w:u w:val="single"/>
          <w14:textFill>
            <w14:solidFill>
              <w14:schemeClr w14:val="tx1"/>
            </w14:solidFill>
          </w14:textFill>
        </w:rPr>
        <w:t>按有关规定和监理人要求执行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53" w:firstLineChars="189"/>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试验、检测费用约定：</w:t>
      </w:r>
      <w:r>
        <w:rPr>
          <w:rFonts w:hint="eastAsia" w:ascii="宋体" w:hAnsi="宋体" w:eastAsia="宋体" w:cs="宋体"/>
          <w:color w:val="000000" w:themeColor="text1"/>
          <w:kern w:val="0"/>
          <w:sz w:val="24"/>
          <w:szCs w:val="24"/>
          <w:highlight w:val="none"/>
          <w:u w:val="single"/>
          <w14:textFill>
            <w14:solidFill>
              <w14:schemeClr w14:val="tx1"/>
            </w14:solidFill>
          </w14:textFill>
        </w:rPr>
        <w:t>工程有关试验、检测费用由承包人承担（政府有关部门明确规定需要发包人支付的除外），并已含在合同价款中，不再另行计算</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9.4 现场工艺试验 </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按通用条款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 变更</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10.1变更的范围</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关于变更的范围的约定：</w:t>
      </w:r>
      <w:r>
        <w:rPr>
          <w:rFonts w:hint="eastAsia" w:ascii="宋体" w:hAnsi="宋体" w:eastAsia="宋体" w:cs="宋体"/>
          <w:bCs/>
          <w:color w:val="000000" w:themeColor="text1"/>
          <w:sz w:val="24"/>
          <w:szCs w:val="24"/>
          <w:highlight w:val="none"/>
          <w:u w:val="single"/>
          <w14:textFill>
            <w14:solidFill>
              <w14:schemeClr w14:val="tx1"/>
            </w14:solidFill>
          </w14:textFill>
        </w:rPr>
        <w:t>按通用合同条款约定。</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10.4 变更估价</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10.4.1 变更估价原则</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关于变更估价的约定: </w:t>
      </w:r>
    </w:p>
    <w:p>
      <w:pPr>
        <w:spacing w:line="360" w:lineRule="auto"/>
        <w:ind w:firstLine="355" w:firstLineChars="148"/>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u w:val="single"/>
          <w14:textFill>
            <w14:solidFill>
              <w14:schemeClr w14:val="tx1"/>
            </w14:solidFill>
          </w14:textFill>
        </w:rPr>
        <w:t>已标价工程量清单或预算书有相同项目的，按照相同项目单价确定</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360" w:lineRule="auto"/>
        <w:ind w:firstLine="355" w:firstLineChars="148"/>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已标价工程量清单或预算书中无相同项目，但有类似项目的，参照类似项目的单价确定</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360" w:lineRule="auto"/>
        <w:ind w:firstLine="355" w:firstLineChars="148"/>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u w:val="single"/>
          <w14:textFill>
            <w14:solidFill>
              <w14:schemeClr w14:val="tx1"/>
            </w14:solidFill>
          </w14:textFill>
        </w:rPr>
        <w:t>已标价工程量清单或预算书中无相同项目及类似项目单价的，其单价的确定，按以下约定：</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①清单项目中项目特征或工程内容发生部分变更的，应以原综合单价为基础，仅就变更部分相应定额子目调整综合单价。材料、设备发生变更时，仅调整变更前后两种材料、设备投标截止期当期信息价(市场价)的差价及税金。②合同中没有适用或类似工程项目单价的:接以下办法执行。定额套用现行预算定额，取费按现行建设工程计价规则，其中企业管理费费率及利润等综合费用按相应类别工程费率下限计取，规费按投标口径执行，税金按照现行国家规定税率计取。材料及人工(含机械的人工和燃料动力费)价格执行投标截止日前28日历天所在月份的信息价，信息价是指杭州造价信息正刊，杭州造价信息正刊无的按浙江造价信息正刊。当零星工程发生签证台班数量，机械单价执行预算定额单价。按照上述方法计算后综合单价乘以优惠率得出变更单价，优惠率=中标价/招标控制价(均不含暂列金额、暂估价)。对无定额(或无类似定额)及当地信息价正刊没有的材料由发包人、承包人、跟审单位(如有)、监理单位在充分市场询价基础上按照规定亩批程序签证确定，最终以结算审计审定为准 </w:t>
      </w:r>
      <w:r>
        <w:rPr>
          <w:rFonts w:hint="eastAsia" w:ascii="宋体" w:hAnsi="宋体" w:eastAsia="宋体" w:cs="宋体"/>
          <w:b w:val="0"/>
          <w:bCs/>
          <w:color w:val="000000" w:themeColor="text1"/>
          <w:sz w:val="24"/>
          <w:szCs w:val="24"/>
          <w:highlight w:val="none"/>
          <w14:textFill>
            <w14:solidFill>
              <w14:schemeClr w14:val="tx1"/>
            </w14:solidFill>
          </w14:textFill>
        </w:rPr>
        <w:t>。</w:t>
      </w:r>
    </w:p>
    <w:p>
      <w:pPr>
        <w:spacing w:line="360" w:lineRule="auto"/>
        <w:ind w:firstLine="355" w:firstLineChars="148"/>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按照10.4.1第（3）条约定执行   </w:t>
      </w:r>
      <w:r>
        <w:rPr>
          <w:rFonts w:hint="eastAsia" w:ascii="宋体" w:hAnsi="宋体" w:eastAsia="宋体" w:cs="宋体"/>
          <w:b/>
          <w:color w:val="000000" w:themeColor="text1"/>
          <w:sz w:val="24"/>
          <w:szCs w:val="24"/>
          <w:highlight w:val="none"/>
          <w14:textFill>
            <w14:solidFill>
              <w14:schemeClr w14:val="tx1"/>
            </w14:solidFill>
          </w14:textFill>
        </w:rPr>
        <w:t>。</w:t>
      </w:r>
    </w:p>
    <w:p>
      <w:pPr>
        <w:autoSpaceDE w:val="0"/>
        <w:autoSpaceDN w:val="0"/>
        <w:adjustRightInd w:val="0"/>
        <w:spacing w:line="360" w:lineRule="auto"/>
        <w:ind w:firstLine="355" w:firstLineChars="148"/>
        <w:jc w:val="lef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其他： </w:t>
      </w:r>
    </w:p>
    <w:p>
      <w:pPr>
        <w:autoSpaceDE w:val="0"/>
        <w:autoSpaceDN w:val="0"/>
        <w:adjustRightInd w:val="0"/>
        <w:spacing w:line="360" w:lineRule="auto"/>
        <w:ind w:firstLine="355" w:firstLineChars="14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①工程量根据施工图及联系单，按照《建设工程工程量清单计价规范》计算。</w:t>
      </w:r>
    </w:p>
    <w:p>
      <w:pPr>
        <w:autoSpaceDE w:val="0"/>
        <w:autoSpaceDN w:val="0"/>
        <w:adjustRightInd w:val="0"/>
        <w:spacing w:line="360" w:lineRule="auto"/>
        <w:ind w:firstLine="355" w:firstLineChars="14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②承包人一旦选定品牌后，在工程施工过程中不得以产品品质无法达到设计要求、产品生产能力无法跟上工期进度、该品牌无此类产品等理由要求换品牌；当出现不得不更换产品品牌时，该品牌应在工程量清单选定的品牌、规格范围内，且发包人需对其进行考察确认，单价不应突破原材料投标报价。</w:t>
      </w:r>
    </w:p>
    <w:p>
      <w:pPr>
        <w:autoSpaceDE w:val="0"/>
        <w:autoSpaceDN w:val="0"/>
        <w:adjustRightInd w:val="0"/>
        <w:spacing w:line="360" w:lineRule="auto"/>
        <w:ind w:firstLine="355" w:firstLineChars="14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③清单项目中项目特征或工程内容发生部分变更的，应以原综合单价为基础，仅就变更部分相应定额子目调整综合单价。材料变化的仅调整材料的信息价（或除税市场价）差价，并计增减材料差价的税金。</w:t>
      </w:r>
    </w:p>
    <w:p>
      <w:pPr>
        <w:autoSpaceDE w:val="0"/>
        <w:autoSpaceDN w:val="0"/>
        <w:adjustRightInd w:val="0"/>
        <w:spacing w:line="360" w:lineRule="auto"/>
        <w:ind w:firstLine="355" w:firstLineChars="148"/>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④措施费调整原则：1）施工组织措施费、施工技术措施费在招标范围未发生变化情况下，按投标报价包干。2）在招标范围发生重大变化或重大设计变更引起施工技术措施项目费增加或减少时，变更部分根据相关变更依据和建设行政主管部门的批复意见按实调整，原措施费项目清单中已有的措施项目，按原有措施费的组价方法或单价调整；原措施费项目清单中没有的措施项目，组价方法按10.4.1第三条执行；组织措施费按中标价的组织措施费同比例调整。3)如有甩项工程，发包人将对相应施工组织措施费和技术措施费按上述方法予以扣除。</w:t>
      </w:r>
    </w:p>
    <w:p>
      <w:pPr>
        <w:spacing w:line="360" w:lineRule="auto"/>
        <w:ind w:firstLine="355" w:firstLineChars="148"/>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⑤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第按10.4.1第三条，结合投标报价水平确定</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10.5承包人的合理化建议</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监理人审查承包人合理化建议的期限：</w:t>
      </w:r>
      <w:r>
        <w:rPr>
          <w:rFonts w:hint="eastAsia" w:ascii="宋体" w:hAnsi="宋体" w:eastAsia="宋体" w:cs="宋体"/>
          <w:bCs/>
          <w:color w:val="000000" w:themeColor="text1"/>
          <w:sz w:val="24"/>
          <w:szCs w:val="24"/>
          <w:highlight w:val="none"/>
          <w:u w:val="single"/>
          <w14:textFill>
            <w14:solidFill>
              <w14:schemeClr w14:val="tx1"/>
            </w14:solidFill>
          </w14:textFill>
        </w:rPr>
        <w:t>按通用条款</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执行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bCs/>
          <w:color w:val="000000" w:themeColor="text1"/>
          <w:sz w:val="24"/>
          <w:szCs w:val="24"/>
          <w:highlight w:val="none"/>
          <w:u w:val="single"/>
          <w14:textFill>
            <w14:solidFill>
              <w14:schemeClr w14:val="tx1"/>
            </w14:solidFill>
          </w14:textFill>
        </w:rPr>
        <w:t>按通用条款</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执行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10.7 暂估价</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暂估价材料和工程设备的明细</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10.7.1 依法必须招标的暂估价项目</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对于依法必须招标的暂估价项目的确认和批准采取第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种方式确定。</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10.7.2 不属于依法必须招标的暂估价项目</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对于不属于依法必须招标的暂估价项目的确认和批准采取第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种方式确定。</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第3种方式：</w:t>
      </w:r>
      <w:r>
        <w:rPr>
          <w:rFonts w:hint="eastAsia" w:ascii="宋体" w:hAnsi="宋体" w:eastAsia="宋体" w:cs="宋体"/>
          <w:bCs/>
          <w:color w:val="000000" w:themeColor="text1"/>
          <w:kern w:val="0"/>
          <w:sz w:val="24"/>
          <w:szCs w:val="24"/>
          <w:highlight w:val="none"/>
          <w14:textFill>
            <w14:solidFill>
              <w14:schemeClr w14:val="tx1"/>
            </w14:solidFill>
          </w14:textFill>
        </w:rPr>
        <w:t>承包人直接实施的暂估价项目</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承包人直接实施的暂估价项目的约定：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10.8 暂列金额</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 价格调整</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 市场价格波动引起的调整</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市场价格波动是否调整合同价格的约定：</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否</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 合同价格、计量与支付</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12.1 合同价格形式</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1、单价合同。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综合单价包含的风险范围：</w:t>
      </w:r>
    </w:p>
    <w:p>
      <w:pPr>
        <w:spacing w:line="360" w:lineRule="auto"/>
        <w:ind w:firstLine="480" w:firstLineChars="200"/>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u w:val="single"/>
          <w14:textFill>
            <w14:solidFill>
              <w14:schemeClr w14:val="tx1"/>
            </w14:solidFill>
          </w14:textFill>
        </w:rPr>
        <w:t>应由承包人承担的工、料、机在投标编制期或预算书编制期与合同实施期间所发生的市场价格波动。</w:t>
      </w:r>
    </w:p>
    <w:p>
      <w:pPr>
        <w:spacing w:line="360" w:lineRule="auto"/>
        <w:ind w:firstLine="480"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其他：</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风险费用的计算方法：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p>
    <w:p>
      <w:pPr>
        <w:spacing w:line="360" w:lineRule="auto"/>
        <w:ind w:firstLine="480" w:firstLineChars="200"/>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u w:val="single"/>
          <w14:textFill>
            <w14:solidFill>
              <w14:schemeClr w14:val="tx1"/>
            </w14:solidFill>
          </w14:textFill>
        </w:rPr>
        <w:t>市场价格波动引起的调整按本合同11.1第3种方式的约定计算</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其他：</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a.对于法律、法规、规章或有关政策出台导致工程税金、规费、人工费用发生变化，并由市级、行业建设行政主管部门或其授权的工程造价管理机构根据上述变化发布的政策性调整，承包人不承担此类风险，可按照调整规定执行；</w:t>
      </w:r>
    </w:p>
    <w:p>
      <w:pPr>
        <w:spacing w:line="360" w:lineRule="auto"/>
        <w:ind w:firstLine="480" w:firstLineChars="200"/>
        <w:jc w:val="left"/>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u w:val="single"/>
          <w14:textFill>
            <w14:solidFill>
              <w14:schemeClr w14:val="tx1"/>
            </w14:solidFill>
          </w14:textFill>
        </w:rPr>
        <w:t>b.本合同《专用合同条款》第 10.1款所述工程变更，应根据发包人变更及联系单管理办法执行，费用按本专用合同条款第10.4.1 款规定，对合同价款予以调整（清单中明确要求包干的报价项目除外）；</w:t>
      </w:r>
    </w:p>
    <w:p>
      <w:pPr>
        <w:spacing w:line="360" w:lineRule="auto"/>
        <w:ind w:firstLine="501" w:firstLineChars="209"/>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u w:val="single"/>
          <w14:textFill>
            <w14:solidFill>
              <w14:schemeClr w14:val="tx1"/>
            </w14:solidFill>
          </w14:textFill>
        </w:rPr>
        <w:t>c、发包人提出与本工程施工相关的设计或工程变更，承包人不得以任何理由拒绝，并严格执行</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360" w:lineRule="auto"/>
        <w:ind w:firstLine="504" w:firstLineChars="21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12.1.2、总价合同。</w:t>
      </w:r>
    </w:p>
    <w:p>
      <w:pPr>
        <w:spacing w:line="360" w:lineRule="auto"/>
        <w:ind w:firstLine="504" w:firstLineChars="21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总价包含的风险范围：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风险费用的计算方法：</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12.1.3、其他价格方式：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12.2 预付款</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12.2.1 预付款的支付</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预付款支付比例或金额：</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合同签订后7个工作日内且承包人提交合同总价1%的履约保证金、开工报告后；由发包人向承包人支付合同价（扣除安全文明施工费、暂列金额、暂估价）的40%预付款</w:t>
      </w:r>
      <w:r>
        <w:rPr>
          <w:rFonts w:hint="eastAsia" w:ascii="宋体" w:hAnsi="宋体" w:cs="宋体"/>
          <w:b w:val="0"/>
          <w:bCs w:val="0"/>
          <w:color w:val="000000" w:themeColor="text1"/>
          <w:sz w:val="24"/>
          <w:highlight w:val="none"/>
          <w:u w:val="singl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工资预付款支付比例或金额</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合同价的的1%（含在</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u w:val="single"/>
          <w14:textFill>
            <w14:solidFill>
              <w14:schemeClr w14:val="tx1"/>
            </w14:solidFill>
          </w14:textFill>
        </w:rPr>
        <w:t>0%预付款中）</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预付款支付期限：</w:t>
      </w:r>
      <w:r>
        <w:rPr>
          <w:rFonts w:hint="eastAsia" w:ascii="宋体" w:hAnsi="宋体" w:eastAsia="宋体" w:cs="宋体"/>
          <w:bCs/>
          <w:color w:val="000000" w:themeColor="text1"/>
          <w:sz w:val="24"/>
          <w:szCs w:val="24"/>
          <w:highlight w:val="none"/>
          <w:u w:val="single"/>
          <w14:textFill>
            <w14:solidFill>
              <w14:schemeClr w14:val="tx1"/>
            </w14:solidFill>
          </w14:textFill>
        </w:rPr>
        <w:t>合同签订后供应商递交履约保证金，具备开工条件后支付</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预付款扣回的方式：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不扣回，在进度款中抵扣</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12.2.2 预付款担保</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 计量</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12.3.1 计量原则</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工程量计算规则：</w:t>
      </w:r>
    </w:p>
    <w:p>
      <w:pPr>
        <w:spacing w:line="360" w:lineRule="auto"/>
        <w:ind w:firstLine="480" w:firstLineChars="200"/>
        <w:jc w:val="left"/>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 xml:space="preserve"> 实行工程量清单计价的工程项目，其工程量的计算规则应按国家标准工程量计算规范及省级行业主管部门颁布的补充规定执行。</w:t>
      </w:r>
    </w:p>
    <w:p>
      <w:pPr>
        <w:spacing w:line="360" w:lineRule="auto"/>
        <w:ind w:firstLine="480" w:firstLineChars="200"/>
        <w:jc w:val="left"/>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（2）</w:t>
      </w:r>
      <w:r>
        <w:rPr>
          <w:rFonts w:hint="eastAsia" w:ascii="宋体" w:hAnsi="宋体" w:eastAsia="宋体" w:cs="宋体"/>
          <w:b/>
          <w:bCs w:val="0"/>
          <w:color w:val="000000" w:themeColor="text1"/>
          <w:sz w:val="24"/>
          <w:szCs w:val="24"/>
          <w:highlight w:val="none"/>
          <w:u w:val="single"/>
          <w14:textFill>
            <w14:solidFill>
              <w14:schemeClr w14:val="tx1"/>
            </w14:solidFill>
          </w14:textFill>
        </w:rPr>
        <w:t>不实行工程量清单计价的工程项目，工程量的计算规则应按省、市行业主管部门颁布的各专业工程定额的工程量计算规则执行。</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12.3.2 计量周期</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按完成合同产值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12.3.3 单价合同的计量</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按完成合同产值</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工资性工程款比例约定：</w:t>
      </w:r>
      <w:r>
        <w:rPr>
          <w:rFonts w:hint="eastAsia" w:ascii="宋体" w:hAnsi="宋体" w:eastAsia="宋体" w:cs="宋体"/>
          <w:bCs/>
          <w:color w:val="000000" w:themeColor="text1"/>
          <w:sz w:val="24"/>
          <w:szCs w:val="24"/>
          <w:highlight w:val="none"/>
          <w:u w:val="single"/>
          <w14:textFill>
            <w14:solidFill>
              <w14:schemeClr w14:val="tx1"/>
            </w14:solidFill>
          </w14:textFill>
        </w:rPr>
        <w:t>按《关于在全省工程建设领域改革保证金制度的通知》（浙建 〔2020〕7 号）文件执行（具体为实际已完产值的20%）</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12.3.4 总价合同的计量</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工资性工程款比例约定：</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bCs/>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bCs/>
          <w:color w:val="000000" w:themeColor="text1"/>
          <w:sz w:val="24"/>
          <w:szCs w:val="24"/>
          <w:highlight w:val="none"/>
          <w14:textFill>
            <w14:solidFill>
              <w14:schemeClr w14:val="tx1"/>
            </w14:solidFill>
          </w14:textFill>
        </w:rPr>
        <w:t>约定进行计量：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12.3.6 其他价格形式合同的计量</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 工程进度款支付</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12.4.1 付款周期</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关于付款周期的约定：</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①工程产值完成至 60%时，支付至签约合同价的50%；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②工程产值完成至90%时，支付至签约合同价的 85%；</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②工程竣工经初步验收合格，凭初验合格证明支付至签约合同价的 95%；</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none"/>
          <w:lang w:val="en-US" w:eastAsia="zh-CN"/>
          <w14:textFill>
            <w14:solidFill>
              <w14:schemeClr w14:val="tx1"/>
            </w14:solidFill>
          </w14:textFill>
        </w:rPr>
        <w:t>④工程结算审核完成且经项目履约验收合格后，凭结算审核报告及履约验收报告支付至审定价的100%；</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u w:val="singl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（3）支付条件：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①各支付节点实际支付时间：以财政下达资金时间为准，若超出财政年度拨款额度，按财政年度拨款额度支付。发包人向承包人支付每笔款项前供应商应向发包人提供与当期合同款等额的正规有效增值税发票，未及时提供相应发票的，发包人有权暂不付款且不承担逾期违约的责任。</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u w:val="single"/>
          <w:lang w:val="en-US" w:eastAsia="zh-CN"/>
          <w14:textFill>
            <w14:solidFill>
              <w14:schemeClr w14:val="tx1"/>
            </w14:solidFill>
          </w14:textFill>
        </w:rPr>
        <w:t>②因履行合同发生争议的，发包人有权暂不支付除农民工工资以外的合同价款直至争议解决并不承担违约责任。因承包人履行合同不符合约定的，发包人有权从任何一笔待支付款项、履约保证金、质量保证金中扣减因此产生的违约金、实际损失等所有相关费用。</w:t>
      </w:r>
    </w:p>
    <w:p>
      <w:pPr>
        <w:pageBreakBefore w:val="0"/>
        <w:numPr>
          <w:ilvl w:val="0"/>
          <w:numId w:val="0"/>
        </w:numPr>
        <w:kinsoku/>
        <w:wordWrap/>
        <w:overflowPunct/>
        <w:topLinePunct w:val="0"/>
        <w:bidi w:val="0"/>
        <w:adjustRightInd/>
        <w:spacing w:line="360" w:lineRule="auto"/>
        <w:ind w:left="0" w:leftChars="0" w:firstLine="480" w:firstLineChars="200"/>
        <w:jc w:val="left"/>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本项目总价包干，如</w:t>
      </w:r>
      <w:r>
        <w:rPr>
          <w:rFonts w:hint="eastAsia" w:ascii="宋体" w:hAnsi="宋体" w:eastAsia="宋体" w:cs="宋体"/>
          <w:b/>
          <w:bCs/>
          <w:color w:val="000000" w:themeColor="text1"/>
          <w:sz w:val="24"/>
          <w:highlight w:val="none"/>
          <w:u w:val="single"/>
          <w14:textFill>
            <w14:solidFill>
              <w14:schemeClr w14:val="tx1"/>
            </w14:solidFill>
          </w14:textFill>
        </w:rPr>
        <w:t>采购人根据工程实际情况调整（增减）工程量，</w:t>
      </w:r>
      <w:r>
        <w:rPr>
          <w:rFonts w:hint="eastAsia" w:ascii="宋体" w:hAnsi="宋体" w:cs="宋体"/>
          <w:b/>
          <w:bCs/>
          <w:color w:val="000000" w:themeColor="text1"/>
          <w:sz w:val="24"/>
          <w:highlight w:val="none"/>
          <w:u w:val="single"/>
          <w:lang w:val="en-US" w:eastAsia="zh-CN"/>
          <w14:textFill>
            <w14:solidFill>
              <w14:schemeClr w14:val="tx1"/>
            </w14:solidFill>
          </w14:textFill>
        </w:rPr>
        <w:t>调整部分的工程，根据单价按实际结算，最终结算总价不得高于合同总价</w:t>
      </w:r>
      <w:r>
        <w:rPr>
          <w:rFonts w:hint="eastAsia" w:ascii="宋体" w:hAnsi="宋体" w:eastAsia="宋体" w:cs="宋体"/>
          <w:b/>
          <w:bCs/>
          <w:color w:val="000000" w:themeColor="text1"/>
          <w:sz w:val="24"/>
          <w:highlight w:val="none"/>
          <w:u w:val="single"/>
          <w14:textFill>
            <w14:solidFill>
              <w14:schemeClr w14:val="tx1"/>
            </w14:solidFill>
          </w14:textFill>
        </w:rPr>
        <w:t>。</w:t>
      </w:r>
    </w:p>
    <w:p>
      <w:pPr>
        <w:spacing w:line="360" w:lineRule="auto"/>
        <w:ind w:firstLine="480" w:firstLineChars="200"/>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12.4.2 进度付款申请单的编制</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bCs/>
          <w:color w:val="000000" w:themeColor="text1"/>
          <w:sz w:val="24"/>
          <w:szCs w:val="24"/>
          <w:highlight w:val="none"/>
          <w:u w:val="single"/>
          <w14:textFill>
            <w14:solidFill>
              <w14:schemeClr w14:val="tx1"/>
            </w14:solidFill>
          </w14:textFill>
        </w:rPr>
        <w:t>按发包人或监理要求执行。</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12.4.3 进度付款申请单的提交</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按完成合同产值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12.4.4 进度款审核和支付</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（1）监理人审查并报送发包人的期限：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收到申请7天内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发包人完成审批并签发进度款支付证书的期限：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收到申请7天内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（2）发包人支付进度款的期限：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600" w:firstLineChars="25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600" w:firstLineChars="25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12.4.6 支付分解表的编制</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 验收和工程试车</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13.1 分部分项工程验收</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13.1.2监理人不能按时进行验收时，应提前</w:t>
      </w:r>
      <w:r>
        <w:rPr>
          <w:rFonts w:hint="eastAsia" w:ascii="宋体" w:hAnsi="宋体" w:eastAsia="宋体" w:cs="宋体"/>
          <w:bCs/>
          <w:color w:val="000000" w:themeColor="text1"/>
          <w:sz w:val="24"/>
          <w:szCs w:val="24"/>
          <w:highlight w:val="none"/>
          <w:u w:val="single"/>
          <w14:textFill>
            <w14:solidFill>
              <w14:schemeClr w14:val="tx1"/>
            </w14:solidFill>
          </w14:textFill>
        </w:rPr>
        <w:t>24</w:t>
      </w:r>
      <w:r>
        <w:rPr>
          <w:rFonts w:hint="eastAsia" w:ascii="宋体" w:hAnsi="宋体" w:eastAsia="宋体" w:cs="宋体"/>
          <w:bCs/>
          <w:color w:val="000000" w:themeColor="text1"/>
          <w:sz w:val="24"/>
          <w:szCs w:val="24"/>
          <w:highlight w:val="none"/>
          <w14:textFill>
            <w14:solidFill>
              <w14:schemeClr w14:val="tx1"/>
            </w14:solidFill>
          </w14:textFill>
        </w:rPr>
        <w:t>小时提交书面延期要求。</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关于延期最长不得超过：</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48 </w:t>
      </w:r>
      <w:r>
        <w:rPr>
          <w:rFonts w:hint="eastAsia" w:ascii="宋体" w:hAnsi="宋体" w:eastAsia="宋体" w:cs="宋体"/>
          <w:bCs/>
          <w:color w:val="000000" w:themeColor="text1"/>
          <w:sz w:val="24"/>
          <w:szCs w:val="24"/>
          <w:highlight w:val="none"/>
          <w14:textFill>
            <w14:solidFill>
              <w14:schemeClr w14:val="tx1"/>
            </w14:solidFill>
          </w14:textFill>
        </w:rPr>
        <w:t>小时。</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13.2 竣工验收</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13.2.2竣工验收程序</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关于竣工验收程序的约定</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u w:val="single"/>
          <w:lang w:bidi="zh-CN"/>
          <w14:textFill>
            <w14:solidFill>
              <w14:schemeClr w14:val="tx1"/>
            </w14:solidFill>
          </w14:textFill>
        </w:rPr>
        <w:t>按通用合同条款规定执行。</w:t>
      </w:r>
    </w:p>
    <w:p>
      <w:pPr>
        <w:spacing w:line="360" w:lineRule="auto"/>
        <w:ind w:left="180" w:leftChars="86" w:firstLine="240" w:firstLineChars="1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按通用合同条款规定执行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13.2.5移交、接收全部与部分工程</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承包人向发包人移交工程的期限：按通用条款执行</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bCs/>
          <w:color w:val="000000" w:themeColor="text1"/>
          <w:sz w:val="24"/>
          <w:szCs w:val="24"/>
          <w:highlight w:val="none"/>
          <w:u w:val="single"/>
          <w14:textFill>
            <w14:solidFill>
              <w14:schemeClr w14:val="tx1"/>
            </w14:solidFill>
          </w14:textFill>
        </w:rPr>
        <w:t>工程竣工验收通过后7日内，承包人须无条件向发包人移交全部工程，逾期移交的，每逾期一日，按合同价的千分之三每天向发包人支付违约金。同时，承包人移交所有工程之前，发包人有权拒绝支付工程</w:t>
      </w:r>
      <w:r>
        <w:rPr>
          <w:rFonts w:hint="eastAsia" w:ascii="宋体" w:hAnsi="宋体" w:eastAsia="宋体" w:cs="宋体"/>
          <w:bCs/>
          <w:color w:val="000000" w:themeColor="text1"/>
          <w:sz w:val="24"/>
          <w:szCs w:val="24"/>
          <w:highlight w:val="none"/>
          <w14:textFill>
            <w14:solidFill>
              <w14:schemeClr w14:val="tx1"/>
            </w14:solidFill>
          </w14:textFill>
        </w:rPr>
        <w:t>款。</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13.3 工程试车</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13.3.1 试车程序</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工程试车内容：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所有试车费用承包人已在合同价中包干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（1）单机无负荷试车费用由</w:t>
      </w:r>
      <w:r>
        <w:rPr>
          <w:rFonts w:hint="eastAsia" w:ascii="宋体" w:hAnsi="宋体" w:eastAsia="宋体" w:cs="宋体"/>
          <w:bCs/>
          <w:color w:val="000000" w:themeColor="text1"/>
          <w:sz w:val="24"/>
          <w:szCs w:val="24"/>
          <w:highlight w:val="none"/>
          <w:u w:val="single"/>
          <w14:textFill>
            <w14:solidFill>
              <w14:schemeClr w14:val="tx1"/>
            </w14:solidFill>
          </w14:textFill>
        </w:rPr>
        <w:t>承包</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承担；</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（2）无负荷联动试车费用由</w:t>
      </w:r>
      <w:r>
        <w:rPr>
          <w:rFonts w:hint="eastAsia" w:ascii="宋体" w:hAnsi="宋体" w:eastAsia="宋体" w:cs="宋体"/>
          <w:bCs/>
          <w:color w:val="000000" w:themeColor="text1"/>
          <w:sz w:val="24"/>
          <w:szCs w:val="24"/>
          <w:highlight w:val="none"/>
          <w:u w:val="single"/>
          <w14:textFill>
            <w14:solidFill>
              <w14:schemeClr w14:val="tx1"/>
            </w14:solidFill>
          </w14:textFill>
        </w:rPr>
        <w:t>承包</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承担。</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13.3.3 投料试车</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关于投料试车相关事项的约定：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13.6 竣工退场</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13.6.1 竣工退场</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承包人完成竣工退场的期限：</w:t>
      </w:r>
      <w:r>
        <w:rPr>
          <w:rFonts w:hint="eastAsia" w:ascii="宋体" w:hAnsi="宋体" w:eastAsia="宋体" w:cs="宋体"/>
          <w:bCs/>
          <w:color w:val="000000" w:themeColor="text1"/>
          <w:kern w:val="0"/>
          <w:sz w:val="24"/>
          <w:szCs w:val="24"/>
          <w:highlight w:val="none"/>
          <w:u w:val="single"/>
          <w14:textFill>
            <w14:solidFill>
              <w14:schemeClr w14:val="tx1"/>
            </w14:solidFill>
          </w14:textFill>
        </w:rPr>
        <w:t>竣工验收合格后10日内</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21" w:name="_Toc351203646"/>
      <w:r>
        <w:rPr>
          <w:rFonts w:hint="eastAsia" w:ascii="宋体" w:hAnsi="宋体" w:eastAsia="宋体" w:cs="宋体"/>
          <w:color w:val="000000" w:themeColor="text1"/>
          <w:sz w:val="24"/>
          <w:szCs w:val="24"/>
          <w:highlight w:val="none"/>
          <w14:textFill>
            <w14:solidFill>
              <w14:schemeClr w14:val="tx1"/>
            </w14:solidFill>
          </w14:textFill>
        </w:rPr>
        <w:t>14  竣工结算</w:t>
      </w:r>
      <w:bookmarkEnd w:id="421"/>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竣工结算申请</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承包人提交竣工结算申请单的期限：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按通用条款执行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竣工结算申请单应包括的内容：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按通用条款执行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竣工结算审核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发包人审批竣工付款申请单的期限：</w:t>
      </w:r>
      <w:r>
        <w:rPr>
          <w:rFonts w:hint="eastAsia" w:ascii="宋体" w:hAnsi="宋体" w:eastAsia="宋体" w:cs="宋体"/>
          <w:color w:val="000000" w:themeColor="text1"/>
          <w:sz w:val="24"/>
          <w:szCs w:val="24"/>
          <w:highlight w:val="none"/>
          <w:u w:val="single"/>
          <w14:textFill>
            <w14:solidFill>
              <w14:schemeClr w14:val="tx1"/>
            </w14:solidFill>
          </w14:textFill>
        </w:rPr>
        <w:t>工程结算审核报告完成后28天内</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发包人完成竣工付款的期限：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工程结算审核报告完成后28天内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发包人向承包人提交审核报告（审计报告）初稿后30 日内，承包人未书面提出异议或异议内容无合法依据的，视为承包人认可该报告数据，审核中介机构可以出具单方审核报告，发包人按审核报告结算工程款。发包人在取得合规的增值税专用发票后才支付款项。如承包人开具的发票不规范、不合法或涉嫌虚开，发包人有权拒绝付款，且承包人要负赔偿责任，并不能免除其开具合法发票的义务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最终结清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14.4.1  最终结清申请单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承包人提交最终结清申请单的份数：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四份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承包人提交最终结算申请单的期限：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质保期满后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14.4.2  最终结清证书和支付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highlight w:val="none"/>
          <w:u w:val="single"/>
          <w14:textFill>
            <w14:solidFill>
              <w14:schemeClr w14:val="tx1"/>
            </w14:solidFill>
          </w14:textFill>
        </w:rPr>
        <w:t>收到申请28天内</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color w:val="000000" w:themeColor="text1"/>
          <w:sz w:val="24"/>
          <w:szCs w:val="24"/>
          <w:highlight w:val="none"/>
          <w:u w:val="single"/>
          <w14:textFill>
            <w14:solidFill>
              <w14:schemeClr w14:val="tx1"/>
            </w14:solidFill>
          </w14:textFill>
        </w:rPr>
        <w:t>申请签发后14天</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 缺陷责任期与保修</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15.2缺陷责任期</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缺陷责任期的具体期限：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24 个月，</w:t>
      </w:r>
      <w:r>
        <w:rPr>
          <w:rFonts w:hint="eastAsia" w:ascii="宋体" w:hAnsi="宋体" w:eastAsia="宋体" w:cs="宋体"/>
          <w:bCs/>
          <w:color w:val="000000" w:themeColor="text1"/>
          <w:kern w:val="0"/>
          <w:sz w:val="24"/>
          <w:szCs w:val="24"/>
          <w:highlight w:val="none"/>
          <w:u w:val="single"/>
          <w14:textFill>
            <w14:solidFill>
              <w14:schemeClr w14:val="tx1"/>
            </w14:solidFill>
          </w14:textFill>
        </w:rPr>
        <w:t>详见《工程质量保修书》</w:t>
      </w:r>
      <w:r>
        <w:rPr>
          <w:rFonts w:hint="eastAsia" w:ascii="宋体" w:hAnsi="宋体" w:eastAsia="宋体" w:cs="宋体"/>
          <w:bCs/>
          <w:color w:val="000000" w:themeColor="text1"/>
          <w:sz w:val="24"/>
          <w:szCs w:val="24"/>
          <w:highlight w:val="none"/>
          <w:u w:val="single"/>
          <w14:textFill>
            <w14:solidFill>
              <w14:schemeClr w14:val="tx1"/>
            </w14:solidFill>
          </w14:textFill>
        </w:rPr>
        <w:t>，以竣工验收合格正式移交发包人之日起计算，至质保期满为止。如工程质量不能满足竣工验收要求的，整改期间承包人必须继续免费质保至竣工验收合格为止</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15.3 质量保证金</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否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在工程项目竣工前，承包人按专用合同条款第3.7条提供履约担保的，发包人不得同时预留工程质量保证金。</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15.3.1 承包人提供质量保证金的方式</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质量保证金采用以下第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种方式：</w:t>
      </w:r>
    </w:p>
    <w:p>
      <w:pPr>
        <w:numPr>
          <w:ilvl w:val="0"/>
          <w:numId w:val="4"/>
        </w:num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质量保证金保函，保证金额为：</w:t>
      </w:r>
      <w:r>
        <w:rPr>
          <w:rFonts w:hint="eastAsia" w:ascii="宋体" w:hAnsi="宋体" w:eastAsia="宋体" w:cs="宋体"/>
          <w:bCs/>
          <w:color w:val="000000" w:themeColor="text1"/>
          <w:kern w:val="0"/>
          <w:sz w:val="24"/>
          <w:szCs w:val="24"/>
          <w:highlight w:val="none"/>
          <w:u w:val="single"/>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p>
    <w:p>
      <w:pPr>
        <w:autoSpaceDE w:val="0"/>
        <w:autoSpaceDN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（2）保证保险，保证金额为： /；</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val="none"/>
          <w14:textFill>
            <w14:solidFill>
              <w14:schemeClr w14:val="tx1"/>
            </w14:solidFill>
          </w14:textFill>
        </w:rPr>
        <w:t>的工程款；</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（4）其他方式: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15.3.2 质量保证金的扣留 </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种方式：</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（2）工程竣工结算时一次性扣留质量保证金；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15.4保修</w:t>
      </w:r>
    </w:p>
    <w:p>
      <w:pPr>
        <w:spacing w:line="360" w:lineRule="auto"/>
        <w:ind w:firstLine="468" w:firstLineChars="195"/>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15.4.1 保修责任</w:t>
      </w:r>
    </w:p>
    <w:p>
      <w:pPr>
        <w:spacing w:line="360" w:lineRule="auto"/>
        <w:ind w:firstLine="468" w:firstLineChars="195"/>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工程保修期为：</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详见《工程质量保修书》</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68" w:firstLineChars="195"/>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15.4.3 修复通知</w:t>
      </w:r>
    </w:p>
    <w:p>
      <w:pPr>
        <w:spacing w:line="360" w:lineRule="auto"/>
        <w:ind w:firstLine="468" w:firstLineChars="195"/>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 24小时内</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 违约</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16.1 发包人违约</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16.1.1发包人违约的情形</w:t>
      </w:r>
    </w:p>
    <w:p>
      <w:pPr>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发包人违约的其他情形：</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按通用条款约定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left="1050" w:hanging="1200" w:hangingChars="5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16.1.2 发包人违约的责任</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发包人违约责任的承担方式和计算方法：</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（1）因发包人原因未能在计划开工日期前7天内下达开工通知的违约责任：</w:t>
      </w:r>
      <w:r>
        <w:rPr>
          <w:rFonts w:hint="eastAsia" w:ascii="宋体" w:hAnsi="宋体" w:cs="宋体"/>
          <w:color w:val="000000" w:themeColor="text1"/>
          <w:sz w:val="24"/>
          <w:szCs w:val="24"/>
          <w:highlight w:val="none"/>
          <w:u w:val="single"/>
          <w14:textFill>
            <w14:solidFill>
              <w14:schemeClr w14:val="tx1"/>
            </w14:solidFill>
          </w14:textFill>
        </w:rPr>
        <w:t>不支付违约金</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不支付违约金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（5）因发包人违反合同约定造成暂停施工的违约责任：</w:t>
      </w:r>
      <w:r>
        <w:rPr>
          <w:rFonts w:hint="eastAsia" w:ascii="宋体" w:hAnsi="宋体" w:cs="宋体"/>
          <w:color w:val="000000" w:themeColor="text1"/>
          <w:sz w:val="24"/>
          <w:szCs w:val="24"/>
          <w:highlight w:val="none"/>
          <w:u w:val="single"/>
          <w14:textFill>
            <w14:solidFill>
              <w14:schemeClr w14:val="tx1"/>
            </w14:solidFill>
          </w14:textFill>
        </w:rPr>
        <w:t>影响工期的，工期相应顺延，费用双方协商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cs="宋体"/>
          <w:color w:val="000000" w:themeColor="text1"/>
          <w:sz w:val="24"/>
          <w:szCs w:val="24"/>
          <w:highlight w:val="none"/>
          <w:u w:val="single"/>
          <w14:textFill>
            <w14:solidFill>
              <w14:schemeClr w14:val="tx1"/>
            </w14:solidFill>
          </w14:textFill>
        </w:rPr>
        <w:t>影响工期的，工期相应顺延，费用双方协商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承包人按16.1.1项〔发包人违约的情形〕约定暂停施工满</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60 </w:t>
      </w:r>
      <w:r>
        <w:rPr>
          <w:rFonts w:hint="eastAsia" w:ascii="宋体" w:hAnsi="宋体" w:eastAsia="宋体" w:cs="宋体"/>
          <w:bCs/>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16.2 承包人违约</w:t>
      </w:r>
    </w:p>
    <w:p>
      <w:pPr>
        <w:spacing w:line="360" w:lineRule="auto"/>
        <w:ind w:firstLine="480" w:firstLineChars="200"/>
        <w:jc w:val="left"/>
        <w:rPr>
          <w:rFonts w:hint="eastAsia" w:ascii="宋体" w:hAnsi="宋体" w:eastAsia="宋体" w:cs="宋体"/>
          <w:bCs/>
          <w:strike/>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16.2.1 承包人违约的情形 </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承包人违约的其他情形：</w:t>
      </w:r>
    </w:p>
    <w:p>
      <w:pPr>
        <w:keepNext w:val="0"/>
        <w:keepLines w:val="0"/>
        <w:pageBreakBefore w:val="0"/>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承包人未按3.1（10）条规定分包渣土运输业务的，承包人应支付</w:t>
      </w:r>
      <w:r>
        <w:rPr>
          <w:rFonts w:hint="eastAsia" w:ascii="宋体" w:hAnsi="宋体" w:cs="宋体"/>
          <w:b/>
          <w:bCs/>
          <w:color w:val="000000" w:themeColor="text1"/>
          <w:sz w:val="24"/>
          <w:szCs w:val="24"/>
          <w:highlight w:val="none"/>
          <w:u w:val="single"/>
          <w14:textFill>
            <w14:solidFill>
              <w14:schemeClr w14:val="tx1"/>
            </w14:solidFill>
          </w14:textFill>
        </w:rPr>
        <w:t>拾万元</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违约金；</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（2）承包人未按照3.1（10）条规定加强建筑垃圾处置分包合同履约监管，出现分包单位使用不符合规定的车辆进出施工现场运输建筑垃圾或将建筑垃圾运输至非指定消纳场所等现象的，承包人应支付 </w:t>
      </w:r>
      <w:r>
        <w:rPr>
          <w:rFonts w:hint="eastAsia" w:ascii="宋体" w:hAnsi="宋体" w:cs="宋体"/>
          <w:b/>
          <w:bCs/>
          <w:color w:val="000000" w:themeColor="text1"/>
          <w:sz w:val="24"/>
          <w:szCs w:val="24"/>
          <w:highlight w:val="none"/>
          <w:u w:val="single"/>
          <w14:textFill>
            <w14:solidFill>
              <w14:schemeClr w14:val="tx1"/>
            </w14:solidFill>
          </w14:textFill>
        </w:rPr>
        <w:t>伍万</w:t>
      </w:r>
      <w:r>
        <w:rPr>
          <w:rFonts w:hint="eastAsia" w:ascii="宋体" w:hAnsi="宋体" w:cs="宋体"/>
          <w:b/>
          <w:bCs/>
          <w:color w:val="000000" w:themeColor="text1"/>
          <w:sz w:val="24"/>
          <w:szCs w:val="24"/>
          <w:highlight w:val="none"/>
          <w:u w:val="singl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违约金；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（3）承包人未做好工程垃圾处理出土处置台账的，承包人应支付  </w:t>
      </w:r>
      <w:r>
        <w:rPr>
          <w:rFonts w:hint="eastAsia" w:ascii="宋体" w:hAnsi="宋体" w:cs="宋体"/>
          <w:b/>
          <w:bCs/>
          <w:color w:val="000000" w:themeColor="text1"/>
          <w:sz w:val="24"/>
          <w:szCs w:val="24"/>
          <w:highlight w:val="none"/>
          <w:u w:val="single"/>
          <w14:textFill>
            <w14:solidFill>
              <w14:schemeClr w14:val="tx1"/>
            </w14:solidFill>
          </w14:textFill>
        </w:rPr>
        <w:t>壹万元</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违约金；</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（4）承包人在结算前未查验接纳回执，与运输、处置单位结算相关费用的，承包人应支付</w:t>
      </w:r>
      <w:r>
        <w:rPr>
          <w:rFonts w:hint="eastAsia" w:ascii="宋体" w:hAnsi="宋体" w:cs="宋体"/>
          <w:b/>
          <w:bCs/>
          <w:color w:val="000000" w:themeColor="text1"/>
          <w:sz w:val="24"/>
          <w:szCs w:val="24"/>
          <w:highlight w:val="none"/>
          <w:u w:val="single"/>
          <w14:textFill>
            <w14:solidFill>
              <w14:schemeClr w14:val="tx1"/>
            </w14:solidFill>
          </w14:textFill>
        </w:rPr>
        <w:t>拾万元</w:t>
      </w:r>
      <w:r>
        <w:rPr>
          <w:rFonts w:hint="eastAsia" w:ascii="宋体" w:hAnsi="宋体" w:eastAsia="宋体" w:cs="宋体"/>
          <w:b/>
          <w:bCs/>
          <w:color w:val="000000" w:themeColor="text1"/>
          <w:sz w:val="24"/>
          <w:szCs w:val="24"/>
          <w:highlight w:val="none"/>
          <w:u w:val="single"/>
          <w14:textFill>
            <w14:solidFill>
              <w14:schemeClr w14:val="tx1"/>
            </w14:solidFill>
          </w14:textFill>
        </w:rPr>
        <w:t>违约金；</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（5）承包人未按照已备案的渣土处置方案落实渣土处置措施的，承包人应支付</w:t>
      </w:r>
      <w:r>
        <w:rPr>
          <w:rFonts w:hint="eastAsia" w:ascii="宋体" w:hAnsi="宋体" w:cs="宋体"/>
          <w:b/>
          <w:bCs/>
          <w:color w:val="000000" w:themeColor="text1"/>
          <w:sz w:val="24"/>
          <w:szCs w:val="24"/>
          <w:highlight w:val="none"/>
          <w:u w:val="single"/>
          <w14:textFill>
            <w14:solidFill>
              <w14:schemeClr w14:val="tx1"/>
            </w14:solidFill>
          </w14:textFill>
        </w:rPr>
        <w:t>伍万</w:t>
      </w:r>
      <w:r>
        <w:rPr>
          <w:rFonts w:hint="eastAsia" w:ascii="宋体" w:hAnsi="宋体" w:cs="宋体"/>
          <w:b/>
          <w:bCs/>
          <w:color w:val="000000" w:themeColor="text1"/>
          <w:sz w:val="24"/>
          <w:szCs w:val="24"/>
          <w:highlight w:val="none"/>
          <w:u w:val="singl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u w:val="single"/>
          <w14:textFill>
            <w14:solidFill>
              <w14:schemeClr w14:val="tx1"/>
            </w14:solidFill>
          </w14:textFill>
        </w:rPr>
        <w:t>违约金；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（6）其他：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1)承包人在施工期、缺陷责任期需做好安全文明施工等工作，如遇突发事件，承包人应第一时间处理并主动应对媒体。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2)在缺陷责任期内因承包人的原因造成质量问题而进行大修的，则相应范围的质保期相应延长。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3)项目经理或技术负责人准时参加发包人、监理单位组织的会议，发包人根据工程实际情况组织的现场协调会，承包人也要参加。如有违反，每违反一次罚1000元。以发包人及监理单位发出的记录为准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4）在施工期间，承包人在进度、质量、安全文明、项目班子到位的违约处理过程中，发包人有权暂停支付工程进度款。</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5）在施工期间，若经甲方和监理检查，发现承包人有工程质量和偷工减料问题，发包人有权责令承包人清退不合格材料、限期返工和整改，并视严重程度进行处罚，原则上每发生一次罚3000-10000元，承包人还要承担由此给发包人、其他参建单位造成的经济损失和后果。在日常施工中，监理书面通知要求承包人限期对质量问题进行整改，而承包人未按期完成的，则罚款3000-5000元/次。以监理发出的书面意见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6）在发包人按合同付款的情况下，承包人不得拖欠民工工资，如发生民工集体到发包人、政府有关部门上访讨要工资的事件，若因乙方未及时处理，造成较大影响的，每次罚2万，并报送相关行政主管部门。</w:t>
      </w:r>
    </w:p>
    <w:p>
      <w:pPr>
        <w:snapToGrid w:val="0"/>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000000" w:themeColor="text1"/>
          <w:sz w:val="24"/>
          <w:szCs w:val="24"/>
          <w:highlight w:val="none"/>
          <w:u w:val="single"/>
          <w14:textFill>
            <w14:solidFill>
              <w14:schemeClr w14:val="tx1"/>
            </w14:solidFill>
          </w14:textFill>
        </w:rPr>
        <w:t>根据工程进展情况，承包人报价时考虑配套管线的施工时间、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桥梁加固、河道及山体地质灾害处理、机械车库设备以及有可能发生的</w:t>
      </w:r>
      <w:r>
        <w:rPr>
          <w:rFonts w:hint="eastAsia" w:ascii="宋体" w:hAnsi="宋体" w:cs="宋体"/>
          <w:color w:val="000000" w:themeColor="text1"/>
          <w:sz w:val="24"/>
          <w:szCs w:val="24"/>
          <w:highlight w:val="none"/>
          <w:u w:val="single"/>
          <w:lang w:eastAsia="zh-CN"/>
          <w14:textFill>
            <w14:solidFill>
              <w14:schemeClr w14:val="tx1"/>
            </w14:solidFill>
          </w14:textFill>
        </w:rPr>
        <w:t>室内装修、通风空调设备、弱电设备</w:t>
      </w:r>
      <w:r>
        <w:rPr>
          <w:rFonts w:hint="eastAsia" w:ascii="宋体" w:hAnsi="宋体" w:cs="宋体"/>
          <w:color w:val="000000" w:themeColor="text1"/>
          <w:sz w:val="24"/>
          <w:szCs w:val="24"/>
          <w:highlight w:val="none"/>
          <w:u w:val="single"/>
          <w:lang w:val="en-US" w:eastAsia="zh-CN"/>
          <w14:textFill>
            <w14:solidFill>
              <w14:schemeClr w14:val="tx1"/>
            </w14:solidFill>
          </w14:textFill>
        </w:rPr>
        <w:t>等专业工程的</w:t>
      </w:r>
      <w:r>
        <w:rPr>
          <w:rFonts w:hint="eastAsia" w:ascii="宋体" w:hAnsi="宋体" w:cs="宋体"/>
          <w:color w:val="000000" w:themeColor="text1"/>
          <w:sz w:val="24"/>
          <w:szCs w:val="24"/>
          <w:highlight w:val="none"/>
          <w:u w:val="single"/>
          <w14:textFill>
            <w14:solidFill>
              <w14:schemeClr w14:val="tx1"/>
            </w14:solidFill>
          </w14:textFill>
        </w:rPr>
        <w:t>相关工作，可能在承包人未退场前发包人就安排其它专业施工单位进场施工，承包人必须配合其工作，无条件腾出相应工作面，以便使工程顺利穿插施工。并提供水电接入口的便利条件。若因承包人原因造成总工期或节点延误按招标文件有关条款进行处罚。</w:t>
      </w:r>
    </w:p>
    <w:p>
      <w:pPr>
        <w:snapToGrid w:val="0"/>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cs="宋体"/>
          <w:color w:val="000000" w:themeColor="text1"/>
          <w:sz w:val="24"/>
          <w:szCs w:val="24"/>
          <w:highlight w:val="none"/>
          <w:u w:val="single"/>
          <w14:textFill>
            <w14:solidFill>
              <w14:schemeClr w14:val="tx1"/>
            </w14:solidFill>
          </w14:textFill>
        </w:rPr>
        <w:t>安全生产、文明施工、质量等不能达到目标管理要求的，</w:t>
      </w:r>
      <w:r>
        <w:rPr>
          <w:rFonts w:hint="eastAsia" w:ascii="宋体" w:hAnsi="宋体" w:cs="宋体"/>
          <w:color w:val="000000" w:themeColor="text1"/>
          <w:sz w:val="24"/>
          <w:szCs w:val="24"/>
          <w:highlight w:val="none"/>
          <w:u w:val="single"/>
          <w:lang w:val="en-US" w:eastAsia="zh-CN"/>
          <w14:textFill>
            <w14:solidFill>
              <w14:schemeClr w14:val="tx1"/>
            </w14:solidFill>
          </w14:textFill>
        </w:rPr>
        <w:t>收到监理整改单后未按时整改的按3000元/次处罚；</w:t>
      </w:r>
      <w:r>
        <w:rPr>
          <w:rFonts w:hint="eastAsia" w:ascii="宋体" w:hAnsi="宋体" w:cs="宋体"/>
          <w:color w:val="000000" w:themeColor="text1"/>
          <w:sz w:val="24"/>
          <w:szCs w:val="24"/>
          <w:highlight w:val="none"/>
          <w:u w:val="single"/>
          <w14:textFill>
            <w14:solidFill>
              <w14:schemeClr w14:val="tx1"/>
            </w14:solidFill>
          </w14:textFill>
        </w:rPr>
        <w:t>受到质监站、安监站及其他建设行政主管部门处罚的，承包人还应承担2万元/次的罚款。</w:t>
      </w:r>
      <w:r>
        <w:rPr>
          <w:rFonts w:hint="eastAsia" w:ascii="宋体" w:hAnsi="宋体" w:cs="宋体"/>
          <w:color w:val="000000" w:themeColor="text1"/>
          <w:sz w:val="24"/>
          <w:szCs w:val="24"/>
          <w:highlight w:val="none"/>
          <w:u w:val="single"/>
          <w:lang w:val="en-US" w:eastAsia="zh-CN"/>
          <w14:textFill>
            <w14:solidFill>
              <w14:schemeClr w14:val="tx1"/>
            </w14:solidFill>
          </w14:textFill>
        </w:rPr>
        <w:t>虽未受到相关部门处罚，但造成不良影响的，如污水排放不合规，泥浆水流入溪沟等情况，每发现一次处罚1万元。</w:t>
      </w:r>
      <w:r>
        <w:rPr>
          <w:rFonts w:hint="eastAsia" w:ascii="宋体" w:hAnsi="宋体" w:cs="宋体"/>
          <w:color w:val="000000" w:themeColor="text1"/>
          <w:sz w:val="24"/>
          <w:szCs w:val="24"/>
          <w:highlight w:val="none"/>
          <w:u w:val="single"/>
          <w14:textFill>
            <w14:solidFill>
              <w14:schemeClr w14:val="tx1"/>
            </w14:solidFill>
          </w14:textFill>
        </w:rPr>
        <w:t>承包人因上述情况对发包人造成损失的,承包人还应承担相应的赔偿责任。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9）承包人在施工过程中，与公安、市政、环保、排污排水、交通、治安、绿化、卫生等方面的关系由乙方自行协调并承担相应的费用。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10）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承担。</w:t>
      </w:r>
    </w:p>
    <w:p>
      <w:pPr>
        <w:pStyle w:val="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承包人违反本合同项下任一条款所应产生的违约金，发包人均有均在未付工程款中扣除。</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16.2.2承包人违约的责任</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承包人违约责任的承担方式和计算方法：</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合同有约定的按约定执行，未约定的由承包人按照合同价的30%承担违约金。违约金不足以弥补损失的，由承包人负责赔偿给发包人造成的全部损失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16.2.3 因承包人违约解除合同</w:t>
      </w:r>
    </w:p>
    <w:p>
      <w:pPr>
        <w:spacing w:line="360" w:lineRule="auto"/>
        <w:ind w:firstLine="480" w:firstLineChars="200"/>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关于承包人违约解除合同的特别约定</w:t>
      </w:r>
      <w:r>
        <w:rPr>
          <w:rFonts w:hint="eastAsia" w:ascii="宋体" w:hAnsi="宋体" w:eastAsia="宋体" w:cs="宋体"/>
          <w:bCs/>
          <w:color w:val="000000" w:themeColor="text1"/>
          <w:kern w:val="0"/>
          <w:sz w:val="24"/>
          <w:szCs w:val="24"/>
          <w:highlight w:val="none"/>
          <w:u w:val="none"/>
          <w14:textFill>
            <w14:solidFill>
              <w14:schemeClr w14:val="tx1"/>
            </w14:solidFill>
          </w14:textFill>
        </w:rPr>
        <w:t>：</w:t>
      </w:r>
      <w:r>
        <w:rPr>
          <w:rFonts w:hint="eastAsia" w:ascii="宋体" w:hAnsi="宋体" w:eastAsia="宋体" w:cs="宋体"/>
          <w:bCs/>
          <w:color w:val="000000" w:themeColor="text1"/>
          <w:kern w:val="0"/>
          <w:sz w:val="24"/>
          <w:szCs w:val="24"/>
          <w:highlight w:val="none"/>
          <w:u w:val="single"/>
          <w14:textFill>
            <w14:solidFill>
              <w14:schemeClr w14:val="tx1"/>
            </w14:solidFill>
          </w14:textFill>
        </w:rPr>
        <w:t xml:space="preserve">按通用条款约定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双方另行约定</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17. 不可抗力 </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17.1 不可抗力的确认</w:t>
      </w:r>
    </w:p>
    <w:p>
      <w:pPr>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17.4 因不可抗力解除合同</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bCs/>
          <w:color w:val="000000" w:themeColor="text1"/>
          <w:sz w:val="24"/>
          <w:szCs w:val="24"/>
          <w:highlight w:val="none"/>
          <w:u w:val="single"/>
          <w14:textFill>
            <w14:solidFill>
              <w14:schemeClr w14:val="tx1"/>
            </w14:solidFill>
          </w14:textFill>
        </w:rPr>
        <w:t>28</w:t>
      </w:r>
      <w:r>
        <w:rPr>
          <w:rFonts w:hint="eastAsia" w:ascii="宋体" w:hAnsi="宋体" w:eastAsia="宋体" w:cs="宋体"/>
          <w:bCs/>
          <w:color w:val="000000" w:themeColor="text1"/>
          <w:sz w:val="24"/>
          <w:szCs w:val="24"/>
          <w:highlight w:val="none"/>
          <w14:textFill>
            <w14:solidFill>
              <w14:schemeClr w14:val="tx1"/>
            </w14:solidFill>
          </w14:textFill>
        </w:rPr>
        <w:t xml:space="preserve">天内完成款项的支付。 </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18. 保险</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18.1 工程保险</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18.3 其他保险</w:t>
      </w:r>
    </w:p>
    <w:p>
      <w:pPr>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关于其他保险的约定：</w:t>
      </w:r>
      <w:r>
        <w:rPr>
          <w:rFonts w:hint="eastAsia" w:ascii="宋体" w:hAnsi="宋体" w:eastAsia="宋体" w:cs="宋体"/>
          <w:bCs/>
          <w:color w:val="000000" w:themeColor="text1"/>
          <w:sz w:val="24"/>
          <w:szCs w:val="24"/>
          <w:highlight w:val="none"/>
          <w:u w:val="single"/>
          <w14:textFill>
            <w14:solidFill>
              <w14:schemeClr w14:val="tx1"/>
            </w14:solidFill>
          </w14:textFill>
        </w:rPr>
        <w:t>除按有关规定办理各种保险外，承包人为建设工程和施工场地内的自有人员设备及第三方生命财产办理保险并支付保险费用，费用已包含在总价内。施工期间所发生的与本工程有关的承包人的人员、财产等意外伤害、损失，由承包人承担全部责任和费用</w:t>
      </w:r>
      <w:r>
        <w:rPr>
          <w:rFonts w:hint="eastAsia" w:ascii="宋体" w:hAnsi="宋体" w:eastAsia="宋体" w:cs="宋体"/>
          <w:bCs/>
          <w:color w:val="000000" w:themeColor="text1"/>
          <w:kern w:val="0"/>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是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18.7 通知义务</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关于变更保险合同时的通知义务的约定：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 争议解决</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20.3 争议评审</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20.3.1 争议评审小组的确定</w:t>
      </w:r>
    </w:p>
    <w:p>
      <w:pPr>
        <w:spacing w:line="360" w:lineRule="auto"/>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选定争议评审员的期限：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其他事项的约定：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bCs/>
          <w:color w:val="000000" w:themeColor="text1"/>
          <w:kern w:val="0"/>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20.3.2 争议评审小组的决定</w:t>
      </w:r>
    </w:p>
    <w:p>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20.4仲裁或诉讼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因合同及合同有关事项发生的争议，双方当事人一致同意提交</w:t>
      </w:r>
      <w:r>
        <w:rPr>
          <w:rFonts w:hint="eastAsia" w:ascii="宋体" w:hAnsi="宋体" w:eastAsia="宋体" w:cs="宋体"/>
          <w:b/>
          <w:color w:val="000000" w:themeColor="text1"/>
          <w:sz w:val="24"/>
          <w:szCs w:val="24"/>
          <w:highlight w:val="none"/>
          <w:u w:val="single"/>
          <w14:textFill>
            <w14:solidFill>
              <w14:schemeClr w14:val="tx1"/>
            </w14:solidFill>
          </w14:textFill>
        </w:rPr>
        <w:t>杭州仲裁委员会申请仲裁</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但双方当事人特别约定下列解决方式中第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种方式解决争议的除外：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（1）提交</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（2）依法向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工程所在地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21．其他补充事项的约定  </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1）合同双方确认，本合同及本合同约定的其它文件组成部分中的各项约定都是通过法定招标过程形成的合法成果，不存在与其它资料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2）承包人未按合同约定履行义务，造成工程质量低下、进度迟缓、管理混乱，发包人有权终止合同，没收全部履约保证金，承包人赔偿发包人因此造成的损失且依法承担相应的法律责任；对工程实施出现的质量问题，承包人未按</w:t>
      </w:r>
      <w:r>
        <w:rPr>
          <w:rFonts w:hint="eastAsia" w:ascii="宋体" w:hAnsi="宋体"/>
          <w:color w:val="000000" w:themeColor="text1"/>
          <w:kern w:val="0"/>
          <w:sz w:val="24"/>
          <w:szCs w:val="24"/>
          <w:highlight w:val="none"/>
          <w:u w:val="single"/>
          <w:lang w:eastAsia="zh-CN"/>
          <w14:textFill>
            <w14:solidFill>
              <w14:schemeClr w14:val="tx1"/>
            </w14:solidFill>
          </w14:textFill>
        </w:rPr>
        <w:t>响应</w:t>
      </w:r>
      <w:r>
        <w:rPr>
          <w:rFonts w:hint="eastAsia" w:ascii="宋体" w:hAnsi="宋体"/>
          <w:color w:val="000000" w:themeColor="text1"/>
          <w:kern w:val="0"/>
          <w:sz w:val="24"/>
          <w:szCs w:val="24"/>
          <w:highlight w:val="none"/>
          <w:u w:val="single"/>
          <w14:textFill>
            <w14:solidFill>
              <w14:schemeClr w14:val="tx1"/>
            </w14:solidFill>
          </w14:textFill>
        </w:rPr>
        <w:t xml:space="preserve">报价项目名称描述施工，承包人按照发包人的要求限期无条件地进行整改，达到质量要求；因整改造成工期延误，由承包人承担一切责任。每发生一起并罚扣履约保证金总额的10%，以此类推，直至扣完。承包人收到开工报告后，立即进行开工，无正当理由不得延误开工日期，在招标人提出警告后7天仍不开工，视作违约，没收履约保证金。 </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（3）工程设计变更、施工联系单签证和管理，按《杭州市建设工程工程量清单计价实施细则》</w:t>
      </w:r>
      <w:r>
        <w:rPr>
          <w:rFonts w:hint="eastAsia" w:ascii="宋体" w:hAnsi="宋体"/>
          <w:color w:val="000000" w:themeColor="text1"/>
          <w:kern w:val="0"/>
          <w:sz w:val="24"/>
          <w:szCs w:val="24"/>
          <w:highlight w:val="none"/>
          <w:u w:val="single"/>
          <w:lang w:eastAsia="zh-CN"/>
          <w14:textFill>
            <w14:solidFill>
              <w14:schemeClr w14:val="tx1"/>
            </w14:solidFill>
          </w14:textFill>
        </w:rPr>
        <w:t>等</w:t>
      </w:r>
      <w:r>
        <w:rPr>
          <w:rFonts w:hint="eastAsia" w:ascii="宋体" w:hAnsi="宋体"/>
          <w:color w:val="000000" w:themeColor="text1"/>
          <w:kern w:val="0"/>
          <w:sz w:val="24"/>
          <w:szCs w:val="24"/>
          <w:highlight w:val="none"/>
          <w:u w:val="single"/>
          <w14:textFill>
            <w14:solidFill>
              <w14:schemeClr w14:val="tx1"/>
            </w14:solidFill>
          </w14:textFill>
        </w:rPr>
        <w:t>文件相关规定执行；所有经发包人确认的工程变更所涉及工程费用调整，在竣工结算审计后按规定支付或扣除。针对本次招标范围内的内容，承包方所列措施费用不得进行调整。</w:t>
      </w:r>
      <w:r>
        <w:rPr>
          <w:rFonts w:hint="eastAsia" w:ascii="宋体" w:hAnsi="宋体" w:eastAsia="宋体" w:cs="宋体"/>
          <w:color w:val="000000" w:themeColor="text1"/>
          <w:sz w:val="24"/>
          <w:szCs w:val="24"/>
          <w:highlight w:val="none"/>
          <w:u w:val="single"/>
          <w14:textFill>
            <w14:solidFill>
              <w14:schemeClr w14:val="tx1"/>
            </w14:solidFill>
          </w14:textFill>
        </w:rPr>
        <w:t>若工程结算造价经审核后，</w:t>
      </w:r>
      <w:r>
        <w:rPr>
          <w:rFonts w:hint="eastAsia" w:ascii="宋体" w:hAnsi="宋体" w:cs="宋体"/>
          <w:color w:val="000000" w:themeColor="text1"/>
          <w:sz w:val="24"/>
          <w:szCs w:val="24"/>
          <w:highlight w:val="none"/>
          <w:u w:val="single"/>
          <w:lang w:eastAsia="zh-CN"/>
          <w14:textFill>
            <w14:solidFill>
              <w14:schemeClr w14:val="tx1"/>
            </w14:solidFill>
          </w14:textFill>
        </w:rPr>
        <w:t>核增、</w:t>
      </w:r>
      <w:r>
        <w:rPr>
          <w:rFonts w:hint="eastAsia" w:ascii="宋体" w:hAnsi="宋体" w:eastAsia="宋体" w:cs="宋体"/>
          <w:color w:val="000000" w:themeColor="text1"/>
          <w:sz w:val="24"/>
          <w:szCs w:val="24"/>
          <w:highlight w:val="none"/>
          <w:u w:val="single"/>
          <w14:textFill>
            <w14:solidFill>
              <w14:schemeClr w14:val="tx1"/>
            </w14:solidFill>
          </w14:textFill>
        </w:rPr>
        <w:t>核减</w:t>
      </w:r>
      <w:r>
        <w:rPr>
          <w:rFonts w:hint="eastAsia" w:ascii="宋体" w:hAnsi="宋体" w:cs="宋体"/>
          <w:color w:val="000000" w:themeColor="text1"/>
          <w:sz w:val="24"/>
          <w:szCs w:val="24"/>
          <w:highlight w:val="none"/>
          <w:u w:val="single"/>
          <w:lang w:eastAsia="zh-CN"/>
          <w14:textFill>
            <w14:solidFill>
              <w14:schemeClr w14:val="tx1"/>
            </w14:solidFill>
          </w14:textFill>
        </w:rPr>
        <w:t>费用</w:t>
      </w:r>
      <w:r>
        <w:rPr>
          <w:rFonts w:hint="eastAsia" w:ascii="宋体" w:hAnsi="宋体" w:eastAsia="宋体" w:cs="宋体"/>
          <w:color w:val="000000" w:themeColor="text1"/>
          <w:sz w:val="24"/>
          <w:szCs w:val="24"/>
          <w:highlight w:val="none"/>
          <w:u w:val="single"/>
          <w14:textFill>
            <w14:solidFill>
              <w14:schemeClr w14:val="tx1"/>
            </w14:solidFill>
          </w14:textFill>
        </w:rPr>
        <w:t>超过送审价5%</w:t>
      </w:r>
      <w:r>
        <w:rPr>
          <w:rFonts w:hint="eastAsia" w:ascii="宋体" w:hAnsi="宋体" w:cs="宋体"/>
          <w:color w:val="000000" w:themeColor="text1"/>
          <w:sz w:val="24"/>
          <w:szCs w:val="24"/>
          <w:highlight w:val="none"/>
          <w:u w:val="single"/>
          <w:lang w:eastAsia="zh-CN"/>
          <w14:textFill>
            <w14:solidFill>
              <w14:schemeClr w14:val="tx1"/>
            </w14:solidFill>
          </w14:textFill>
        </w:rPr>
        <w:t>，以超过</w:t>
      </w:r>
      <w:r>
        <w:rPr>
          <w:rFonts w:hint="eastAsia" w:ascii="宋体" w:hAnsi="宋体" w:eastAsia="宋体" w:cs="宋体"/>
          <w:color w:val="000000" w:themeColor="text1"/>
          <w:sz w:val="24"/>
          <w:szCs w:val="24"/>
          <w:highlight w:val="none"/>
          <w:u w:val="single"/>
          <w14:textFill>
            <w14:solidFill>
              <w14:schemeClr w14:val="tx1"/>
            </w14:solidFill>
          </w14:textFill>
        </w:rPr>
        <w:t>部分为基数，</w:t>
      </w:r>
      <w:r>
        <w:rPr>
          <w:rFonts w:hint="eastAsia" w:ascii="宋体" w:hAnsi="宋体"/>
          <w:color w:val="000000" w:themeColor="text1"/>
          <w:kern w:val="0"/>
          <w:sz w:val="24"/>
          <w:szCs w:val="24"/>
          <w:highlight w:val="none"/>
          <w:u w:val="single"/>
          <w14:textFill>
            <w14:solidFill>
              <w14:schemeClr w14:val="tx1"/>
            </w14:solidFill>
          </w14:textFill>
        </w:rPr>
        <w:t>结算审核追加费用按照浙价服[2009]84号文件由承包人承担。</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（4）文明施工及安全保证：</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①</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应对进度施工现场的施工人员进行安全文明施工教育，配备必要的劳动保护用具，保证工程的施工安全和人身安全。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应强化安全意识，抓好安全生产，杜绝事故发生，施工中若因供应商原因发生安全及人身事故由</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自行负责处理，并承担全部费用。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③</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须遵守地方政府和有关部门及采购人对施工场地交通、环卫、安全和施工噪音等的管理规定，并按规定办理所有审批手续。</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④</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应采取有效措施尽量减小尘土和噪音污染，需要进行夜间作业时应经有关部门批准。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其它施工过程中需注意事项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本工程在施工期间，</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应注意保护好</w:t>
      </w:r>
      <w:r>
        <w:rPr>
          <w:rFonts w:hint="eastAsia" w:ascii="宋体" w:hAnsi="宋体"/>
          <w:color w:val="000000" w:themeColor="text1"/>
          <w:sz w:val="24"/>
          <w:highlight w:val="none"/>
          <w:u w:val="single"/>
          <w:lang w:eastAsia="zh-CN"/>
          <w14:textFill>
            <w14:solidFill>
              <w14:schemeClr w14:val="tx1"/>
            </w14:solidFill>
          </w14:textFill>
        </w:rPr>
        <w:t>发包</w:t>
      </w:r>
      <w:r>
        <w:rPr>
          <w:rFonts w:hint="eastAsia" w:ascii="宋体" w:hAnsi="宋体"/>
          <w:color w:val="000000" w:themeColor="text1"/>
          <w:sz w:val="24"/>
          <w:highlight w:val="none"/>
          <w:u w:val="single"/>
          <w14:textFill>
            <w14:solidFill>
              <w14:schemeClr w14:val="tx1"/>
            </w14:solidFill>
          </w14:textFill>
        </w:rPr>
        <w:t>人周边现有成品，如有损坏，须无条件修复至</w:t>
      </w:r>
      <w:r>
        <w:rPr>
          <w:rFonts w:hint="eastAsia" w:ascii="宋体" w:hAnsi="宋体"/>
          <w:color w:val="000000" w:themeColor="text1"/>
          <w:sz w:val="24"/>
          <w:highlight w:val="none"/>
          <w:u w:val="single"/>
          <w:lang w:eastAsia="zh-CN"/>
          <w14:textFill>
            <w14:solidFill>
              <w14:schemeClr w14:val="tx1"/>
            </w14:solidFill>
          </w14:textFill>
        </w:rPr>
        <w:t>发包人</w:t>
      </w:r>
      <w:r>
        <w:rPr>
          <w:rFonts w:hint="eastAsia" w:ascii="宋体" w:hAnsi="宋体"/>
          <w:color w:val="000000" w:themeColor="text1"/>
          <w:sz w:val="24"/>
          <w:highlight w:val="none"/>
          <w:u w:val="single"/>
          <w14:textFill>
            <w14:solidFill>
              <w14:schemeClr w14:val="tx1"/>
            </w14:solidFill>
          </w14:textFill>
        </w:rPr>
        <w:t>满意。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14:textFill>
            <w14:solidFill>
              <w14:schemeClr w14:val="tx1"/>
            </w14:solidFill>
          </w14:textFill>
        </w:rPr>
        <w:t>废弃材料不得丢弃或随意堆放在</w:t>
      </w:r>
      <w:r>
        <w:rPr>
          <w:rFonts w:hint="eastAsia" w:ascii="宋体" w:hAnsi="宋体"/>
          <w:color w:val="000000" w:themeColor="text1"/>
          <w:sz w:val="24"/>
          <w:highlight w:val="none"/>
          <w:u w:val="single"/>
          <w:lang w:eastAsia="zh-CN"/>
          <w14:textFill>
            <w14:solidFill>
              <w14:schemeClr w14:val="tx1"/>
            </w14:solidFill>
          </w14:textFill>
        </w:rPr>
        <w:t>场地内</w:t>
      </w:r>
      <w:r>
        <w:rPr>
          <w:rFonts w:hint="eastAsia" w:ascii="宋体" w:hAnsi="宋体"/>
          <w:color w:val="000000" w:themeColor="text1"/>
          <w:sz w:val="24"/>
          <w:highlight w:val="none"/>
          <w:u w:val="single"/>
          <w14:textFill>
            <w14:solidFill>
              <w14:schemeClr w14:val="tx1"/>
            </w14:solidFill>
          </w14:textFill>
        </w:rPr>
        <w:t>，清理产生的拆除费、搬运费、交通运输费等各项费用均由</w:t>
      </w:r>
      <w:r>
        <w:rPr>
          <w:rFonts w:hint="eastAsia" w:ascii="宋体" w:hAnsi="宋体"/>
          <w:color w:val="000000" w:themeColor="text1"/>
          <w:sz w:val="24"/>
          <w:highlight w:val="none"/>
          <w:u w:val="single"/>
          <w:lang w:eastAsia="zh-CN"/>
          <w14:textFill>
            <w14:solidFill>
              <w14:schemeClr w14:val="tx1"/>
            </w14:solidFill>
          </w14:textFill>
        </w:rPr>
        <w:t>承包人包含在</w:t>
      </w:r>
      <w:r>
        <w:rPr>
          <w:rFonts w:hint="eastAsia" w:ascii="宋体" w:hAnsi="宋体"/>
          <w:color w:val="000000" w:themeColor="text1"/>
          <w:sz w:val="24"/>
          <w:highlight w:val="none"/>
          <w:u w:val="single"/>
          <w14:textFill>
            <w14:solidFill>
              <w14:schemeClr w14:val="tx1"/>
            </w14:solidFill>
          </w14:textFill>
        </w:rPr>
        <w:t>响应总价且一次性包干</w:t>
      </w:r>
      <w:r>
        <w:rPr>
          <w:rFonts w:hint="eastAsia" w:ascii="宋体" w:hAnsi="宋体"/>
          <w:color w:val="000000" w:themeColor="text1"/>
          <w:sz w:val="24"/>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③</w:t>
      </w:r>
      <w:r>
        <w:rPr>
          <w:rFonts w:hint="eastAsia" w:ascii="宋体" w:hAnsi="宋体"/>
          <w:color w:val="000000" w:themeColor="text1"/>
          <w:sz w:val="24"/>
          <w:highlight w:val="none"/>
          <w:u w:val="single"/>
          <w14:textFill>
            <w14:solidFill>
              <w14:schemeClr w14:val="tx1"/>
            </w14:solidFill>
          </w14:textFill>
        </w:rPr>
        <w:t>工程完工后，</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需对施工现场进行全面的清洁工作。</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w:t>
      </w:r>
      <w:r>
        <w:rPr>
          <w:rFonts w:hint="eastAsia" w:ascii="宋体" w:hAnsi="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color w:val="000000" w:themeColor="text1"/>
          <w:kern w:val="0"/>
          <w:sz w:val="24"/>
          <w:szCs w:val="24"/>
          <w:highlight w:val="none"/>
          <w:u w:val="single"/>
          <w14:textFill>
            <w14:solidFill>
              <w14:schemeClr w14:val="tx1"/>
            </w14:solidFill>
          </w14:textFill>
        </w:rPr>
        <w:t>）承包人应按有关法律、法规规定及时支付民工工资，不得无故拖延。</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w:t>
      </w:r>
      <w:r>
        <w:rPr>
          <w:rFonts w:hint="eastAsia" w:ascii="宋体" w:hAnsi="宋体"/>
          <w:color w:val="000000" w:themeColor="text1"/>
          <w:kern w:val="0"/>
          <w:sz w:val="24"/>
          <w:szCs w:val="24"/>
          <w:highlight w:val="none"/>
          <w:u w:val="single"/>
          <w:lang w:val="en-US" w:eastAsia="zh-CN"/>
          <w14:textFill>
            <w14:solidFill>
              <w14:schemeClr w14:val="tx1"/>
            </w14:solidFill>
          </w14:textFill>
        </w:rPr>
        <w:t>7</w:t>
      </w:r>
      <w:r>
        <w:rPr>
          <w:rFonts w:hint="eastAsia" w:ascii="宋体" w:hAnsi="宋体"/>
          <w:color w:val="000000" w:themeColor="text1"/>
          <w:kern w:val="0"/>
          <w:sz w:val="24"/>
          <w:szCs w:val="24"/>
          <w:highlight w:val="none"/>
          <w:u w:val="single"/>
          <w14:textFill>
            <w14:solidFill>
              <w14:schemeClr w14:val="tx1"/>
            </w14:solidFill>
          </w14:textFill>
        </w:rPr>
        <w:t>）承包人需在工程验收前与发包人签署工程质量保修书方可申请工程验收，工程质量保修书作为施工合同附件。</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一、协议书</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1.承包人承揽工程项目一览表</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二、专用合同条款</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2.发包人供应材料设备一览表</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3.工程质量保修书</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4.主要建设工程文件目录</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5.承包人用于本工程施工的机械设备表</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6.承包人主要施工管理人员表</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7.分包人主要施工管理人员表</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8.履约担保格式</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9.预付款担保格式</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10.支付担保格式（财政性投资项目按相关规定执行）</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11.暂估价一览表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before="156" w:beforeLines="50" w:after="156" w:afterLines="50" w:line="440" w:lineRule="exact"/>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附件1：</w:t>
      </w:r>
    </w:p>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承包人承揽工程项目一览表</w:t>
      </w:r>
    </w:p>
    <w:tbl>
      <w:tblPr>
        <w:tblStyle w:val="63"/>
        <w:tblW w:w="10549"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007"/>
        <w:gridCol w:w="1245"/>
        <w:gridCol w:w="915"/>
        <w:gridCol w:w="850"/>
        <w:gridCol w:w="1100"/>
        <w:gridCol w:w="1350"/>
        <w:gridCol w:w="1417"/>
        <w:gridCol w:w="851"/>
        <w:gridCol w:w="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单位工程名称</w:t>
            </w:r>
          </w:p>
        </w:tc>
        <w:tc>
          <w:tcPr>
            <w:tcW w:w="1007"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建设规模</w:t>
            </w:r>
          </w:p>
        </w:tc>
        <w:tc>
          <w:tcPr>
            <w:tcW w:w="1245"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建筑面积(</w:t>
            </w:r>
            <w:r>
              <w:rPr>
                <w:rFonts w:hint="eastAsia" w:hAnsi="宋体"/>
                <w:color w:val="000000" w:themeColor="text1"/>
                <w:sz w:val="24"/>
                <w:szCs w:val="24"/>
                <w:highlight w:val="none"/>
                <w14:textFill>
                  <w14:solidFill>
                    <w14:schemeClr w14:val="tx1"/>
                  </w14:solidFill>
                </w14:textFill>
              </w:rPr>
              <w:t>m2</w:t>
            </w:r>
            <w:r>
              <w:rPr>
                <w:rFonts w:hAnsi="宋体"/>
                <w:color w:val="000000" w:themeColor="text1"/>
                <w:sz w:val="24"/>
                <w:szCs w:val="24"/>
                <w:highlight w:val="none"/>
                <w14:textFill>
                  <w14:solidFill>
                    <w14:schemeClr w14:val="tx1"/>
                  </w14:solidFill>
                </w14:textFill>
              </w:rPr>
              <w:t>)</w:t>
            </w:r>
          </w:p>
        </w:tc>
        <w:tc>
          <w:tcPr>
            <w:tcW w:w="915"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结构</w:t>
            </w:r>
            <w:r>
              <w:rPr>
                <w:rFonts w:hint="eastAsia" w:hAnsi="宋体"/>
                <w:color w:val="000000" w:themeColor="text1"/>
                <w:sz w:val="24"/>
                <w:szCs w:val="24"/>
                <w:highlight w:val="none"/>
                <w14:textFill>
                  <w14:solidFill>
                    <w14:schemeClr w14:val="tx1"/>
                  </w14:solidFill>
                </w14:textFill>
              </w:rPr>
              <w:t>形式</w:t>
            </w:r>
          </w:p>
        </w:tc>
        <w:tc>
          <w:tcPr>
            <w:tcW w:w="85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层数</w:t>
            </w:r>
          </w:p>
        </w:tc>
        <w:tc>
          <w:tcPr>
            <w:tcW w:w="110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生产能力</w:t>
            </w:r>
          </w:p>
        </w:tc>
        <w:tc>
          <w:tcPr>
            <w:tcW w:w="135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设备安装内容</w:t>
            </w:r>
          </w:p>
        </w:tc>
        <w:tc>
          <w:tcPr>
            <w:tcW w:w="1417"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合同价格（元）</w:t>
            </w:r>
          </w:p>
        </w:tc>
        <w:tc>
          <w:tcPr>
            <w:tcW w:w="851"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开工日期</w:t>
            </w:r>
          </w:p>
        </w:tc>
        <w:tc>
          <w:tcPr>
            <w:tcW w:w="537"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0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15"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0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53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bl>
    <w:p>
      <w:pPr>
        <w:spacing w:line="440" w:lineRule="exact"/>
        <w:rPr>
          <w:rFonts w:hAnsi="宋体"/>
          <w:b/>
          <w:color w:val="000000" w:themeColor="text1"/>
          <w:sz w:val="24"/>
          <w:szCs w:val="24"/>
          <w:highlight w:val="none"/>
          <w14:textFill>
            <w14:solidFill>
              <w14:schemeClr w14:val="tx1"/>
            </w14:solidFill>
          </w14:textFill>
        </w:rPr>
        <w:sectPr>
          <w:footerReference r:id="rId10" w:type="first"/>
          <w:headerReference r:id="rId8" w:type="default"/>
          <w:footerReference r:id="rId9" w:type="default"/>
          <w:pgSz w:w="11850" w:h="16783"/>
          <w:pgMar w:top="1418" w:right="1531" w:bottom="1418" w:left="1135" w:header="851" w:footer="992" w:gutter="0"/>
          <w:cols w:space="720" w:num="1"/>
          <w:titlePg/>
          <w:docGrid w:type="linesAndChars" w:linePitch="312" w:charSpace="0"/>
        </w:sectPr>
      </w:pPr>
    </w:p>
    <w:p>
      <w:pPr>
        <w:spacing w:line="440" w:lineRule="exac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附</w:t>
      </w:r>
      <w:bookmarkStart w:id="422" w:name="_Toc296347224"/>
      <w:bookmarkStart w:id="423" w:name="_Toc296346726"/>
      <w:bookmarkStart w:id="424" w:name="_Toc267261692"/>
      <w:bookmarkStart w:id="425" w:name="_Toc296891053"/>
      <w:bookmarkStart w:id="426" w:name="_Toc296891265"/>
      <w:bookmarkStart w:id="427" w:name="_Toc296944564"/>
      <w:bookmarkStart w:id="428" w:name="_Toc296503225"/>
      <w:r>
        <w:rPr>
          <w:rFonts w:hAnsi="宋体"/>
          <w:color w:val="000000" w:themeColor="text1"/>
          <w:sz w:val="24"/>
          <w:szCs w:val="24"/>
          <w:highlight w:val="none"/>
          <w14:textFill>
            <w14:solidFill>
              <w14:schemeClr w14:val="tx1"/>
            </w14:solidFill>
          </w14:textFill>
        </w:rPr>
        <w:t>件2：</w:t>
      </w:r>
    </w:p>
    <w:bookmarkEnd w:id="422"/>
    <w:bookmarkEnd w:id="423"/>
    <w:bookmarkEnd w:id="424"/>
    <w:bookmarkEnd w:id="425"/>
    <w:bookmarkEnd w:id="426"/>
    <w:bookmarkEnd w:id="427"/>
    <w:bookmarkEnd w:id="428"/>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发包人供应材料设备一览表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9"/>
        <w:gridCol w:w="1276"/>
        <w:gridCol w:w="1162"/>
        <w:gridCol w:w="940"/>
        <w:gridCol w:w="851"/>
        <w:gridCol w:w="1044"/>
        <w:gridCol w:w="731"/>
        <w:gridCol w:w="851"/>
        <w:gridCol w:w="1314"/>
        <w:gridCol w:w="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9"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276"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材料、</w:t>
            </w:r>
          </w:p>
          <w:p>
            <w:pPr>
              <w:keepNext/>
              <w:spacing w:line="440" w:lineRule="exact"/>
              <w:ind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设备品种</w:t>
            </w:r>
          </w:p>
        </w:tc>
        <w:tc>
          <w:tcPr>
            <w:tcW w:w="1162"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规格型号</w:t>
            </w:r>
          </w:p>
        </w:tc>
        <w:tc>
          <w:tcPr>
            <w:tcW w:w="94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单位</w:t>
            </w:r>
          </w:p>
        </w:tc>
        <w:tc>
          <w:tcPr>
            <w:tcW w:w="851"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单价</w:t>
            </w:r>
            <w:r>
              <w:rPr>
                <w:rFonts w:hint="eastAsia" w:hAnsi="宋体"/>
                <w:color w:val="000000" w:themeColor="text1"/>
                <w:sz w:val="24"/>
                <w:szCs w:val="24"/>
                <w:highlight w:val="none"/>
                <w14:textFill>
                  <w14:solidFill>
                    <w14:schemeClr w14:val="tx1"/>
                  </w14:solidFill>
                </w14:textFill>
              </w:rPr>
              <w:t>（元）</w:t>
            </w:r>
          </w:p>
        </w:tc>
        <w:tc>
          <w:tcPr>
            <w:tcW w:w="731"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质量等级</w:t>
            </w:r>
          </w:p>
        </w:tc>
        <w:tc>
          <w:tcPr>
            <w:tcW w:w="851"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供应时间</w:t>
            </w:r>
          </w:p>
        </w:tc>
        <w:tc>
          <w:tcPr>
            <w:tcW w:w="1314"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送达地点</w:t>
            </w:r>
          </w:p>
        </w:tc>
        <w:tc>
          <w:tcPr>
            <w:tcW w:w="73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4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4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14"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3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276"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162"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940"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04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851"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1314" w:type="dxa"/>
            <w:noWrap w:val="0"/>
            <w:vAlign w:val="center"/>
          </w:tcPr>
          <w:p>
            <w:pPr>
              <w:jc w:val="center"/>
              <w:rPr>
                <w:rFonts w:hAnsi="宋体"/>
                <w:color w:val="000000" w:themeColor="text1"/>
                <w:sz w:val="24"/>
                <w:szCs w:val="24"/>
                <w:highlight w:val="none"/>
                <w14:textFill>
                  <w14:solidFill>
                    <w14:schemeClr w14:val="tx1"/>
                  </w14:solidFill>
                </w14:textFill>
              </w:rPr>
            </w:pPr>
          </w:p>
        </w:tc>
        <w:tc>
          <w:tcPr>
            <w:tcW w:w="730" w:type="dxa"/>
            <w:noWrap w:val="0"/>
            <w:vAlign w:val="center"/>
          </w:tcPr>
          <w:p>
            <w:pPr>
              <w:jc w:val="center"/>
              <w:rPr>
                <w:rFonts w:hAnsi="宋体"/>
                <w:color w:val="000000" w:themeColor="text1"/>
                <w:sz w:val="24"/>
                <w:szCs w:val="24"/>
                <w:highlight w:val="none"/>
                <w14:textFill>
                  <w14:solidFill>
                    <w14:schemeClr w14:val="tx1"/>
                  </w14:solidFill>
                </w14:textFill>
              </w:rPr>
            </w:pPr>
          </w:p>
        </w:tc>
      </w:tr>
    </w:tbl>
    <w:p>
      <w:pPr>
        <w:spacing w:line="440" w:lineRule="exact"/>
        <w:rPr>
          <w:rFonts w:hAnsi="宋体"/>
          <w:color w:val="000000" w:themeColor="text1"/>
          <w:sz w:val="24"/>
          <w:szCs w:val="24"/>
          <w:highlight w:val="none"/>
          <w14:textFill>
            <w14:solidFill>
              <w14:schemeClr w14:val="tx1"/>
            </w14:solidFill>
          </w14:textFill>
        </w:rPr>
      </w:pPr>
    </w:p>
    <w:p>
      <w:pPr>
        <w:autoSpaceDE w:val="0"/>
        <w:autoSpaceDN w:val="0"/>
        <w:adjustRightInd w:val="0"/>
        <w:spacing w:line="360" w:lineRule="auto"/>
        <w:ind w:right="525" w:rightChars="250"/>
        <w:jc w:val="both"/>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p>
    <w:p>
      <w:pPr>
        <w:autoSpaceDE w:val="0"/>
        <w:autoSpaceDN w:val="0"/>
        <w:adjustRightInd w:val="0"/>
        <w:spacing w:line="360" w:lineRule="auto"/>
        <w:ind w:right="525" w:rightChars="250"/>
        <w:jc w:val="both"/>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cs="宋体"/>
          <w:bCs/>
          <w:color w:val="000000" w:themeColor="text1"/>
          <w:kern w:val="0"/>
          <w:sz w:val="24"/>
          <w:szCs w:val="24"/>
          <w:highlight w:val="none"/>
          <w:lang w:eastAsia="zh-CN"/>
          <w14:textFill>
            <w14:solidFill>
              <w14:schemeClr w14:val="tx1"/>
            </w14:solidFill>
          </w14:textFill>
        </w:rPr>
        <w:t>附件</w:t>
      </w:r>
      <w:r>
        <w:rPr>
          <w:rFonts w:hint="eastAsia" w:ascii="宋体" w:hAnsi="宋体" w:cs="宋体"/>
          <w:bCs/>
          <w:color w:val="000000" w:themeColor="text1"/>
          <w:kern w:val="0"/>
          <w:sz w:val="24"/>
          <w:szCs w:val="24"/>
          <w:highlight w:val="none"/>
          <w:lang w:val="en-US" w:eastAsia="zh-CN"/>
          <w14:textFill>
            <w14:solidFill>
              <w14:schemeClr w14:val="tx1"/>
            </w14:solidFill>
          </w14:textFill>
        </w:rPr>
        <w:t>3：</w:t>
      </w:r>
    </w:p>
    <w:p>
      <w:pPr>
        <w:autoSpaceDE w:val="0"/>
        <w:autoSpaceDN w:val="0"/>
        <w:adjustRightInd w:val="0"/>
        <w:spacing w:line="360" w:lineRule="auto"/>
        <w:ind w:right="525" w:rightChars="250"/>
        <w:jc w:val="center"/>
        <w:rPr>
          <w:rFonts w:hint="eastAsia" w:ascii="宋体" w:hAnsi="宋体" w:cs="宋体"/>
          <w:b/>
          <w:bCs w:val="0"/>
          <w:color w:val="000000" w:themeColor="text1"/>
          <w:kern w:val="0"/>
          <w:sz w:val="28"/>
          <w:szCs w:val="28"/>
          <w:highlight w:val="none"/>
          <w14:textFill>
            <w14:solidFill>
              <w14:schemeClr w14:val="tx1"/>
            </w14:solidFill>
          </w14:textFill>
        </w:rPr>
      </w:pPr>
      <w:r>
        <w:rPr>
          <w:rFonts w:hint="eastAsia" w:ascii="宋体" w:hAnsi="宋体" w:cs="宋体"/>
          <w:b/>
          <w:bCs w:val="0"/>
          <w:color w:val="000000" w:themeColor="text1"/>
          <w:kern w:val="0"/>
          <w:sz w:val="28"/>
          <w:szCs w:val="28"/>
          <w:highlight w:val="none"/>
          <w14:textFill>
            <w14:solidFill>
              <w14:schemeClr w14:val="tx1"/>
            </w14:solidFill>
          </w14:textFill>
        </w:rPr>
        <w:t>工程质量保修书</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eastAsia="宋体" w:cs="宋体"/>
          <w:bCs/>
          <w:color w:val="000000" w:themeColor="text1"/>
          <w:kern w:val="0"/>
          <w:sz w:val="24"/>
          <w:szCs w:val="24"/>
          <w:highlight w:val="none"/>
          <w:u w:val="single"/>
          <w:lang w:eastAsia="zh-CN"/>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发</w:t>
      </w:r>
      <w:r>
        <w:rPr>
          <w:rFonts w:hint="eastAsia" w:ascii="宋体" w:hAnsi="宋体" w:cs="宋体"/>
          <w:bCs/>
          <w:color w:val="000000" w:themeColor="text1"/>
          <w:sz w:val="24"/>
          <w:szCs w:val="24"/>
          <w:highlight w:val="none"/>
          <w14:textFill>
            <w14:solidFill>
              <w14:schemeClr w14:val="tx1"/>
            </w14:solidFill>
          </w14:textFill>
        </w:rPr>
        <w:t>包人（全称）：</w:t>
      </w:r>
      <w:r>
        <w:rPr>
          <w:rFonts w:hint="eastAsia" w:ascii="宋体" w:hAnsi="宋体" w:cs="宋体"/>
          <w:bCs/>
          <w:color w:val="000000" w:themeColor="text1"/>
          <w:sz w:val="24"/>
          <w:szCs w:val="24"/>
          <w:highlight w:val="none"/>
          <w:u w:val="single"/>
          <w:lang w:eastAsia="zh-CN"/>
          <w14:textFill>
            <w14:solidFill>
              <w14:schemeClr w14:val="tx1"/>
            </w14:solidFill>
          </w14:textFill>
        </w:rPr>
        <w:t>杭州市文物遗产与历史建筑保护中心</w:t>
      </w:r>
    </w:p>
    <w:p>
      <w:pPr>
        <w:keepNext w:val="0"/>
        <w:keepLines w:val="0"/>
        <w:pageBreakBefore w:val="0"/>
        <w:kinsoku/>
        <w:wordWrap/>
        <w:overflowPunct/>
        <w:topLinePunct w:val="0"/>
        <w:bidi w:val="0"/>
        <w:adjustRightInd w:val="0"/>
        <w:snapToGrid/>
        <w:spacing w:line="360" w:lineRule="auto"/>
        <w:ind w:left="0" w:right="0" w:rightChars="0" w:firstLine="480" w:firstLineChars="200"/>
        <w:textAlignment w:val="auto"/>
        <w:rPr>
          <w:rFonts w:hint="default"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承包人（全称）：</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发包人、承包人根据《中华人民共和国建筑法》、《建设工程质量管理条例》，经协商一致就（</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求是书院院落环境整治项目 </w:t>
      </w:r>
      <w:r>
        <w:rPr>
          <w:rFonts w:hint="eastAsia" w:ascii="宋体" w:hAnsi="宋体" w:cs="宋体"/>
          <w:bCs/>
          <w:color w:val="000000" w:themeColor="text1"/>
          <w:kern w:val="0"/>
          <w:sz w:val="24"/>
          <w:szCs w:val="24"/>
          <w:highlight w:val="none"/>
          <w14:textFill>
            <w14:solidFill>
              <w14:schemeClr w14:val="tx1"/>
            </w14:solidFill>
          </w14:textFill>
        </w:rPr>
        <w:t>）签订工程质量保修书。</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一、工程质量保修范围和内容</w:t>
      </w:r>
    </w:p>
    <w:p>
      <w:pPr>
        <w:keepNext w:val="0"/>
        <w:keepLines w:val="0"/>
        <w:pageBreakBefore w:val="0"/>
        <w:kinsoku/>
        <w:wordWrap/>
        <w:overflowPunct/>
        <w:topLinePunct w:val="0"/>
        <w:bidi w:val="0"/>
        <w:adjustRightInd w:val="0"/>
        <w:snapToGrid/>
        <w:spacing w:line="360" w:lineRule="auto"/>
        <w:ind w:left="0" w:right="0" w:rightChars="0" w:firstLine="480" w:firstLineChars="200"/>
        <w:textAlignment w:val="auto"/>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承包人在质量保修期内，按照有关法律规定和合同约定，承担工程质量保修责任。</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bCs/>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本工程承包范围内的全部工程内容。</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二、质量保修期</w:t>
      </w:r>
    </w:p>
    <w:p>
      <w:pPr>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根据《建设工程质量管理条例》及有关规定，工程的质量保修期如下：</w:t>
      </w:r>
    </w:p>
    <w:p>
      <w:pPr>
        <w:autoSpaceDE w:val="0"/>
        <w:autoSpaceDN w:val="0"/>
        <w:adjustRightInd w:val="0"/>
        <w:spacing w:line="360" w:lineRule="auto"/>
        <w:ind w:firstLine="480" w:firstLineChars="200"/>
        <w:jc w:val="left"/>
        <w:rPr>
          <w:rFonts w:ascii="宋体" w:hAnsi="宋体"/>
          <w:color w:val="000000" w:themeColor="text1"/>
          <w:spacing w:val="-4"/>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spacing w:val="-4"/>
          <w:kern w:val="0"/>
          <w:sz w:val="24"/>
          <w:szCs w:val="24"/>
          <w:highlight w:val="none"/>
          <w14:textFill>
            <w14:solidFill>
              <w14:schemeClr w14:val="tx1"/>
            </w14:solidFill>
          </w14:textFill>
        </w:rPr>
        <w:t>地基基础工程和主体结构工程为设计文件规定的工程合理使用年限；</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2．屋面防水工程、有防水要求的卫生间、房间和外墙面的防渗为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3．装修工程为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4．电气管线、给排水管道、设备安装工程为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5．供热与供冷系统为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个采暖期、供冷期；</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6．住宅小区内的给排水设施、道路等配套工程为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p>
    <w:p>
      <w:pPr>
        <w:autoSpaceDE w:val="0"/>
        <w:autoSpaceDN w:val="0"/>
        <w:adjustRightInd w:val="0"/>
        <w:spacing w:line="360" w:lineRule="auto"/>
        <w:ind w:firstLine="480" w:firstLineChars="200"/>
        <w:jc w:val="left"/>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7．其他项目保修期限约定如下：</w:t>
      </w:r>
      <w:r>
        <w:rPr>
          <w:rFonts w:hint="eastAsia" w:ascii="宋体" w:hAnsi="宋体"/>
          <w:color w:val="000000" w:themeColor="text1"/>
          <w:kern w:val="0"/>
          <w:sz w:val="24"/>
          <w:szCs w:val="24"/>
          <w:highlight w:val="none"/>
          <w:u w:val="single"/>
          <w14:textFill>
            <w14:solidFill>
              <w14:schemeClr w14:val="tx1"/>
            </w14:solidFill>
          </w14:textFill>
        </w:rPr>
        <w:t>其他工程内容保修期</w:t>
      </w:r>
      <w:r>
        <w:rPr>
          <w:rFonts w:hint="eastAsia" w:ascii="宋体" w:hAnsi="宋体"/>
          <w:color w:val="000000" w:themeColor="text1"/>
          <w:kern w:val="0"/>
          <w:sz w:val="24"/>
          <w:szCs w:val="24"/>
          <w:highlight w:val="none"/>
          <w:u w:val="single"/>
          <w:lang w:eastAsia="zh-CN"/>
          <w14:textFill>
            <w14:solidFill>
              <w14:schemeClr w14:val="tx1"/>
            </w14:solidFill>
          </w14:textFill>
        </w:rPr>
        <w:t>均</w:t>
      </w:r>
      <w:r>
        <w:rPr>
          <w:rFonts w:hint="eastAsia" w:ascii="宋体" w:hAnsi="宋体"/>
          <w:color w:val="000000" w:themeColor="text1"/>
          <w:kern w:val="0"/>
          <w:sz w:val="24"/>
          <w:szCs w:val="24"/>
          <w:highlight w:val="none"/>
          <w:u w:val="single"/>
          <w14:textFill>
            <w14:solidFill>
              <w14:schemeClr w14:val="tx1"/>
            </w14:solidFill>
          </w14:textFill>
        </w:rPr>
        <w:t>为二年。</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kern w:val="0"/>
          <w:sz w:val="24"/>
          <w:szCs w:val="24"/>
          <w:highlight w:val="none"/>
          <w:u w:val="single"/>
          <w14:textFill>
            <w14:solidFill>
              <w14:schemeClr w14:val="tx1"/>
            </w14:solidFill>
          </w14:textFill>
        </w:rPr>
        <w:t>质量保修期自工程</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自</w:t>
      </w:r>
      <w:r>
        <w:rPr>
          <w:rFonts w:hint="eastAsia" w:ascii="宋体" w:hAnsi="宋体" w:cs="宋体"/>
          <w:bCs/>
          <w:color w:val="000000" w:themeColor="text1"/>
          <w:kern w:val="0"/>
          <w:sz w:val="24"/>
          <w:szCs w:val="24"/>
          <w:highlight w:val="none"/>
          <w:u w:val="single"/>
          <w14:textFill>
            <w14:solidFill>
              <w14:schemeClr w14:val="tx1"/>
            </w14:solidFill>
          </w14:textFill>
        </w:rPr>
        <w:t>竣工验收之日起计算。</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三、缺陷责任期</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工程缺陷责任期为</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 xml:space="preserve"> 24 </w:t>
      </w:r>
      <w:r>
        <w:rPr>
          <w:rFonts w:hint="eastAsia" w:ascii="宋体" w:hAnsi="宋体" w:cs="宋体"/>
          <w:bCs/>
          <w:color w:val="000000" w:themeColor="text1"/>
          <w:kern w:val="0"/>
          <w:sz w:val="24"/>
          <w:szCs w:val="24"/>
          <w:highlight w:val="none"/>
          <w14:textFill>
            <w14:solidFill>
              <w14:schemeClr w14:val="tx1"/>
            </w14:solidFill>
          </w14:textFill>
        </w:rPr>
        <w:t>个月</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缺陷责任期自工程通过竣工验收之日起计算。单位工程先于全部工程进行验收，单位工程缺陷责任期自单位工程验收合格之日期起算。</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缺陷责任期终止后，发包人应</w:t>
      </w:r>
      <w:r>
        <w:rPr>
          <w:rFonts w:hint="eastAsia" w:ascii="宋体" w:hAnsi="宋体" w:cs="宋体"/>
          <w:bCs/>
          <w:color w:val="000000" w:themeColor="text1"/>
          <w:kern w:val="0"/>
          <w:sz w:val="24"/>
          <w:szCs w:val="24"/>
          <w:highlight w:val="none"/>
          <w:lang w:val="en-US" w:eastAsia="zh-CN"/>
          <w14:textFill>
            <w14:solidFill>
              <w14:schemeClr w14:val="tx1"/>
            </w14:solidFill>
          </w14:textFill>
        </w:rPr>
        <w:t>结清</w:t>
      </w:r>
      <w:r>
        <w:rPr>
          <w:rFonts w:hint="eastAsia" w:ascii="宋体" w:hAnsi="宋体" w:cs="宋体"/>
          <w:bCs/>
          <w:color w:val="000000" w:themeColor="text1"/>
          <w:kern w:val="0"/>
          <w:sz w:val="24"/>
          <w:szCs w:val="24"/>
          <w:highlight w:val="none"/>
          <w14:textFill>
            <w14:solidFill>
              <w14:schemeClr w14:val="tx1"/>
            </w14:solidFill>
          </w14:textFill>
        </w:rPr>
        <w:t>剩余的质量保证金。</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四、质量保修责任</w:t>
      </w:r>
    </w:p>
    <w:p>
      <w:pPr>
        <w:keepNext w:val="0"/>
        <w:keepLines w:val="0"/>
        <w:pageBreakBefore w:val="0"/>
        <w:kinsoku/>
        <w:wordWrap/>
        <w:overflowPunct/>
        <w:topLinePunct w:val="0"/>
        <w:bidi w:val="0"/>
        <w:adjustRightInd w:val="0"/>
        <w:snapToGrid/>
        <w:spacing w:line="360" w:lineRule="auto"/>
        <w:ind w:left="0" w:right="0" w:rightChars="0" w:firstLine="480" w:firstLineChars="200"/>
        <w:textAlignment w:val="auto"/>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1、属于保修范围、内容的项目，承包人应当在接到保修通知之日起5天内派人保修。承包人不在约定期限内派人保修的，发包人可以委托他人修理。</w:t>
      </w:r>
    </w:p>
    <w:p>
      <w:pPr>
        <w:keepNext w:val="0"/>
        <w:keepLines w:val="0"/>
        <w:pageBreakBefore w:val="0"/>
        <w:widowControl/>
        <w:kinsoku/>
        <w:wordWrap/>
        <w:overflowPunct/>
        <w:topLinePunct w:val="0"/>
        <w:bidi w:val="0"/>
        <w:adjustRightInd w:val="0"/>
        <w:snapToGrid/>
        <w:spacing w:line="360" w:lineRule="auto"/>
        <w:ind w:left="0" w:right="0" w:rightChars="0"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2、发生紧急抢修事故的，承包人接到事故通知后，应立即到达事故现场抢修。</w:t>
      </w:r>
    </w:p>
    <w:p>
      <w:pPr>
        <w:keepNext w:val="0"/>
        <w:keepLines w:val="0"/>
        <w:pageBreakBefore w:val="0"/>
        <w:widowControl/>
        <w:kinsoku/>
        <w:wordWrap/>
        <w:overflowPunct/>
        <w:topLinePunct w:val="0"/>
        <w:bidi w:val="0"/>
        <w:adjustRightInd w:val="0"/>
        <w:snapToGrid/>
        <w:spacing w:line="360" w:lineRule="auto"/>
        <w:ind w:left="0" w:right="0" w:rightChars="0"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对涉及结构安全的质量问题，应当按照《房屋建筑工程质量保修办法》的规定，立即向当地建设行政主管部门报告，采取安全防范措施；由原设计单位或具有相当资质等级的设计单位提出保修方案，承包人组织验收。</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质量保修完成后，由发包人组织验收。</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五、保修费用</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保修费用由造成质量缺陷的责任方承担。</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六、双方约定的其他工程质量保修事宜：</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1、质保期内</w:t>
      </w:r>
      <w:r>
        <w:rPr>
          <w:rFonts w:hint="eastAsia" w:ascii="宋体" w:hAnsi="宋体" w:cs="宋体"/>
          <w:bCs/>
          <w:color w:val="000000" w:themeColor="text1"/>
          <w:kern w:val="0"/>
          <w:sz w:val="24"/>
          <w:szCs w:val="24"/>
          <w:highlight w:val="none"/>
          <w:u w:val="single"/>
          <w14:textFill>
            <w14:solidFill>
              <w14:schemeClr w14:val="tx1"/>
            </w14:solidFill>
          </w14:textFill>
        </w:rPr>
        <w:t>承包人未按发包人要求进行整改，发包人有权指定第三方进行维修，费用</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由承包人承担</w:t>
      </w:r>
      <w:r>
        <w:rPr>
          <w:rFonts w:hint="eastAsia" w:ascii="宋体" w:hAnsi="宋体" w:cs="宋体"/>
          <w:bCs/>
          <w:color w:val="000000" w:themeColor="text1"/>
          <w:kern w:val="0"/>
          <w:sz w:val="24"/>
          <w:szCs w:val="24"/>
          <w:highlight w:val="none"/>
          <w:u w:val="single"/>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w:t>
      </w:r>
      <w:r>
        <w:rPr>
          <w:rFonts w:hint="eastAsia" w:ascii="宋体" w:hAnsi="宋体" w:cs="宋体"/>
          <w:bCs/>
          <w:color w:val="000000" w:themeColor="text1"/>
          <w:kern w:val="0"/>
          <w:sz w:val="24"/>
          <w:szCs w:val="24"/>
          <w:highlight w:val="none"/>
          <w:u w:val="single"/>
          <w14:textFill>
            <w14:solidFill>
              <w14:schemeClr w14:val="tx1"/>
            </w14:solidFill>
          </w14:textFill>
        </w:rPr>
        <w:t>本工程质量保修书作为施工合同附件，同施工合同具有同等法律效应，至保修期满。</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u w:val="words"/>
          <w14:textFill>
            <w14:solidFill>
              <w14:schemeClr w14:val="tx1"/>
            </w14:solidFill>
          </w14:textFill>
        </w:rPr>
      </w:pP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3</w:t>
      </w:r>
      <w:r>
        <w:rPr>
          <w:rFonts w:hint="eastAsia" w:ascii="宋体" w:hAnsi="宋体" w:cs="宋体"/>
          <w:bCs/>
          <w:color w:val="000000" w:themeColor="text1"/>
          <w:kern w:val="0"/>
          <w:sz w:val="24"/>
          <w:szCs w:val="24"/>
          <w:highlight w:val="none"/>
          <w:u w:val="single"/>
          <w:lang w:val="en" w:eastAsia="zh-CN"/>
          <w14:textFill>
            <w14:solidFill>
              <w14:schemeClr w14:val="tx1"/>
            </w14:solidFill>
          </w14:textFill>
        </w:rPr>
        <w:t>、</w:t>
      </w:r>
      <w:r>
        <w:rPr>
          <w:rFonts w:hint="eastAsia" w:ascii="宋体" w:hAnsi="宋体" w:cs="宋体"/>
          <w:bCs/>
          <w:color w:val="000000" w:themeColor="text1"/>
          <w:kern w:val="0"/>
          <w:sz w:val="24"/>
          <w:szCs w:val="24"/>
          <w:highlight w:val="none"/>
          <w:u w:val="single"/>
          <w14:textFill>
            <w14:solidFill>
              <w14:schemeClr w14:val="tx1"/>
            </w14:solidFill>
          </w14:textFill>
        </w:rPr>
        <w:t>发包人在质量保修期满后，</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于</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7个工作日内</w:t>
      </w:r>
      <w:r>
        <w:rPr>
          <w:rFonts w:hint="eastAsia" w:ascii="宋体" w:hAnsi="宋体" w:cs="宋体"/>
          <w:bCs/>
          <w:color w:val="000000" w:themeColor="text1"/>
          <w:kern w:val="0"/>
          <w:sz w:val="24"/>
          <w:szCs w:val="24"/>
          <w:highlight w:val="none"/>
          <w:u w:val="single"/>
          <w14:textFill>
            <w14:solidFill>
              <w14:schemeClr w14:val="tx1"/>
            </w14:solidFill>
          </w14:textFill>
        </w:rPr>
        <w:t>将</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履约保证金</w:t>
      </w:r>
      <w:r>
        <w:rPr>
          <w:rFonts w:hint="eastAsia" w:ascii="宋体" w:hAnsi="宋体" w:cs="宋体"/>
          <w:bCs/>
          <w:color w:val="000000" w:themeColor="text1"/>
          <w:kern w:val="0"/>
          <w:sz w:val="24"/>
          <w:szCs w:val="24"/>
          <w:highlight w:val="none"/>
          <w:u w:val="single"/>
          <w14:textFill>
            <w14:solidFill>
              <w14:schemeClr w14:val="tx1"/>
            </w14:solidFill>
          </w14:textFill>
        </w:rPr>
        <w:t>无息返还承包人。</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left"/>
        <w:textAlignment w:val="auto"/>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本工程质量保修书，由施工合同发包人、承包人双方在施工合同签订时共同签署，作为施工合同附件，其有效期限至保修期满。</w:t>
      </w:r>
    </w:p>
    <w:p>
      <w:pPr>
        <w:pStyle w:val="2"/>
        <w:keepNext w:val="0"/>
        <w:keepLines w:val="0"/>
        <w:pageBreakBefore w:val="0"/>
        <w:kinsoku/>
        <w:wordWrap/>
        <w:overflowPunct/>
        <w:topLinePunct w:val="0"/>
        <w:bidi w:val="0"/>
        <w:adjustRightInd w:val="0"/>
        <w:snapToGrid/>
        <w:ind w:left="0" w:right="0" w:rightChars="0" w:firstLine="420" w:firstLineChars="200"/>
        <w:textAlignment w:val="auto"/>
        <w:rPr>
          <w:rFonts w:hint="eastAsia"/>
          <w:color w:val="000000" w:themeColor="text1"/>
          <w:highlight w:val="none"/>
          <w14:textFill>
            <w14:solidFill>
              <w14:schemeClr w14:val="tx1"/>
            </w14:solidFill>
          </w14:textFill>
        </w:rPr>
      </w:pPr>
    </w:p>
    <w:p>
      <w:pPr>
        <w:keepNext w:val="0"/>
        <w:keepLines w:val="0"/>
        <w:pageBreakBefore w:val="0"/>
        <w:kinsoku/>
        <w:wordWrap/>
        <w:overflowPunct/>
        <w:topLinePunct w:val="0"/>
        <w:bidi w:val="0"/>
        <w:adjustRightInd w:val="0"/>
        <w:snapToGrid/>
        <w:ind w:left="0" w:right="0" w:rightChars="0" w:firstLine="420" w:firstLineChars="200"/>
        <w:textAlignment w:val="auto"/>
        <w:rPr>
          <w:rFonts w:hint="eastAsia"/>
          <w:color w:val="000000" w:themeColor="text1"/>
          <w:highlight w:val="none"/>
          <w14:textFill>
            <w14:solidFill>
              <w14:schemeClr w14:val="tx1"/>
            </w14:solidFill>
          </w14:textFill>
        </w:rPr>
      </w:pPr>
    </w:p>
    <w:p>
      <w:pPr>
        <w:pStyle w:val="2"/>
        <w:keepNext w:val="0"/>
        <w:keepLines w:val="0"/>
        <w:pageBreakBefore w:val="0"/>
        <w:kinsoku/>
        <w:wordWrap/>
        <w:overflowPunct/>
        <w:topLinePunct w:val="0"/>
        <w:bidi w:val="0"/>
        <w:adjustRightInd w:val="0"/>
        <w:snapToGrid/>
        <w:ind w:left="0" w:right="0" w:rightChars="0" w:firstLine="420" w:firstLineChars="200"/>
        <w:textAlignment w:val="auto"/>
        <w:rPr>
          <w:rFonts w:hint="eastAsia"/>
          <w:color w:val="000000" w:themeColor="text1"/>
          <w:highlight w:val="none"/>
          <w14:textFill>
            <w14:solidFill>
              <w14:schemeClr w14:val="tx1"/>
            </w14:solidFill>
          </w14:textFill>
        </w:rPr>
      </w:pPr>
    </w:p>
    <w:p>
      <w:pPr>
        <w:keepNext w:val="0"/>
        <w:keepLines w:val="0"/>
        <w:pageBreakBefore w:val="0"/>
        <w:kinsoku/>
        <w:wordWrap/>
        <w:overflowPunct/>
        <w:topLinePunct w:val="0"/>
        <w:bidi w:val="0"/>
        <w:adjustRightInd w:val="0"/>
        <w:snapToGrid/>
        <w:ind w:left="0" w:right="0" w:rightChars="0" w:firstLine="420" w:firstLineChars="200"/>
        <w:textAlignment w:val="auto"/>
        <w:rPr>
          <w:rFonts w:hint="eastAsia"/>
          <w:color w:val="000000" w:themeColor="text1"/>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发包人（公章）：                      承包人（公章）：</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地址：  </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地址：</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法定代表人（签字）：                  法定代表人（签字）：</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委托代理人（签字）：                 </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委托代理人（签字）：</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电话：</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电话：                          </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开户银行：</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开户银行：</w:t>
      </w:r>
    </w:p>
    <w:p>
      <w:pPr>
        <w:keepNext w:val="0"/>
        <w:keepLines w:val="0"/>
        <w:pageBreakBefore w:val="0"/>
        <w:kinsoku/>
        <w:wordWrap/>
        <w:overflowPunct/>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账号</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账号：</w:t>
      </w:r>
    </w:p>
    <w:p>
      <w:pPr>
        <w:autoSpaceDE w:val="0"/>
        <w:autoSpaceDN w:val="0"/>
        <w:adjustRightInd w:val="0"/>
        <w:spacing w:line="360" w:lineRule="auto"/>
        <w:ind w:right="360"/>
        <w:jc w:val="left"/>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附件4：</w:t>
      </w:r>
    </w:p>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主要建设工程文件目录</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文件名称</w:t>
            </w:r>
          </w:p>
        </w:tc>
        <w:tc>
          <w:tcPr>
            <w:tcW w:w="1276"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费用</w:t>
            </w:r>
            <w:r>
              <w:rPr>
                <w:rFonts w:hint="eastAsia" w:hAnsi="宋体"/>
                <w:color w:val="000000" w:themeColor="text1"/>
                <w:sz w:val="24"/>
                <w:szCs w:val="24"/>
                <w:highlight w:val="none"/>
                <w14:textFill>
                  <w14:solidFill>
                    <w14:schemeClr w14:val="tx1"/>
                  </w14:solidFill>
                </w14:textFill>
              </w:rPr>
              <w:t>（元）</w:t>
            </w:r>
          </w:p>
        </w:tc>
        <w:tc>
          <w:tcPr>
            <w:tcW w:w="1243"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pPr>
              <w:spacing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移交时间</w:t>
            </w:r>
          </w:p>
        </w:tc>
        <w:tc>
          <w:tcPr>
            <w:tcW w:w="1667" w:type="dxa"/>
            <w:tcBorders>
              <w:top w:val="single" w:color="auto" w:sz="12" w:space="0"/>
              <w:bottom w:val="double" w:color="auto" w:sz="6" w:space="0"/>
            </w:tcBorders>
            <w:noWrap w:val="0"/>
            <w:vAlign w:val="top"/>
          </w:tcPr>
          <w:p>
            <w:pPr>
              <w:spacing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76"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243"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667"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Ansi="宋体"/>
                <w:color w:val="000000" w:themeColor="text1"/>
                <w:sz w:val="24"/>
                <w:szCs w:val="24"/>
                <w:highlight w:val="none"/>
                <w14:textFill>
                  <w14:solidFill>
                    <w14:schemeClr w14:val="tx1"/>
                  </w14:solidFill>
                </w14:textFill>
              </w:rPr>
            </w:pPr>
          </w:p>
        </w:tc>
        <w:tc>
          <w:tcPr>
            <w:tcW w:w="1276"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243" w:type="dxa"/>
            <w:noWrap w:val="0"/>
            <w:vAlign w:val="top"/>
          </w:tcPr>
          <w:p>
            <w:pPr>
              <w:rPr>
                <w:rFonts w:hAnsi="宋体"/>
                <w:color w:val="000000" w:themeColor="text1"/>
                <w:sz w:val="24"/>
                <w:szCs w:val="24"/>
                <w:highlight w:val="none"/>
                <w14:textFill>
                  <w14:solidFill>
                    <w14:schemeClr w14:val="tx1"/>
                  </w14:solidFill>
                </w14:textFill>
              </w:rPr>
            </w:pPr>
          </w:p>
        </w:tc>
        <w:tc>
          <w:tcPr>
            <w:tcW w:w="1450" w:type="dxa"/>
            <w:noWrap w:val="0"/>
            <w:vAlign w:val="top"/>
          </w:tcPr>
          <w:p>
            <w:pPr>
              <w:rPr>
                <w:rFonts w:hAnsi="宋体"/>
                <w:color w:val="000000" w:themeColor="text1"/>
                <w:sz w:val="24"/>
                <w:szCs w:val="24"/>
                <w:highlight w:val="none"/>
                <w14:textFill>
                  <w14:solidFill>
                    <w14:schemeClr w14:val="tx1"/>
                  </w14:solidFill>
                </w14:textFill>
              </w:rPr>
            </w:pPr>
          </w:p>
        </w:tc>
        <w:tc>
          <w:tcPr>
            <w:tcW w:w="1667" w:type="dxa"/>
            <w:noWrap w:val="0"/>
            <w:vAlign w:val="top"/>
          </w:tcPr>
          <w:p>
            <w:pPr>
              <w:rPr>
                <w:rFonts w:hAnsi="宋体"/>
                <w:color w:val="000000" w:themeColor="text1"/>
                <w:sz w:val="24"/>
                <w:szCs w:val="24"/>
                <w:highlight w:val="none"/>
                <w14:textFill>
                  <w14:solidFill>
                    <w14:schemeClr w14:val="tx1"/>
                  </w14:solidFill>
                </w14:textFill>
              </w:rPr>
            </w:pPr>
          </w:p>
        </w:tc>
      </w:tr>
    </w:tbl>
    <w:p>
      <w:pPr>
        <w:spacing w:line="440" w:lineRule="exact"/>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Ansi="宋体"/>
          <w:color w:val="000000" w:themeColor="text1"/>
          <w:sz w:val="24"/>
          <w:szCs w:val="24"/>
          <w:highlight w:val="none"/>
          <w14:textFill>
            <w14:solidFill>
              <w14:schemeClr w14:val="tx1"/>
            </w14:solidFill>
          </w14:textFill>
        </w:rPr>
        <w:t>附</w:t>
      </w:r>
      <w:bookmarkStart w:id="429" w:name="_Toc296891055"/>
      <w:bookmarkStart w:id="430" w:name="_Toc296503227"/>
      <w:bookmarkStart w:id="431" w:name="_Toc296347226"/>
      <w:bookmarkStart w:id="432" w:name="_Toc296346728"/>
      <w:bookmarkStart w:id="433" w:name="_Toc296944566"/>
      <w:bookmarkStart w:id="434" w:name="_Toc296891267"/>
      <w:bookmarkStart w:id="435" w:name="_Toc267261698"/>
      <w:r>
        <w:rPr>
          <w:rFonts w:hAnsi="宋体"/>
          <w:color w:val="000000" w:themeColor="text1"/>
          <w:sz w:val="24"/>
          <w:szCs w:val="24"/>
          <w:highlight w:val="none"/>
          <w14:textFill>
            <w14:solidFill>
              <w14:schemeClr w14:val="tx1"/>
            </w14:solidFill>
          </w14:textFill>
        </w:rPr>
        <w:t>件5：</w:t>
      </w:r>
    </w:p>
    <w:bookmarkEnd w:id="429"/>
    <w:bookmarkEnd w:id="430"/>
    <w:bookmarkEnd w:id="431"/>
    <w:bookmarkEnd w:id="432"/>
    <w:bookmarkEnd w:id="433"/>
    <w:bookmarkEnd w:id="434"/>
    <w:bookmarkEnd w:id="435"/>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承包人用于本工程施工的机械设备表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规格型号</w:t>
            </w:r>
          </w:p>
        </w:tc>
        <w:tc>
          <w:tcPr>
            <w:tcW w:w="1058"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数量</w:t>
            </w:r>
          </w:p>
        </w:tc>
        <w:tc>
          <w:tcPr>
            <w:tcW w:w="88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产地</w:t>
            </w:r>
          </w:p>
        </w:tc>
        <w:tc>
          <w:tcPr>
            <w:tcW w:w="102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制造年份</w:t>
            </w:r>
          </w:p>
        </w:tc>
        <w:tc>
          <w:tcPr>
            <w:tcW w:w="148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额定功率(kW)</w:t>
            </w:r>
          </w:p>
        </w:tc>
        <w:tc>
          <w:tcPr>
            <w:tcW w:w="1020"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生产能力</w:t>
            </w:r>
          </w:p>
        </w:tc>
        <w:tc>
          <w:tcPr>
            <w:tcW w:w="921" w:type="dxa"/>
            <w:tcBorders>
              <w:top w:val="single" w:color="auto" w:sz="12" w:space="0"/>
              <w:bottom w:val="doub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tcBorders>
              <w:top w:val="double" w:color="auto" w:sz="6" w:space="0"/>
              <w:bottom w:val="single" w:color="auto" w:sz="6" w:space="0"/>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tcBorders>
              <w:top w:val="nil"/>
            </w:tcBorders>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58"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8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020"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921" w:type="dxa"/>
            <w:noWrap w:val="0"/>
            <w:vAlign w:val="center"/>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Ansi="宋体"/>
                <w:color w:val="000000" w:themeColor="text1"/>
                <w:sz w:val="24"/>
                <w:szCs w:val="24"/>
                <w:highlight w:val="none"/>
                <w14:textFill>
                  <w14:solidFill>
                    <w14:schemeClr w14:val="tx1"/>
                  </w14:solidFill>
                </w14:textFill>
              </w:rPr>
            </w:pPr>
          </w:p>
        </w:tc>
        <w:tc>
          <w:tcPr>
            <w:tcW w:w="1418" w:type="dxa"/>
            <w:noWrap w:val="0"/>
            <w:vAlign w:val="top"/>
          </w:tcPr>
          <w:p>
            <w:pPr>
              <w:rPr>
                <w:rFonts w:hAnsi="宋体"/>
                <w:color w:val="000000" w:themeColor="text1"/>
                <w:sz w:val="24"/>
                <w:szCs w:val="24"/>
                <w:highlight w:val="none"/>
                <w14:textFill>
                  <w14:solidFill>
                    <w14:schemeClr w14:val="tx1"/>
                  </w14:solidFill>
                </w14:textFill>
              </w:rPr>
            </w:pPr>
          </w:p>
        </w:tc>
        <w:tc>
          <w:tcPr>
            <w:tcW w:w="850" w:type="dxa"/>
            <w:noWrap w:val="0"/>
            <w:vAlign w:val="top"/>
          </w:tcPr>
          <w:p>
            <w:pPr>
              <w:rPr>
                <w:rFonts w:hAnsi="宋体"/>
                <w:color w:val="000000" w:themeColor="text1"/>
                <w:sz w:val="24"/>
                <w:szCs w:val="24"/>
                <w:highlight w:val="none"/>
                <w14:textFill>
                  <w14:solidFill>
                    <w14:schemeClr w14:val="tx1"/>
                  </w14:solidFill>
                </w14:textFill>
              </w:rPr>
            </w:pPr>
          </w:p>
        </w:tc>
        <w:tc>
          <w:tcPr>
            <w:tcW w:w="1058" w:type="dxa"/>
            <w:noWrap w:val="0"/>
            <w:vAlign w:val="top"/>
          </w:tcPr>
          <w:p>
            <w:pPr>
              <w:rPr>
                <w:rFonts w:hAnsi="宋体"/>
                <w:color w:val="000000" w:themeColor="text1"/>
                <w:sz w:val="24"/>
                <w:szCs w:val="24"/>
                <w:highlight w:val="none"/>
                <w14:textFill>
                  <w14:solidFill>
                    <w14:schemeClr w14:val="tx1"/>
                  </w14:solidFill>
                </w14:textFill>
              </w:rPr>
            </w:pPr>
          </w:p>
        </w:tc>
        <w:tc>
          <w:tcPr>
            <w:tcW w:w="8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1480" w:type="dxa"/>
            <w:noWrap w:val="0"/>
            <w:vAlign w:val="top"/>
          </w:tcPr>
          <w:p>
            <w:pPr>
              <w:rPr>
                <w:rFonts w:hAnsi="宋体"/>
                <w:color w:val="000000" w:themeColor="text1"/>
                <w:sz w:val="24"/>
                <w:szCs w:val="24"/>
                <w:highlight w:val="none"/>
                <w14:textFill>
                  <w14:solidFill>
                    <w14:schemeClr w14:val="tx1"/>
                  </w14:solidFill>
                </w14:textFill>
              </w:rPr>
            </w:pPr>
          </w:p>
        </w:tc>
        <w:tc>
          <w:tcPr>
            <w:tcW w:w="1020" w:type="dxa"/>
            <w:noWrap w:val="0"/>
            <w:vAlign w:val="top"/>
          </w:tcPr>
          <w:p>
            <w:pPr>
              <w:rPr>
                <w:rFonts w:hAnsi="宋体"/>
                <w:color w:val="000000" w:themeColor="text1"/>
                <w:sz w:val="24"/>
                <w:szCs w:val="24"/>
                <w:highlight w:val="none"/>
                <w14:textFill>
                  <w14:solidFill>
                    <w14:schemeClr w14:val="tx1"/>
                  </w14:solidFill>
                </w14:textFill>
              </w:rPr>
            </w:pPr>
          </w:p>
        </w:tc>
        <w:tc>
          <w:tcPr>
            <w:tcW w:w="921" w:type="dxa"/>
            <w:noWrap w:val="0"/>
            <w:vAlign w:val="top"/>
          </w:tcPr>
          <w:p>
            <w:pPr>
              <w:rPr>
                <w:rFonts w:hAnsi="宋体"/>
                <w:color w:val="000000" w:themeColor="text1"/>
                <w:sz w:val="24"/>
                <w:szCs w:val="24"/>
                <w:highlight w:val="none"/>
                <w14:textFill>
                  <w14:solidFill>
                    <w14:schemeClr w14:val="tx1"/>
                  </w14:solidFill>
                </w14:textFill>
              </w:rPr>
            </w:pPr>
          </w:p>
        </w:tc>
      </w:tr>
    </w:tbl>
    <w:p>
      <w:pPr>
        <w:spacing w:line="440" w:lineRule="exact"/>
        <w:rPr>
          <w:rFonts w:hAnsi="宋体"/>
          <w:color w:val="000000" w:themeColor="text1"/>
          <w:sz w:val="24"/>
          <w:szCs w:val="24"/>
          <w:highlight w:val="none"/>
          <w14:textFill>
            <w14:solidFill>
              <w14:schemeClr w14:val="tx1"/>
            </w14:solidFill>
          </w14:textFill>
        </w:rPr>
      </w:pPr>
    </w:p>
    <w:p>
      <w:pPr>
        <w:spacing w:line="24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int="eastAsia" w:hAnsi="宋体"/>
          <w:color w:val="000000" w:themeColor="text1"/>
          <w:sz w:val="24"/>
          <w:szCs w:val="24"/>
          <w:highlight w:val="none"/>
          <w14:textFill>
            <w14:solidFill>
              <w14:schemeClr w14:val="tx1"/>
            </w14:solidFill>
          </w14:textFill>
        </w:rPr>
        <w:t>附</w:t>
      </w:r>
      <w:bookmarkStart w:id="436" w:name="_Toc296891056"/>
      <w:bookmarkStart w:id="437" w:name="_Toc296503228"/>
      <w:bookmarkStart w:id="438" w:name="_Toc267261699"/>
      <w:bookmarkStart w:id="439" w:name="_Toc296347227"/>
      <w:bookmarkStart w:id="440" w:name="_Toc296346729"/>
      <w:bookmarkStart w:id="441" w:name="_Toc296944567"/>
      <w:bookmarkStart w:id="442" w:name="_Toc296891268"/>
      <w:r>
        <w:rPr>
          <w:rFonts w:hint="eastAsia" w:hAnsi="宋体"/>
          <w:color w:val="000000" w:themeColor="text1"/>
          <w:sz w:val="24"/>
          <w:szCs w:val="24"/>
          <w:highlight w:val="none"/>
          <w14:textFill>
            <w14:solidFill>
              <w14:schemeClr w14:val="tx1"/>
            </w14:solidFill>
          </w14:textFill>
        </w:rPr>
        <w:t>件</w:t>
      </w:r>
      <w:r>
        <w:rPr>
          <w:rFonts w:hAnsi="宋体"/>
          <w:color w:val="000000" w:themeColor="text1"/>
          <w:sz w:val="24"/>
          <w:szCs w:val="24"/>
          <w:highlight w:val="none"/>
          <w14:textFill>
            <w14:solidFill>
              <w14:schemeClr w14:val="tx1"/>
            </w14:solidFill>
          </w14:textFill>
        </w:rPr>
        <w:t>6</w:t>
      </w:r>
      <w:r>
        <w:rPr>
          <w:rFonts w:hint="eastAsia" w:hAnsi="宋体"/>
          <w:color w:val="000000" w:themeColor="text1"/>
          <w:sz w:val="24"/>
          <w:szCs w:val="24"/>
          <w:highlight w:val="none"/>
          <w14:textFill>
            <w14:solidFill>
              <w14:schemeClr w14:val="tx1"/>
            </w14:solidFill>
          </w14:textFill>
        </w:rPr>
        <w:t>：</w:t>
      </w:r>
    </w:p>
    <w:bookmarkEnd w:id="436"/>
    <w:bookmarkEnd w:id="437"/>
    <w:bookmarkEnd w:id="438"/>
    <w:bookmarkEnd w:id="439"/>
    <w:bookmarkEnd w:id="440"/>
    <w:bookmarkEnd w:id="441"/>
    <w:bookmarkEnd w:id="442"/>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承包人主要施工管理人员表</w:t>
      </w:r>
    </w:p>
    <w:tbl>
      <w:tblPr>
        <w:tblStyle w:val="6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06"/>
        <w:gridCol w:w="1134"/>
        <w:gridCol w:w="1134"/>
        <w:gridCol w:w="4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姓名</w:t>
            </w: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职务</w:t>
            </w: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职称</w:t>
            </w: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48" w:type="dxa"/>
            <w:gridSpan w:val="5"/>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项目主管</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其他人员</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48" w:type="dxa"/>
            <w:gridSpan w:val="5"/>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项目经理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项目副经理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技术负责人</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造价管理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质量管理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材料管理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计划管理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安全管理</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劳资专管员</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其他人员</w:t>
            </w:r>
          </w:p>
        </w:tc>
        <w:tc>
          <w:tcPr>
            <w:tcW w:w="1106"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bl>
    <w:p>
      <w:pPr>
        <w:spacing w:before="156" w:beforeLines="50" w:after="156" w:afterLines="50" w:line="240" w:lineRule="auto"/>
        <w:rPr>
          <w:rFonts w:hint="eastAsia" w:hAnsi="宋体"/>
          <w:color w:val="000000" w:themeColor="text1"/>
          <w:sz w:val="24"/>
          <w:szCs w:val="24"/>
          <w:highlight w:val="none"/>
          <w14:textFill>
            <w14:solidFill>
              <w14:schemeClr w14:val="tx1"/>
            </w14:solidFill>
          </w14:textFill>
        </w:rPr>
      </w:pPr>
    </w:p>
    <w:p>
      <w:pPr>
        <w:spacing w:before="156" w:beforeLines="50" w:after="156" w:afterLines="50" w:line="240" w:lineRule="auto"/>
        <w:rPr>
          <w:rFonts w:hint="eastAsia" w:hAnsi="宋体"/>
          <w:color w:val="000000" w:themeColor="text1"/>
          <w:sz w:val="24"/>
          <w:szCs w:val="24"/>
          <w:highlight w:val="none"/>
          <w14:textFill>
            <w14:solidFill>
              <w14:schemeClr w14:val="tx1"/>
            </w14:solidFill>
          </w14:textFill>
        </w:rPr>
      </w:pPr>
    </w:p>
    <w:p>
      <w:pPr>
        <w:spacing w:before="156" w:beforeLines="50" w:after="156" w:afterLines="50" w:line="240" w:lineRule="auto"/>
        <w:rPr>
          <w:rFonts w:hint="eastAsia" w:hAnsi="宋体"/>
          <w:color w:val="000000" w:themeColor="text1"/>
          <w:sz w:val="24"/>
          <w:szCs w:val="24"/>
          <w:highlight w:val="none"/>
          <w14:textFill>
            <w14:solidFill>
              <w14:schemeClr w14:val="tx1"/>
            </w14:solidFill>
          </w14:textFill>
        </w:rPr>
      </w:pPr>
    </w:p>
    <w:p>
      <w:pPr>
        <w:spacing w:before="156" w:beforeLines="50" w:after="156" w:afterLines="50" w:line="240" w:lineRule="auto"/>
        <w:rPr>
          <w:rFonts w:hint="eastAsia" w:hAnsi="宋体"/>
          <w:color w:val="000000" w:themeColor="text1"/>
          <w:sz w:val="24"/>
          <w:szCs w:val="24"/>
          <w:highlight w:val="none"/>
          <w14:textFill>
            <w14:solidFill>
              <w14:schemeClr w14:val="tx1"/>
            </w14:solidFill>
          </w14:textFill>
        </w:rPr>
      </w:pPr>
    </w:p>
    <w:p>
      <w:pPr>
        <w:spacing w:before="156" w:beforeLines="50" w:after="156" w:afterLines="50" w:line="240" w:lineRule="auto"/>
        <w:rPr>
          <w:rFonts w:hint="eastAsia" w:hAnsi="宋体"/>
          <w:color w:val="000000" w:themeColor="text1"/>
          <w:sz w:val="24"/>
          <w:szCs w:val="24"/>
          <w:highlight w:val="none"/>
          <w14:textFill>
            <w14:solidFill>
              <w14:schemeClr w14:val="tx1"/>
            </w14:solidFill>
          </w14:textFill>
        </w:rPr>
      </w:pPr>
    </w:p>
    <w:p>
      <w:pPr>
        <w:spacing w:line="240" w:lineRule="auto"/>
        <w:rPr>
          <w:rFonts w:hint="eastAsia" w:hAnsi="宋体"/>
          <w:color w:val="000000" w:themeColor="text1"/>
          <w:sz w:val="24"/>
          <w:szCs w:val="24"/>
          <w:highlight w:val="none"/>
          <w14:textFill>
            <w14:solidFill>
              <w14:schemeClr w14:val="tx1"/>
            </w14:solidFill>
          </w14:textFill>
        </w:rPr>
      </w:pPr>
      <w:bookmarkStart w:id="443" w:name="_Toc267261701"/>
    </w:p>
    <w:p>
      <w:pPr>
        <w:spacing w:line="24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附件7：</w:t>
      </w:r>
    </w:p>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分包人主要施工管理人员表</w:t>
      </w:r>
    </w:p>
    <w:tbl>
      <w:tblPr>
        <w:tblStyle w:val="6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15"/>
        <w:gridCol w:w="957"/>
        <w:gridCol w:w="1134"/>
        <w:gridCol w:w="4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915"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姓名</w:t>
            </w:r>
          </w:p>
        </w:tc>
        <w:tc>
          <w:tcPr>
            <w:tcW w:w="957"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职务</w:t>
            </w: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职称</w:t>
            </w: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8848" w:type="dxa"/>
            <w:gridSpan w:val="5"/>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项目主管</w:t>
            </w:r>
          </w:p>
        </w:tc>
        <w:tc>
          <w:tcPr>
            <w:tcW w:w="915"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915"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其他人员</w:t>
            </w:r>
          </w:p>
        </w:tc>
        <w:tc>
          <w:tcPr>
            <w:tcW w:w="915"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240" w:lineRule="auto"/>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48" w:type="dxa"/>
            <w:gridSpan w:val="5"/>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项目经理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项目副经理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技术负责人</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造价管理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质量管理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材料管理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计划管理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安全管理</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劳资专管员</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40"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其他人员</w:t>
            </w:r>
          </w:p>
        </w:tc>
        <w:tc>
          <w:tcPr>
            <w:tcW w:w="915"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957"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1134"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c>
          <w:tcPr>
            <w:tcW w:w="4102" w:type="dxa"/>
            <w:noWrap w:val="0"/>
            <w:vAlign w:val="center"/>
          </w:tcPr>
          <w:p>
            <w:pPr>
              <w:spacing w:before="156" w:beforeLines="50" w:after="156" w:afterLines="50" w:line="440" w:lineRule="exact"/>
              <w:jc w:val="center"/>
              <w:rPr>
                <w:rFonts w:hint="eastAsia" w:hAnsi="宋体"/>
                <w:color w:val="000000" w:themeColor="text1"/>
                <w:sz w:val="24"/>
                <w:szCs w:val="24"/>
                <w:highlight w:val="none"/>
                <w14:textFill>
                  <w14:solidFill>
                    <w14:schemeClr w14:val="tx1"/>
                  </w14:solidFill>
                </w14:textFill>
              </w:rPr>
            </w:pPr>
          </w:p>
        </w:tc>
      </w:tr>
    </w:tbl>
    <w:p>
      <w:pPr>
        <w:spacing w:before="156" w:beforeLines="50" w:after="156" w:afterLines="50" w:line="440" w:lineRule="exact"/>
        <w:rPr>
          <w:rFonts w:hint="eastAsia" w:hAnsi="宋体"/>
          <w:color w:val="000000" w:themeColor="text1"/>
          <w:sz w:val="24"/>
          <w:szCs w:val="24"/>
          <w:highlight w:val="none"/>
          <w14:textFill>
            <w14:solidFill>
              <w14:schemeClr w14:val="tx1"/>
            </w14:solidFill>
          </w14:textFill>
        </w:rPr>
      </w:pPr>
    </w:p>
    <w:p>
      <w:pPr>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p>
    <w:p>
      <w:pPr>
        <w:pStyle w:val="2"/>
        <w:rPr>
          <w:rFonts w:hAnsi="宋体"/>
          <w:color w:val="000000" w:themeColor="text1"/>
          <w:sz w:val="24"/>
          <w:szCs w:val="24"/>
          <w:highlight w:val="none"/>
          <w14:textFill>
            <w14:solidFill>
              <w14:schemeClr w14:val="tx1"/>
            </w14:solidFill>
          </w14:textFill>
        </w:rPr>
      </w:pPr>
    </w:p>
    <w:p>
      <w:pPr>
        <w:rPr>
          <w:rFonts w:hAnsi="宋体"/>
          <w:color w:val="000000" w:themeColor="text1"/>
          <w:sz w:val="24"/>
          <w:szCs w:val="24"/>
          <w:highlight w:val="none"/>
          <w14:textFill>
            <w14:solidFill>
              <w14:schemeClr w14:val="tx1"/>
            </w14:solidFill>
          </w14:textFill>
        </w:rPr>
      </w:pPr>
    </w:p>
    <w:p>
      <w:pPr>
        <w:spacing w:line="440" w:lineRule="exac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附</w:t>
      </w:r>
      <w:bookmarkStart w:id="444" w:name="_Toc296891271"/>
      <w:bookmarkStart w:id="445" w:name="_Toc296346732"/>
      <w:bookmarkStart w:id="446" w:name="_Toc296944570"/>
      <w:bookmarkStart w:id="447" w:name="_Toc296503231"/>
      <w:bookmarkStart w:id="448" w:name="_Toc296891059"/>
      <w:bookmarkStart w:id="449" w:name="_Toc296347230"/>
      <w:r>
        <w:rPr>
          <w:rFonts w:hAnsi="宋体"/>
          <w:color w:val="000000" w:themeColor="text1"/>
          <w:sz w:val="24"/>
          <w:szCs w:val="24"/>
          <w:highlight w:val="none"/>
          <w14:textFill>
            <w14:solidFill>
              <w14:schemeClr w14:val="tx1"/>
            </w14:solidFill>
          </w14:textFill>
        </w:rPr>
        <w:t>件8：</w:t>
      </w:r>
    </w:p>
    <w:bookmarkEnd w:id="443"/>
    <w:bookmarkEnd w:id="444"/>
    <w:bookmarkEnd w:id="445"/>
    <w:bookmarkEnd w:id="446"/>
    <w:bookmarkEnd w:id="447"/>
    <w:bookmarkEnd w:id="448"/>
    <w:bookmarkEnd w:id="449"/>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履约担保</w:t>
      </w:r>
    </w:p>
    <w:p>
      <w:pPr>
        <w:spacing w:line="440" w:lineRule="exac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14:textFill>
            <w14:solidFill>
              <w14:schemeClr w14:val="tx1"/>
            </w14:solidFill>
          </w14:textFill>
        </w:rPr>
        <w:t>（发包人名称）：</w:t>
      </w:r>
    </w:p>
    <w:p>
      <w:pPr>
        <w:spacing w:line="440" w:lineRule="exact"/>
        <w:rPr>
          <w:rFonts w:hAnsi="宋体"/>
          <w:color w:val="000000" w:themeColor="text1"/>
          <w:sz w:val="24"/>
          <w:szCs w:val="24"/>
          <w:highlight w:val="none"/>
          <w14:textFill>
            <w14:solidFill>
              <w14:schemeClr w14:val="tx1"/>
            </w14:solidFill>
          </w14:textFill>
        </w:rPr>
      </w:pP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鉴于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（发包人名称，以下简称“发包人”）与</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（承包人名称）（以下称“承包人”）于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日就</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 担保金额人民币（大写）</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元（¥</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 担保有效期自你方与承包人签订的合同生效之日起至你方签发或应签发工程接收证书之日止。</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 你方和承包人按合同约定变更合同时，我方承担本担保规定的义务不变。</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 因本保函发生的纠纷，可由双方协商解决，协商不成的，</w:t>
      </w:r>
      <w:r>
        <w:rPr>
          <w:rFonts w:hint="eastAsia" w:hAnsi="宋体"/>
          <w:color w:val="000000" w:themeColor="text1"/>
          <w:sz w:val="24"/>
          <w:szCs w:val="24"/>
          <w:highlight w:val="none"/>
          <w14:textFill>
            <w14:solidFill>
              <w14:schemeClr w14:val="tx1"/>
            </w14:solidFill>
          </w14:textFill>
        </w:rPr>
        <w:t>任何一方均可提请</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仲裁委员会仲裁。</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 本保函自我方法定代表人（或其授权代理人）签字并加盖公章之日起生效。</w:t>
      </w:r>
    </w:p>
    <w:p>
      <w:pPr>
        <w:spacing w:line="360" w:lineRule="auto"/>
        <w:rPr>
          <w:rFonts w:hAnsi="宋体"/>
          <w:color w:val="000000" w:themeColor="text1"/>
          <w:sz w:val="24"/>
          <w:szCs w:val="24"/>
          <w:highlight w:val="none"/>
          <w14:textFill>
            <w14:solidFill>
              <w14:schemeClr w14:val="tx1"/>
            </w14:solidFill>
          </w14:textFill>
        </w:rPr>
      </w:pP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担 保 人：</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（盖单位章）</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法定代表人或其委托代理人：</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（签字）</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地    址：</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邮政编码：</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60" w:lineRule="auto"/>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电    话：</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传    真：</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60" w:lineRule="auto"/>
        <w:jc w:val="left"/>
        <w:rPr>
          <w:rFonts w:hAnsi="宋体"/>
          <w:color w:val="000000" w:themeColor="text1"/>
          <w:sz w:val="24"/>
          <w:szCs w:val="24"/>
          <w:highlight w:val="none"/>
          <w:u w:val="single"/>
          <w14:textFill>
            <w14:solidFill>
              <w14:schemeClr w14:val="tx1"/>
            </w14:solidFill>
          </w14:textFill>
        </w:rPr>
      </w:pPr>
    </w:p>
    <w:p>
      <w:pPr>
        <w:spacing w:line="360" w:lineRule="auto"/>
        <w:ind w:left="1519" w:hanging="1519" w:hangingChars="63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w:t>
      </w:r>
    </w:p>
    <w:p>
      <w:pPr>
        <w:spacing w:line="360" w:lineRule="auto"/>
        <w:ind w:left="1519" w:hanging="1519" w:hangingChars="63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Ansi="宋体"/>
          <w:color w:val="000000" w:themeColor="text1"/>
          <w:sz w:val="24"/>
          <w:szCs w:val="24"/>
          <w:highlight w:val="none"/>
          <w14:textFill>
            <w14:solidFill>
              <w14:schemeClr w14:val="tx1"/>
            </w14:solidFill>
          </w14:textFill>
        </w:rPr>
        <w:t>附</w:t>
      </w:r>
      <w:bookmarkStart w:id="450" w:name="_Toc296346733"/>
      <w:bookmarkStart w:id="451" w:name="_Toc296944571"/>
      <w:bookmarkStart w:id="452" w:name="_Toc267261702"/>
      <w:bookmarkStart w:id="453" w:name="_Toc296347231"/>
      <w:bookmarkStart w:id="454" w:name="_Toc296891272"/>
      <w:bookmarkStart w:id="455" w:name="_Toc296503232"/>
      <w:bookmarkStart w:id="456" w:name="_Toc296891060"/>
      <w:r>
        <w:rPr>
          <w:rFonts w:hAnsi="宋体"/>
          <w:color w:val="000000" w:themeColor="text1"/>
          <w:sz w:val="24"/>
          <w:szCs w:val="24"/>
          <w:highlight w:val="none"/>
          <w14:textFill>
            <w14:solidFill>
              <w14:schemeClr w14:val="tx1"/>
            </w14:solidFill>
          </w14:textFill>
        </w:rPr>
        <w:t>件9 ：</w:t>
      </w:r>
    </w:p>
    <w:bookmarkEnd w:id="450"/>
    <w:bookmarkEnd w:id="451"/>
    <w:bookmarkEnd w:id="452"/>
    <w:bookmarkEnd w:id="453"/>
    <w:bookmarkEnd w:id="454"/>
    <w:bookmarkEnd w:id="455"/>
    <w:bookmarkEnd w:id="456"/>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预付款担保</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（发包人名称）：</w:t>
      </w:r>
    </w:p>
    <w:p>
      <w:pPr>
        <w:spacing w:line="360" w:lineRule="auto"/>
        <w:rPr>
          <w:rFonts w:hAnsi="宋体"/>
          <w:color w:val="000000" w:themeColor="text1"/>
          <w:sz w:val="24"/>
          <w:szCs w:val="24"/>
          <w:highlight w:val="none"/>
          <w14:textFill>
            <w14:solidFill>
              <w14:schemeClr w14:val="tx1"/>
            </w14:solidFill>
          </w14:textFill>
        </w:rPr>
      </w:pP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根据</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（承包人名称）（以下称</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承包人</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（发包人名称）（以下简称</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发包人</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日签订的</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（工程名称）《建设工程施工合同》，承包人按约定的金额向</w:t>
      </w:r>
      <w:r>
        <w:rPr>
          <w:rFonts w:hint="eastAsia" w:hAnsi="宋体"/>
          <w:color w:val="000000" w:themeColor="text1"/>
          <w:sz w:val="24"/>
          <w:szCs w:val="24"/>
          <w:highlight w:val="none"/>
          <w14:textFill>
            <w14:solidFill>
              <w14:schemeClr w14:val="tx1"/>
            </w14:solidFill>
          </w14:textFill>
        </w:rPr>
        <w:t>你方</w:t>
      </w:r>
      <w:r>
        <w:rPr>
          <w:rFonts w:hAnsi="宋体"/>
          <w:color w:val="000000" w:themeColor="text1"/>
          <w:sz w:val="24"/>
          <w:szCs w:val="24"/>
          <w:highlight w:val="none"/>
          <w14:textFill>
            <w14:solidFill>
              <w14:schemeClr w14:val="tx1"/>
            </w14:solidFill>
          </w14:textFill>
        </w:rPr>
        <w:t>提交一份预付款担保，即有权得到</w:t>
      </w:r>
      <w:r>
        <w:rPr>
          <w:rFonts w:hint="eastAsia" w:hAnsi="宋体"/>
          <w:color w:val="000000" w:themeColor="text1"/>
          <w:sz w:val="24"/>
          <w:szCs w:val="24"/>
          <w:highlight w:val="none"/>
          <w14:textFill>
            <w14:solidFill>
              <w14:schemeClr w14:val="tx1"/>
            </w14:solidFill>
          </w14:textFill>
        </w:rPr>
        <w:t>你方</w:t>
      </w:r>
      <w:r>
        <w:rPr>
          <w:rFonts w:hAnsi="宋体"/>
          <w:color w:val="000000" w:themeColor="text1"/>
          <w:sz w:val="24"/>
          <w:szCs w:val="24"/>
          <w:highlight w:val="none"/>
          <w14:textFill>
            <w14:solidFill>
              <w14:schemeClr w14:val="tx1"/>
            </w14:solidFill>
          </w14:textFill>
        </w:rPr>
        <w:t>支付相等金额的预付款。我方愿意就你方提供给承包人的预付款</w:t>
      </w:r>
      <w:r>
        <w:rPr>
          <w:rFonts w:hint="eastAsia" w:hAnsi="宋体"/>
          <w:color w:val="000000" w:themeColor="text1"/>
          <w:sz w:val="24"/>
          <w:szCs w:val="24"/>
          <w:highlight w:val="none"/>
          <w14:textFill>
            <w14:solidFill>
              <w14:schemeClr w14:val="tx1"/>
            </w14:solidFill>
          </w14:textFill>
        </w:rPr>
        <w:t>为承包人</w:t>
      </w:r>
      <w:r>
        <w:rPr>
          <w:rFonts w:hAnsi="宋体"/>
          <w:color w:val="000000" w:themeColor="text1"/>
          <w:sz w:val="24"/>
          <w:szCs w:val="24"/>
          <w:highlight w:val="none"/>
          <w14:textFill>
            <w14:solidFill>
              <w14:schemeClr w14:val="tx1"/>
            </w14:solidFill>
          </w14:textFill>
        </w:rPr>
        <w:t>提供连带责任担保。</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担保金额人民币（大写）</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元</w:t>
      </w:r>
      <w:r>
        <w:rPr>
          <w:rFonts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担保有效期自预付款支付给承包人起生效，至</w:t>
      </w:r>
      <w:r>
        <w:rPr>
          <w:rFonts w:hint="eastAsia" w:hAnsi="宋体"/>
          <w:color w:val="000000" w:themeColor="text1"/>
          <w:sz w:val="24"/>
          <w:szCs w:val="24"/>
          <w:highlight w:val="none"/>
          <w14:textFill>
            <w14:solidFill>
              <w14:schemeClr w14:val="tx1"/>
            </w14:solidFill>
          </w14:textFill>
        </w:rPr>
        <w:t>你方</w:t>
      </w:r>
      <w:r>
        <w:rPr>
          <w:rFonts w:hAnsi="宋体"/>
          <w:color w:val="000000" w:themeColor="text1"/>
          <w:sz w:val="24"/>
          <w:szCs w:val="24"/>
          <w:highlight w:val="none"/>
          <w14:textFill>
            <w14:solidFill>
              <w14:schemeClr w14:val="tx1"/>
            </w14:solidFill>
          </w14:textFill>
        </w:rPr>
        <w:t>签发的</w:t>
      </w:r>
      <w:r>
        <w:rPr>
          <w:rFonts w:hint="eastAsia" w:hAnsi="宋体"/>
          <w:color w:val="000000" w:themeColor="text1"/>
          <w:sz w:val="24"/>
          <w:szCs w:val="24"/>
          <w:highlight w:val="none"/>
          <w14:textFill>
            <w14:solidFill>
              <w14:schemeClr w14:val="tx1"/>
            </w14:solidFill>
          </w14:textFill>
        </w:rPr>
        <w:t>进</w:t>
      </w:r>
      <w:r>
        <w:rPr>
          <w:rFonts w:hAnsi="宋体"/>
          <w:color w:val="000000" w:themeColor="text1"/>
          <w:sz w:val="24"/>
          <w:szCs w:val="24"/>
          <w:highlight w:val="none"/>
          <w14:textFill>
            <w14:solidFill>
              <w14:schemeClr w14:val="tx1"/>
            </w14:solidFill>
          </w14:textFill>
        </w:rPr>
        <w:t>度款支付证书说明已完全扣清止。</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在本保函有效期内，因承包人违反合同约定的义务而要求</w:t>
      </w:r>
      <w:r>
        <w:rPr>
          <w:rFonts w:hint="eastAsia" w:hAnsi="宋体"/>
          <w:color w:val="000000" w:themeColor="text1"/>
          <w:sz w:val="24"/>
          <w:szCs w:val="24"/>
          <w:highlight w:val="none"/>
          <w14:textFill>
            <w14:solidFill>
              <w14:schemeClr w14:val="tx1"/>
            </w14:solidFill>
          </w14:textFill>
        </w:rPr>
        <w:t>收</w:t>
      </w:r>
      <w:r>
        <w:rPr>
          <w:rFonts w:hAnsi="宋体"/>
          <w:color w:val="000000" w:themeColor="text1"/>
          <w:sz w:val="24"/>
          <w:szCs w:val="24"/>
          <w:highlight w:val="none"/>
          <w14:textFill>
            <w14:solidFill>
              <w14:schemeClr w14:val="tx1"/>
            </w14:solidFill>
          </w14:textFill>
        </w:rPr>
        <w:t>回预付款时，我方在收到你方的书面通知后，在７天内无条件支付。但本保函的担保金额，在任何时候不应超过预付款金额减去</w:t>
      </w:r>
      <w:r>
        <w:rPr>
          <w:rFonts w:hint="eastAsia" w:hAnsi="宋体"/>
          <w:color w:val="000000" w:themeColor="text1"/>
          <w:sz w:val="24"/>
          <w:szCs w:val="24"/>
          <w:highlight w:val="none"/>
          <w14:textFill>
            <w14:solidFill>
              <w14:schemeClr w14:val="tx1"/>
            </w14:solidFill>
          </w14:textFill>
        </w:rPr>
        <w:t>你方</w:t>
      </w:r>
      <w:r>
        <w:rPr>
          <w:rFonts w:hAnsi="宋体"/>
          <w:color w:val="000000" w:themeColor="text1"/>
          <w:sz w:val="24"/>
          <w:szCs w:val="24"/>
          <w:highlight w:val="none"/>
          <w14:textFill>
            <w14:solidFill>
              <w14:schemeClr w14:val="tx1"/>
            </w14:solidFill>
          </w14:textFill>
        </w:rPr>
        <w:t>按合同约定在向承包人签发的进度款支付证书中扣除的金额。</w:t>
      </w:r>
    </w:p>
    <w:p>
      <w:pPr>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 你方</w:t>
      </w:r>
      <w:r>
        <w:rPr>
          <w:rFonts w:hAnsi="宋体"/>
          <w:color w:val="000000" w:themeColor="text1"/>
          <w:sz w:val="24"/>
          <w:szCs w:val="24"/>
          <w:highlight w:val="none"/>
          <w14:textFill>
            <w14:solidFill>
              <w14:schemeClr w14:val="tx1"/>
            </w14:solidFill>
          </w14:textFill>
        </w:rPr>
        <w:t>和承包人按合同约定变更合同时，我方承担本保函规定的义务不变。</w:t>
      </w:r>
    </w:p>
    <w:p>
      <w:pPr>
        <w:spacing w:line="360"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5. </w:t>
      </w:r>
      <w:r>
        <w:rPr>
          <w:rFonts w:hAnsi="宋体"/>
          <w:color w:val="000000" w:themeColor="text1"/>
          <w:sz w:val="24"/>
          <w:szCs w:val="24"/>
          <w:highlight w:val="none"/>
          <w14:textFill>
            <w14:solidFill>
              <w14:schemeClr w14:val="tx1"/>
            </w14:solidFill>
          </w14:textFill>
        </w:rPr>
        <w:t>因本保函发生的纠纷，可由双方协商解决，协商不成的，</w:t>
      </w:r>
      <w:r>
        <w:rPr>
          <w:rFonts w:hint="eastAsia" w:hAnsi="宋体"/>
          <w:color w:val="000000" w:themeColor="text1"/>
          <w:sz w:val="24"/>
          <w:szCs w:val="24"/>
          <w:highlight w:val="none"/>
          <w14:textFill>
            <w14:solidFill>
              <w14:schemeClr w14:val="tx1"/>
            </w14:solidFill>
          </w14:textFill>
        </w:rPr>
        <w:t>任何一方均可提请</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仲裁委员会仲裁。</w:t>
      </w:r>
    </w:p>
    <w:p>
      <w:pPr>
        <w:spacing w:line="360"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6. </w:t>
      </w:r>
      <w:r>
        <w:rPr>
          <w:rFonts w:hAnsi="宋体"/>
          <w:color w:val="000000" w:themeColor="text1"/>
          <w:sz w:val="24"/>
          <w:szCs w:val="24"/>
          <w:highlight w:val="none"/>
          <w14:textFill>
            <w14:solidFill>
              <w14:schemeClr w14:val="tx1"/>
            </w14:solidFill>
          </w14:textFill>
        </w:rPr>
        <w:t>本保函自我方法定代表人（或其授权代理人）签字并加盖公章之日起生效。</w:t>
      </w:r>
    </w:p>
    <w:p>
      <w:pPr>
        <w:spacing w:line="360" w:lineRule="auto"/>
        <w:rPr>
          <w:rFonts w:hAnsi="宋体"/>
          <w:color w:val="000000" w:themeColor="text1"/>
          <w:sz w:val="24"/>
          <w:szCs w:val="24"/>
          <w:highlight w:val="none"/>
          <w14:textFill>
            <w14:solidFill>
              <w14:schemeClr w14:val="tx1"/>
            </w14:solidFill>
          </w14:textFill>
        </w:rPr>
      </w:pPr>
    </w:p>
    <w:p>
      <w:pPr>
        <w:spacing w:line="360" w:lineRule="auto"/>
        <w:rPr>
          <w:rFonts w:hAnsi="宋体"/>
          <w:color w:val="000000" w:themeColor="text1"/>
          <w:sz w:val="24"/>
          <w:szCs w:val="24"/>
          <w:highlight w:val="none"/>
          <w14:textFill>
            <w14:solidFill>
              <w14:schemeClr w14:val="tx1"/>
            </w14:solidFill>
          </w14:textFill>
        </w:rPr>
      </w:pP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担保人：</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（盖单位章）</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法定代表人或其委托代理人：</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（签字）</w:t>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地    址：</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p>
    <w:p>
      <w:pPr>
        <w:spacing w:line="360" w:lineRule="auto"/>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邮政编码：</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p>
    <w:p>
      <w:pPr>
        <w:spacing w:line="360" w:lineRule="auto"/>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电    话：</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p>
    <w:p>
      <w:pPr>
        <w:spacing w:line="360" w:lineRule="auto"/>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传    真：</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r>
        <w:rPr>
          <w:rFonts w:hAnsi="宋体"/>
          <w:color w:val="000000" w:themeColor="text1"/>
          <w:sz w:val="24"/>
          <w:szCs w:val="24"/>
          <w:highlight w:val="none"/>
          <w:u w:val="single"/>
          <w14:textFill>
            <w14:solidFill>
              <w14:schemeClr w14:val="tx1"/>
            </w14:solidFill>
          </w14:textFill>
        </w:rPr>
        <w:tab/>
      </w:r>
    </w:p>
    <w:p>
      <w:pPr>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w:t>
      </w:r>
    </w:p>
    <w:p>
      <w:pPr>
        <w:spacing w:line="440" w:lineRule="exact"/>
        <w:rPr>
          <w:rFonts w:hAnsi="宋体"/>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br w:type="page"/>
      </w:r>
      <w:r>
        <w:rPr>
          <w:rFonts w:hAnsi="宋体"/>
          <w:color w:val="000000" w:themeColor="text1"/>
          <w:sz w:val="24"/>
          <w:szCs w:val="24"/>
          <w:highlight w:val="none"/>
          <w14:textFill>
            <w14:solidFill>
              <w14:schemeClr w14:val="tx1"/>
            </w14:solidFill>
          </w14:textFill>
        </w:rPr>
        <w:t>附</w:t>
      </w:r>
      <w:bookmarkStart w:id="457" w:name="_Toc296944572"/>
      <w:bookmarkStart w:id="458" w:name="_Toc296891061"/>
      <w:bookmarkStart w:id="459" w:name="_Toc296347232"/>
      <w:bookmarkStart w:id="460" w:name="_Toc296891273"/>
      <w:bookmarkStart w:id="461" w:name="_Toc296503233"/>
      <w:bookmarkStart w:id="462" w:name="_Toc296346734"/>
      <w:r>
        <w:rPr>
          <w:rFonts w:hAnsi="宋体"/>
          <w:color w:val="000000" w:themeColor="text1"/>
          <w:sz w:val="24"/>
          <w:szCs w:val="24"/>
          <w:highlight w:val="none"/>
          <w14:textFill>
            <w14:solidFill>
              <w14:schemeClr w14:val="tx1"/>
            </w14:solidFill>
          </w14:textFill>
        </w:rPr>
        <w:t xml:space="preserve">件10:  </w:t>
      </w:r>
    </w:p>
    <w:bookmarkEnd w:id="457"/>
    <w:bookmarkEnd w:id="458"/>
    <w:bookmarkEnd w:id="459"/>
    <w:bookmarkEnd w:id="460"/>
    <w:bookmarkEnd w:id="461"/>
    <w:bookmarkEnd w:id="462"/>
    <w:p>
      <w:pPr>
        <w:spacing w:line="312" w:lineRule="auto"/>
        <w:ind w:firstLine="480" w:firstLineChars="200"/>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支付担保</w:t>
      </w:r>
    </w:p>
    <w:p>
      <w:pPr>
        <w:spacing w:line="312" w:lineRule="auto"/>
        <w:ind w:firstLine="480" w:firstLineChars="200"/>
        <w:jc w:val="center"/>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（财政性投资项目按相关规定执行</w:t>
      </w:r>
      <w:r>
        <w:rPr>
          <w:rFonts w:hint="eastAsia" w:hAnsi="宋体"/>
          <w:color w:val="000000" w:themeColor="text1"/>
          <w:sz w:val="24"/>
          <w:szCs w:val="24"/>
          <w:highlight w:val="none"/>
          <w14:textFill>
            <w14:solidFill>
              <w14:schemeClr w14:val="tx1"/>
            </w14:solidFill>
          </w14:textFill>
        </w:rPr>
        <w:t>）</w:t>
      </w:r>
    </w:p>
    <w:p>
      <w:pPr>
        <w:spacing w:line="440" w:lineRule="exact"/>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（承包人）：</w:t>
      </w:r>
    </w:p>
    <w:p>
      <w:pPr>
        <w:spacing w:line="440" w:lineRule="exact"/>
        <w:jc w:val="left"/>
        <w:rPr>
          <w:rFonts w:hAnsi="宋体"/>
          <w:color w:val="000000" w:themeColor="text1"/>
          <w:sz w:val="24"/>
          <w:szCs w:val="24"/>
          <w:highlight w:val="none"/>
          <w14:textFill>
            <w14:solidFill>
              <w14:schemeClr w14:val="tx1"/>
            </w14:solidFill>
          </w14:textFill>
        </w:rPr>
      </w:pP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鉴于你方作为承包人已经与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（发包人名称）（以下称</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发包人</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日签订了</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（工程名称）《建设工程施工合同》（以下称</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主合同</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），应发包人的申请，我方愿就发包人履行主合同约定的工程款支付义务以保证的方式向你方提供如下担保：</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一、保证的范围及保证金额</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我方的保证范围是主合同约定的工程款。</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本保函所称主合同约定的工程款是指主合同约定的除工程质量保证金以外的合同价款。</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我方保证的金额是主合同约定的工程款的</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%，数额最高不超过人民币元（大写：</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二、保证的方式及保证期间</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我方保证的方式为：连带责任保证。</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我方保证的期间为：自本合同生效之日起至主合同约定的工程款支付完毕之日后</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日内。</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你方与发包人协议变更工程款支付日期的，经我方书面同意后，保证期间按照变更后的支付日期做相应调整。</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三、承担保证责任的形式</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我方承担保证责任的形式是代为支付。发包人未按主合同约定向你方支付工程款的，由我方在保证金额内代为支付。</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四、代偿的安排</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你方要求我方承担保证责任的，应向我方发出书面索赔通知及发包人未支付主合同约定工程款的证明材料。索赔通知应写明要求索赔的金额，支付款项应到达的账号。</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我方收到你方的书面索赔通知及相应的证明材料后７天内无条件支付。</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五、保证责任的解除</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在本保函承诺的保证期间内，你方未书面向我方主张保证责任的，自保证期间届满次日起，我方保证责任解除。</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发包人按主合同约定履行了工程款的全部支付义务的，自本保函承诺的保证期间届满次日起，我方保证责任解除。</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我方按照本保函向你方履行保证责任所支付金额达到本保函保证金额时，自我方向你方支付（支付款项从我方账户划出）之日起，保证责任即解除。</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4. </w:t>
      </w:r>
      <w:r>
        <w:rPr>
          <w:rFonts w:hAnsi="宋体"/>
          <w:color w:val="000000" w:themeColor="text1"/>
          <w:sz w:val="24"/>
          <w:szCs w:val="24"/>
          <w:highlight w:val="none"/>
          <w14:textFill>
            <w14:solidFill>
              <w14:schemeClr w14:val="tx1"/>
            </w14:solidFill>
          </w14:textFill>
        </w:rPr>
        <w:t>按照法律法规的规定或出现应解除我方保证责任的其他情形的，我方在本保函项下的保证责任亦解除。</w:t>
      </w:r>
    </w:p>
    <w:p>
      <w:pPr>
        <w:spacing w:line="312" w:lineRule="auto"/>
        <w:jc w:val="left"/>
        <w:rPr>
          <w:rFonts w:hAnsi="宋体"/>
          <w:color w:val="000000" w:themeColor="text1"/>
          <w:sz w:val="24"/>
          <w:szCs w:val="24"/>
          <w:highlight w:val="none"/>
          <w14:textFill>
            <w14:solidFill>
              <w14:schemeClr w14:val="tx1"/>
            </w14:solidFill>
          </w14:textFill>
        </w:rPr>
      </w:pP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5. </w:t>
      </w:r>
      <w:r>
        <w:rPr>
          <w:rFonts w:hAnsi="宋体"/>
          <w:color w:val="000000" w:themeColor="text1"/>
          <w:sz w:val="24"/>
          <w:szCs w:val="24"/>
          <w:highlight w:val="none"/>
          <w14:textFill>
            <w14:solidFill>
              <w14:schemeClr w14:val="tx1"/>
            </w14:solidFill>
          </w14:textFill>
        </w:rPr>
        <w:t>我方解除保证责任后，你方应自我方保证责任解除之日起</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个工作日内，将本保函原件返还我方。</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六、免责条款</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1. </w:t>
      </w:r>
      <w:r>
        <w:rPr>
          <w:rFonts w:hAnsi="宋体"/>
          <w:color w:val="000000" w:themeColor="text1"/>
          <w:sz w:val="24"/>
          <w:szCs w:val="24"/>
          <w:highlight w:val="none"/>
          <w14:textFill>
            <w14:solidFill>
              <w14:schemeClr w14:val="tx1"/>
            </w14:solidFill>
          </w14:textFill>
        </w:rPr>
        <w:t>因你方违约致使发包人不能履行义务的，我方不承担保证责任。</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w:t>
      </w:r>
      <w:r>
        <w:rPr>
          <w:rFonts w:hAnsi="宋体"/>
          <w:color w:val="000000" w:themeColor="text1"/>
          <w:sz w:val="24"/>
          <w:szCs w:val="24"/>
          <w:highlight w:val="none"/>
          <w14:textFill>
            <w14:solidFill>
              <w14:schemeClr w14:val="tx1"/>
            </w14:solidFill>
          </w14:textFill>
        </w:rPr>
        <w:t>依照法律法规的规定或你方与发包人的另行约定，免除发包人部分或全部义务的，我方亦免除其相应的保证责任。</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3. </w:t>
      </w:r>
      <w:r>
        <w:rPr>
          <w:rFonts w:hAnsi="宋体"/>
          <w:color w:val="000000" w:themeColor="text1"/>
          <w:sz w:val="24"/>
          <w:szCs w:val="24"/>
          <w:highlight w:val="none"/>
          <w14:textFill>
            <w14:solidFill>
              <w14:schemeClr w14:val="tx1"/>
            </w14:solidFill>
          </w14:textFill>
        </w:rPr>
        <w:t>你方与发包人协议变更主合同的，如加重发包人责任致使我方保证责任加重的，需征得我方书面同意，否则我方不再承担因此而加重部分的保证责任，但主合同第10条</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变更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约定的变更不受本款限制。</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4. </w:t>
      </w:r>
      <w:r>
        <w:rPr>
          <w:rFonts w:hAnsi="宋体"/>
          <w:color w:val="000000" w:themeColor="text1"/>
          <w:sz w:val="24"/>
          <w:szCs w:val="24"/>
          <w:highlight w:val="none"/>
          <w14:textFill>
            <w14:solidFill>
              <w14:schemeClr w14:val="tx1"/>
            </w14:solidFill>
          </w14:textFill>
        </w:rPr>
        <w:t>因不可抗力造成发包人不能履行义务的，我方不承担保证责任。</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七、争议解决</w:t>
      </w:r>
    </w:p>
    <w:p>
      <w:pPr>
        <w:spacing w:line="312"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因本保函</w:t>
      </w:r>
      <w:r>
        <w:rPr>
          <w:rFonts w:hint="eastAsia" w:hAnsi="宋体"/>
          <w:color w:val="000000" w:themeColor="text1"/>
          <w:sz w:val="24"/>
          <w:szCs w:val="24"/>
          <w:highlight w:val="none"/>
          <w14:textFill>
            <w14:solidFill>
              <w14:schemeClr w14:val="tx1"/>
            </w14:solidFill>
          </w14:textFill>
        </w:rPr>
        <w:t>或本保函相关事项</w:t>
      </w:r>
      <w:r>
        <w:rPr>
          <w:rFonts w:hAnsi="宋体"/>
          <w:color w:val="000000" w:themeColor="text1"/>
          <w:sz w:val="24"/>
          <w:szCs w:val="24"/>
          <w:highlight w:val="none"/>
          <w14:textFill>
            <w14:solidFill>
              <w14:schemeClr w14:val="tx1"/>
            </w14:solidFill>
          </w14:textFill>
        </w:rPr>
        <w:t>发生的纠纷，可由双方协商解决，协商不成的，</w:t>
      </w:r>
      <w:r>
        <w:rPr>
          <w:rFonts w:hint="eastAsia" w:hAnsi="宋体"/>
          <w:color w:val="000000" w:themeColor="text1"/>
          <w:sz w:val="24"/>
          <w:szCs w:val="24"/>
          <w:highlight w:val="none"/>
          <w14:textFill>
            <w14:solidFill>
              <w14:schemeClr w14:val="tx1"/>
            </w14:solidFill>
          </w14:textFill>
        </w:rPr>
        <w:t>按下列第</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种方式解决：</w:t>
      </w:r>
    </w:p>
    <w:p>
      <w:pPr>
        <w:spacing w:line="312"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仲裁委员会申请仲裁；</w:t>
      </w:r>
    </w:p>
    <w:p>
      <w:pPr>
        <w:spacing w:line="312"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人民法院起诉。</w:t>
      </w:r>
    </w:p>
    <w:p>
      <w:pPr>
        <w:spacing w:line="312"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八、保函的生效</w:t>
      </w:r>
    </w:p>
    <w:p>
      <w:pPr>
        <w:spacing w:line="312" w:lineRule="auto"/>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本保函自我方法定代表人（或其授权代理人）签字并加盖公章之日起生效。</w:t>
      </w:r>
    </w:p>
    <w:p>
      <w:pPr>
        <w:spacing w:line="312" w:lineRule="auto"/>
        <w:ind w:right="6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担保人：</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（盖章）</w:t>
      </w:r>
    </w:p>
    <w:p>
      <w:pPr>
        <w:spacing w:line="312" w:lineRule="auto"/>
        <w:ind w:right="1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法定代表人或委托代理人：</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（签字）</w:t>
      </w:r>
    </w:p>
    <w:p>
      <w:pPr>
        <w:spacing w:line="312" w:lineRule="auto"/>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地    址：</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12" w:lineRule="auto"/>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邮政编码：</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12" w:lineRule="auto"/>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传    真：</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p>
    <w:p>
      <w:pPr>
        <w:spacing w:line="312" w:lineRule="auto"/>
        <w:ind w:right="150" w:firstLine="480" w:firstLineChars="200"/>
        <w:jc w:val="left"/>
        <w:rPr>
          <w:rFonts w:hAnsi="宋体"/>
          <w:color w:val="000000" w:themeColor="text1"/>
          <w:sz w:val="24"/>
          <w:szCs w:val="24"/>
          <w:highlight w:val="none"/>
          <w:u w:val="single"/>
          <w14:textFill>
            <w14:solidFill>
              <w14:schemeClr w14:val="tx1"/>
            </w14:solidFill>
          </w14:textFill>
        </w:rPr>
      </w:pPr>
    </w:p>
    <w:p>
      <w:pPr>
        <w:spacing w:line="312" w:lineRule="auto"/>
        <w:ind w:right="150"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年</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月</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日</w:t>
      </w:r>
    </w:p>
    <w:p>
      <w:pPr>
        <w:spacing w:line="440" w:lineRule="exact"/>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Ansi="宋体"/>
          <w:color w:val="000000" w:themeColor="text1"/>
          <w:sz w:val="24"/>
          <w:szCs w:val="24"/>
          <w:highlight w:val="none"/>
          <w14:textFill>
            <w14:solidFill>
              <w14:schemeClr w14:val="tx1"/>
            </w14:solidFill>
          </w14:textFill>
        </w:rPr>
        <w:t>附件11：</w:t>
      </w:r>
      <w:r>
        <w:rPr>
          <w:rFonts w:hint="eastAsia" w:hAnsi="宋体"/>
          <w:color w:val="000000" w:themeColor="text1"/>
          <w:sz w:val="24"/>
          <w:szCs w:val="24"/>
          <w:highlight w:val="none"/>
          <w14:textFill>
            <w14:solidFill>
              <w14:schemeClr w14:val="tx1"/>
            </w14:solidFill>
          </w14:textFill>
        </w:rPr>
        <w:t xml:space="preserve">                          暂估价一览表</w:t>
      </w:r>
    </w:p>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一、</w:t>
      </w:r>
      <w:r>
        <w:rPr>
          <w:rFonts w:hAnsi="宋体"/>
          <w:color w:val="000000" w:themeColor="text1"/>
          <w:sz w:val="24"/>
          <w:szCs w:val="24"/>
          <w:highlight w:val="none"/>
          <w14:textFill>
            <w14:solidFill>
              <w14:schemeClr w14:val="tx1"/>
            </w14:solidFill>
          </w14:textFill>
        </w:rPr>
        <w:t>材料暂估价表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单价</w:t>
            </w:r>
            <w:r>
              <w:rPr>
                <w:rFonts w:hint="eastAsia" w:hAnsi="宋体"/>
                <w:color w:val="000000" w:themeColor="text1"/>
                <w:sz w:val="24"/>
                <w:szCs w:val="24"/>
                <w:highlight w:val="none"/>
                <w14:textFill>
                  <w14:solidFill>
                    <w14:schemeClr w14:val="tx1"/>
                  </w14:solidFill>
                </w14:textFill>
              </w:rPr>
              <w:t>（元）</w:t>
            </w:r>
          </w:p>
        </w:tc>
        <w:tc>
          <w:tcPr>
            <w:tcW w:w="1418"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合价</w:t>
            </w:r>
            <w:r>
              <w:rPr>
                <w:rFonts w:hint="eastAsia" w:hAnsi="宋体"/>
                <w:color w:val="000000" w:themeColor="text1"/>
                <w:sz w:val="24"/>
                <w:szCs w:val="24"/>
                <w:highlight w:val="none"/>
                <w14:textFill>
                  <w14:solidFill>
                    <w14:schemeClr w14:val="tx1"/>
                  </w14:solidFill>
                </w14:textFill>
              </w:rPr>
              <w:t>（元）</w:t>
            </w:r>
          </w:p>
        </w:tc>
        <w:tc>
          <w:tcPr>
            <w:tcW w:w="1701"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bl>
    <w:p>
      <w:pPr>
        <w:spacing w:before="156" w:beforeLines="50" w:after="156" w:afterLines="50" w:line="440" w:lineRule="exact"/>
        <w:rPr>
          <w:rFonts w:hAnsi="宋体"/>
          <w:color w:val="000000" w:themeColor="text1"/>
          <w:sz w:val="24"/>
          <w:szCs w:val="24"/>
          <w:highlight w:val="none"/>
          <w14:textFill>
            <w14:solidFill>
              <w14:schemeClr w14:val="tx1"/>
            </w14:solidFill>
          </w14:textFill>
        </w:rPr>
      </w:pPr>
    </w:p>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int="eastAsia" w:hAnsi="宋体"/>
          <w:color w:val="000000" w:themeColor="text1"/>
          <w:sz w:val="24"/>
          <w:szCs w:val="24"/>
          <w:highlight w:val="none"/>
          <w14:textFill>
            <w14:solidFill>
              <w14:schemeClr w14:val="tx1"/>
            </w14:solidFill>
          </w14:textFill>
        </w:rPr>
        <w:t>二、</w:t>
      </w:r>
      <w:r>
        <w:rPr>
          <w:rFonts w:hAnsi="宋体"/>
          <w:color w:val="000000" w:themeColor="text1"/>
          <w:sz w:val="24"/>
          <w:szCs w:val="24"/>
          <w:highlight w:val="none"/>
          <w14:textFill>
            <w14:solidFill>
              <w14:schemeClr w14:val="tx1"/>
            </w14:solidFill>
          </w14:textFill>
        </w:rPr>
        <w:t>工程设备暂估价表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单价</w:t>
            </w:r>
            <w:r>
              <w:rPr>
                <w:rFonts w:hint="eastAsia" w:hAnsi="宋体"/>
                <w:color w:val="000000" w:themeColor="text1"/>
                <w:sz w:val="24"/>
                <w:szCs w:val="24"/>
                <w:highlight w:val="none"/>
                <w14:textFill>
                  <w14:solidFill>
                    <w14:schemeClr w14:val="tx1"/>
                  </w14:solidFill>
                </w14:textFill>
              </w:rPr>
              <w:t>（元）</w:t>
            </w:r>
          </w:p>
        </w:tc>
        <w:tc>
          <w:tcPr>
            <w:tcW w:w="1418"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合价</w:t>
            </w:r>
            <w:r>
              <w:rPr>
                <w:rFonts w:hint="eastAsia" w:hAnsi="宋体"/>
                <w:color w:val="000000" w:themeColor="text1"/>
                <w:sz w:val="24"/>
                <w:szCs w:val="24"/>
                <w:highlight w:val="none"/>
                <w14:textFill>
                  <w14:solidFill>
                    <w14:schemeClr w14:val="tx1"/>
                  </w14:solidFill>
                </w14:textFill>
              </w:rPr>
              <w:t>（元）</w:t>
            </w:r>
          </w:p>
        </w:tc>
        <w:tc>
          <w:tcPr>
            <w:tcW w:w="1701" w:type="dxa"/>
            <w:tcBorders>
              <w:top w:val="single" w:color="auto" w:sz="12" w:space="0"/>
              <w:bottom w:val="doub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tcBorders>
              <w:top w:val="nil"/>
            </w:tcBorders>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98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85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774"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352"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418"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c>
          <w:tcPr>
            <w:tcW w:w="1701" w:type="dxa"/>
            <w:noWrap w:val="0"/>
            <w:vAlign w:val="top"/>
          </w:tcPr>
          <w:p>
            <w:pPr>
              <w:keepNext/>
              <w:spacing w:line="440" w:lineRule="exact"/>
              <w:ind w:left="63" w:right="63"/>
              <w:rPr>
                <w:rFonts w:hAnsi="宋体"/>
                <w:color w:val="000000" w:themeColor="text1"/>
                <w:sz w:val="24"/>
                <w:szCs w:val="24"/>
                <w:highlight w:val="none"/>
                <w14:textFill>
                  <w14:solidFill>
                    <w14:schemeClr w14:val="tx1"/>
                  </w14:solidFill>
                </w14:textFill>
              </w:rPr>
            </w:pPr>
          </w:p>
        </w:tc>
      </w:tr>
    </w:tbl>
    <w:p>
      <w:pPr>
        <w:spacing w:line="440" w:lineRule="exact"/>
        <w:rPr>
          <w:rFonts w:hAnsi="宋体"/>
          <w:color w:val="000000" w:themeColor="text1"/>
          <w:sz w:val="24"/>
          <w:szCs w:val="24"/>
          <w:highlight w:val="none"/>
          <w14:textFill>
            <w14:solidFill>
              <w14:schemeClr w14:val="tx1"/>
            </w14:solidFill>
          </w14:textFill>
        </w:rPr>
      </w:pPr>
    </w:p>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int="eastAsia" w:hAnsi="宋体"/>
          <w:color w:val="000000" w:themeColor="text1"/>
          <w:sz w:val="24"/>
          <w:szCs w:val="24"/>
          <w:highlight w:val="none"/>
          <w14:textFill>
            <w14:solidFill>
              <w14:schemeClr w14:val="tx1"/>
            </w14:solidFill>
          </w14:textFill>
        </w:rPr>
        <w:t>三、</w:t>
      </w:r>
      <w:r>
        <w:rPr>
          <w:rFonts w:hAnsi="宋体"/>
          <w:color w:val="000000" w:themeColor="text1"/>
          <w:sz w:val="24"/>
          <w:szCs w:val="24"/>
          <w:highlight w:val="none"/>
          <w14:textFill>
            <w14:solidFill>
              <w14:schemeClr w14:val="tx1"/>
            </w14:solidFill>
          </w14:textFill>
        </w:rPr>
        <w:t>专业工程暂估价表</w:t>
      </w:r>
    </w:p>
    <w:tbl>
      <w:tblPr>
        <w:tblStyle w:val="6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noWrap w:val="0"/>
            <w:vAlign w:val="center"/>
          </w:tcPr>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984" w:type="dxa"/>
            <w:noWrap w:val="0"/>
            <w:vAlign w:val="center"/>
          </w:tcPr>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专业工程名称</w:t>
            </w:r>
          </w:p>
        </w:tc>
        <w:tc>
          <w:tcPr>
            <w:tcW w:w="4678" w:type="dxa"/>
            <w:noWrap w:val="0"/>
            <w:vAlign w:val="center"/>
          </w:tcPr>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工程内容</w:t>
            </w:r>
          </w:p>
        </w:tc>
        <w:tc>
          <w:tcPr>
            <w:tcW w:w="1276" w:type="dxa"/>
            <w:noWrap w:val="0"/>
            <w:vAlign w:val="center"/>
          </w:tcPr>
          <w:p>
            <w:pPr>
              <w:spacing w:before="156" w:beforeLines="50" w:after="156" w:afterLines="50" w:line="44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9"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984"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4678"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c>
          <w:tcPr>
            <w:tcW w:w="1276" w:type="dxa"/>
            <w:noWrap w:val="0"/>
            <w:vAlign w:val="center"/>
          </w:tcPr>
          <w:p>
            <w:pPr>
              <w:keepNext/>
              <w:keepLines/>
              <w:spacing w:before="340" w:after="330" w:line="320" w:lineRule="exact"/>
              <w:jc w:val="center"/>
              <w:outlineLvl w:val="0"/>
              <w:rPr>
                <w:rFonts w:ascii="仿宋" w:hAnsi="仿宋" w:eastAsia="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17" w:type="dxa"/>
            <w:gridSpan w:val="4"/>
            <w:noWrap w:val="0"/>
            <w:vAlign w:val="center"/>
          </w:tcPr>
          <w:p>
            <w:pPr>
              <w:spacing w:line="320" w:lineRule="exact"/>
              <w:rPr>
                <w:rFonts w:ascii="仿宋" w:hAnsi="仿宋" w:eastAsia="仿宋"/>
                <w:b/>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小计：</w:t>
            </w:r>
          </w:p>
        </w:tc>
      </w:tr>
    </w:tbl>
    <w:p>
      <w:pPr>
        <w:adjustRightInd/>
        <w:spacing w:line="300" w:lineRule="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w:t>
      </w:r>
    </w:p>
    <w:p>
      <w:pPr>
        <w:spacing w:line="480" w:lineRule="auto"/>
        <w:jc w:val="center"/>
        <w:rPr>
          <w:rFonts w:ascii="宋体" w:hAnsi="宋体" w:cs="宋体"/>
          <w:b/>
          <w:color w:val="000000" w:themeColor="text1"/>
          <w:sz w:val="28"/>
          <w:szCs w:val="28"/>
          <w:highlight w:val="none"/>
          <w14:textFill>
            <w14:solidFill>
              <w14:schemeClr w14:val="tx1"/>
            </w14:solidFill>
          </w14:textFill>
        </w:rPr>
      </w:pPr>
    </w:p>
    <w:p>
      <w:pPr>
        <w:adjustRightInd/>
        <w:ind w:firstLine="371" w:firstLineChars="177"/>
        <w:jc w:val="left"/>
        <w:rPr>
          <w:rFonts w:ascii="宋体" w:hAnsi="宋体"/>
          <w:snapToGrid w:val="0"/>
          <w:color w:val="000000" w:themeColor="text1"/>
          <w:kern w:val="0"/>
          <w:szCs w:val="21"/>
          <w:highlight w:val="none"/>
          <w14:textFill>
            <w14:solidFill>
              <w14:schemeClr w14:val="tx1"/>
            </w14:solidFill>
          </w14:textFill>
        </w:rPr>
      </w:pPr>
    </w:p>
    <w:p>
      <w:pPr>
        <w:adjustRightInd/>
        <w:spacing w:line="300" w:lineRule="auto"/>
        <w:ind w:left="0" w:leftChars="0" w:right="0" w:rightChars="0" w:firstLine="0" w:firstLineChars="0"/>
        <w:jc w:val="left"/>
        <w:outlineLvl w:val="9"/>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br w:type="page"/>
      </w: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sectPr>
          <w:headerReference r:id="rId11" w:type="first"/>
          <w:footerReference r:id="rId13" w:type="first"/>
          <w:footerReference r:id="rId12" w:type="default"/>
          <w:pgSz w:w="11906" w:h="16838"/>
          <w:pgMar w:top="1440" w:right="1080" w:bottom="1440" w:left="1080" w:header="851" w:footer="992" w:gutter="0"/>
          <w:cols w:space="720" w:num="1"/>
          <w:titlePg/>
          <w:docGrid w:linePitch="312" w:charSpace="0"/>
        </w:sectPr>
      </w:pPr>
    </w:p>
    <w:p>
      <w:pPr>
        <w:snapToGrid w:val="0"/>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396"/>
      <w:r>
        <w:rPr>
          <w:rFonts w:hint="eastAsia" w:ascii="宋体" w:hAnsi="宋体" w:cs="宋体"/>
          <w:b/>
          <w:color w:val="000000" w:themeColor="text1"/>
          <w:sz w:val="36"/>
          <w:szCs w:val="20"/>
          <w:highlight w:val="none"/>
          <w14:textFill>
            <w14:solidFill>
              <w14:schemeClr w14:val="tx1"/>
            </w14:solidFill>
          </w14:textFill>
        </w:rPr>
        <w:t xml:space="preserve"> </w:t>
      </w:r>
      <w:bookmarkEnd w:id="397"/>
      <w:r>
        <w:rPr>
          <w:rFonts w:hint="eastAsia" w:ascii="宋体" w:hAnsi="宋体" w:cs="宋体"/>
          <w:b/>
          <w:color w:val="000000" w:themeColor="text1"/>
          <w:sz w:val="36"/>
          <w:szCs w:val="20"/>
          <w:highlight w:val="none"/>
          <w14:textFill>
            <w14:solidFill>
              <w14:schemeClr w14:val="tx1"/>
            </w14:solidFill>
          </w14:textFill>
        </w:rPr>
        <w:t>应提交的有关格式范例</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（2）联合协议</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）本项目的特定资格要求………………………………………………（页码）</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】政府采购活动，郑重承诺：</w:t>
      </w:r>
    </w:p>
    <w:p>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供应商名称(电子签名)：</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widowControl/>
        <w:spacing w:line="360" w:lineRule="auto"/>
        <w:ind w:firstLine="643"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[以联合体形式参与的，提供联合协议（附件5）；本项目不接受联合体或者供应商不以联合体形式投参与的，则不需要提供]</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（根据竞争性磋商公告落实政府采购政策需满足的资格要求选择提供相应的材料；未要求的，无需提供）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.专门面向中小企业，工程全部由符合政策要求的中小企业（或小微企业）承建的，提供相应的中小企业声明函（附件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ascii="宋体" w:hAnsi="宋体" w:cs="宋体"/>
          <w:color w:val="000000" w:themeColor="text1"/>
          <w:sz w:val="24"/>
          <w:highlight w:val="none"/>
          <w14:textFill>
            <w14:solidFill>
              <w14:schemeClr w14:val="tx1"/>
            </w14:solidFill>
          </w14:textFill>
        </w:rPr>
      </w:pPr>
    </w:p>
    <w:p>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），联合协议中中小企业合同金额应当达到竞争性磋商公告载明的比例；如果供应商本身提供所有标的均由中小企业承建的，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），分包意向协议中中小企业合同金额应当达到竞争性磋商公告载明的比例；如果供应商本身提供所有标的均由中小企业承建，</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视同符合了资格条件，无需再向中小企业分包，无需提供分包意向协议。</w:t>
      </w: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（根据竞争性磋商公告本项目的特定资格要求提供相应的材料；未要求的，无需提供）</w:t>
      </w:r>
    </w:p>
    <w:p>
      <w:pPr>
        <w:rPr>
          <w:rFonts w:ascii="宋体" w:hAnsi="宋体" w:cs="宋体"/>
          <w:color w:val="000000" w:themeColor="text1"/>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pStyle w:val="4"/>
        <w:rPr>
          <w:rFonts w:ascii="宋体" w:hAnsi="宋体" w:cs="宋体"/>
          <w:b w:val="0"/>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pPr>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pPr>
        <w:numPr>
          <w:ilvl w:val="255"/>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响应函……………………………………………………………………………（页码）</w:t>
      </w:r>
    </w:p>
    <w:p>
      <w:pPr>
        <w:numPr>
          <w:ilvl w:val="255"/>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2）授权委托书或法定代表人（单位负责人、自然人本人）身份证明</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）分包意向协议………………………………………………………………………（页码）</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）符合性审查资料……………………………………………………………………（页码）</w:t>
      </w:r>
    </w:p>
    <w:p>
      <w:pPr>
        <w:snapToGrid w:val="0"/>
        <w:spacing w:line="360" w:lineRule="auto"/>
        <w:ind w:left="479" w:leftChars="22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）评审标准相应的商务技术资料……………………………………………………（页码）（</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）商务技术偏离表……………………………………………………………………（页码）</w:t>
      </w:r>
    </w:p>
    <w:p>
      <w:pPr>
        <w:snapToGrid w:val="0"/>
        <w:spacing w:line="360" w:lineRule="auto"/>
        <w:ind w:left="479" w:leftChars="22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jc w:val="center"/>
        <w:rPr>
          <w:rFonts w:ascii="宋体" w:hAnsi="宋体" w:cs="宋体"/>
          <w:b/>
          <w:color w:val="000000" w:themeColor="text1"/>
          <w:kern w:val="0"/>
          <w:sz w:val="24"/>
          <w:szCs w:val="32"/>
          <w:highlight w:val="none"/>
          <w:lang w:val="zh-CN"/>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napToGrid w:val="0"/>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一、响应函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】采购的有关活动，并对此项目提交响应文件及报价。为此：</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1、我方承诺响应文件有效期从提交响应文件的截止之日起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本响应文件在响应文件有效期满之前均具有约束力。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2、我方的响应文件包括以下内容：</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本项目的特定资格要求（如果有）。</w:t>
      </w:r>
    </w:p>
    <w:p>
      <w:pPr>
        <w:snapToGrid w:val="0"/>
        <w:spacing w:line="360" w:lineRule="auto"/>
        <w:ind w:left="210" w:leftChars="1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2.2.1响应函；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2.2.2授权委托书或法定代表人（单位负责人）身份证明；</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评审标准相应的商务技术资料；</w:t>
      </w:r>
    </w:p>
    <w:p>
      <w:pPr>
        <w:snapToGrid w:val="0"/>
        <w:spacing w:line="360" w:lineRule="auto"/>
        <w:ind w:left="420" w:leftChars="2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2.2.6商务技术偏离表；</w:t>
      </w:r>
    </w:p>
    <w:p>
      <w:pPr>
        <w:snapToGrid w:val="0"/>
        <w:spacing w:line="360" w:lineRule="auto"/>
        <w:ind w:left="420" w:leftChars="200"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left="210" w:leftChars="1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3报价文件</w:t>
      </w:r>
    </w:p>
    <w:p>
      <w:pPr>
        <w:snapToGrid w:val="0"/>
        <w:spacing w:line="360" w:lineRule="auto"/>
        <w:ind w:left="420" w:leftChars="2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2.3.1报价单；</w:t>
      </w:r>
    </w:p>
    <w:p>
      <w:pPr>
        <w:snapToGrid w:val="0"/>
        <w:spacing w:line="360" w:lineRule="auto"/>
        <w:ind w:left="420" w:leftChars="2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2.3.2已标价工程量清单；</w:t>
      </w:r>
    </w:p>
    <w:p>
      <w:pPr>
        <w:snapToGrid w:val="0"/>
        <w:spacing w:line="360" w:lineRule="auto"/>
        <w:ind w:left="420" w:leftChars="2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2.3.3中小企业声明函（如果有）。</w:t>
      </w:r>
    </w:p>
    <w:p>
      <w:pPr>
        <w:pStyle w:val="8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3、我方承诺除商务技术偏离表列出的偏离外，我方响应采购文件的全部要求。对</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文件中材料的真实性、合法性负责</w:t>
      </w:r>
      <w:r>
        <w:rPr>
          <w:rFonts w:hint="eastAsia" w:ascii="宋体" w:hAnsi="宋体" w:eastAsia="宋体" w:cs="宋体"/>
          <w:color w:val="000000" w:themeColor="text1"/>
          <w:sz w:val="24"/>
          <w:highlight w:val="none"/>
          <w:lang w:eastAsia="zh-CN"/>
          <w14:textFill>
            <w14:solidFill>
              <w14:schemeClr w14:val="tx1"/>
            </w14:solidFill>
          </w14:textFill>
        </w:rPr>
        <w:t>，积极配合采购人、采购代理机构复核响应文件中的资料</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4、如我方成交，我方承诺：</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4.1在收到成交通知书后，在成交通知书规定的期限内与你方签订合同；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4.3按照采购文件要求提交履约保证金； </w:t>
      </w:r>
    </w:p>
    <w:p>
      <w:pPr>
        <w:snapToGrid w:val="0"/>
        <w:spacing w:line="360" w:lineRule="auto"/>
        <w:ind w:left="210" w:leftChars="10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pPr>
        <w:snapToGrid w:val="0"/>
        <w:spacing w:line="360" w:lineRule="auto"/>
        <w:ind w:left="210" w:leftChars="10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、其他补充说明: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供应商名称（电子签名）：                          </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napToGrid w:val="0"/>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二、授权委托书或法定代表人（单位负责人、自然人本人）身份证明</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napToGrid w:val="0"/>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授权委托书（适用于非联合体</w:t>
      </w:r>
      <w:r>
        <w:rPr>
          <w:rFonts w:hint="eastAsia" w:ascii="宋体" w:hAnsi="宋体" w:cs="宋体"/>
          <w:b/>
          <w:bCs/>
          <w:color w:val="000000" w:themeColor="text1"/>
          <w:sz w:val="32"/>
          <w:szCs w:val="32"/>
          <w:highlight w:val="none"/>
          <w14:textFill>
            <w14:solidFill>
              <w14:schemeClr w14:val="tx1"/>
            </w14:solidFill>
          </w14:textFill>
        </w:rPr>
        <w:t>响应</w:t>
      </w:r>
      <w:r>
        <w:rPr>
          <w:rFonts w:hint="eastAsia" w:ascii="宋体" w:hAnsi="宋体" w:cs="宋体"/>
          <w:b/>
          <w:bCs/>
          <w:color w:val="000000" w:themeColor="text1"/>
          <w:sz w:val="32"/>
          <w:szCs w:val="32"/>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w:t>
      </w:r>
      <w:r>
        <w:rPr>
          <w:rFonts w:hint="eastAsia" w:ascii="宋体" w:hAnsi="宋体" w:cs="宋体"/>
          <w:color w:val="000000" w:themeColor="text1"/>
          <w:kern w:val="0"/>
          <w:sz w:val="24"/>
          <w:highlight w:val="none"/>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供应商名称(电子签名)：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授权委托书（适用于联合体</w:t>
      </w:r>
      <w:r>
        <w:rPr>
          <w:rFonts w:hint="eastAsia" w:ascii="宋体" w:hAnsi="宋体" w:cs="宋体"/>
          <w:b/>
          <w:bCs/>
          <w:color w:val="000000" w:themeColor="text1"/>
          <w:sz w:val="32"/>
          <w:szCs w:val="32"/>
          <w:highlight w:val="none"/>
          <w14:textFill>
            <w14:solidFill>
              <w14:schemeClr w14:val="tx1"/>
            </w14:solidFill>
          </w14:textFill>
        </w:rPr>
        <w:t>响应</w:t>
      </w:r>
      <w:r>
        <w:rPr>
          <w:rFonts w:hint="eastAsia" w:ascii="宋体" w:hAnsi="宋体" w:cs="宋体"/>
          <w:b/>
          <w:bCs/>
          <w:color w:val="000000" w:themeColor="text1"/>
          <w:sz w:val="32"/>
          <w:szCs w:val="32"/>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w:t>
      </w:r>
      <w:r>
        <w:rPr>
          <w:rFonts w:hint="eastAsia" w:ascii="宋体" w:hAnsi="宋体" w:cs="宋体"/>
          <w:color w:val="000000" w:themeColor="text1"/>
          <w:kern w:val="0"/>
          <w:sz w:val="24"/>
          <w:highlight w:val="none"/>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napToGrid w:val="0"/>
        <w:jc w:val="center"/>
        <w:rPr>
          <w:rFonts w:hint="eastAsia" w:ascii="宋体" w:hAnsi="宋体" w:cs="宋体"/>
          <w:b/>
          <w:bCs/>
          <w:color w:val="000000" w:themeColor="text1"/>
          <w:sz w:val="32"/>
          <w:szCs w:val="32"/>
          <w:highlight w:val="none"/>
          <w:lang w:val="zh-CN"/>
          <w14:textFill>
            <w14:solidFill>
              <w14:schemeClr w14:val="tx1"/>
            </w14:solidFill>
          </w14:textFill>
        </w:rPr>
      </w:pPr>
    </w:p>
    <w:p>
      <w:pPr>
        <w:snapToGrid w:val="0"/>
        <w:jc w:val="center"/>
        <w:rPr>
          <w:rFonts w:hint="eastAsia" w:ascii="宋体" w:hAnsi="宋体" w:cs="宋体"/>
          <w:b/>
          <w:bCs/>
          <w:color w:val="000000" w:themeColor="text1"/>
          <w:sz w:val="32"/>
          <w:szCs w:val="32"/>
          <w:highlight w:val="none"/>
          <w:lang w:val="zh-CN"/>
          <w14:textFill>
            <w14:solidFill>
              <w14:schemeClr w14:val="tx1"/>
            </w14:solidFill>
          </w14:textFill>
        </w:rPr>
      </w:pPr>
    </w:p>
    <w:p>
      <w:pPr>
        <w:snapToGrid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法定代表人、单位负责人或自然人本人</w:t>
      </w:r>
      <w:r>
        <w:rPr>
          <w:rFonts w:hint="eastAsia" w:ascii="宋体" w:hAnsi="宋体" w:cs="宋体"/>
          <w:b/>
          <w:bCs/>
          <w:color w:val="000000" w:themeColor="text1"/>
          <w:sz w:val="32"/>
          <w:szCs w:val="32"/>
          <w:highlight w:val="none"/>
          <w14:textFill>
            <w14:solidFill>
              <w14:schemeClr w14:val="tx1"/>
            </w14:solidFill>
          </w14:textFill>
        </w:rPr>
        <w:t>的身份证明（适用于法定代表人、单位负责人或者自然人本人代表供应商参加响应）</w:t>
      </w:r>
    </w:p>
    <w:p>
      <w:pPr>
        <w:pStyle w:val="151"/>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1"/>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pPr>
              <w:pStyle w:val="151"/>
              <w:adjustRightInd w:val="0"/>
              <w:spacing w:line="360" w:lineRule="auto"/>
              <w:rPr>
                <w:rFonts w:hAnsi="宋体" w:cs="宋体"/>
                <w:bCs/>
                <w:color w:val="000000" w:themeColor="text1"/>
                <w:sz w:val="24"/>
                <w:highlight w:val="none"/>
                <w14:textFill>
                  <w14:solidFill>
                    <w14:schemeClr w14:val="tx1"/>
                  </w14:solidFill>
                </w14:textFill>
              </w:rPr>
            </w:pPr>
          </w:p>
        </w:tc>
      </w:tr>
    </w:tbl>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供应商名称(电子签名)：                              </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napToGrid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三、分包意向协议</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bookmarkStart w:id="463" w:name="_Hlk10116908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成交后以分包方式履行合同的，提供分包意向协议(附件6</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；采购人不同意分包或者供应商成交后不以分包方式履行合同的，则不需要提供。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bookmarkEnd w:id="463"/>
    <w:p>
      <w:pPr>
        <w:snapToGrid w:val="0"/>
        <w:spacing w:line="360" w:lineRule="auto"/>
        <w:rPr>
          <w:rFonts w:ascii="宋体" w:hAnsi="宋体" w:cs="宋体"/>
          <w:color w:val="000000" w:themeColor="text1"/>
          <w:kern w:val="0"/>
          <w:sz w:val="24"/>
          <w:highlight w:val="none"/>
          <w14:textFill>
            <w14:solidFill>
              <w14:schemeClr w14:val="tx1"/>
            </w14:solidFill>
          </w14:textFill>
        </w:rPr>
      </w:pPr>
    </w:p>
    <w:p>
      <w:pPr>
        <w:snapToGrid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四、符合性审查资料</w:t>
      </w:r>
    </w:p>
    <w:p>
      <w:pPr>
        <w:jc w:val="center"/>
        <w:rPr>
          <w:rFonts w:ascii="宋体" w:hAnsi="宋体" w:cs="宋体"/>
          <w:b/>
          <w:color w:val="000000" w:themeColor="text1"/>
          <w:kern w:val="0"/>
          <w:sz w:val="32"/>
          <w:szCs w:val="32"/>
          <w:highlight w:val="none"/>
          <w14:textFill>
            <w14:solidFill>
              <w14:schemeClr w14:val="tx1"/>
            </w14:solidFill>
          </w14:textFill>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991"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2551"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1418"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响应文件中的</w:t>
            </w:r>
          </w:p>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991"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响应文件按照采购文件要求签署、盖章。</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需要使用电子签名或者签字盖章的响应文件的组成部分</w:t>
            </w:r>
          </w:p>
        </w:tc>
        <w:tc>
          <w:tcPr>
            <w:tcW w:w="1418"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991"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节能产品认证证书（本项目拟采购的产品不属于政府强制采购的节能产品品目清单范围的，无需提供）</w:t>
            </w:r>
          </w:p>
        </w:tc>
        <w:tc>
          <w:tcPr>
            <w:tcW w:w="1418"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w:t>
            </w:r>
          </w:p>
          <w:p>
            <w:pPr>
              <w:pStyle w:val="4"/>
              <w:jc w:val="both"/>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第</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4991"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响应文件中承诺的响应文件有效期不少于采购文件中载明的响应文件有效期。</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响应函</w:t>
            </w:r>
          </w:p>
        </w:tc>
        <w:tc>
          <w:tcPr>
            <w:tcW w:w="1418" w:type="dxa"/>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4</w:t>
            </w:r>
          </w:p>
        </w:tc>
        <w:tc>
          <w:tcPr>
            <w:tcW w:w="4991" w:type="dxa"/>
            <w:vAlign w:val="top"/>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其他实质性要求1：</w:t>
            </w:r>
          </w:p>
        </w:tc>
        <w:tc>
          <w:tcPr>
            <w:tcW w:w="2551" w:type="dxa"/>
            <w:vMerge w:val="restart"/>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采购文件其它实质性要求相应的材料（“▲” 系指实质性要求条款，采购文件无其它实质性要求的，无需提供）</w:t>
            </w:r>
          </w:p>
        </w:tc>
        <w:tc>
          <w:tcPr>
            <w:tcW w:w="1418" w:type="dxa"/>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5</w:t>
            </w:r>
          </w:p>
        </w:tc>
        <w:tc>
          <w:tcPr>
            <w:tcW w:w="4991" w:type="dxa"/>
            <w:vAlign w:val="top"/>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其他实质性要求2：</w:t>
            </w:r>
          </w:p>
        </w:tc>
        <w:tc>
          <w:tcPr>
            <w:tcW w:w="2551" w:type="dxa"/>
            <w:vMerge w:val="continue"/>
            <w:vAlign w:val="center"/>
          </w:tcPr>
          <w:p>
            <w:pPr>
              <w:rPr>
                <w:rFonts w:hint="eastAsia" w:ascii="宋体" w:hAnsi="宋体" w:cs="宋体"/>
                <w:color w:val="000000" w:themeColor="text1"/>
                <w:kern w:val="0"/>
                <w:sz w:val="24"/>
                <w:highlight w:val="none"/>
                <w14:textFill>
                  <w14:solidFill>
                    <w14:schemeClr w14:val="tx1"/>
                  </w14:solidFill>
                </w14:textFill>
              </w:rPr>
            </w:pPr>
          </w:p>
        </w:tc>
        <w:tc>
          <w:tcPr>
            <w:tcW w:w="1418" w:type="dxa"/>
            <w:vAlign w:val="center"/>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4991" w:type="dxa"/>
            <w:vAlign w:val="top"/>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w:t>
            </w:r>
          </w:p>
        </w:tc>
        <w:tc>
          <w:tcPr>
            <w:tcW w:w="2551" w:type="dxa"/>
            <w:vMerge w:val="continue"/>
            <w:vAlign w:val="center"/>
          </w:tcPr>
          <w:p>
            <w:pPr>
              <w:rPr>
                <w:rFonts w:hint="eastAsia" w:ascii="宋体" w:hAnsi="宋体" w:cs="宋体"/>
                <w:color w:val="000000" w:themeColor="text1"/>
                <w:kern w:val="0"/>
                <w:sz w:val="24"/>
                <w:highlight w:val="none"/>
                <w14:textFill>
                  <w14:solidFill>
                    <w14:schemeClr w14:val="tx1"/>
                  </w14:solidFill>
                </w14:textFill>
              </w:rPr>
            </w:pPr>
          </w:p>
        </w:tc>
        <w:tc>
          <w:tcPr>
            <w:tcW w:w="1418" w:type="dxa"/>
            <w:vAlign w:val="center"/>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见响应文件第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bl>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文件中实质性要求必须明确响应。</w:t>
      </w:r>
    </w:p>
    <w:p>
      <w:pPr>
        <w:pStyle w:val="81"/>
        <w:rPr>
          <w:color w:val="000000" w:themeColor="text1"/>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五、评审标准相应的商务技术资料</w:t>
      </w:r>
    </w:p>
    <w:p>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t>序号</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lang w:eastAsia="zh-CN"/>
                <w14:textFill>
                  <w14:solidFill>
                    <w14:schemeClr w14:val="tx1"/>
                  </w14:solidFill>
                </w14:textFill>
              </w:rPr>
              <w:t>响应</w:t>
            </w: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lang w:eastAsia="zh-CN"/>
                <w14:textFill>
                  <w14:solidFill>
                    <w14:schemeClr w14:val="tx1"/>
                  </w14:solidFill>
                </w14:textFill>
              </w:rPr>
              <w:t>响应</w:t>
            </w:r>
            <w:r>
              <w:rPr>
                <w:rFonts w:hint="eastAsia" w:ascii="宋体" w:hAnsi="宋体" w:cs="宋体"/>
                <w:b w:val="0"/>
                <w:bCs/>
                <w:color w:val="000000" w:themeColor="text1"/>
                <w:sz w:val="24"/>
                <w:highlight w:val="none"/>
                <w14:textFill>
                  <w14:solidFill>
                    <w14:schemeClr w14:val="tx1"/>
                  </w14:solidFill>
                </w14:textFill>
              </w:rPr>
              <w:t>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1</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XXX（预先填写）</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w:t>
            </w:r>
            <w:r>
              <w:rPr>
                <w:rFonts w:hint="eastAsia" w:ascii="宋体" w:hAnsi="宋体" w:cs="宋体"/>
                <w:b w:val="0"/>
                <w:bCs/>
                <w:color w:val="000000" w:themeColor="text1"/>
                <w:sz w:val="24"/>
                <w:highlight w:val="none"/>
                <w:lang w:eastAsia="zh-CN"/>
                <w14:textFill>
                  <w14:solidFill>
                    <w14:schemeClr w14:val="tx1"/>
                  </w14:solidFill>
                </w14:textFill>
              </w:rPr>
              <w:t>响应</w:t>
            </w:r>
            <w:r>
              <w:rPr>
                <w:rFonts w:hint="eastAsia" w:ascii="宋体" w:hAnsi="宋体" w:cs="宋体"/>
                <w:b w:val="0"/>
                <w:bCs/>
                <w:color w:val="000000" w:themeColor="text1"/>
                <w:sz w:val="24"/>
                <w:highlight w:val="none"/>
                <w14:textFill>
                  <w14:solidFill>
                    <w14:schemeClr w14:val="tx1"/>
                  </w14:solidFill>
                </w14:textFill>
              </w:rPr>
              <w:t>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2</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w:t>
            </w:r>
            <w:r>
              <w:rPr>
                <w:rFonts w:hint="eastAsia" w:ascii="宋体" w:hAnsi="宋体" w:cs="宋体"/>
                <w:b w:val="0"/>
                <w:bCs/>
                <w:color w:val="000000" w:themeColor="text1"/>
                <w:sz w:val="24"/>
                <w:highlight w:val="none"/>
                <w:lang w:eastAsia="zh-CN"/>
                <w14:textFill>
                  <w14:solidFill>
                    <w14:schemeClr w14:val="tx1"/>
                  </w14:solidFill>
                </w14:textFill>
              </w:rPr>
              <w:t>响应</w:t>
            </w:r>
            <w:r>
              <w:rPr>
                <w:rFonts w:hint="eastAsia" w:ascii="宋体" w:hAnsi="宋体" w:cs="宋体"/>
                <w:b w:val="0"/>
                <w:bCs/>
                <w:color w:val="000000" w:themeColor="text1"/>
                <w:sz w:val="24"/>
                <w:highlight w:val="none"/>
                <w14:textFill>
                  <w14:solidFill>
                    <w14:schemeClr w14:val="tx1"/>
                  </w14:solidFill>
                </w14:textFill>
              </w:rPr>
              <w:t>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p>
        </w:tc>
        <w:tc>
          <w:tcPr>
            <w:tcW w:w="3046" w:type="dxa"/>
          </w:tcPr>
          <w:p>
            <w:pPr>
              <w:snapToGrid/>
              <w:spacing w:line="240" w:lineRule="auto"/>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w:t>
            </w:r>
            <w:r>
              <w:rPr>
                <w:rFonts w:hint="eastAsia" w:ascii="宋体" w:hAnsi="宋体" w:cs="宋体"/>
                <w:b w:val="0"/>
                <w:bCs/>
                <w:color w:val="000000" w:themeColor="text1"/>
                <w:sz w:val="24"/>
                <w:highlight w:val="none"/>
                <w:lang w:eastAsia="zh-CN"/>
                <w14:textFill>
                  <w14:solidFill>
                    <w14:schemeClr w14:val="tx1"/>
                  </w14:solidFill>
                </w14:textFill>
              </w:rPr>
              <w:t>响应</w:t>
            </w:r>
            <w:r>
              <w:rPr>
                <w:rFonts w:hint="eastAsia" w:ascii="宋体" w:hAnsi="宋体" w:cs="宋体"/>
                <w:b w:val="0"/>
                <w:bCs/>
                <w:color w:val="000000" w:themeColor="text1"/>
                <w:sz w:val="24"/>
                <w:highlight w:val="none"/>
                <w14:textFill>
                  <w14:solidFill>
                    <w14:schemeClr w14:val="tx1"/>
                  </w14:solidFill>
                </w14:textFill>
              </w:rPr>
              <w:t>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bl>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83"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采购文件章节及具体内容</w:t>
            </w:r>
          </w:p>
        </w:tc>
        <w:tc>
          <w:tcPr>
            <w:tcW w:w="354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响应文件章节及具体内容</w:t>
            </w:r>
          </w:p>
        </w:tc>
        <w:tc>
          <w:tcPr>
            <w:tcW w:w="127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bl>
    <w:p>
      <w:pPr>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供应商保证：除商务技术偏离表列出的偏离外，供应商响应采购文件的全部要求</w:t>
      </w:r>
    </w:p>
    <w:p>
      <w:pPr>
        <w:jc w:val="center"/>
        <w:rPr>
          <w:rFonts w:ascii="宋体" w:hAnsi="宋体" w:cs="宋体"/>
          <w:b/>
          <w:color w:val="000000" w:themeColor="text1"/>
          <w:kern w:val="0"/>
          <w:sz w:val="32"/>
          <w:szCs w:val="32"/>
          <w:highlight w:val="none"/>
          <w14:textFill>
            <w14:solidFill>
              <w14:schemeClr w14:val="tx1"/>
            </w14:solidFill>
          </w14:textFill>
        </w:rPr>
      </w:pP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pStyle w:val="8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2.本表格所反映的偏离情况与“符合性审查资料”、“评标标准相应的商务技术资料”不一致的，以“符合性审查资料”、“评标标准相应的商务技术资料”为准。</w:t>
      </w:r>
    </w:p>
    <w:p>
      <w:pPr>
        <w:pStyle w:val="8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3.投标人须保证：除商务技术偏离表列出的偏离外，投标人响应招标文件的全部非实质性要求。</w:t>
      </w:r>
    </w:p>
    <w:p>
      <w:pPr>
        <w:spacing w:line="360" w:lineRule="auto"/>
        <w:ind w:right="420"/>
        <w:rPr>
          <w:rFonts w:ascii="宋体" w:hAnsi="宋体" w:cs="宋体"/>
          <w:color w:val="000000" w:themeColor="text1"/>
          <w:sz w:val="24"/>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sectPr>
          <w:footerReference r:id="rId15" w:type="first"/>
          <w:footerReference r:id="rId14" w:type="default"/>
          <w:pgSz w:w="11906" w:h="16838"/>
          <w:pgMar w:top="1440" w:right="1080" w:bottom="1440" w:left="1080" w:header="851" w:footer="992" w:gutter="0"/>
          <w:cols w:space="720" w:num="1"/>
          <w:titlePg/>
          <w:docGrid w:linePitch="312" w:charSpace="0"/>
        </w:sectPr>
      </w:pPr>
    </w:p>
    <w:p>
      <w:pPr>
        <w:snapToGrid w:val="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七</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五、不为项目有关人员个人装修住房、婚丧嫁娶、配偶子女工作安排等提供好处；</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电子签名</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pacing w:line="360" w:lineRule="auto"/>
        <w:jc w:val="center"/>
        <w:rPr>
          <w:rFonts w:ascii="宋体" w:hAnsi="宋体" w:cs="宋体"/>
          <w:b/>
          <w:bCs/>
          <w:color w:val="000000" w:themeColor="text1"/>
          <w:sz w:val="24"/>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numPr>
          <w:ilvl w:val="0"/>
          <w:numId w:val="6"/>
        </w:num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报价单…………………………………………………………………………（页码）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）已标价工程量清单……………………………………………………………（页码）</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）中小企业声明函………………………………………………………………（页码）</w:t>
      </w:r>
    </w:p>
    <w:p>
      <w:pPr>
        <w:pStyle w:val="82"/>
        <w:rPr>
          <w:color w:val="000000" w:themeColor="text1"/>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footerReference r:id="rId18" w:type="first"/>
          <w:headerReference r:id="rId16" w:type="default"/>
          <w:footerReference r:id="rId17" w:type="default"/>
          <w:pgSz w:w="11906" w:h="16838"/>
          <w:pgMar w:top="1440" w:right="1080" w:bottom="1440" w:left="1080" w:header="851" w:footer="992" w:gutter="0"/>
          <w:cols w:space="720" w:num="1"/>
          <w:titlePg/>
          <w:docGrid w:linePitch="312" w:charSpace="0"/>
        </w:sectPr>
      </w:pPr>
    </w:p>
    <w:p>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14:textFill>
            <w14:solidFill>
              <w14:schemeClr w14:val="tx1"/>
            </w14:solidFill>
          </w14:textFill>
        </w:rPr>
        <w:t>一、报价单</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按你方采购文件要求，我们，本响应文件签字方，谨此向你方发出要约如下：如你方接受本投标，我方承诺按照如下报价单的价格完成</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kern w:val="0"/>
          <w:sz w:val="24"/>
          <w:highlight w:val="none"/>
          <w:lang w:val="zh-CN"/>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】的实施</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1843" w:type="dxa"/>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施工范围</w:t>
            </w:r>
          </w:p>
        </w:tc>
        <w:tc>
          <w:tcPr>
            <w:tcW w:w="3118"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施工工期</w:t>
            </w:r>
          </w:p>
        </w:tc>
        <w:tc>
          <w:tcPr>
            <w:tcW w:w="2552"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项目经理</w:t>
            </w:r>
          </w:p>
        </w:tc>
        <w:tc>
          <w:tcPr>
            <w:tcW w:w="1984"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执业证书信息</w:t>
            </w:r>
          </w:p>
        </w:tc>
        <w:tc>
          <w:tcPr>
            <w:tcW w:w="3119"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311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552"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984"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3119"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磋商报价（小写）</w:t>
            </w:r>
          </w:p>
        </w:tc>
        <w:tc>
          <w:tcPr>
            <w:tcW w:w="7655" w:type="dxa"/>
            <w:gridSpan w:val="3"/>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磋商报价（大写）</w:t>
            </w:r>
          </w:p>
        </w:tc>
        <w:tc>
          <w:tcPr>
            <w:tcW w:w="7655" w:type="dxa"/>
            <w:gridSpan w:val="3"/>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1、供应商需按本表格式填写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响应文件含有采购人不能接受的附加条件，响应文件无效</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采购内容未包含在《报价单》名称栏中，供应商不能作出合理解释的，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响应文件含有采购人不能接受的附加条件的，响应文件无效。</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3、特别提示：采购代理机构将对项目名称和项目编号，成交人名称、地址和成交金额、施工范围、施工工期、项目经理、执业证书信息、品牌（如果有）、规格型号、数量、单价等予以公示。</w:t>
      </w:r>
    </w:p>
    <w:p>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40" w:right="1080" w:bottom="1440" w:left="1080" w:header="851" w:footer="992" w:gutter="0"/>
          <w:cols w:space="720" w:num="1"/>
          <w:titlePg/>
          <w:docGrid w:linePitch="312" w:charSpace="0"/>
        </w:sectPr>
      </w:pPr>
    </w:p>
    <w:p>
      <w:pPr>
        <w:pStyle w:val="694"/>
        <w:keepNext w:val="0"/>
        <w:pageBreakBefore/>
        <w:tabs>
          <w:tab w:val="clear" w:pos="720"/>
        </w:tabs>
        <w:snapToGrid w:val="0"/>
        <w:spacing w:before="120" w:after="120"/>
        <w:outlineLvl w:val="9"/>
        <w:rPr>
          <w:rFonts w:ascii="宋体" w:hAnsi="宋体" w:eastAsia="宋体" w:cs="宋体"/>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二</w:t>
      </w:r>
      <w:r>
        <w:rPr>
          <w:rFonts w:hint="eastAsia" w:ascii="宋体" w:hAnsi="宋体" w:eastAsia="宋体" w:cs="宋体"/>
          <w:color w:val="000000" w:themeColor="text1"/>
          <w:kern w:val="2"/>
          <w:sz w:val="32"/>
          <w:szCs w:val="32"/>
          <w:highlight w:val="none"/>
          <w14:textFill>
            <w14:solidFill>
              <w14:schemeClr w14:val="tx1"/>
            </w14:solidFill>
          </w14:textFill>
        </w:rPr>
        <w:t>、已标价工程量清单</w:t>
      </w:r>
    </w:p>
    <w:p>
      <w:pPr>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注：按采购文件工程量清单编制 </w:t>
      </w:r>
    </w:p>
    <w:p>
      <w:pPr>
        <w:pStyle w:val="61"/>
        <w:ind w:firstLine="480"/>
        <w:rPr>
          <w:rFonts w:cs="宋体"/>
          <w:color w:val="000000" w:themeColor="text1"/>
          <w:sz w:val="24"/>
          <w:highlight w:val="none"/>
          <w14:textFill>
            <w14:solidFill>
              <w14:schemeClr w14:val="tx1"/>
            </w14:solidFill>
          </w14:textFill>
        </w:rPr>
      </w:pPr>
    </w:p>
    <w:p>
      <w:pPr>
        <w:pStyle w:val="61"/>
        <w:ind w:firstLine="480"/>
        <w:rPr>
          <w:rFonts w:cs="宋体"/>
          <w:color w:val="000000" w:themeColor="text1"/>
          <w:sz w:val="24"/>
          <w:highlight w:val="none"/>
          <w14:textFill>
            <w14:solidFill>
              <w14:schemeClr w14:val="tx1"/>
            </w14:solidFill>
          </w14:textFill>
        </w:rPr>
        <w:sectPr>
          <w:footerReference r:id="rId22" w:type="first"/>
          <w:headerReference r:id="rId19" w:type="default"/>
          <w:footerReference r:id="rId20" w:type="default"/>
          <w:footerReference r:id="rId21" w:type="even"/>
          <w:pgSz w:w="11906" w:h="16838"/>
          <w:pgMar w:top="1440" w:right="1080" w:bottom="1440" w:left="1080" w:header="851" w:footer="992" w:gutter="0"/>
          <w:cols w:space="720" w:num="1"/>
          <w:titlePg/>
          <w:docGrid w:linePitch="312" w:charSpace="0"/>
        </w:sectPr>
      </w:pPr>
    </w:p>
    <w:p>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三</w:t>
      </w:r>
      <w:r>
        <w:rPr>
          <w:rFonts w:hint="eastAsia" w:ascii="宋体" w:hAnsi="宋体" w:eastAsia="宋体" w:cs="宋体"/>
          <w:color w:val="000000" w:themeColor="text1"/>
          <w:kern w:val="2"/>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中小企业声明函</w:t>
      </w:r>
      <w:bookmarkStart w:id="464" w:name="_Hlk101259491"/>
      <w:r>
        <w:rPr>
          <w:rFonts w:hint="eastAsia" w:ascii="宋体" w:hAnsi="宋体" w:eastAsia="宋体" w:cs="宋体"/>
          <w:color w:val="000000" w:themeColor="text1"/>
          <w:sz w:val="32"/>
          <w:szCs w:val="32"/>
          <w:highlight w:val="none"/>
          <w14:textFill>
            <w14:solidFill>
              <w14:schemeClr w14:val="tx1"/>
            </w14:solidFill>
          </w14:textFill>
        </w:rPr>
        <w:t>（如果有）</w:t>
      </w:r>
      <w:bookmarkEnd w:id="464"/>
    </w:p>
    <w:p>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w:t>
      </w:r>
    </w:p>
    <w:p>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highlight w:val="none"/>
          <w14:textFill>
            <w14:solidFill>
              <w14:schemeClr w14:val="tx1"/>
            </w14:solidFill>
          </w14:textFill>
        </w:rPr>
      </w:pPr>
      <w:bookmarkStart w:id="465" w:name="_Toc465665161"/>
      <w:r>
        <w:rPr>
          <w:rFonts w:hint="eastAsia" w:ascii="宋体" w:hAnsi="宋体" w:cs="宋体"/>
          <w:color w:val="000000" w:themeColor="text1"/>
          <w:highlight w:val="none"/>
          <w14:textFill>
            <w14:solidFill>
              <w14:schemeClr w14:val="tx1"/>
            </w14:solidFill>
          </w14:textFill>
        </w:rPr>
        <w:t>附件</w:t>
      </w:r>
      <w:bookmarkEnd w:id="465"/>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66" w:name="OLE_LINK13"/>
      <w:bookmarkStart w:id="467"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66"/>
    <w:bookmarkEnd w:id="467"/>
    <w:p>
      <w:pPr>
        <w:spacing w:line="360" w:lineRule="auto"/>
        <w:rPr>
          <w:rFonts w:ascii="宋体" w:hAnsi="宋体" w:cs="宋体"/>
          <w:b/>
          <w:color w:val="000000" w:themeColor="text1"/>
          <w:spacing w:val="6"/>
          <w:sz w:val="30"/>
          <w:szCs w:val="30"/>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供应商名称（电子签名）</w:t>
      </w:r>
      <w:r>
        <w:rPr>
          <w:rFonts w:hint="eastAsia" w:ascii="宋体" w:hAnsi="宋体" w:cs="宋体"/>
          <w:color w:val="000000" w:themeColor="text1"/>
          <w:sz w:val="24"/>
          <w:highlight w:val="none"/>
          <w14:textFill>
            <w14:solidFill>
              <w14:schemeClr w14:val="tx1"/>
            </w14:solidFill>
          </w14:textFill>
        </w:rPr>
        <w:t>：</w:t>
      </w: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附件2：质疑函范本及制作说明</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附件3：投诉书范本及制作说明</w:t>
      </w:r>
    </w:p>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附件4：</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pPr>
        <w:spacing w:line="360" w:lineRule="auto"/>
        <w:rPr>
          <w:rFonts w:ascii="宋体" w:hAnsi="宋体" w:cs="宋体"/>
          <w:color w:val="000000" w:themeColor="text1"/>
          <w:sz w:val="24"/>
          <w:highlight w:val="none"/>
          <w:u w:val="singl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供应商（法定名称章）：</w:t>
      </w:r>
    </w:p>
    <w:p>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pPr>
        <w:spacing w:line="360" w:lineRule="auto"/>
        <w:rPr>
          <w:rFonts w:ascii="宋体" w:hAnsi="宋体" w:cs="宋体"/>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法定名称章（印模）                供应商“XX专用章”（印模）</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5</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联合协议</w:t>
      </w:r>
    </w:p>
    <w:p>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（以联合体形式参与的，提供联合协议；本项目不接受联合体或者供应商不以联合体形式参与的，则不需要提供）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组成一个联合体，以一个供应商的身份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授权代表根据采购文件规定及</w:t>
      </w:r>
      <w:r>
        <w:rPr>
          <w:rFonts w:hint="eastAsia" w:ascii="宋体" w:hAnsi="宋体" w:cs="宋体"/>
          <w:color w:val="000000" w:themeColor="text1"/>
          <w:kern w:val="0"/>
          <w:sz w:val="24"/>
          <w:highlight w:val="none"/>
          <w14:textFill>
            <w14:solidFill>
              <w14:schemeClr w14:val="tx1"/>
            </w14:solidFill>
          </w14:textFill>
        </w:rPr>
        <w:t>响应内容</w:t>
      </w:r>
      <w:r>
        <w:rPr>
          <w:rFonts w:hint="eastAsia" w:ascii="宋体" w:hAnsi="宋体" w:cs="宋体"/>
          <w:color w:val="000000" w:themeColor="text1"/>
          <w:kern w:val="0"/>
          <w:sz w:val="24"/>
          <w:highlight w:val="none"/>
          <w:lang w:val="zh-CN"/>
          <w14:textFill>
            <w14:solidFill>
              <w14:schemeClr w14:val="tx1"/>
            </w14:solidFill>
          </w14:textFill>
        </w:rPr>
        <w:t>而对采购人、采购代理机构所作的任何合法承诺，包括书面澄清及相应等均对联合投标各方产生约束力。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w:t>
      </w:r>
      <w:r>
        <w:rPr>
          <w:rFonts w:hint="eastAsia" w:ascii="宋体" w:hAnsi="宋体" w:cs="宋体"/>
          <w:color w:val="000000" w:themeColor="text1"/>
          <w:kern w:val="0"/>
          <w:sz w:val="24"/>
          <w:highlight w:val="none"/>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中，分工如下：</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bookmarkStart w:id="468" w:name="_Hlk101134295"/>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bookmarkEnd w:id="468"/>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X,</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提供的全部工程由小微企业承建，其合同份额占到合同总金额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w:t>
      </w:r>
      <w:r>
        <w:rPr>
          <w:rFonts w:hint="eastAsia" w:ascii="宋体" w:hAnsi="宋体" w:cs="宋体"/>
          <w:b/>
          <w:color w:val="000000" w:themeColor="text1"/>
          <w:kern w:val="0"/>
          <w:sz w:val="24"/>
          <w:highlight w:val="none"/>
          <w14:textFill>
            <w14:solidFill>
              <w14:schemeClr w14:val="tx1"/>
            </w14:solidFill>
          </w14:textFill>
        </w:rPr>
        <w:t>磋商</w:t>
      </w:r>
      <w:r>
        <w:rPr>
          <w:rFonts w:hint="eastAsia" w:ascii="宋体" w:hAnsi="宋体" w:cs="宋体"/>
          <w:b/>
          <w:color w:val="000000" w:themeColor="text1"/>
          <w:kern w:val="0"/>
          <w:sz w:val="24"/>
          <w:highlight w:val="none"/>
          <w:lang w:val="zh-CN"/>
          <w14:textFill>
            <w14:solidFill>
              <w14:schemeClr w14:val="tx1"/>
            </w14:solidFill>
          </w14:textFill>
        </w:rPr>
        <w:t>的，联合协议约定小微企业的合同份额占到合同总金额30%以上的，对联合体报价给予</w:t>
      </w:r>
      <w:r>
        <w:rPr>
          <w:rFonts w:hint="eastAsia" w:ascii="宋体" w:hAnsi="宋体" w:cs="宋体"/>
          <w:b/>
          <w:color w:val="000000" w:themeColor="text1"/>
          <w:kern w:val="0"/>
          <w:sz w:val="24"/>
          <w:highlight w:val="none"/>
          <w14:textFill>
            <w14:solidFill>
              <w14:schemeClr w14:val="tx1"/>
            </w14:solidFill>
          </w14:textFill>
        </w:rPr>
        <w:t>2</w:t>
      </w:r>
      <w:r>
        <w:rPr>
          <w:rFonts w:hint="eastAsia" w:ascii="宋体" w:hAnsi="宋体" w:cs="宋体"/>
          <w:b/>
          <w:color w:val="000000" w:themeColor="text1"/>
          <w:kern w:val="0"/>
          <w:sz w:val="24"/>
          <w:highlight w:val="none"/>
          <w:lang w:val="zh-CN"/>
          <w14:textFill>
            <w14:solidFill>
              <w14:schemeClr w14:val="tx1"/>
            </w14:solidFill>
          </w14:textFill>
        </w:rPr>
        <w:t>%的扣除。供应商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五、如果成交，</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w:t>
      </w:r>
      <w:r>
        <w:rPr>
          <w:rFonts w:hint="eastAsia" w:ascii="宋体" w:hAnsi="宋体" w:cs="宋体"/>
          <w:color w:val="000000" w:themeColor="text1"/>
          <w:kern w:val="0"/>
          <w:sz w:val="24"/>
          <w:highlight w:val="none"/>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的其他事宜：</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6</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14:textFill>
            <w14:solidFill>
              <w14:schemeClr w14:val="tx1"/>
            </w14:solidFill>
          </w14:textFill>
        </w:rPr>
        <w:t>分包意向协议</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（供应商名称）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330100254070040000022（2）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的成交人，将依法采取分包方式履行合同。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（供应商名称）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一、分包标的及数量</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（供应商名称）</w:t>
      </w: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具备承</w:t>
      </w:r>
      <w:r>
        <w:rPr>
          <w:rFonts w:hint="eastAsia" w:ascii="宋体" w:hAnsi="宋体" w:cs="宋体"/>
          <w:color w:val="000000" w:themeColor="text1"/>
          <w:kern w:val="0"/>
          <w:sz w:val="24"/>
          <w:highlight w:val="none"/>
          <w14:textFill>
            <w14:solidFill>
              <w14:schemeClr w14:val="tx1"/>
            </w14:solidFill>
          </w14:textFill>
        </w:rPr>
        <w:t>担</w:t>
      </w:r>
      <w:r>
        <w:rPr>
          <w:rFonts w:hint="eastAsia" w:ascii="宋体" w:hAnsi="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cs="宋体"/>
          <w:color w:val="000000" w:themeColor="text1"/>
          <w:kern w:val="0"/>
          <w:sz w:val="24"/>
          <w:highlight w:val="none"/>
          <w:lang w:val="zh-CN"/>
          <w14:textFill>
            <w14:solidFill>
              <w14:schemeClr w14:val="tx1"/>
            </w14:solidFill>
          </w14:textFill>
        </w:rPr>
        <w:t>相应资质条件且不得再次分包；</w:t>
      </w:r>
    </w:p>
    <w:p>
      <w:pPr>
        <w:pStyle w:val="4"/>
        <w:ind w:left="664" w:leftChars="316" w:firstLine="229"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……）提供的工程全部由小微企业承建，</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000000" w:themeColor="text1"/>
          <w:kern w:val="0"/>
          <w:sz w:val="24"/>
          <w:highlight w:val="none"/>
          <w14:textFill>
            <w14:solidFill>
              <w14:schemeClr w14:val="tx1"/>
            </w14:solidFill>
          </w14:textFill>
        </w:rPr>
        <w:t>2</w:t>
      </w:r>
      <w:r>
        <w:rPr>
          <w:rFonts w:hint="eastAsia" w:ascii="宋体" w:hAnsi="宋体" w:cs="宋体"/>
          <w:b/>
          <w:color w:val="000000" w:themeColor="text1"/>
          <w:kern w:val="0"/>
          <w:sz w:val="24"/>
          <w:highlight w:val="none"/>
          <w:lang w:val="zh-CN"/>
          <w14:textFill>
            <w14:solidFill>
              <w14:schemeClr w14:val="tx1"/>
            </w14:solidFill>
          </w14:textFill>
        </w:rPr>
        <w:t>%的扣除。供应商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bookmarkStart w:id="469"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要求合同分包形式参加的项目或采购包，供应商按采购文件第一部分竞争性磋商公告申请人的资格要求中规定的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69"/>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供应商名称(电子签名)：</w:t>
      </w:r>
    </w:p>
    <w:p>
      <w:pPr>
        <w:snapToGrid w:val="0"/>
        <w:spacing w:line="360" w:lineRule="auto"/>
        <w:ind w:firstLine="5640" w:firstLineChars="23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7</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中小企业声明函</w:t>
      </w:r>
    </w:p>
    <w:p>
      <w:pPr>
        <w:spacing w:line="360" w:lineRule="auto"/>
        <w:jc w:val="center"/>
        <w:rPr>
          <w:rFonts w:ascii="宋体" w:hAnsi="宋体" w:cs="宋体"/>
          <w:color w:val="000000" w:themeColor="text1"/>
          <w:sz w:val="24"/>
          <w:highlight w:val="none"/>
          <w:u w:val="single"/>
          <w14:textFill>
            <w14:solidFill>
              <w14:schemeClr w14:val="tx1"/>
            </w14:solidFill>
          </w14:textFill>
        </w:rPr>
      </w:pPr>
    </w:p>
    <w:p>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中小企业声明函（工程）</w:t>
      </w:r>
    </w:p>
    <w:p>
      <w:pPr>
        <w:spacing w:line="360" w:lineRule="auto"/>
        <w:ind w:firstLine="360" w:firstLineChars="1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 xml:space="preserve">求是书院院落环境整治项目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 xml:space="preserve"> ；承建（承接）企业为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 xml:space="preserve"> ；承建（承接）企业为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pacing w:line="360" w:lineRule="auto"/>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从业人员、营业收入、资产总额填报上一年度数据，无上一年度数据的新成立企业可不填报。</w:t>
      </w:r>
    </w:p>
    <w:p>
      <w:pPr>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①从业人员、营业收入、资产总额填报上一年度数据，无上一年度数据的新成立企业可不填报。</w:t>
      </w:r>
      <w:r>
        <w:rPr>
          <w:rFonts w:hint="eastAsia" w:ascii="宋体" w:hAnsi="宋体" w:eastAsia="宋体" w:cs="宋体"/>
          <w:caps w:val="0"/>
          <w:color w:val="000000" w:themeColor="text1"/>
          <w:spacing w:val="0"/>
          <w:kern w:val="2"/>
          <w:sz w:val="24"/>
          <w:szCs w:val="24"/>
          <w:highlight w:val="none"/>
          <w:shd w:val="clear" w:color="auto" w:fill="auto"/>
          <w:lang w:val="en-US" w:eastAsia="zh-CN" w:bidi="ar"/>
          <w14:textFill>
            <w14:solidFill>
              <w14:schemeClr w14:val="tx1"/>
            </w14:solidFill>
          </w14:textFill>
        </w:rPr>
        <w:t>②《中小企业声明函》中“标的名称”、“采购文件中明确的所属行业”依据招标文件第二部分投标人须知前附表中“采购标的及其对应的中小企业划分标准所属行业”的指引，逐一填写，不得缺漏。</w:t>
      </w:r>
    </w:p>
    <w:p>
      <w:pPr>
        <w:spacing w:line="360" w:lineRule="auto"/>
        <w:jc w:val="center"/>
        <w:rPr>
          <w:rFonts w:ascii="宋体" w:hAnsi="宋体" w:cs="宋体"/>
          <w:b/>
          <w:color w:val="000000" w:themeColor="text1"/>
          <w:sz w:val="32"/>
          <w:szCs w:val="32"/>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sectPr>
          <w:pgSz w:w="11906" w:h="16838"/>
          <w:pgMar w:top="1440" w:right="1080" w:bottom="1440" w:left="1080" w:header="851" w:footer="992" w:gutter="0"/>
          <w:cols w:space="720" w:num="1"/>
          <w:titlePg/>
          <w:docGrid w:linePitch="312" w:charSpace="0"/>
        </w:sectPr>
      </w:pPr>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附件8：工程量清单（另附）</w:t>
      </w:r>
    </w:p>
    <w:p>
      <w:pPr>
        <w:spacing w:line="360" w:lineRule="auto"/>
        <w:rPr>
          <w:rFonts w:ascii="宋体" w:hAnsi="宋体" w:cs="宋体"/>
          <w:b/>
          <w:color w:val="000000" w:themeColor="text1"/>
          <w:spacing w:val="6"/>
          <w:sz w:val="32"/>
          <w:szCs w:val="32"/>
          <w:highlight w:val="none"/>
          <w14:textFill>
            <w14:solidFill>
              <w14:schemeClr w14:val="tx1"/>
            </w14:solidFill>
          </w14:textFill>
        </w:rPr>
      </w:pPr>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附件9：图纸（另附）</w:t>
      </w:r>
    </w:p>
    <w:p>
      <w:pPr>
        <w:pStyle w:val="27"/>
        <w:rPr>
          <w:color w:val="000000" w:themeColor="text1"/>
          <w:highlight w:val="none"/>
          <w14:textFill>
            <w14:solidFill>
              <w14:schemeClr w14:val="tx1"/>
            </w14:solidFill>
          </w14:textFill>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Vrinda"/>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hakuyoxingshu7000"/>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hakuyoxingshu7000"/>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rPr>
        <w:rStyle w:val="73"/>
      </w:rPr>
    </w:pPr>
    <w:r>
      <w:fldChar w:fldCharType="begin"/>
    </w:r>
    <w:r>
      <w:rPr>
        <w:rStyle w:val="73"/>
      </w:rPr>
      <w:instrText xml:space="preserve">PAGE  </w:instrText>
    </w:r>
    <w:r>
      <w:fldChar w:fldCharType="end"/>
    </w:r>
  </w:p>
  <w:p>
    <w:pPr>
      <w:pStyle w:val="42"/>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470" w:name="_Toc36110187"/>
    <w:bookmarkStart w:id="471" w:name="_Toc91899912"/>
    <w:bookmarkStart w:id="472" w:name="_Toc164085800"/>
    <w:bookmarkStart w:id="473" w:name="_Toc131845147"/>
    <w:r>
      <w:rPr>
        <w:rFonts w:hint="eastAsia" w:ascii="仿宋_GB2312" w:eastAsia="仿宋_GB2312"/>
        <w:kern w:val="0"/>
        <w:szCs w:val="21"/>
      </w:rPr>
      <w:t xml:space="preserve"> 页</w:t>
    </w:r>
    <w:bookmarkEnd w:id="470"/>
    <w:bookmarkEnd w:id="471"/>
    <w:bookmarkEnd w:id="472"/>
    <w:bookmarkEnd w:id="47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rPr>
        <w:rStyle w:val="73"/>
      </w:rPr>
    </w:pPr>
    <w:r>
      <w:fldChar w:fldCharType="begin"/>
    </w:r>
    <w:r>
      <w:rPr>
        <w:rStyle w:val="73"/>
      </w:rPr>
      <w:instrText xml:space="preserve">PAGE  </w:instrText>
    </w:r>
    <w:r>
      <w:fldChar w:fldCharType="end"/>
    </w:r>
  </w:p>
  <w:p>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page" w:x="5731" w:y="34"/>
      <w:rPr>
        <w:rStyle w:val="73"/>
      </w:rPr>
    </w:pPr>
    <w:r>
      <w:fldChar w:fldCharType="begin"/>
    </w:r>
    <w:r>
      <w:rPr>
        <w:rStyle w:val="73"/>
      </w:rPr>
      <w:instrText xml:space="preserve">PAGE  </w:instrText>
    </w:r>
    <w:r>
      <w:fldChar w:fldCharType="separate"/>
    </w:r>
    <w:r>
      <w:rPr>
        <w:rStyle w:val="73"/>
      </w:rPr>
      <w:t>25</w:t>
    </w:r>
    <w:r>
      <w:fldChar w:fldCharType="end"/>
    </w:r>
  </w:p>
  <w:p>
    <w:pPr>
      <w:pStyle w:val="4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Style w:val="73"/>
      </w:rPr>
    </w:pPr>
    <w:r>
      <w:fldChar w:fldCharType="begin"/>
    </w:r>
    <w:r>
      <w:rPr>
        <w:rStyle w:val="73"/>
      </w:rPr>
      <w:instrText xml:space="preserve"> PAGE  \* MERGEFORMAT </w:instrText>
    </w:r>
    <w:r>
      <w:fldChar w:fldCharType="separate"/>
    </w:r>
    <w:r>
      <w:rPr>
        <w:rStyle w:val="73"/>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03A24449"/>
    <w:multiLevelType w:val="singleLevel"/>
    <w:tmpl w:val="03A24449"/>
    <w:lvl w:ilvl="0" w:tentative="0">
      <w:start w:val="1"/>
      <w:numFmt w:val="decimal"/>
      <w:suff w:val="nothing"/>
      <w:lvlText w:val="（%1）"/>
      <w:lvlJc w:val="left"/>
    </w:lvl>
  </w:abstractNum>
  <w:abstractNum w:abstractNumId="2">
    <w:nsid w:val="0D8B8DC6"/>
    <w:multiLevelType w:val="singleLevel"/>
    <w:tmpl w:val="0D8B8DC6"/>
    <w:lvl w:ilvl="0" w:tentative="0">
      <w:start w:val="3"/>
      <w:numFmt w:val="chineseCounting"/>
      <w:suff w:val="space"/>
      <w:lvlText w:val="第%1部分"/>
      <w:lvlJc w:val="left"/>
      <w:rPr>
        <w:rFonts w:hint="eastAsia"/>
      </w:rPr>
    </w:lvl>
  </w:abstractNum>
  <w:abstractNum w:abstractNumId="3">
    <w:nsid w:val="107D77C1"/>
    <w:multiLevelType w:val="singleLevel"/>
    <w:tmpl w:val="107D77C1"/>
    <w:lvl w:ilvl="0" w:tentative="0">
      <w:start w:val="1"/>
      <w:numFmt w:val="decimal"/>
      <w:suff w:val="nothing"/>
      <w:lvlText w:val="（%1）"/>
      <w:lvlJc w:val="left"/>
    </w:lvl>
  </w:abstractNum>
  <w:abstractNum w:abstractNumId="4">
    <w:nsid w:val="22DDE3E3"/>
    <w:multiLevelType w:val="singleLevel"/>
    <w:tmpl w:val="22DDE3E3"/>
    <w:lvl w:ilvl="0" w:tentative="0">
      <w:start w:val="1"/>
      <w:numFmt w:val="decimalEnclosedCircleChinese"/>
      <w:suff w:val="nothing"/>
      <w:lvlText w:val="%1　"/>
      <w:lvlJc w:val="left"/>
      <w:pPr>
        <w:ind w:left="26" w:firstLine="400"/>
      </w:pPr>
      <w:rPr>
        <w:rFonts w:hint="eastAsia"/>
        <w:lang w:val="en-US"/>
      </w:rPr>
    </w:lvl>
  </w:abstractNum>
  <w:abstractNum w:abstractNumId="5">
    <w:nsid w:val="2A05109A"/>
    <w:multiLevelType w:val="singleLevel"/>
    <w:tmpl w:val="2A05109A"/>
    <w:lvl w:ilvl="0" w:tentative="0">
      <w:start w:val="2"/>
      <w:numFmt w:val="decimal"/>
      <w:suff w:val="nothing"/>
      <w:lvlText w:val="（%1）"/>
      <w:lvlJc w:val="left"/>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YTc0Nzc5N2E2N2RlMDE4ZGE3NWNkYzFiNzNiYzg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664"/>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CDF"/>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2FE3E7B"/>
    <w:rsid w:val="0326446A"/>
    <w:rsid w:val="032D5555"/>
    <w:rsid w:val="036634D2"/>
    <w:rsid w:val="03DD35E4"/>
    <w:rsid w:val="03F040A4"/>
    <w:rsid w:val="04076900"/>
    <w:rsid w:val="041A5A3B"/>
    <w:rsid w:val="042311BA"/>
    <w:rsid w:val="042B157A"/>
    <w:rsid w:val="04897B68"/>
    <w:rsid w:val="048F763B"/>
    <w:rsid w:val="049F330E"/>
    <w:rsid w:val="04AA775C"/>
    <w:rsid w:val="04AF1889"/>
    <w:rsid w:val="04C64E6C"/>
    <w:rsid w:val="04F66F48"/>
    <w:rsid w:val="05251E14"/>
    <w:rsid w:val="05A16594"/>
    <w:rsid w:val="05A7762D"/>
    <w:rsid w:val="05C872F2"/>
    <w:rsid w:val="05D47115"/>
    <w:rsid w:val="060E5941"/>
    <w:rsid w:val="06110FAF"/>
    <w:rsid w:val="061E21DC"/>
    <w:rsid w:val="06376F3C"/>
    <w:rsid w:val="06493CA7"/>
    <w:rsid w:val="065A6178"/>
    <w:rsid w:val="066F1CF3"/>
    <w:rsid w:val="06813C4C"/>
    <w:rsid w:val="06885294"/>
    <w:rsid w:val="06930BB8"/>
    <w:rsid w:val="07245D42"/>
    <w:rsid w:val="07264C62"/>
    <w:rsid w:val="07723089"/>
    <w:rsid w:val="0779354C"/>
    <w:rsid w:val="07A46B95"/>
    <w:rsid w:val="07E6312F"/>
    <w:rsid w:val="08061376"/>
    <w:rsid w:val="08452D77"/>
    <w:rsid w:val="086401F8"/>
    <w:rsid w:val="08661343"/>
    <w:rsid w:val="08751CAA"/>
    <w:rsid w:val="087E4C40"/>
    <w:rsid w:val="08923AEE"/>
    <w:rsid w:val="08A871D0"/>
    <w:rsid w:val="08D66AD6"/>
    <w:rsid w:val="08DA33A3"/>
    <w:rsid w:val="08E30F07"/>
    <w:rsid w:val="08E80F13"/>
    <w:rsid w:val="09335624"/>
    <w:rsid w:val="0944690F"/>
    <w:rsid w:val="09535675"/>
    <w:rsid w:val="095F057D"/>
    <w:rsid w:val="09642282"/>
    <w:rsid w:val="09733572"/>
    <w:rsid w:val="09772C16"/>
    <w:rsid w:val="098353B5"/>
    <w:rsid w:val="09A92330"/>
    <w:rsid w:val="09B06B87"/>
    <w:rsid w:val="09B36184"/>
    <w:rsid w:val="09C13146"/>
    <w:rsid w:val="09DC06BE"/>
    <w:rsid w:val="09E04166"/>
    <w:rsid w:val="0A1C0718"/>
    <w:rsid w:val="0A3E7710"/>
    <w:rsid w:val="0A5B7E63"/>
    <w:rsid w:val="0A703465"/>
    <w:rsid w:val="0AA374A5"/>
    <w:rsid w:val="0AAB7649"/>
    <w:rsid w:val="0ABC5606"/>
    <w:rsid w:val="0B30404E"/>
    <w:rsid w:val="0B4C6C14"/>
    <w:rsid w:val="0B547599"/>
    <w:rsid w:val="0B631A88"/>
    <w:rsid w:val="0B683D45"/>
    <w:rsid w:val="0B7F3F11"/>
    <w:rsid w:val="0B884417"/>
    <w:rsid w:val="0BE67BA2"/>
    <w:rsid w:val="0BF6188C"/>
    <w:rsid w:val="0BF73C91"/>
    <w:rsid w:val="0C170175"/>
    <w:rsid w:val="0C571A41"/>
    <w:rsid w:val="0C5C1171"/>
    <w:rsid w:val="0C5E1CBC"/>
    <w:rsid w:val="0C615B50"/>
    <w:rsid w:val="0C8445DA"/>
    <w:rsid w:val="0C87121B"/>
    <w:rsid w:val="0C8C5FF2"/>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008DB"/>
    <w:rsid w:val="0E5604B2"/>
    <w:rsid w:val="0E58393F"/>
    <w:rsid w:val="0E6D5D79"/>
    <w:rsid w:val="0E9D0089"/>
    <w:rsid w:val="0E9D4E90"/>
    <w:rsid w:val="0EB803EE"/>
    <w:rsid w:val="0EF94D4B"/>
    <w:rsid w:val="0F4958DC"/>
    <w:rsid w:val="0F515DF7"/>
    <w:rsid w:val="0F596BA8"/>
    <w:rsid w:val="0F5F0397"/>
    <w:rsid w:val="0F6248D2"/>
    <w:rsid w:val="0F693536"/>
    <w:rsid w:val="0F7B0511"/>
    <w:rsid w:val="0F7B76D9"/>
    <w:rsid w:val="0F816ACD"/>
    <w:rsid w:val="0F9832DB"/>
    <w:rsid w:val="0FA364D6"/>
    <w:rsid w:val="0FBF3FD2"/>
    <w:rsid w:val="0FBF7FF3"/>
    <w:rsid w:val="10646583"/>
    <w:rsid w:val="107B06FC"/>
    <w:rsid w:val="107D4B15"/>
    <w:rsid w:val="108A3C80"/>
    <w:rsid w:val="10C26171"/>
    <w:rsid w:val="10F33360"/>
    <w:rsid w:val="10FC16EA"/>
    <w:rsid w:val="110F1D40"/>
    <w:rsid w:val="11266F33"/>
    <w:rsid w:val="115D674B"/>
    <w:rsid w:val="118963A1"/>
    <w:rsid w:val="11C6522A"/>
    <w:rsid w:val="11E104CC"/>
    <w:rsid w:val="11E20309"/>
    <w:rsid w:val="11E701D0"/>
    <w:rsid w:val="12255233"/>
    <w:rsid w:val="12437C74"/>
    <w:rsid w:val="12530213"/>
    <w:rsid w:val="12582E7C"/>
    <w:rsid w:val="125F3EE3"/>
    <w:rsid w:val="127723A9"/>
    <w:rsid w:val="12862074"/>
    <w:rsid w:val="12883966"/>
    <w:rsid w:val="129E45B4"/>
    <w:rsid w:val="12D81596"/>
    <w:rsid w:val="13072A44"/>
    <w:rsid w:val="135F4BE2"/>
    <w:rsid w:val="138840C4"/>
    <w:rsid w:val="139B1A0A"/>
    <w:rsid w:val="139D25C7"/>
    <w:rsid w:val="13BF3CE4"/>
    <w:rsid w:val="141008D8"/>
    <w:rsid w:val="14125FE6"/>
    <w:rsid w:val="146D271E"/>
    <w:rsid w:val="14982588"/>
    <w:rsid w:val="149A5AD9"/>
    <w:rsid w:val="14A7619D"/>
    <w:rsid w:val="150536C3"/>
    <w:rsid w:val="150C1963"/>
    <w:rsid w:val="151447A0"/>
    <w:rsid w:val="152B4878"/>
    <w:rsid w:val="154411E6"/>
    <w:rsid w:val="154A6454"/>
    <w:rsid w:val="15762120"/>
    <w:rsid w:val="15DD0268"/>
    <w:rsid w:val="160475A2"/>
    <w:rsid w:val="163F4A7E"/>
    <w:rsid w:val="16A8729C"/>
    <w:rsid w:val="16B33777"/>
    <w:rsid w:val="16BC70A7"/>
    <w:rsid w:val="16C6339E"/>
    <w:rsid w:val="16DC22CD"/>
    <w:rsid w:val="172F2D79"/>
    <w:rsid w:val="17557BEF"/>
    <w:rsid w:val="178766DD"/>
    <w:rsid w:val="17D349C1"/>
    <w:rsid w:val="1830729E"/>
    <w:rsid w:val="1870062C"/>
    <w:rsid w:val="18817102"/>
    <w:rsid w:val="18830A15"/>
    <w:rsid w:val="18852B28"/>
    <w:rsid w:val="188B5321"/>
    <w:rsid w:val="19797155"/>
    <w:rsid w:val="1980050B"/>
    <w:rsid w:val="19932372"/>
    <w:rsid w:val="19A20DD5"/>
    <w:rsid w:val="19AE03F1"/>
    <w:rsid w:val="1A071A03"/>
    <w:rsid w:val="1A094CD3"/>
    <w:rsid w:val="1A1F16AE"/>
    <w:rsid w:val="1A3B5C77"/>
    <w:rsid w:val="1A984BAD"/>
    <w:rsid w:val="1AB8220E"/>
    <w:rsid w:val="1AE4166C"/>
    <w:rsid w:val="1AF06CFB"/>
    <w:rsid w:val="1AF11B8D"/>
    <w:rsid w:val="1B11359C"/>
    <w:rsid w:val="1B150296"/>
    <w:rsid w:val="1B2A271F"/>
    <w:rsid w:val="1B530544"/>
    <w:rsid w:val="1B713184"/>
    <w:rsid w:val="1BA209CF"/>
    <w:rsid w:val="1BB4777D"/>
    <w:rsid w:val="1BD75AB8"/>
    <w:rsid w:val="1BE13EE2"/>
    <w:rsid w:val="1C0459C2"/>
    <w:rsid w:val="1C1B3B4A"/>
    <w:rsid w:val="1C7725CD"/>
    <w:rsid w:val="1C88086E"/>
    <w:rsid w:val="1CD6156D"/>
    <w:rsid w:val="1D266CE1"/>
    <w:rsid w:val="1D384B9B"/>
    <w:rsid w:val="1D3963AF"/>
    <w:rsid w:val="1D3D0FE5"/>
    <w:rsid w:val="1D6A673C"/>
    <w:rsid w:val="1D9247AE"/>
    <w:rsid w:val="1DB567EC"/>
    <w:rsid w:val="1DF51A98"/>
    <w:rsid w:val="1E2945B9"/>
    <w:rsid w:val="1E336495"/>
    <w:rsid w:val="1E3D060F"/>
    <w:rsid w:val="1E3F7D2E"/>
    <w:rsid w:val="1E4134E4"/>
    <w:rsid w:val="1E5062B3"/>
    <w:rsid w:val="1E523514"/>
    <w:rsid w:val="1E714A66"/>
    <w:rsid w:val="1E802593"/>
    <w:rsid w:val="1E8B6156"/>
    <w:rsid w:val="1EA703CC"/>
    <w:rsid w:val="1EB7330C"/>
    <w:rsid w:val="1F0A0FF3"/>
    <w:rsid w:val="1F1F49C9"/>
    <w:rsid w:val="1F5771FF"/>
    <w:rsid w:val="1F646BF6"/>
    <w:rsid w:val="1F904124"/>
    <w:rsid w:val="1FE868A9"/>
    <w:rsid w:val="20034907"/>
    <w:rsid w:val="20173E4B"/>
    <w:rsid w:val="202076CF"/>
    <w:rsid w:val="204E48BC"/>
    <w:rsid w:val="20620BA8"/>
    <w:rsid w:val="208921B3"/>
    <w:rsid w:val="20973DEB"/>
    <w:rsid w:val="20B26522"/>
    <w:rsid w:val="20B44310"/>
    <w:rsid w:val="211116EB"/>
    <w:rsid w:val="215C2644"/>
    <w:rsid w:val="216133FC"/>
    <w:rsid w:val="21D56769"/>
    <w:rsid w:val="21E52EF3"/>
    <w:rsid w:val="21FB5D7B"/>
    <w:rsid w:val="22015E94"/>
    <w:rsid w:val="220B1C3D"/>
    <w:rsid w:val="221D1D20"/>
    <w:rsid w:val="22334A87"/>
    <w:rsid w:val="22BE6801"/>
    <w:rsid w:val="233500BF"/>
    <w:rsid w:val="23377FF7"/>
    <w:rsid w:val="236B425F"/>
    <w:rsid w:val="237D6BE6"/>
    <w:rsid w:val="23836192"/>
    <w:rsid w:val="23901F29"/>
    <w:rsid w:val="239C0061"/>
    <w:rsid w:val="23B908A4"/>
    <w:rsid w:val="23E95BEF"/>
    <w:rsid w:val="23FD0064"/>
    <w:rsid w:val="245375B0"/>
    <w:rsid w:val="24585BAE"/>
    <w:rsid w:val="24642C0A"/>
    <w:rsid w:val="24B22173"/>
    <w:rsid w:val="24B95AD9"/>
    <w:rsid w:val="24BE24DA"/>
    <w:rsid w:val="24CF5825"/>
    <w:rsid w:val="24D663E6"/>
    <w:rsid w:val="24D77F2B"/>
    <w:rsid w:val="258B00E2"/>
    <w:rsid w:val="25A917A6"/>
    <w:rsid w:val="25A95A70"/>
    <w:rsid w:val="25BE27CC"/>
    <w:rsid w:val="25F74A5C"/>
    <w:rsid w:val="25F76F6E"/>
    <w:rsid w:val="2628662C"/>
    <w:rsid w:val="262D45DE"/>
    <w:rsid w:val="26871DC8"/>
    <w:rsid w:val="26A53EF9"/>
    <w:rsid w:val="26A94201"/>
    <w:rsid w:val="26AC274F"/>
    <w:rsid w:val="27044A29"/>
    <w:rsid w:val="271D34C8"/>
    <w:rsid w:val="274F0899"/>
    <w:rsid w:val="276142BF"/>
    <w:rsid w:val="27783712"/>
    <w:rsid w:val="27907362"/>
    <w:rsid w:val="28195D92"/>
    <w:rsid w:val="28333E1D"/>
    <w:rsid w:val="28454BD6"/>
    <w:rsid w:val="28455253"/>
    <w:rsid w:val="28551971"/>
    <w:rsid w:val="285B1C53"/>
    <w:rsid w:val="285C6DCA"/>
    <w:rsid w:val="289F7086"/>
    <w:rsid w:val="28BC08F2"/>
    <w:rsid w:val="28C32028"/>
    <w:rsid w:val="28CC490F"/>
    <w:rsid w:val="28D915E0"/>
    <w:rsid w:val="28DE40AA"/>
    <w:rsid w:val="29345E77"/>
    <w:rsid w:val="29380AAE"/>
    <w:rsid w:val="294C65AD"/>
    <w:rsid w:val="29806583"/>
    <w:rsid w:val="298B3C4C"/>
    <w:rsid w:val="29B570DA"/>
    <w:rsid w:val="29F26D24"/>
    <w:rsid w:val="2A15033F"/>
    <w:rsid w:val="2A1662C1"/>
    <w:rsid w:val="2A1C7367"/>
    <w:rsid w:val="2A2815FA"/>
    <w:rsid w:val="2A5B62F8"/>
    <w:rsid w:val="2A6D6092"/>
    <w:rsid w:val="2A7D76B4"/>
    <w:rsid w:val="2B437463"/>
    <w:rsid w:val="2B644637"/>
    <w:rsid w:val="2B7807EE"/>
    <w:rsid w:val="2BA50BF7"/>
    <w:rsid w:val="2BBF00EC"/>
    <w:rsid w:val="2BC37CFD"/>
    <w:rsid w:val="2BD5237F"/>
    <w:rsid w:val="2BE536CE"/>
    <w:rsid w:val="2BE758D9"/>
    <w:rsid w:val="2C09049E"/>
    <w:rsid w:val="2C0A653C"/>
    <w:rsid w:val="2C191F85"/>
    <w:rsid w:val="2CE61358"/>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087837"/>
    <w:rsid w:val="30733ACD"/>
    <w:rsid w:val="308C3862"/>
    <w:rsid w:val="309379D8"/>
    <w:rsid w:val="30A270F7"/>
    <w:rsid w:val="30AA14F8"/>
    <w:rsid w:val="30DF1478"/>
    <w:rsid w:val="30EC586F"/>
    <w:rsid w:val="319C6071"/>
    <w:rsid w:val="31A11ECE"/>
    <w:rsid w:val="31A71E69"/>
    <w:rsid w:val="31AC537E"/>
    <w:rsid w:val="31E3679B"/>
    <w:rsid w:val="31E732FD"/>
    <w:rsid w:val="32517576"/>
    <w:rsid w:val="32AC3044"/>
    <w:rsid w:val="32BE5C2C"/>
    <w:rsid w:val="32D63C1D"/>
    <w:rsid w:val="32FB6478"/>
    <w:rsid w:val="332410BB"/>
    <w:rsid w:val="33263B3F"/>
    <w:rsid w:val="333F55D6"/>
    <w:rsid w:val="33475807"/>
    <w:rsid w:val="336963EB"/>
    <w:rsid w:val="33816EEB"/>
    <w:rsid w:val="33EB55CD"/>
    <w:rsid w:val="33EC4C02"/>
    <w:rsid w:val="340D2360"/>
    <w:rsid w:val="3410665D"/>
    <w:rsid w:val="34211214"/>
    <w:rsid w:val="342E63AB"/>
    <w:rsid w:val="34950E68"/>
    <w:rsid w:val="34986E94"/>
    <w:rsid w:val="34AF62C9"/>
    <w:rsid w:val="34CB4388"/>
    <w:rsid w:val="34EB22B3"/>
    <w:rsid w:val="34FA6E12"/>
    <w:rsid w:val="352C0F7B"/>
    <w:rsid w:val="354D7158"/>
    <w:rsid w:val="358D5588"/>
    <w:rsid w:val="36356E5E"/>
    <w:rsid w:val="363A3B40"/>
    <w:rsid w:val="365302AE"/>
    <w:rsid w:val="36607A0A"/>
    <w:rsid w:val="366E227C"/>
    <w:rsid w:val="366F2E0D"/>
    <w:rsid w:val="367B6A5C"/>
    <w:rsid w:val="36A74ADA"/>
    <w:rsid w:val="36AD60D5"/>
    <w:rsid w:val="36B224F9"/>
    <w:rsid w:val="36EC0CC9"/>
    <w:rsid w:val="373F410B"/>
    <w:rsid w:val="37E21E58"/>
    <w:rsid w:val="37EE7094"/>
    <w:rsid w:val="381F03F3"/>
    <w:rsid w:val="38296C89"/>
    <w:rsid w:val="383002EB"/>
    <w:rsid w:val="38586797"/>
    <w:rsid w:val="38BC0149"/>
    <w:rsid w:val="38D87D1C"/>
    <w:rsid w:val="393D0552"/>
    <w:rsid w:val="39636459"/>
    <w:rsid w:val="396B7F6C"/>
    <w:rsid w:val="39B417A9"/>
    <w:rsid w:val="39FC5695"/>
    <w:rsid w:val="3A006D8E"/>
    <w:rsid w:val="3A204F94"/>
    <w:rsid w:val="3A3651E5"/>
    <w:rsid w:val="3A744481"/>
    <w:rsid w:val="3A8C7BEF"/>
    <w:rsid w:val="3A9034BA"/>
    <w:rsid w:val="3A906246"/>
    <w:rsid w:val="3A9E536B"/>
    <w:rsid w:val="3B2349B7"/>
    <w:rsid w:val="3B616CFF"/>
    <w:rsid w:val="3B6259F6"/>
    <w:rsid w:val="3B976654"/>
    <w:rsid w:val="3BC01EFC"/>
    <w:rsid w:val="3BCA786A"/>
    <w:rsid w:val="3BD31E2F"/>
    <w:rsid w:val="3BF15831"/>
    <w:rsid w:val="3C105946"/>
    <w:rsid w:val="3C471448"/>
    <w:rsid w:val="3C5F759A"/>
    <w:rsid w:val="3C6C525A"/>
    <w:rsid w:val="3CCE23CB"/>
    <w:rsid w:val="3CD17D17"/>
    <w:rsid w:val="3D073351"/>
    <w:rsid w:val="3D3C7F39"/>
    <w:rsid w:val="3D440F09"/>
    <w:rsid w:val="3D4504A0"/>
    <w:rsid w:val="3D8734BB"/>
    <w:rsid w:val="3D9A11D4"/>
    <w:rsid w:val="3DA16D89"/>
    <w:rsid w:val="3DA364BE"/>
    <w:rsid w:val="3DD91F01"/>
    <w:rsid w:val="3DE041CB"/>
    <w:rsid w:val="3DEB0EC4"/>
    <w:rsid w:val="3E0D48F6"/>
    <w:rsid w:val="3E1868B4"/>
    <w:rsid w:val="3E377251"/>
    <w:rsid w:val="3E42664B"/>
    <w:rsid w:val="3E5A7334"/>
    <w:rsid w:val="3E614CE2"/>
    <w:rsid w:val="3E630F69"/>
    <w:rsid w:val="3E7B5D6B"/>
    <w:rsid w:val="3E843E66"/>
    <w:rsid w:val="3E8F51FE"/>
    <w:rsid w:val="3E926F87"/>
    <w:rsid w:val="3E9A59DE"/>
    <w:rsid w:val="3EA84A08"/>
    <w:rsid w:val="3EAF4836"/>
    <w:rsid w:val="3EC33DFA"/>
    <w:rsid w:val="3F060E16"/>
    <w:rsid w:val="3F1D1096"/>
    <w:rsid w:val="3F2F0234"/>
    <w:rsid w:val="3F6363FE"/>
    <w:rsid w:val="3F744EE9"/>
    <w:rsid w:val="3F756B8F"/>
    <w:rsid w:val="3F95482B"/>
    <w:rsid w:val="4019356B"/>
    <w:rsid w:val="40592157"/>
    <w:rsid w:val="406E1CAE"/>
    <w:rsid w:val="408E1827"/>
    <w:rsid w:val="40A0133A"/>
    <w:rsid w:val="40C31A53"/>
    <w:rsid w:val="40FF545D"/>
    <w:rsid w:val="410067C8"/>
    <w:rsid w:val="416176D3"/>
    <w:rsid w:val="418F0D2A"/>
    <w:rsid w:val="41D01505"/>
    <w:rsid w:val="42474939"/>
    <w:rsid w:val="424C3C57"/>
    <w:rsid w:val="42613FF3"/>
    <w:rsid w:val="42660D96"/>
    <w:rsid w:val="42734FE4"/>
    <w:rsid w:val="428667D2"/>
    <w:rsid w:val="42CD1CE0"/>
    <w:rsid w:val="42E1381E"/>
    <w:rsid w:val="42E87780"/>
    <w:rsid w:val="42ED6459"/>
    <w:rsid w:val="42FE58DD"/>
    <w:rsid w:val="43174B3D"/>
    <w:rsid w:val="434B790E"/>
    <w:rsid w:val="4360274F"/>
    <w:rsid w:val="43977AB6"/>
    <w:rsid w:val="43A3342B"/>
    <w:rsid w:val="43C77C27"/>
    <w:rsid w:val="43DE09EE"/>
    <w:rsid w:val="44002FAD"/>
    <w:rsid w:val="441C37AA"/>
    <w:rsid w:val="44366C11"/>
    <w:rsid w:val="449101DD"/>
    <w:rsid w:val="44DE1391"/>
    <w:rsid w:val="451B225C"/>
    <w:rsid w:val="452410C9"/>
    <w:rsid w:val="45317DFB"/>
    <w:rsid w:val="456D319A"/>
    <w:rsid w:val="456D3CE4"/>
    <w:rsid w:val="4579042C"/>
    <w:rsid w:val="457F0571"/>
    <w:rsid w:val="45851176"/>
    <w:rsid w:val="45C404FE"/>
    <w:rsid w:val="45C55BC2"/>
    <w:rsid w:val="45C63B94"/>
    <w:rsid w:val="460E7DA5"/>
    <w:rsid w:val="46422483"/>
    <w:rsid w:val="4659254A"/>
    <w:rsid w:val="465B0637"/>
    <w:rsid w:val="465E3F0D"/>
    <w:rsid w:val="466A16E6"/>
    <w:rsid w:val="46867E3C"/>
    <w:rsid w:val="46893F2B"/>
    <w:rsid w:val="46BF2EEE"/>
    <w:rsid w:val="46C444E6"/>
    <w:rsid w:val="46C4686E"/>
    <w:rsid w:val="477B778F"/>
    <w:rsid w:val="478203EC"/>
    <w:rsid w:val="47B025FA"/>
    <w:rsid w:val="4809698F"/>
    <w:rsid w:val="4811697D"/>
    <w:rsid w:val="484511D1"/>
    <w:rsid w:val="487A3E25"/>
    <w:rsid w:val="488B5503"/>
    <w:rsid w:val="48937E21"/>
    <w:rsid w:val="489A0361"/>
    <w:rsid w:val="48A8102D"/>
    <w:rsid w:val="48B94FF3"/>
    <w:rsid w:val="48E37AAB"/>
    <w:rsid w:val="48FD4B4C"/>
    <w:rsid w:val="490A68E0"/>
    <w:rsid w:val="491055FE"/>
    <w:rsid w:val="494F300D"/>
    <w:rsid w:val="495F5B3E"/>
    <w:rsid w:val="496F77D7"/>
    <w:rsid w:val="497654FD"/>
    <w:rsid w:val="49B64211"/>
    <w:rsid w:val="49D41AAC"/>
    <w:rsid w:val="49F6167F"/>
    <w:rsid w:val="4A064FA0"/>
    <w:rsid w:val="4A16615C"/>
    <w:rsid w:val="4A4424D7"/>
    <w:rsid w:val="4AB82D0F"/>
    <w:rsid w:val="4AEB7664"/>
    <w:rsid w:val="4AFD7C19"/>
    <w:rsid w:val="4B0567D1"/>
    <w:rsid w:val="4B236AAE"/>
    <w:rsid w:val="4B2F799D"/>
    <w:rsid w:val="4B3814C1"/>
    <w:rsid w:val="4B5730C8"/>
    <w:rsid w:val="4B6E0A3F"/>
    <w:rsid w:val="4B707271"/>
    <w:rsid w:val="4B9739F7"/>
    <w:rsid w:val="4BA51064"/>
    <w:rsid w:val="4BEE2503"/>
    <w:rsid w:val="4BF727EA"/>
    <w:rsid w:val="4C1F39E8"/>
    <w:rsid w:val="4C245A30"/>
    <w:rsid w:val="4CB6685F"/>
    <w:rsid w:val="4CC367FE"/>
    <w:rsid w:val="4D077F3C"/>
    <w:rsid w:val="4D123355"/>
    <w:rsid w:val="4D2A3B31"/>
    <w:rsid w:val="4D312C52"/>
    <w:rsid w:val="4D4D1254"/>
    <w:rsid w:val="4D905305"/>
    <w:rsid w:val="4D964A72"/>
    <w:rsid w:val="4D9C1254"/>
    <w:rsid w:val="4D9E5B15"/>
    <w:rsid w:val="4DFB79B8"/>
    <w:rsid w:val="4E7028E0"/>
    <w:rsid w:val="4E793892"/>
    <w:rsid w:val="4E800872"/>
    <w:rsid w:val="4EC569ED"/>
    <w:rsid w:val="4ED50EA1"/>
    <w:rsid w:val="4EEC050C"/>
    <w:rsid w:val="4F104EC3"/>
    <w:rsid w:val="4F47354A"/>
    <w:rsid w:val="4F911C54"/>
    <w:rsid w:val="4FE625E0"/>
    <w:rsid w:val="5021480F"/>
    <w:rsid w:val="505C301C"/>
    <w:rsid w:val="509226C0"/>
    <w:rsid w:val="50962ECB"/>
    <w:rsid w:val="50A42E38"/>
    <w:rsid w:val="50A4577F"/>
    <w:rsid w:val="50B73D1F"/>
    <w:rsid w:val="50BD5BC9"/>
    <w:rsid w:val="50C11EEE"/>
    <w:rsid w:val="50E97CFC"/>
    <w:rsid w:val="50FA4028"/>
    <w:rsid w:val="51084606"/>
    <w:rsid w:val="510D65B7"/>
    <w:rsid w:val="511157AB"/>
    <w:rsid w:val="5142540C"/>
    <w:rsid w:val="5156728A"/>
    <w:rsid w:val="51736DAF"/>
    <w:rsid w:val="518832C8"/>
    <w:rsid w:val="519D3C50"/>
    <w:rsid w:val="51A0432A"/>
    <w:rsid w:val="51A86090"/>
    <w:rsid w:val="51B7396D"/>
    <w:rsid w:val="522E4CC3"/>
    <w:rsid w:val="5244713B"/>
    <w:rsid w:val="5260423A"/>
    <w:rsid w:val="52615633"/>
    <w:rsid w:val="526F4DE4"/>
    <w:rsid w:val="52977FD4"/>
    <w:rsid w:val="52A25790"/>
    <w:rsid w:val="52A96B6F"/>
    <w:rsid w:val="52B45975"/>
    <w:rsid w:val="52D94AA4"/>
    <w:rsid w:val="52EA3A62"/>
    <w:rsid w:val="52F50BB8"/>
    <w:rsid w:val="53097272"/>
    <w:rsid w:val="530E12A6"/>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66B6D1E"/>
    <w:rsid w:val="57032A2C"/>
    <w:rsid w:val="570F5219"/>
    <w:rsid w:val="572E78E5"/>
    <w:rsid w:val="575B631B"/>
    <w:rsid w:val="575D12B5"/>
    <w:rsid w:val="57610A87"/>
    <w:rsid w:val="577B1140"/>
    <w:rsid w:val="577B7F21"/>
    <w:rsid w:val="577F181B"/>
    <w:rsid w:val="57921984"/>
    <w:rsid w:val="579737F0"/>
    <w:rsid w:val="57AB7B30"/>
    <w:rsid w:val="57AE193F"/>
    <w:rsid w:val="57AF5251"/>
    <w:rsid w:val="57B26373"/>
    <w:rsid w:val="57B63F04"/>
    <w:rsid w:val="57CD20C2"/>
    <w:rsid w:val="57D675AB"/>
    <w:rsid w:val="57D95FDD"/>
    <w:rsid w:val="58917D2F"/>
    <w:rsid w:val="5894085C"/>
    <w:rsid w:val="58AE4F0C"/>
    <w:rsid w:val="58B85899"/>
    <w:rsid w:val="58E363A9"/>
    <w:rsid w:val="591E264C"/>
    <w:rsid w:val="593C6887"/>
    <w:rsid w:val="595C637A"/>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BE2749"/>
    <w:rsid w:val="5AD63A24"/>
    <w:rsid w:val="5AE51A4D"/>
    <w:rsid w:val="5AFB4D80"/>
    <w:rsid w:val="5B2E1A1D"/>
    <w:rsid w:val="5B6F0CF7"/>
    <w:rsid w:val="5B843A1C"/>
    <w:rsid w:val="5B873E3F"/>
    <w:rsid w:val="5BE32D83"/>
    <w:rsid w:val="5C02690E"/>
    <w:rsid w:val="5C196DA7"/>
    <w:rsid w:val="5C2A048C"/>
    <w:rsid w:val="5C4D2220"/>
    <w:rsid w:val="5C80234E"/>
    <w:rsid w:val="5C8A680C"/>
    <w:rsid w:val="5D0C4701"/>
    <w:rsid w:val="5D0F0395"/>
    <w:rsid w:val="5D221076"/>
    <w:rsid w:val="5D397964"/>
    <w:rsid w:val="5D5A391C"/>
    <w:rsid w:val="5D5F10C0"/>
    <w:rsid w:val="5D790E2F"/>
    <w:rsid w:val="5D845EA0"/>
    <w:rsid w:val="5D891B7B"/>
    <w:rsid w:val="5DAD38EE"/>
    <w:rsid w:val="5DAD53F7"/>
    <w:rsid w:val="5E006862"/>
    <w:rsid w:val="5E0207B9"/>
    <w:rsid w:val="5E111E29"/>
    <w:rsid w:val="5E1834A1"/>
    <w:rsid w:val="5E261785"/>
    <w:rsid w:val="5E4A7017"/>
    <w:rsid w:val="5E552BBA"/>
    <w:rsid w:val="5E611C10"/>
    <w:rsid w:val="5E7A0F3F"/>
    <w:rsid w:val="5E8954E8"/>
    <w:rsid w:val="5E9377E2"/>
    <w:rsid w:val="5EFC7377"/>
    <w:rsid w:val="5F06174D"/>
    <w:rsid w:val="5F3A3602"/>
    <w:rsid w:val="5F45733B"/>
    <w:rsid w:val="5F4D703B"/>
    <w:rsid w:val="5F6277C6"/>
    <w:rsid w:val="5F6D0B1D"/>
    <w:rsid w:val="5F8D0B82"/>
    <w:rsid w:val="5FCC5339"/>
    <w:rsid w:val="5FE34A5B"/>
    <w:rsid w:val="5FFE1E36"/>
    <w:rsid w:val="60232584"/>
    <w:rsid w:val="607330CE"/>
    <w:rsid w:val="60825176"/>
    <w:rsid w:val="609F2AC4"/>
    <w:rsid w:val="60FA2EE8"/>
    <w:rsid w:val="61054A27"/>
    <w:rsid w:val="610A52BC"/>
    <w:rsid w:val="610D059B"/>
    <w:rsid w:val="611D2366"/>
    <w:rsid w:val="61246A5A"/>
    <w:rsid w:val="61421856"/>
    <w:rsid w:val="615227C4"/>
    <w:rsid w:val="61654E3F"/>
    <w:rsid w:val="6182292A"/>
    <w:rsid w:val="619F7F92"/>
    <w:rsid w:val="61C62F2B"/>
    <w:rsid w:val="61F94C26"/>
    <w:rsid w:val="62000E56"/>
    <w:rsid w:val="620660D9"/>
    <w:rsid w:val="624F3E49"/>
    <w:rsid w:val="62595B4D"/>
    <w:rsid w:val="62632286"/>
    <w:rsid w:val="62885958"/>
    <w:rsid w:val="62F40B65"/>
    <w:rsid w:val="62FC2CFE"/>
    <w:rsid w:val="63024505"/>
    <w:rsid w:val="63372798"/>
    <w:rsid w:val="635600A5"/>
    <w:rsid w:val="635B1DB5"/>
    <w:rsid w:val="63663C8F"/>
    <w:rsid w:val="63711FED"/>
    <w:rsid w:val="63880DDC"/>
    <w:rsid w:val="638D750D"/>
    <w:rsid w:val="63AC6CC0"/>
    <w:rsid w:val="63F23480"/>
    <w:rsid w:val="63F53529"/>
    <w:rsid w:val="64055776"/>
    <w:rsid w:val="641F5B67"/>
    <w:rsid w:val="64240056"/>
    <w:rsid w:val="643E143A"/>
    <w:rsid w:val="64491666"/>
    <w:rsid w:val="648B6EEF"/>
    <w:rsid w:val="64A55079"/>
    <w:rsid w:val="64C158BF"/>
    <w:rsid w:val="64CE2EAA"/>
    <w:rsid w:val="64DD4813"/>
    <w:rsid w:val="64F51235"/>
    <w:rsid w:val="65071890"/>
    <w:rsid w:val="653C3090"/>
    <w:rsid w:val="65854376"/>
    <w:rsid w:val="658767BE"/>
    <w:rsid w:val="65892531"/>
    <w:rsid w:val="65AB4E9E"/>
    <w:rsid w:val="65C3080B"/>
    <w:rsid w:val="65DE9299"/>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3E15D3"/>
    <w:rsid w:val="69627681"/>
    <w:rsid w:val="6977531D"/>
    <w:rsid w:val="69782D5D"/>
    <w:rsid w:val="69CC2BFF"/>
    <w:rsid w:val="69FD55B8"/>
    <w:rsid w:val="6A0B1C62"/>
    <w:rsid w:val="6A2406C8"/>
    <w:rsid w:val="6A3637AE"/>
    <w:rsid w:val="6A3B7666"/>
    <w:rsid w:val="6A9A1ADF"/>
    <w:rsid w:val="6ADE0BD1"/>
    <w:rsid w:val="6ADF7055"/>
    <w:rsid w:val="6AE81378"/>
    <w:rsid w:val="6AE96859"/>
    <w:rsid w:val="6B147746"/>
    <w:rsid w:val="6B24787C"/>
    <w:rsid w:val="6B573233"/>
    <w:rsid w:val="6B5B6274"/>
    <w:rsid w:val="6B935D53"/>
    <w:rsid w:val="6C1316F7"/>
    <w:rsid w:val="6C196F71"/>
    <w:rsid w:val="6C226FCB"/>
    <w:rsid w:val="6C31226F"/>
    <w:rsid w:val="6C396B98"/>
    <w:rsid w:val="6C517EC7"/>
    <w:rsid w:val="6C552F0B"/>
    <w:rsid w:val="6C8C67B7"/>
    <w:rsid w:val="6C9D744C"/>
    <w:rsid w:val="6D167928"/>
    <w:rsid w:val="6D1E2D7E"/>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48279F"/>
    <w:rsid w:val="71997D14"/>
    <w:rsid w:val="71D43752"/>
    <w:rsid w:val="71EF202A"/>
    <w:rsid w:val="71F1796A"/>
    <w:rsid w:val="71FB63D5"/>
    <w:rsid w:val="72154626"/>
    <w:rsid w:val="72262B5D"/>
    <w:rsid w:val="72283FF7"/>
    <w:rsid w:val="722E7212"/>
    <w:rsid w:val="723A0474"/>
    <w:rsid w:val="725923E4"/>
    <w:rsid w:val="72864BF7"/>
    <w:rsid w:val="729023FC"/>
    <w:rsid w:val="73280537"/>
    <w:rsid w:val="734463A5"/>
    <w:rsid w:val="73591E51"/>
    <w:rsid w:val="73C0646E"/>
    <w:rsid w:val="742222F5"/>
    <w:rsid w:val="74476126"/>
    <w:rsid w:val="74706664"/>
    <w:rsid w:val="74760A83"/>
    <w:rsid w:val="747F3682"/>
    <w:rsid w:val="749C4185"/>
    <w:rsid w:val="74E34FF7"/>
    <w:rsid w:val="75067759"/>
    <w:rsid w:val="752E6DCD"/>
    <w:rsid w:val="7551380D"/>
    <w:rsid w:val="755D394A"/>
    <w:rsid w:val="75600BE5"/>
    <w:rsid w:val="7564475C"/>
    <w:rsid w:val="75661A03"/>
    <w:rsid w:val="7583797F"/>
    <w:rsid w:val="75D20F1D"/>
    <w:rsid w:val="75DA2C18"/>
    <w:rsid w:val="75F54412"/>
    <w:rsid w:val="7610256F"/>
    <w:rsid w:val="761D08E0"/>
    <w:rsid w:val="765D347C"/>
    <w:rsid w:val="76826699"/>
    <w:rsid w:val="76B13BBA"/>
    <w:rsid w:val="76C87133"/>
    <w:rsid w:val="76CD08D5"/>
    <w:rsid w:val="76DB4B92"/>
    <w:rsid w:val="77052AA4"/>
    <w:rsid w:val="77136511"/>
    <w:rsid w:val="77340A39"/>
    <w:rsid w:val="77351FD0"/>
    <w:rsid w:val="774249AA"/>
    <w:rsid w:val="77472422"/>
    <w:rsid w:val="774A224C"/>
    <w:rsid w:val="77617526"/>
    <w:rsid w:val="777F31F2"/>
    <w:rsid w:val="77935205"/>
    <w:rsid w:val="77D1700D"/>
    <w:rsid w:val="77EC04CC"/>
    <w:rsid w:val="78775729"/>
    <w:rsid w:val="78A42DB0"/>
    <w:rsid w:val="78A656AB"/>
    <w:rsid w:val="78AE2402"/>
    <w:rsid w:val="78B2245C"/>
    <w:rsid w:val="78E172CC"/>
    <w:rsid w:val="78E67F5A"/>
    <w:rsid w:val="78EA1D1F"/>
    <w:rsid w:val="78F80791"/>
    <w:rsid w:val="79036DC3"/>
    <w:rsid w:val="7904172F"/>
    <w:rsid w:val="790F7E27"/>
    <w:rsid w:val="792A231A"/>
    <w:rsid w:val="79316829"/>
    <w:rsid w:val="797E66A9"/>
    <w:rsid w:val="798518A4"/>
    <w:rsid w:val="79A97383"/>
    <w:rsid w:val="79E27E8B"/>
    <w:rsid w:val="79F850CE"/>
    <w:rsid w:val="79FD443C"/>
    <w:rsid w:val="79FEE5E2"/>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6D02F4"/>
    <w:rsid w:val="7C7C10F6"/>
    <w:rsid w:val="7C853BEA"/>
    <w:rsid w:val="7C881368"/>
    <w:rsid w:val="7CC94B68"/>
    <w:rsid w:val="7CD564F7"/>
    <w:rsid w:val="7CE243B6"/>
    <w:rsid w:val="7CE27788"/>
    <w:rsid w:val="7D083419"/>
    <w:rsid w:val="7D0C32F1"/>
    <w:rsid w:val="7D0F408D"/>
    <w:rsid w:val="7D126BCC"/>
    <w:rsid w:val="7D491C6C"/>
    <w:rsid w:val="7D5429C0"/>
    <w:rsid w:val="7D6E6D43"/>
    <w:rsid w:val="7DB57A34"/>
    <w:rsid w:val="7DD30A5B"/>
    <w:rsid w:val="7DE60973"/>
    <w:rsid w:val="7DEF0916"/>
    <w:rsid w:val="7E1E5218"/>
    <w:rsid w:val="7E6C679B"/>
    <w:rsid w:val="7E81400A"/>
    <w:rsid w:val="7E9A4E1F"/>
    <w:rsid w:val="7EA7723A"/>
    <w:rsid w:val="7EF56FBB"/>
    <w:rsid w:val="7F0768EB"/>
    <w:rsid w:val="7F143BEC"/>
    <w:rsid w:val="7F362021"/>
    <w:rsid w:val="7F715AF2"/>
    <w:rsid w:val="7F7B47F9"/>
    <w:rsid w:val="7F886E69"/>
    <w:rsid w:val="AEFB2051"/>
    <w:rsid w:val="BB7FA927"/>
    <w:rsid w:val="DDFF01C8"/>
    <w:rsid w:val="EFF72F48"/>
    <w:rsid w:val="F0CF40EC"/>
    <w:rsid w:val="F5FFD31F"/>
    <w:rsid w:val="F7E57758"/>
    <w:rsid w:val="F7FD985E"/>
    <w:rsid w:val="FBDE7B37"/>
    <w:rsid w:val="FE25CBE3"/>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4"/>
    <w:qFormat/>
    <w:uiPriority w:val="0"/>
    <w:pPr>
      <w:shd w:val="clear" w:color="auto" w:fill="000080"/>
    </w:pPr>
  </w:style>
  <w:style w:type="paragraph" w:styleId="20">
    <w:name w:val="annotation text"/>
    <w:basedOn w:val="1"/>
    <w:link w:val="346"/>
    <w:qFormat/>
    <w:uiPriority w:val="99"/>
    <w:pPr>
      <w:jc w:val="left"/>
    </w:pPr>
  </w:style>
  <w:style w:type="paragraph" w:styleId="21">
    <w:name w:val="Salutation"/>
    <w:basedOn w:val="1"/>
    <w:next w:val="1"/>
    <w:link w:val="300"/>
    <w:qFormat/>
    <w:uiPriority w:val="0"/>
    <w:rPr>
      <w:rFonts w:ascii="仿宋_GB2312" w:eastAsia="仿宋_GB2312"/>
      <w:sz w:val="28"/>
      <w:szCs w:val="20"/>
    </w:rPr>
  </w:style>
  <w:style w:type="paragraph" w:styleId="22">
    <w:name w:val="Body Text 3"/>
    <w:basedOn w:val="1"/>
    <w:link w:val="332"/>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26"/>
    <w:link w:val="323"/>
    <w:qFormat/>
    <w:uiPriority w:val="0"/>
    <w:pPr>
      <w:ind w:firstLine="420"/>
    </w:pPr>
    <w:rPr>
      <w:rFonts w:hAnsi="Calibri" w:cs="Times New Roman"/>
      <w:snapToGrid/>
      <w:szCs w:val="20"/>
    </w:rPr>
  </w:style>
  <w:style w:type="paragraph" w:styleId="26">
    <w:name w:val="toc 6"/>
    <w:basedOn w:val="1"/>
    <w:next w:val="1"/>
    <w:qFormat/>
    <w:uiPriority w:val="0"/>
    <w:pPr>
      <w:ind w:left="2100" w:leftChars="1000"/>
    </w:pPr>
  </w:style>
  <w:style w:type="paragraph" w:styleId="27">
    <w:name w:val="Body Text Indent"/>
    <w:basedOn w:val="1"/>
    <w:next w:val="1"/>
    <w:link w:val="267"/>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7"/>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3"/>
    <w:qFormat/>
    <w:uiPriority w:val="0"/>
    <w:pPr>
      <w:ind w:left="100" w:leftChars="2500"/>
    </w:pPr>
    <w:rPr>
      <w:rFonts w:ascii="宋体"/>
      <w:sz w:val="24"/>
      <w:szCs w:val="21"/>
      <w:lang w:val="zh-CN"/>
    </w:rPr>
  </w:style>
  <w:style w:type="paragraph" w:styleId="39">
    <w:name w:val="Body Text Indent 2"/>
    <w:basedOn w:val="1"/>
    <w:link w:val="310"/>
    <w:qFormat/>
    <w:uiPriority w:val="0"/>
    <w:pPr>
      <w:spacing w:line="360" w:lineRule="auto"/>
      <w:ind w:firstLine="601"/>
      <w:textAlignment w:val="baseline"/>
    </w:pPr>
    <w:rPr>
      <w:rFonts w:ascii="宋体"/>
      <w:kern w:val="0"/>
      <w:sz w:val="28"/>
      <w:szCs w:val="20"/>
    </w:rPr>
  </w:style>
  <w:style w:type="paragraph" w:styleId="40">
    <w:name w:val="endnote text"/>
    <w:basedOn w:val="1"/>
    <w:link w:val="933"/>
    <w:qFormat/>
    <w:uiPriority w:val="0"/>
    <w:rPr>
      <w:lang w:val="zh-CN"/>
    </w:rPr>
  </w:style>
  <w:style w:type="paragraph" w:styleId="41">
    <w:name w:val="Balloon Text"/>
    <w:basedOn w:val="1"/>
    <w:link w:val="190"/>
    <w:qFormat/>
    <w:uiPriority w:val="0"/>
    <w:rPr>
      <w:sz w:val="18"/>
      <w:szCs w:val="18"/>
    </w:rPr>
  </w:style>
  <w:style w:type="paragraph" w:styleId="42">
    <w:name w:val="footer"/>
    <w:basedOn w:val="1"/>
    <w:link w:val="384"/>
    <w:qFormat/>
    <w:uiPriority w:val="99"/>
    <w:pPr>
      <w:tabs>
        <w:tab w:val="center" w:pos="4153"/>
        <w:tab w:val="right" w:pos="8306"/>
      </w:tabs>
      <w:snapToGrid w:val="0"/>
      <w:jc w:val="left"/>
    </w:pPr>
    <w:rPr>
      <w:sz w:val="18"/>
      <w:szCs w:val="18"/>
    </w:rPr>
  </w:style>
  <w:style w:type="paragraph" w:styleId="43">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8"/>
    <w:qFormat/>
    <w:uiPriority w:val="0"/>
    <w:rPr>
      <w:b/>
      <w:bCs/>
    </w:rPr>
  </w:style>
  <w:style w:type="paragraph" w:styleId="61">
    <w:name w:val="Body Text First Indent 2"/>
    <w:basedOn w:val="27"/>
    <w:next w:val="62"/>
    <w:link w:val="123"/>
    <w:qFormat/>
    <w:uiPriority w:val="0"/>
    <w:pPr>
      <w:adjustRightInd/>
      <w:spacing w:after="120" w:line="240" w:lineRule="auto"/>
      <w:ind w:left="420" w:leftChars="200" w:firstLine="210"/>
    </w:pPr>
    <w:rPr>
      <w:sz w:val="21"/>
    </w:rPr>
  </w:style>
  <w:style w:type="paragraph" w:customStyle="1" w:styleId="62">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公文正文"/>
    <w:basedOn w:val="1"/>
    <w:link w:val="354"/>
    <w:qFormat/>
    <w:uiPriority w:val="0"/>
    <w:pPr>
      <w:adjustRightInd/>
      <w:spacing w:before="156" w:line="360" w:lineRule="auto"/>
      <w:ind w:firstLine="360" w:firstLineChars="200"/>
    </w:pPr>
    <w:rPr>
      <w:rFonts w:ascii="仿宋_GB2312" w:eastAsia="仿宋_GB2312"/>
      <w:sz w:val="24"/>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0"/>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1"/>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9"/>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4"/>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8"/>
    <w:qFormat/>
    <w:uiPriority w:val="0"/>
    <w:rPr>
      <w:rFonts w:ascii="宋体"/>
      <w:kern w:val="2"/>
      <w:sz w:val="24"/>
      <w:szCs w:val="21"/>
      <w:lang w:val="zh-CN"/>
    </w:rPr>
  </w:style>
  <w:style w:type="character" w:customStyle="1" w:styleId="184">
    <w:name w:val="标题 9 Char"/>
    <w:link w:val="12"/>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41"/>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6"/>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9"/>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2"/>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7"/>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7"/>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0">
    <w:name w:val="列出段落1"/>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7"/>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8"/>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1"/>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7"/>
    <w:qFormat/>
    <w:uiPriority w:val="0"/>
    <w:rPr>
      <w:rFonts w:ascii="黑体" w:hAnsi="Courier New" w:eastAsia="黑体"/>
    </w:rPr>
  </w:style>
  <w:style w:type="character" w:customStyle="1" w:styleId="304">
    <w:name w:val="正文文本 2 Char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0"/>
    <w:qFormat/>
    <w:uiPriority w:val="0"/>
    <w:rPr>
      <w:b/>
      <w:bCs/>
      <w:kern w:val="2"/>
      <w:sz w:val="24"/>
      <w:szCs w:val="24"/>
    </w:rPr>
  </w:style>
  <w:style w:type="character" w:customStyle="1" w:styleId="310">
    <w:name w:val="正文文本缩进 2 Char"/>
    <w:link w:val="39"/>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5"/>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7"/>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2"/>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0"/>
    <w:qFormat/>
    <w:uiPriority w:val="99"/>
    <w:rPr>
      <w:kern w:val="2"/>
      <w:sz w:val="21"/>
      <w:szCs w:val="24"/>
    </w:rPr>
  </w:style>
  <w:style w:type="character" w:customStyle="1" w:styleId="347">
    <w:name w:val="签名 Char"/>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80"/>
    <w:qFormat/>
    <w:uiPriority w:val="0"/>
    <w:rPr>
      <w:rFonts w:ascii="仿宋_GB2312" w:eastAsia="仿宋_GB2312"/>
      <w:kern w:val="2"/>
      <w:sz w:val="24"/>
      <w:szCs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3"/>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6"/>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5"/>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7"/>
    <w:next w:val="237"/>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7"/>
    <w:next w:val="237"/>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next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40"/>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4"/>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qFormat/>
    <w:uiPriority w:val="0"/>
    <w:pPr>
      <w:widowControl/>
      <w:spacing w:before="100" w:after="100"/>
      <w:jc w:val="left"/>
    </w:pPr>
    <w:rPr>
      <w:rFonts w:ascii="宋体" w:hAnsi="宋体" w:cs="宋体"/>
      <w:color w:val="000000"/>
      <w:kern w:val="0"/>
      <w:sz w:val="24"/>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styleId="968">
    <w:name w:val="No Spacing"/>
    <w:basedOn w:val="1"/>
    <w:qFormat/>
    <w:uiPriority w:val="99"/>
    <w:rPr>
      <w:szCs w:val="22"/>
    </w:rPr>
  </w:style>
  <w:style w:type="paragraph" w:styleId="969">
    <w:name w:val="List Paragraph"/>
    <w:basedOn w:val="1"/>
    <w:qFormat/>
    <w:uiPriority w:val="0"/>
    <w:pPr>
      <w:spacing w:line="360" w:lineRule="auto"/>
      <w:ind w:firstLine="200" w:firstLineChars="200"/>
    </w:pPr>
    <w:rPr>
      <w:rFonts w:eastAsia="楷体_GB2312" w:cs="Lucida San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116</Pages>
  <Words>60105</Words>
  <Characters>63058</Characters>
  <Lines>1</Lines>
  <Paragraphs>1</Paragraphs>
  <TotalTime>0</TotalTime>
  <ScaleCrop>false</ScaleCrop>
  <LinksUpToDate>false</LinksUpToDate>
  <CharactersWithSpaces>70522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2022-05-09T15:35:00Z</dcterms:created>
  <dc:creator>玥</dc:creator>
  <cp:lastModifiedBy>游客</cp:lastModifiedBy>
  <cp:lastPrinted>2021-12-29T19:06:00Z</cp:lastPrinted>
  <dcterms:modified xsi:type="dcterms:W3CDTF">2025-10-16T03:27:41Z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5DB9EB519A9F415EBF9FE4D97E90B0E3_13</vt:lpwstr>
  </property>
  <property fmtid="{D5CDD505-2E9C-101B-9397-08002B2CF9AE}" pid="5" name="commondata">
    <vt:lpwstr>eyJoZGlkIjoiNGNlMmFkMDQ1NDY0ZmRiM2Q0NjY4NTFjN2IwMTllYjMifQ==</vt:lpwstr>
  </property>
  <property fmtid="{D5CDD505-2E9C-101B-9397-08002B2CF9AE}" pid="6" name="KSOTemplateDocerSaveRecord">
    <vt:lpwstr>eyJoZGlkIjoiY2MwMGZiNjFmMGFhZjc4OWMzMWE2OWU4MjI5NWQ1YzAiLCJ1c2VySWQiOiI5NzY1MzQ0NjMifQ==</vt:lpwstr>
  </property>
</Properties>
</file>