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06745">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XB20260224-01</w:t>
      </w:r>
    </w:p>
    <w:p w14:paraId="5168021C">
      <w:pPr>
        <w:spacing w:line="400" w:lineRule="exact"/>
        <w:rPr>
          <w:rFonts w:ascii="Times New Roman" w:hAnsi="Times New Roman"/>
          <w:color w:val="auto"/>
        </w:rPr>
      </w:pPr>
    </w:p>
    <w:p w14:paraId="1FF25262">
      <w:pPr>
        <w:spacing w:line="400" w:lineRule="exact"/>
        <w:rPr>
          <w:rFonts w:ascii="Times New Roman" w:hAnsi="Times New Roman"/>
          <w:color w:val="auto"/>
        </w:rPr>
      </w:pPr>
    </w:p>
    <w:p w14:paraId="0532BC54">
      <w:pPr>
        <w:outlineLvl w:val="9"/>
        <w:rPr>
          <w:color w:val="auto"/>
        </w:rPr>
      </w:pPr>
    </w:p>
    <w:p w14:paraId="48F43651">
      <w:pPr>
        <w:spacing w:line="400" w:lineRule="exact"/>
        <w:rPr>
          <w:rFonts w:ascii="Times New Roman" w:hAnsi="Times New Roman"/>
          <w:color w:val="auto"/>
        </w:rPr>
      </w:pPr>
    </w:p>
    <w:p w14:paraId="40804D3B">
      <w:pPr>
        <w:spacing w:line="400" w:lineRule="exact"/>
        <w:rPr>
          <w:rFonts w:ascii="Times New Roman" w:hAnsi="Times New Roman"/>
          <w:color w:val="auto"/>
        </w:rPr>
      </w:pPr>
    </w:p>
    <w:p w14:paraId="3F396078">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70009C6A">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110kV供电线路建设辐射环境影响报告表</w:t>
      </w:r>
    </w:p>
    <w:p w14:paraId="6189ABE3">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询比采购文件</w:t>
      </w:r>
    </w:p>
    <w:p w14:paraId="3B760B51">
      <w:pPr>
        <w:spacing w:line="400" w:lineRule="exact"/>
        <w:rPr>
          <w:rFonts w:ascii="Times New Roman" w:hAnsi="Times New Roman"/>
          <w:color w:val="auto"/>
        </w:rPr>
      </w:pPr>
    </w:p>
    <w:p w14:paraId="5C3B6ABA">
      <w:pPr>
        <w:spacing w:line="400" w:lineRule="exact"/>
        <w:rPr>
          <w:rFonts w:ascii="Times New Roman" w:hAnsi="Times New Roman"/>
          <w:color w:val="auto"/>
        </w:rPr>
      </w:pPr>
    </w:p>
    <w:p w14:paraId="7686C8FF">
      <w:pPr>
        <w:spacing w:line="400" w:lineRule="exact"/>
        <w:rPr>
          <w:rFonts w:ascii="Times New Roman" w:hAnsi="Times New Roman"/>
          <w:color w:val="auto"/>
        </w:rPr>
      </w:pPr>
    </w:p>
    <w:p w14:paraId="69EB29EF">
      <w:pPr>
        <w:spacing w:line="400" w:lineRule="exact"/>
        <w:rPr>
          <w:rFonts w:ascii="Times New Roman" w:hAnsi="Times New Roman"/>
          <w:color w:val="auto"/>
        </w:rPr>
      </w:pPr>
    </w:p>
    <w:p w14:paraId="672B1A11">
      <w:pPr>
        <w:spacing w:line="400" w:lineRule="exact"/>
        <w:rPr>
          <w:rFonts w:ascii="Times New Roman" w:hAnsi="Times New Roman"/>
          <w:color w:val="auto"/>
        </w:rPr>
      </w:pPr>
    </w:p>
    <w:p w14:paraId="47C672CC">
      <w:pPr>
        <w:spacing w:line="400" w:lineRule="exact"/>
        <w:rPr>
          <w:rFonts w:ascii="Times New Roman" w:hAnsi="Times New Roman"/>
          <w:color w:val="auto"/>
        </w:rPr>
      </w:pPr>
    </w:p>
    <w:p w14:paraId="4C734E17">
      <w:pPr>
        <w:spacing w:line="400" w:lineRule="exact"/>
        <w:rPr>
          <w:rFonts w:ascii="Times New Roman" w:hAnsi="Times New Roman"/>
          <w:color w:val="auto"/>
        </w:rPr>
      </w:pPr>
    </w:p>
    <w:p w14:paraId="3C7CA5F7">
      <w:pPr>
        <w:spacing w:line="400" w:lineRule="exact"/>
        <w:rPr>
          <w:rFonts w:ascii="Times New Roman" w:hAnsi="Times New Roman"/>
          <w:color w:val="auto"/>
        </w:rPr>
      </w:pPr>
    </w:p>
    <w:p w14:paraId="52618E85">
      <w:pPr>
        <w:pStyle w:val="8"/>
        <w:spacing w:before="24" w:after="24"/>
        <w:ind w:firstLine="480"/>
        <w:rPr>
          <w:color w:val="auto"/>
        </w:rPr>
      </w:pPr>
    </w:p>
    <w:p w14:paraId="39B18F4E">
      <w:pPr>
        <w:pStyle w:val="8"/>
        <w:spacing w:before="24" w:after="24"/>
        <w:ind w:firstLine="480"/>
        <w:rPr>
          <w:color w:val="auto"/>
        </w:rPr>
      </w:pPr>
    </w:p>
    <w:p w14:paraId="6C4EFB08">
      <w:pPr>
        <w:pStyle w:val="8"/>
        <w:spacing w:before="24" w:after="24"/>
        <w:ind w:left="0" w:leftChars="0" w:firstLine="0" w:firstLineChars="0"/>
        <w:rPr>
          <w:color w:val="auto"/>
        </w:rPr>
      </w:pPr>
    </w:p>
    <w:p w14:paraId="443A6F83">
      <w:pPr>
        <w:pStyle w:val="8"/>
        <w:spacing w:before="24" w:after="24"/>
        <w:ind w:left="0" w:leftChars="0" w:firstLine="0" w:firstLineChars="0"/>
        <w:rPr>
          <w:color w:val="auto"/>
        </w:rPr>
      </w:pPr>
    </w:p>
    <w:p w14:paraId="1FEB75B7">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B861F00">
      <w:pPr>
        <w:spacing w:line="360" w:lineRule="auto"/>
        <w:ind w:firstLine="5760" w:firstLineChars="1800"/>
        <w:jc w:val="both"/>
        <w:rPr>
          <w:rFonts w:hint="eastAsia" w:ascii="Times New Roman" w:hAnsi="Times New Roman" w:eastAsia="黑体"/>
          <w:color w:val="auto"/>
          <w:sz w:val="32"/>
          <w:szCs w:val="32"/>
        </w:rPr>
      </w:pPr>
    </w:p>
    <w:p w14:paraId="314E275A">
      <w:pPr>
        <w:pStyle w:val="2"/>
        <w:rPr>
          <w:rFonts w:hint="eastAsia"/>
        </w:rPr>
      </w:pPr>
    </w:p>
    <w:p w14:paraId="4CD02118">
      <w:pPr>
        <w:spacing w:line="360" w:lineRule="auto"/>
        <w:jc w:val="both"/>
        <w:rPr>
          <w:rFonts w:hint="eastAsia" w:ascii="Times New Roman" w:hAnsi="Times New Roman" w:eastAsia="黑体"/>
          <w:color w:val="auto"/>
          <w:sz w:val="32"/>
          <w:szCs w:val="32"/>
        </w:rPr>
      </w:pPr>
    </w:p>
    <w:p w14:paraId="2A3B1D1E">
      <w:pPr>
        <w:spacing w:line="360" w:lineRule="auto"/>
        <w:jc w:val="center"/>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二</w:t>
      </w:r>
      <w:r>
        <w:rPr>
          <w:rFonts w:hint="eastAsia" w:ascii="Times New Roman" w:hAnsi="Times New Roman" w:eastAsia="黑体"/>
          <w:color w:val="auto"/>
          <w:sz w:val="32"/>
          <w:szCs w:val="32"/>
        </w:rPr>
        <w:t>月</w:t>
      </w:r>
      <w:r>
        <w:rPr>
          <w:rFonts w:hint="eastAsia" w:ascii="Times New Roman" w:hAnsi="Times New Roman" w:eastAsia="黑体"/>
          <w:color w:val="auto"/>
          <w:sz w:val="32"/>
          <w:szCs w:val="32"/>
          <w:lang w:val="en-US" w:eastAsia="zh-CN"/>
        </w:rPr>
        <w:t>二十四日</w:t>
      </w:r>
    </w:p>
    <w:p w14:paraId="264E9D47">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F103D2E">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陕西锌业有限公司</w:t>
      </w:r>
    </w:p>
    <w:p w14:paraId="1D72D7F6">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110kV供电线路建设辐射环境影响报告表</w:t>
      </w:r>
    </w:p>
    <w:p w14:paraId="27CC89CA">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询比采购文件</w:t>
      </w:r>
    </w:p>
    <w:p w14:paraId="6719DDC5">
      <w:pPr>
        <w:spacing w:line="360" w:lineRule="auto"/>
        <w:ind w:firstLine="640" w:firstLineChars="200"/>
        <w:jc w:val="left"/>
        <w:rPr>
          <w:rFonts w:hint="eastAsia" w:ascii="仿宋" w:hAnsi="仿宋" w:eastAsia="仿宋" w:cs="仿宋"/>
          <w:b w:val="0"/>
          <w:bCs/>
          <w:color w:val="auto"/>
          <w:sz w:val="32"/>
          <w:szCs w:val="32"/>
          <w:lang w:val="en-US" w:eastAsia="zh-CN"/>
        </w:rPr>
      </w:pPr>
      <w:r>
        <w:rPr>
          <w:rFonts w:hint="eastAsia" w:ascii="Times New Roman" w:hAnsi="Times New Roman" w:eastAsia="仿宋" w:cs="Times New Roman"/>
          <w:sz w:val="32"/>
          <w:szCs w:val="32"/>
          <w:lang w:val="en-US" w:eastAsia="zh-CN"/>
        </w:rPr>
        <w:t>根据国家关于建设项目环境保护的相关规定和《建设项目</w:t>
      </w:r>
      <w:r>
        <w:rPr>
          <w:rFonts w:hint="eastAsia" w:ascii="仿宋" w:hAnsi="仿宋" w:eastAsia="仿宋" w:cs="仿宋"/>
          <w:b w:val="0"/>
          <w:bCs/>
          <w:color w:val="auto"/>
          <w:sz w:val="32"/>
          <w:szCs w:val="32"/>
          <w:lang w:val="en-US" w:eastAsia="zh-CN"/>
        </w:rPr>
        <w:t>环境保护管理条例》等要求，陕西锌业有限公司110kV供电线路建设辐射环境影响报告表事项，拟通过询比方式确定技术服务单位，欢迎具有相应资质及能力的单位现参与询比采购，具体内容如下;</w:t>
      </w:r>
      <w:bookmarkStart w:id="0" w:name="_Toc4593"/>
      <w:bookmarkStart w:id="1" w:name="_Toc14440"/>
      <w:bookmarkStart w:id="2" w:name="_Toc33795775"/>
      <w:bookmarkStart w:id="3" w:name="_Toc20230"/>
    </w:p>
    <w:bookmarkEnd w:id="0"/>
    <w:bookmarkEnd w:id="1"/>
    <w:bookmarkEnd w:id="2"/>
    <w:bookmarkEnd w:id="3"/>
    <w:p w14:paraId="04E71775">
      <w:pPr>
        <w:pStyle w:val="15"/>
        <w:keepNext w:val="0"/>
        <w:keepLines w:val="0"/>
        <w:pageBreakBefore w:val="0"/>
        <w:numPr>
          <w:ilvl w:val="0"/>
          <w:numId w:val="0"/>
        </w:numPr>
        <w:shd w:val="clear" w:color="auto" w:fill="auto"/>
        <w:kinsoku/>
        <w:wordWrap/>
        <w:overflowPunct/>
        <w:topLinePunct w:val="0"/>
        <w:autoSpaceDE/>
        <w:autoSpaceDN/>
        <w:bidi w:val="0"/>
        <w:adjustRightInd/>
        <w:snapToGrid/>
        <w:spacing w:beforeLines="50" w:after="120" w:afterLines="50" w:line="520" w:lineRule="exact"/>
        <w:ind w:firstLine="647" w:firstLineChars="200"/>
        <w:textAlignment w:val="auto"/>
        <w:rPr>
          <w:rFonts w:hint="eastAsia" w:ascii="仿宋" w:hAnsi="仿宋" w:eastAsia="仿宋" w:cs="仿宋"/>
          <w:b/>
          <w:bCs/>
          <w:color w:val="auto"/>
          <w:spacing w:val="1"/>
          <w:sz w:val="32"/>
          <w:szCs w:val="32"/>
          <w:highlight w:val="none"/>
          <w:lang w:val="en-US" w:eastAsia="zh-CN"/>
        </w:rPr>
      </w:pPr>
      <w:r>
        <w:rPr>
          <w:rFonts w:hint="eastAsia" w:ascii="仿宋" w:hAnsi="仿宋" w:eastAsia="仿宋" w:cs="仿宋"/>
          <w:b/>
          <w:bCs/>
          <w:color w:val="auto"/>
          <w:spacing w:val="1"/>
          <w:sz w:val="32"/>
          <w:szCs w:val="32"/>
          <w:lang w:val="en-US" w:eastAsia="zh-CN" w:bidi="ar-SA"/>
        </w:rPr>
        <w:t>一、</w:t>
      </w:r>
      <w:r>
        <w:rPr>
          <w:rFonts w:hint="eastAsia" w:ascii="仿宋" w:hAnsi="仿宋" w:eastAsia="仿宋" w:cs="仿宋"/>
          <w:b/>
          <w:bCs/>
          <w:color w:val="auto"/>
          <w:spacing w:val="1"/>
          <w:sz w:val="32"/>
          <w:szCs w:val="32"/>
          <w:highlight w:val="none"/>
          <w:lang w:val="en-US" w:eastAsia="zh-CN"/>
        </w:rPr>
        <w:t>询比要求</w:t>
      </w:r>
    </w:p>
    <w:p w14:paraId="590128FF">
      <w:pPr>
        <w:pStyle w:val="15"/>
        <w:keepNext w:val="0"/>
        <w:keepLines w:val="0"/>
        <w:pageBreakBefore w:val="0"/>
        <w:numPr>
          <w:ilvl w:val="0"/>
          <w:numId w:val="0"/>
        </w:numPr>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（一）合规性要求</w:t>
      </w:r>
    </w:p>
    <w:p w14:paraId="23C07D5F">
      <w:pPr>
        <w:pStyle w:val="15"/>
        <w:keepNext w:val="0"/>
        <w:keepLines w:val="0"/>
        <w:pageBreakBefore w:val="0"/>
        <w:numPr>
          <w:ilvl w:val="0"/>
          <w:numId w:val="0"/>
        </w:numPr>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1、必须严格遵循《中华人民共和国环境影响评价法》《建设项目环境影响评价分类管理名录》等国家及项目所在地地方环保法规、政策及技术导则。</w:t>
      </w:r>
    </w:p>
    <w:p w14:paraId="6B044CC2">
      <w:pPr>
        <w:pStyle w:val="15"/>
        <w:keepNext w:val="0"/>
        <w:keepLines w:val="0"/>
        <w:pageBreakBefore w:val="0"/>
        <w:numPr>
          <w:ilvl w:val="0"/>
          <w:numId w:val="0"/>
        </w:numPr>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default"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2、报告编制单位需具备相应资质，</w:t>
      </w:r>
      <w:r>
        <w:rPr>
          <w:rFonts w:hint="eastAsia" w:ascii="仿宋" w:hAnsi="仿宋" w:eastAsia="仿宋" w:cs="仿宋"/>
          <w:b w:val="0"/>
          <w:bCs/>
          <w:color w:val="FF0000"/>
          <w:sz w:val="32"/>
          <w:szCs w:val="32"/>
          <w:lang w:val="en-US" w:eastAsia="zh-CN"/>
        </w:rPr>
        <w:t>至少提供3名环评工程师资质证书</w:t>
      </w:r>
      <w:r>
        <w:rPr>
          <w:rFonts w:hint="eastAsia" w:ascii="仿宋" w:hAnsi="仿宋" w:eastAsia="仿宋" w:cs="仿宋"/>
          <w:b w:val="0"/>
          <w:bCs/>
          <w:color w:val="auto"/>
          <w:sz w:val="32"/>
          <w:szCs w:val="32"/>
          <w:lang w:val="en-US" w:eastAsia="zh-CN"/>
        </w:rPr>
        <w:t>，且资质在有效期内，不提供，报价无效。</w:t>
      </w:r>
    </w:p>
    <w:p w14:paraId="26B342F4">
      <w:pPr>
        <w:pStyle w:val="15"/>
        <w:keepNext w:val="0"/>
        <w:keepLines w:val="0"/>
        <w:pageBreakBefore w:val="0"/>
        <w:numPr>
          <w:ilvl w:val="0"/>
          <w:numId w:val="0"/>
        </w:numPr>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3、报告内容需覆盖环评审批要求的全部要素，无重大遗漏，最终须能通过项目审批部门的技术评审和行政许可。</w:t>
      </w:r>
    </w:p>
    <w:p w14:paraId="70F28A55">
      <w:pPr>
        <w:pStyle w:val="15"/>
        <w:keepNext w:val="0"/>
        <w:keepLines w:val="0"/>
        <w:pageBreakBefore w:val="0"/>
        <w:numPr>
          <w:ilvl w:val="0"/>
          <w:numId w:val="0"/>
        </w:numPr>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default"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4、提供近3年无环境违法行政处罚证明，不提供，报价无效。</w:t>
      </w:r>
    </w:p>
    <w:p w14:paraId="18D52B1B">
      <w:pPr>
        <w:pStyle w:val="10"/>
        <w:keepNext w:val="0"/>
        <w:keepLines w:val="0"/>
        <w:widowControl/>
        <w:numPr>
          <w:ilvl w:val="0"/>
          <w:numId w:val="0"/>
        </w:numPr>
        <w:suppressLineNumbers w:val="0"/>
        <w:spacing w:before="0" w:beforeAutospacing="0" w:after="0" w:afterAutospacing="0" w:line="405" w:lineRule="atLeast"/>
        <w:ind w:left="0" w:leftChars="0" w:right="0" w:rightChars="0" w:firstLine="640" w:firstLineChars="200"/>
        <w:jc w:val="left"/>
        <w:rPr>
          <w:rFonts w:hint="eastAsia" w:ascii="仿宋" w:hAnsi="仿宋" w:eastAsia="仿宋" w:cs="仿宋"/>
          <w:b w:val="0"/>
          <w:bCs/>
          <w:color w:val="auto"/>
          <w:kern w:val="0"/>
          <w:sz w:val="32"/>
          <w:szCs w:val="32"/>
          <w:lang w:val="en-US" w:eastAsia="zh-CN" w:bidi="ar"/>
        </w:rPr>
      </w:pPr>
      <w:r>
        <w:rPr>
          <w:rFonts w:hint="eastAsia" w:ascii="仿宋" w:hAnsi="仿宋" w:eastAsia="仿宋" w:cs="仿宋"/>
          <w:b w:val="0"/>
          <w:bCs/>
          <w:color w:val="auto"/>
          <w:kern w:val="0"/>
          <w:sz w:val="32"/>
          <w:szCs w:val="32"/>
          <w:lang w:val="en-US" w:eastAsia="zh-CN" w:bidi="ar"/>
        </w:rPr>
        <w:t>（二）内容完整性要求</w:t>
      </w:r>
    </w:p>
    <w:p w14:paraId="6308C180">
      <w:pPr>
        <w:pStyle w:val="10"/>
        <w:keepNext w:val="0"/>
        <w:keepLines w:val="0"/>
        <w:widowControl/>
        <w:numPr>
          <w:ilvl w:val="0"/>
          <w:numId w:val="0"/>
        </w:numPr>
        <w:suppressLineNumbers w:val="0"/>
        <w:spacing w:before="0" w:beforeAutospacing="0" w:after="0" w:afterAutospacing="0" w:line="405" w:lineRule="atLeast"/>
        <w:ind w:left="0" w:leftChars="0" w:right="0" w:rightChars="0" w:firstLine="640" w:firstLineChars="200"/>
        <w:jc w:val="left"/>
        <w:rPr>
          <w:rFonts w:hint="eastAsia" w:ascii="仿宋" w:hAnsi="仿宋" w:eastAsia="仿宋" w:cs="仿宋"/>
          <w:b w:val="0"/>
          <w:bCs/>
          <w:color w:val="auto"/>
          <w:kern w:val="0"/>
          <w:sz w:val="32"/>
          <w:szCs w:val="32"/>
          <w:lang w:val="en-US" w:eastAsia="zh-CN" w:bidi="ar"/>
        </w:rPr>
      </w:pPr>
      <w:r>
        <w:rPr>
          <w:rFonts w:hint="eastAsia" w:ascii="仿宋" w:hAnsi="仿宋" w:eastAsia="仿宋" w:cs="仿宋"/>
          <w:b w:val="0"/>
          <w:bCs/>
          <w:color w:val="auto"/>
          <w:kern w:val="0"/>
          <w:sz w:val="32"/>
          <w:szCs w:val="32"/>
          <w:lang w:val="en-US" w:eastAsia="zh-CN" w:bidi="ar"/>
        </w:rPr>
        <w:tab/>
      </w:r>
      <w:r>
        <w:rPr>
          <w:rFonts w:hint="eastAsia" w:ascii="仿宋" w:hAnsi="仿宋" w:eastAsia="仿宋" w:cs="仿宋"/>
          <w:b w:val="0"/>
          <w:bCs/>
          <w:color w:val="auto"/>
          <w:kern w:val="0"/>
          <w:sz w:val="32"/>
          <w:szCs w:val="32"/>
          <w:lang w:val="en-US" w:eastAsia="zh-CN" w:bidi="ar"/>
        </w:rPr>
        <w:t>1、项目基础信息：明确项目名称、建设地点、建设内容、规模、总投资、占地面积、平面布置及项目选址合理性分析。</w:t>
      </w:r>
    </w:p>
    <w:p w14:paraId="216BAC36">
      <w:pPr>
        <w:pStyle w:val="10"/>
        <w:keepNext w:val="0"/>
        <w:keepLines w:val="0"/>
        <w:widowControl/>
        <w:numPr>
          <w:ilvl w:val="0"/>
          <w:numId w:val="0"/>
        </w:numPr>
        <w:suppressLineNumbers w:val="0"/>
        <w:spacing w:before="0" w:beforeAutospacing="0" w:after="0" w:afterAutospacing="0" w:line="405" w:lineRule="atLeast"/>
        <w:ind w:left="0" w:leftChars="0" w:right="0" w:rightChars="0" w:firstLine="640" w:firstLineChars="200"/>
        <w:jc w:val="left"/>
        <w:rPr>
          <w:rFonts w:hint="eastAsia" w:ascii="仿宋" w:hAnsi="仿宋" w:eastAsia="仿宋" w:cs="仿宋"/>
          <w:b w:val="0"/>
          <w:bCs/>
          <w:color w:val="auto"/>
          <w:kern w:val="0"/>
          <w:sz w:val="32"/>
          <w:szCs w:val="32"/>
          <w:lang w:val="en-US" w:eastAsia="zh-CN" w:bidi="ar"/>
        </w:rPr>
      </w:pPr>
      <w:r>
        <w:rPr>
          <w:rFonts w:hint="eastAsia" w:ascii="仿宋" w:hAnsi="仿宋" w:eastAsia="仿宋" w:cs="仿宋"/>
          <w:b w:val="0"/>
          <w:bCs/>
          <w:color w:val="auto"/>
          <w:kern w:val="0"/>
          <w:sz w:val="32"/>
          <w:szCs w:val="32"/>
          <w:lang w:val="en-US" w:eastAsia="zh-CN" w:bidi="ar"/>
        </w:rPr>
        <w:t>2、现状调查与评价：包括项目区域的自然环境、生态环境、环境空气、地表水、地下水、声环境、土壤等现状监测与评价。</w:t>
      </w:r>
    </w:p>
    <w:p w14:paraId="74358C4C">
      <w:pPr>
        <w:pStyle w:val="10"/>
        <w:keepNext w:val="0"/>
        <w:keepLines w:val="0"/>
        <w:widowControl/>
        <w:numPr>
          <w:ilvl w:val="0"/>
          <w:numId w:val="0"/>
        </w:numPr>
        <w:suppressLineNumbers w:val="0"/>
        <w:spacing w:before="0" w:beforeAutospacing="0" w:after="0" w:afterAutospacing="0" w:line="405" w:lineRule="atLeast"/>
        <w:ind w:left="0" w:leftChars="0" w:right="0" w:rightChars="0" w:firstLine="640" w:firstLineChars="200"/>
        <w:jc w:val="left"/>
        <w:rPr>
          <w:rFonts w:hint="eastAsia" w:ascii="仿宋" w:hAnsi="仿宋" w:eastAsia="仿宋" w:cs="仿宋"/>
          <w:b w:val="0"/>
          <w:bCs/>
          <w:color w:val="auto"/>
          <w:kern w:val="0"/>
          <w:sz w:val="32"/>
          <w:szCs w:val="32"/>
          <w:lang w:val="en-US" w:eastAsia="zh-CN" w:bidi="ar"/>
        </w:rPr>
      </w:pPr>
      <w:r>
        <w:rPr>
          <w:rFonts w:hint="eastAsia" w:ascii="仿宋" w:hAnsi="仿宋" w:eastAsia="仿宋" w:cs="仿宋"/>
          <w:b w:val="0"/>
          <w:bCs/>
          <w:color w:val="auto"/>
          <w:kern w:val="0"/>
          <w:sz w:val="32"/>
          <w:szCs w:val="32"/>
          <w:lang w:val="en-US" w:eastAsia="zh-CN" w:bidi="ar"/>
        </w:rPr>
        <w:t>3、工程分析：详细梳理项目工艺流程，识别主要污染源，核算污染物产生量、排放量及排放去向。</w:t>
      </w:r>
    </w:p>
    <w:p w14:paraId="7CD7F5B4">
      <w:pPr>
        <w:pStyle w:val="10"/>
        <w:keepNext w:val="0"/>
        <w:keepLines w:val="0"/>
        <w:widowControl/>
        <w:numPr>
          <w:ilvl w:val="0"/>
          <w:numId w:val="0"/>
        </w:numPr>
        <w:suppressLineNumbers w:val="0"/>
        <w:spacing w:before="0" w:beforeAutospacing="0" w:after="0" w:afterAutospacing="0" w:line="405" w:lineRule="atLeast"/>
        <w:ind w:left="0" w:leftChars="0" w:right="0" w:rightChars="0" w:firstLine="640" w:firstLineChars="200"/>
        <w:jc w:val="left"/>
        <w:rPr>
          <w:rFonts w:hint="default" w:ascii="仿宋" w:hAnsi="仿宋" w:eastAsia="仿宋" w:cs="仿宋"/>
          <w:b w:val="0"/>
          <w:bCs/>
          <w:color w:val="auto"/>
          <w:kern w:val="0"/>
          <w:sz w:val="32"/>
          <w:szCs w:val="32"/>
          <w:lang w:val="en-US" w:eastAsia="zh-CN" w:bidi="ar"/>
        </w:rPr>
      </w:pPr>
      <w:r>
        <w:rPr>
          <w:rFonts w:hint="eastAsia" w:ascii="仿宋" w:hAnsi="仿宋" w:eastAsia="仿宋" w:cs="仿宋"/>
          <w:b w:val="0"/>
          <w:bCs/>
          <w:color w:val="auto"/>
          <w:kern w:val="0"/>
          <w:sz w:val="32"/>
          <w:szCs w:val="32"/>
          <w:lang w:val="en-US" w:eastAsia="zh-CN" w:bidi="ar"/>
        </w:rPr>
        <w:t>4、</w:t>
      </w:r>
      <w:r>
        <w:rPr>
          <w:rFonts w:hint="default" w:ascii="仿宋" w:hAnsi="仿宋" w:eastAsia="仿宋" w:cs="仿宋"/>
          <w:b w:val="0"/>
          <w:bCs/>
          <w:color w:val="auto"/>
          <w:kern w:val="0"/>
          <w:sz w:val="32"/>
          <w:szCs w:val="32"/>
          <w:lang w:val="en-US" w:eastAsia="zh-CN" w:bidi="ar"/>
        </w:rPr>
        <w:t>环境影响预测与评价：针对各环境要素，预测项目建设和运营期可能造成的影响程度及范围，并进行科学评价。</w:t>
      </w:r>
    </w:p>
    <w:p w14:paraId="113B8B2E">
      <w:pPr>
        <w:pStyle w:val="10"/>
        <w:keepNext w:val="0"/>
        <w:keepLines w:val="0"/>
        <w:widowControl/>
        <w:numPr>
          <w:ilvl w:val="0"/>
          <w:numId w:val="0"/>
        </w:numPr>
        <w:suppressLineNumbers w:val="0"/>
        <w:spacing w:before="0" w:beforeAutospacing="0" w:after="0" w:afterAutospacing="0" w:line="405" w:lineRule="atLeast"/>
        <w:ind w:left="0" w:leftChars="0" w:right="0" w:rightChars="0" w:firstLine="640" w:firstLineChars="200"/>
        <w:jc w:val="left"/>
        <w:rPr>
          <w:rFonts w:hint="eastAsia" w:ascii="仿宋" w:hAnsi="仿宋" w:eastAsia="仿宋" w:cs="仿宋"/>
          <w:b w:val="0"/>
          <w:bCs/>
          <w:color w:val="auto"/>
          <w:kern w:val="0"/>
          <w:sz w:val="32"/>
          <w:szCs w:val="32"/>
          <w:lang w:val="en-US" w:eastAsia="zh-CN" w:bidi="ar"/>
        </w:rPr>
      </w:pPr>
      <w:r>
        <w:rPr>
          <w:rFonts w:hint="eastAsia" w:ascii="仿宋" w:hAnsi="仿宋" w:eastAsia="仿宋" w:cs="仿宋"/>
          <w:b w:val="0"/>
          <w:bCs/>
          <w:color w:val="auto"/>
          <w:kern w:val="0"/>
          <w:sz w:val="32"/>
          <w:szCs w:val="32"/>
          <w:lang w:val="en-US" w:eastAsia="zh-CN" w:bidi="ar"/>
        </w:rPr>
        <w:t>5、污染防治措施：提出具体、可行、经济合理的污染治理及生态保护、风险防控措施，明确措施的技术参数、投资及预期效果。</w:t>
      </w:r>
    </w:p>
    <w:p w14:paraId="7239E546">
      <w:pPr>
        <w:pStyle w:val="10"/>
        <w:keepNext w:val="0"/>
        <w:keepLines w:val="0"/>
        <w:widowControl/>
        <w:numPr>
          <w:ilvl w:val="0"/>
          <w:numId w:val="0"/>
        </w:numPr>
        <w:suppressLineNumbers w:val="0"/>
        <w:spacing w:before="0" w:beforeAutospacing="0" w:after="0" w:afterAutospacing="0" w:line="405" w:lineRule="atLeast"/>
        <w:ind w:left="0" w:leftChars="0" w:right="0" w:rightChars="0" w:firstLine="640" w:firstLineChars="200"/>
        <w:jc w:val="left"/>
        <w:rPr>
          <w:rFonts w:hint="default" w:ascii="仿宋" w:hAnsi="仿宋" w:eastAsia="仿宋" w:cs="仿宋"/>
          <w:b w:val="0"/>
          <w:bCs/>
          <w:color w:val="auto"/>
          <w:kern w:val="0"/>
          <w:sz w:val="32"/>
          <w:szCs w:val="32"/>
          <w:lang w:val="en-US" w:eastAsia="zh-CN" w:bidi="ar"/>
        </w:rPr>
      </w:pPr>
      <w:r>
        <w:rPr>
          <w:rFonts w:hint="default" w:ascii="仿宋" w:hAnsi="仿宋" w:eastAsia="仿宋" w:cs="仿宋"/>
          <w:b w:val="0"/>
          <w:bCs/>
          <w:color w:val="auto"/>
          <w:kern w:val="0"/>
          <w:sz w:val="32"/>
          <w:szCs w:val="32"/>
          <w:lang w:val="en-US" w:eastAsia="zh-CN" w:bidi="ar"/>
        </w:rPr>
        <w:t>6</w:t>
      </w:r>
      <w:r>
        <w:rPr>
          <w:rFonts w:hint="eastAsia" w:ascii="仿宋" w:hAnsi="仿宋" w:eastAsia="仿宋" w:cs="仿宋"/>
          <w:b w:val="0"/>
          <w:bCs/>
          <w:color w:val="auto"/>
          <w:kern w:val="0"/>
          <w:sz w:val="32"/>
          <w:szCs w:val="32"/>
          <w:lang w:val="en-US" w:eastAsia="zh-CN" w:bidi="ar"/>
        </w:rPr>
        <w:t>、</w:t>
      </w:r>
      <w:r>
        <w:rPr>
          <w:rFonts w:hint="default" w:ascii="仿宋" w:hAnsi="仿宋" w:eastAsia="仿宋" w:cs="仿宋"/>
          <w:b w:val="0"/>
          <w:bCs/>
          <w:color w:val="auto"/>
          <w:kern w:val="0"/>
          <w:sz w:val="32"/>
          <w:szCs w:val="32"/>
          <w:lang w:val="en-US" w:eastAsia="zh-CN" w:bidi="ar"/>
        </w:rPr>
        <w:t>环境监测与管理计划：制定项目运营期环境监测方案及环保管理制度。</w:t>
      </w:r>
    </w:p>
    <w:p w14:paraId="2C18886B">
      <w:pPr>
        <w:pStyle w:val="10"/>
        <w:keepNext w:val="0"/>
        <w:keepLines w:val="0"/>
        <w:widowControl/>
        <w:numPr>
          <w:ilvl w:val="0"/>
          <w:numId w:val="0"/>
        </w:numPr>
        <w:suppressLineNumbers w:val="0"/>
        <w:spacing w:before="0" w:beforeAutospacing="0" w:after="0" w:afterAutospacing="0" w:line="405" w:lineRule="atLeast"/>
        <w:ind w:left="0" w:leftChars="0" w:right="0" w:rightChars="0" w:firstLine="640" w:firstLineChars="200"/>
        <w:jc w:val="left"/>
        <w:rPr>
          <w:rFonts w:hint="eastAsia" w:ascii="仿宋" w:hAnsi="仿宋" w:eastAsia="仿宋" w:cs="仿宋"/>
          <w:b w:val="0"/>
          <w:bCs/>
          <w:color w:val="auto"/>
          <w:kern w:val="0"/>
          <w:sz w:val="32"/>
          <w:szCs w:val="32"/>
          <w:lang w:val="en-US" w:eastAsia="zh-CN" w:bidi="ar"/>
        </w:rPr>
      </w:pPr>
      <w:r>
        <w:rPr>
          <w:rFonts w:hint="eastAsia" w:ascii="仿宋" w:hAnsi="仿宋" w:eastAsia="仿宋" w:cs="仿宋"/>
          <w:b w:val="0"/>
          <w:bCs/>
          <w:color w:val="auto"/>
          <w:kern w:val="0"/>
          <w:sz w:val="32"/>
          <w:szCs w:val="32"/>
          <w:lang w:val="en-US" w:eastAsia="zh-CN" w:bidi="ar"/>
        </w:rPr>
        <w:t>7、结论与建议：明确项目建设的环境可行性，提出针对性的环保建议。</w:t>
      </w:r>
    </w:p>
    <w:p w14:paraId="33B52176">
      <w:pPr>
        <w:pStyle w:val="10"/>
        <w:keepNext w:val="0"/>
        <w:keepLines w:val="0"/>
        <w:widowControl/>
        <w:numPr>
          <w:ilvl w:val="0"/>
          <w:numId w:val="0"/>
        </w:numPr>
        <w:suppressLineNumbers w:val="0"/>
        <w:spacing w:before="0" w:beforeAutospacing="0" w:after="0" w:afterAutospacing="0" w:line="405" w:lineRule="atLeast"/>
        <w:ind w:left="0" w:leftChars="0" w:right="0" w:rightChars="0" w:firstLine="640" w:firstLineChars="200"/>
        <w:jc w:val="left"/>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（三）技术与质量要求</w:t>
      </w:r>
    </w:p>
    <w:p w14:paraId="370FCEDF">
      <w:pPr>
        <w:pStyle w:val="10"/>
        <w:keepNext w:val="0"/>
        <w:keepLines w:val="0"/>
        <w:widowControl/>
        <w:numPr>
          <w:ilvl w:val="0"/>
          <w:numId w:val="0"/>
        </w:numPr>
        <w:suppressLineNumbers w:val="0"/>
        <w:spacing w:before="0" w:beforeAutospacing="0" w:after="0" w:afterAutospacing="0" w:line="405" w:lineRule="atLeast"/>
        <w:ind w:left="0" w:leftChars="0" w:right="0" w:rightChars="0" w:firstLine="640" w:firstLineChars="200"/>
        <w:jc w:val="left"/>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val="en-US" w:eastAsia="zh-CN"/>
        </w:rPr>
        <w:tab/>
      </w:r>
      <w:r>
        <w:rPr>
          <w:rFonts w:hint="eastAsia" w:ascii="仿宋" w:hAnsi="仿宋" w:eastAsia="仿宋" w:cs="仿宋"/>
          <w:b w:val="0"/>
          <w:bCs/>
          <w:color w:val="auto"/>
          <w:sz w:val="32"/>
          <w:szCs w:val="32"/>
          <w:lang w:val="en-US" w:eastAsia="zh-CN"/>
        </w:rPr>
        <w:t>、现状监测数据需由具备CMA资质的第三方监测机构出具，数据真实、有效、代表性强。</w:t>
      </w:r>
    </w:p>
    <w:p w14:paraId="3E248D24">
      <w:pPr>
        <w:pStyle w:val="10"/>
        <w:keepNext w:val="0"/>
        <w:keepLines w:val="0"/>
        <w:widowControl/>
        <w:numPr>
          <w:ilvl w:val="0"/>
          <w:numId w:val="0"/>
        </w:numPr>
        <w:suppressLineNumbers w:val="0"/>
        <w:spacing w:before="0" w:beforeAutospacing="0" w:after="0" w:afterAutospacing="0" w:line="405" w:lineRule="atLeast"/>
        <w:ind w:left="0" w:leftChars="0" w:right="0" w:rightChars="0" w:firstLine="640" w:firstLineChars="200"/>
        <w:jc w:val="left"/>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2、环境影响预测模型、参数选取需科学合理，符合相关技术导则要求，预测结果可信。</w:t>
      </w:r>
    </w:p>
    <w:p w14:paraId="05E55F4B">
      <w:pPr>
        <w:pStyle w:val="10"/>
        <w:keepNext w:val="0"/>
        <w:keepLines w:val="0"/>
        <w:widowControl/>
        <w:numPr>
          <w:ilvl w:val="0"/>
          <w:numId w:val="0"/>
        </w:numPr>
        <w:suppressLineNumbers w:val="0"/>
        <w:spacing w:before="0" w:beforeAutospacing="0" w:after="0" w:afterAutospacing="0" w:line="405" w:lineRule="atLeast"/>
        <w:ind w:left="0" w:leftChars="0" w:right="0" w:rightChars="0" w:firstLine="640" w:firstLineChars="200"/>
        <w:jc w:val="left"/>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3、污染防治措施需具有针对性和可操作性，优先采用清洁生产技术和成熟可靠的治理工艺，确保污染物达标排放。</w:t>
      </w:r>
    </w:p>
    <w:p w14:paraId="35F6E536">
      <w:pPr>
        <w:pStyle w:val="10"/>
        <w:keepNext w:val="0"/>
        <w:keepLines w:val="0"/>
        <w:widowControl/>
        <w:numPr>
          <w:ilvl w:val="0"/>
          <w:numId w:val="0"/>
        </w:numPr>
        <w:suppressLineNumbers w:val="0"/>
        <w:spacing w:before="0" w:beforeAutospacing="0" w:after="0" w:afterAutospacing="0" w:line="405" w:lineRule="atLeast"/>
        <w:ind w:left="0" w:leftChars="0" w:right="0" w:rightChars="0" w:firstLine="640" w:firstLineChars="200"/>
        <w:jc w:val="left"/>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4、报告文本格式规范、逻辑清晰、文字通顺，附图（如项目地理位置图、监测点位图、总平面图）、附件（如监测报告、资质文件）齐全。</w:t>
      </w:r>
    </w:p>
    <w:p w14:paraId="129FB68D">
      <w:pPr>
        <w:pStyle w:val="5"/>
        <w:numPr>
          <w:ilvl w:val="0"/>
          <w:numId w:val="0"/>
        </w:numPr>
        <w:kinsoku/>
        <w:wordWrap/>
        <w:overflowPunct/>
        <w:topLinePunct w:val="0"/>
        <w:autoSpaceDE/>
        <w:autoSpaceDN/>
        <w:bidi w:val="0"/>
        <w:snapToGrid/>
        <w:spacing w:before="0" w:after="0" w:line="520" w:lineRule="exact"/>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（四）服务与时间要求</w:t>
      </w:r>
    </w:p>
    <w:p w14:paraId="719B7820">
      <w:pPr>
        <w:rPr>
          <w:rFonts w:hint="eastAsia" w:ascii="仿宋" w:hAnsi="仿宋" w:eastAsia="仿宋" w:cs="仿宋"/>
          <w:b w:val="0"/>
          <w:bCs/>
          <w:color w:val="auto"/>
          <w:kern w:val="2"/>
          <w:sz w:val="32"/>
          <w:szCs w:val="32"/>
          <w:lang w:val="en-US" w:eastAsia="zh-CN" w:bidi="ar-SA"/>
        </w:rPr>
      </w:pPr>
      <w:r>
        <w:rPr>
          <w:rFonts w:hint="eastAsia"/>
          <w:lang w:val="en-US" w:eastAsia="zh-CN"/>
        </w:rPr>
        <w:t xml:space="preserve">  </w:t>
      </w:r>
      <w:r>
        <w:rPr>
          <w:rFonts w:hint="eastAsia" w:ascii="仿宋" w:hAnsi="仿宋" w:eastAsia="仿宋" w:cs="仿宋"/>
          <w:b w:val="0"/>
          <w:bCs/>
          <w:color w:val="auto"/>
          <w:kern w:val="0"/>
          <w:sz w:val="32"/>
          <w:szCs w:val="32"/>
          <w:lang w:val="en-US" w:eastAsia="zh-CN" w:bidi="ar"/>
        </w:rPr>
        <w:t xml:space="preserve">   1、</w:t>
      </w:r>
      <w:r>
        <w:rPr>
          <w:rFonts w:hint="eastAsia" w:ascii="仿宋" w:hAnsi="仿宋" w:eastAsia="仿宋" w:cs="仿宋"/>
          <w:b w:val="0"/>
          <w:bCs/>
          <w:color w:val="auto"/>
          <w:kern w:val="2"/>
          <w:sz w:val="32"/>
          <w:szCs w:val="32"/>
          <w:lang w:val="en-US" w:eastAsia="zh-CN" w:bidi="ar-SA"/>
        </w:rPr>
        <w:t>编制单位需组建专业团队，指定项目负责人，并提供全程技术咨询服务。</w:t>
      </w:r>
    </w:p>
    <w:p w14:paraId="1E6D5C6A">
      <w:pPr>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ab/>
      </w:r>
      <w:r>
        <w:rPr>
          <w:rFonts w:hint="eastAsia" w:ascii="仿宋" w:hAnsi="仿宋" w:eastAsia="仿宋" w:cs="仿宋"/>
          <w:b w:val="0"/>
          <w:bCs/>
          <w:color w:val="auto"/>
          <w:kern w:val="2"/>
          <w:sz w:val="32"/>
          <w:szCs w:val="32"/>
          <w:lang w:val="en-US" w:eastAsia="zh-CN" w:bidi="ar-SA"/>
        </w:rPr>
        <w:t xml:space="preserve"> 2、明确报告提交时间节点，包括初稿、评审稿、终稿的交付期限，确保不影响项目整体进度。</w:t>
      </w:r>
    </w:p>
    <w:p w14:paraId="4B3AD570">
      <w:pPr>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ab/>
      </w:r>
      <w:r>
        <w:rPr>
          <w:rFonts w:hint="eastAsia" w:ascii="仿宋" w:hAnsi="仿宋" w:eastAsia="仿宋" w:cs="仿宋"/>
          <w:b w:val="0"/>
          <w:bCs/>
          <w:color w:val="auto"/>
          <w:kern w:val="2"/>
          <w:sz w:val="32"/>
          <w:szCs w:val="32"/>
          <w:lang w:val="en-US" w:eastAsia="zh-CN" w:bidi="ar-SA"/>
        </w:rPr>
        <w:t xml:space="preserve"> 3、承诺在报告评审后，按评审意见及时修改完善，直至通过审批。</w:t>
      </w:r>
    </w:p>
    <w:p w14:paraId="1D5A81B0">
      <w:pPr>
        <w:pStyle w:val="5"/>
        <w:numPr>
          <w:ilvl w:val="0"/>
          <w:numId w:val="0"/>
        </w:numPr>
        <w:kinsoku/>
        <w:wordWrap/>
        <w:overflowPunct/>
        <w:topLinePunct w:val="0"/>
        <w:autoSpaceDE/>
        <w:autoSpaceDN/>
        <w:bidi w:val="0"/>
        <w:snapToGrid/>
        <w:spacing w:before="0" w:after="0" w:line="520" w:lineRule="exact"/>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（五）项目预算</w:t>
      </w:r>
    </w:p>
    <w:p w14:paraId="686607C1">
      <w:pPr>
        <w:ind w:firstLine="640" w:firstLineChars="200"/>
        <w:rPr>
          <w:rFonts w:hint="default"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1、</w:t>
      </w:r>
      <w:r>
        <w:rPr>
          <w:rFonts w:hint="eastAsia" w:ascii="Times New Roman" w:hAnsi="Times New Roman" w:eastAsia="仿宋" w:cs="Times New Roman"/>
          <w:sz w:val="32"/>
          <w:szCs w:val="32"/>
          <w:lang w:val="en-US" w:eastAsia="zh-CN"/>
        </w:rPr>
        <w:t>该项目</w:t>
      </w:r>
      <w:r>
        <w:rPr>
          <w:rFonts w:hint="eastAsia" w:ascii="仿宋" w:hAnsi="仿宋" w:eastAsia="仿宋" w:cs="仿宋"/>
          <w:b w:val="0"/>
          <w:bCs/>
          <w:color w:val="auto"/>
          <w:kern w:val="2"/>
          <w:sz w:val="32"/>
          <w:szCs w:val="32"/>
          <w:lang w:val="en-US" w:eastAsia="zh-CN" w:bidi="ar-SA"/>
        </w:rPr>
        <w:t>总价：不超过10万元。</w:t>
      </w:r>
    </w:p>
    <w:p w14:paraId="565A6A5F">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3" w:firstLineChars="200"/>
        <w:textAlignment w:val="auto"/>
        <w:rPr>
          <w:rFonts w:hint="eastAsia" w:ascii="仿宋" w:hAnsi="仿宋" w:eastAsia="仿宋" w:cs="仿宋"/>
          <w:b/>
          <w:bCs/>
          <w:color w:val="auto"/>
          <w:spacing w:val="1"/>
          <w:sz w:val="32"/>
          <w:szCs w:val="32"/>
          <w:highlight w:val="none"/>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pacing w:val="1"/>
          <w:sz w:val="32"/>
          <w:szCs w:val="32"/>
          <w:highlight w:val="none"/>
          <w:lang w:eastAsia="zh-CN"/>
        </w:rPr>
        <w:t>询比采购文件的获取</w:t>
      </w:r>
    </w:p>
    <w:p w14:paraId="6524A5D0">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4" w:firstLineChars="200"/>
        <w:textAlignment w:val="auto"/>
        <w:rPr>
          <w:rFonts w:hint="eastAsia" w:ascii="仿宋" w:hAnsi="仿宋" w:eastAsia="仿宋" w:cs="仿宋"/>
          <w:color w:val="auto"/>
          <w:spacing w:val="1"/>
          <w:sz w:val="32"/>
          <w:szCs w:val="32"/>
          <w:highlight w:val="none"/>
          <w:lang w:val="en-US" w:eastAsia="zh-CN"/>
        </w:rPr>
      </w:pPr>
      <w:r>
        <w:rPr>
          <w:rFonts w:hint="eastAsia" w:ascii="仿宋" w:hAnsi="仿宋" w:eastAsia="仿宋" w:cs="仿宋"/>
          <w:color w:val="auto"/>
          <w:spacing w:val="1"/>
          <w:sz w:val="32"/>
          <w:szCs w:val="32"/>
          <w:highlight w:val="none"/>
          <w:lang w:val="en-US" w:eastAsia="zh-CN"/>
        </w:rPr>
        <w:t>询比采购文件已在陕西锌业有限公司网络询比采购平台（www.sxxyjjpt.com）发布，符合条件的供应商可自行下载采购文件。</w:t>
      </w:r>
    </w:p>
    <w:p w14:paraId="78C02CE7">
      <w:pPr>
        <w:pStyle w:val="6"/>
        <w:kinsoku/>
        <w:wordWrap/>
        <w:overflowPunct/>
        <w:topLinePunct w:val="0"/>
        <w:autoSpaceDE/>
        <w:autoSpaceDN/>
        <w:bidi w:val="0"/>
        <w:snapToGrid/>
        <w:spacing w:before="0" w:after="0" w:line="520" w:lineRule="exact"/>
        <w:ind w:left="0" w:leftChars="0" w:firstLine="643" w:firstLineChars="2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22E2F981">
      <w:pPr>
        <w:rPr>
          <w:rFonts w:hint="default"/>
          <w:lang w:val="en-US"/>
        </w:rPr>
      </w:pPr>
      <w:r>
        <w:rPr>
          <w:rFonts w:hint="eastAsia" w:ascii="仿宋" w:hAnsi="仿宋" w:eastAsia="仿宋" w:cs="仿宋"/>
          <w:b/>
          <w:bCs/>
          <w:color w:val="auto"/>
          <w:sz w:val="32"/>
          <w:szCs w:val="32"/>
          <w:lang w:val="en-US" w:eastAsia="zh-CN"/>
        </w:rPr>
        <w:t xml:space="preserve">   </w:t>
      </w:r>
      <w:r>
        <w:rPr>
          <w:rFonts w:hint="eastAsia" w:ascii="仿宋" w:hAnsi="仿宋" w:eastAsia="仿宋" w:cs="仿宋"/>
          <w:b w:val="0"/>
          <w:bCs w:val="0"/>
          <w:color w:val="auto"/>
          <w:sz w:val="32"/>
          <w:szCs w:val="32"/>
          <w:lang w:val="en-US" w:eastAsia="zh-CN"/>
        </w:rPr>
        <w:t>（一）响应报价</w:t>
      </w:r>
    </w:p>
    <w:p w14:paraId="4AA5AB2D">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响应文件的</w:t>
      </w:r>
      <w:r>
        <w:rPr>
          <w:rFonts w:hint="eastAsia" w:ascii="仿宋" w:hAnsi="仿宋" w:eastAsia="仿宋" w:cs="仿宋"/>
          <w:color w:val="auto"/>
          <w:sz w:val="32"/>
          <w:szCs w:val="32"/>
          <w:lang w:val="en-US" w:eastAsia="zh-CN"/>
        </w:rPr>
        <w:t>开启</w:t>
      </w:r>
      <w:r>
        <w:rPr>
          <w:rFonts w:hint="eastAsia" w:ascii="仿宋" w:hAnsi="仿宋" w:eastAsia="仿宋" w:cs="仿宋"/>
          <w:color w:val="auto"/>
          <w:sz w:val="32"/>
          <w:szCs w:val="32"/>
        </w:rPr>
        <w:t>一览表。</w:t>
      </w:r>
    </w:p>
    <w:p w14:paraId="58697B27">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前修改</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总额</w:t>
      </w:r>
      <w:bookmarkStart w:id="4" w:name="_Toc361508599"/>
      <w:bookmarkStart w:id="5" w:name="_Toc247527568"/>
      <w:bookmarkStart w:id="6" w:name="_Toc152045543"/>
      <w:bookmarkStart w:id="7" w:name="_Toc144974511"/>
      <w:bookmarkStart w:id="8" w:name="_Toc15242"/>
      <w:bookmarkStart w:id="9" w:name="_Toc384308224"/>
      <w:bookmarkStart w:id="10" w:name="_Toc152042319"/>
      <w:bookmarkStart w:id="11" w:name="_Toc247513967"/>
      <w:bookmarkStart w:id="12" w:name="_Toc300834964"/>
      <w:bookmarkStart w:id="13" w:name="_Toc352691487"/>
      <w:bookmarkStart w:id="14" w:name="_Toc369531530"/>
      <w:r>
        <w:rPr>
          <w:rFonts w:hint="eastAsia" w:ascii="仿宋" w:hAnsi="仿宋" w:eastAsia="仿宋" w:cs="仿宋"/>
          <w:color w:val="auto"/>
          <w:sz w:val="32"/>
          <w:szCs w:val="32"/>
        </w:rPr>
        <w:t>。</w:t>
      </w:r>
      <w:bookmarkEnd w:id="4"/>
      <w:bookmarkEnd w:id="5"/>
      <w:bookmarkEnd w:id="6"/>
      <w:bookmarkEnd w:id="7"/>
      <w:bookmarkEnd w:id="8"/>
      <w:bookmarkEnd w:id="9"/>
      <w:bookmarkEnd w:id="10"/>
      <w:bookmarkEnd w:id="11"/>
      <w:bookmarkEnd w:id="12"/>
      <w:bookmarkEnd w:id="13"/>
      <w:bookmarkEnd w:id="14"/>
      <w:r>
        <w:rPr>
          <w:rFonts w:hint="eastAsia" w:ascii="仿宋" w:hAnsi="仿宋" w:eastAsia="仿宋" w:cs="仿宋"/>
          <w:color w:val="auto"/>
          <w:sz w:val="32"/>
          <w:szCs w:val="32"/>
        </w:rPr>
        <w:t>应同时修</w:t>
      </w:r>
      <w:bookmarkStart w:id="15" w:name="_Toc144974510"/>
      <w:bookmarkStart w:id="16" w:name="_Toc25772"/>
      <w:bookmarkStart w:id="17" w:name="_Toc384308223"/>
      <w:bookmarkStart w:id="18" w:name="_Toc152042318"/>
      <w:bookmarkStart w:id="19" w:name="_Toc352691486"/>
      <w:bookmarkStart w:id="20" w:name="_Toc361508598"/>
      <w:bookmarkStart w:id="21" w:name="_Toc300834963"/>
      <w:bookmarkStart w:id="22" w:name="_Toc152045542"/>
      <w:bookmarkStart w:id="23" w:name="_Toc369531529"/>
      <w:bookmarkStart w:id="24" w:name="_Toc247513966"/>
      <w:bookmarkStart w:id="25" w:name="_Toc247527567"/>
      <w:r>
        <w:rPr>
          <w:rFonts w:hint="eastAsia" w:ascii="仿宋" w:hAnsi="仿宋" w:eastAsia="仿宋" w:cs="仿宋"/>
          <w:color w:val="auto"/>
          <w:sz w:val="32"/>
          <w:szCs w:val="32"/>
        </w:rPr>
        <w:t>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一览表”、</w:t>
      </w:r>
      <w:bookmarkEnd w:id="15"/>
      <w:bookmarkEnd w:id="16"/>
      <w:bookmarkEnd w:id="17"/>
      <w:bookmarkEnd w:id="18"/>
      <w:bookmarkEnd w:id="19"/>
      <w:bookmarkEnd w:id="20"/>
      <w:bookmarkEnd w:id="21"/>
      <w:bookmarkEnd w:id="22"/>
      <w:bookmarkEnd w:id="23"/>
      <w:bookmarkEnd w:id="24"/>
      <w:bookmarkEnd w:id="25"/>
      <w:r>
        <w:rPr>
          <w:rFonts w:hint="eastAsia" w:ascii="仿宋" w:hAnsi="仿宋" w:eastAsia="仿宋" w:cs="仿宋"/>
          <w:color w:val="auto"/>
          <w:sz w:val="32"/>
          <w:szCs w:val="32"/>
        </w:rPr>
        <w:t>“分项报价表”中的相应报价。</w:t>
      </w:r>
    </w:p>
    <w:p w14:paraId="0CE761F0">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w:t>
      </w:r>
    </w:p>
    <w:p w14:paraId="30233E76">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成交供应商</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是</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、签订合同及合同执行过程中的依据，不得进行实质性变动。</w:t>
      </w:r>
    </w:p>
    <w:p w14:paraId="07A43BAE">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（二）响应文件要求</w:t>
      </w:r>
    </w:p>
    <w:p w14:paraId="3B276A9B">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营业执照副本复印件</w:t>
      </w:r>
    </w:p>
    <w:p w14:paraId="7A641CF3">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有效的资质证书复印件</w:t>
      </w:r>
    </w:p>
    <w:p w14:paraId="77B3E827">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授权委托书</w:t>
      </w:r>
    </w:p>
    <w:p w14:paraId="5520E539">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授权委托人身份证复印件</w:t>
      </w:r>
    </w:p>
    <w:p w14:paraId="24F284F6">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报价单</w:t>
      </w:r>
    </w:p>
    <w:p w14:paraId="7AC0D838">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报价说明</w:t>
      </w:r>
    </w:p>
    <w:p w14:paraId="58E81CFE">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服务承诺</w:t>
      </w:r>
    </w:p>
    <w:p w14:paraId="10A6489D">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工作业绩</w:t>
      </w:r>
    </w:p>
    <w:p w14:paraId="299FB799">
      <w:pPr>
        <w:kinsoku/>
        <w:wordWrap/>
        <w:overflowPunct/>
        <w:topLinePunct w:val="0"/>
        <w:autoSpaceDE/>
        <w:autoSpaceDN/>
        <w:bidi w:val="0"/>
        <w:snapToGrid/>
        <w:spacing w:line="52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9、报价方认为需要提供的其他文件</w:t>
      </w:r>
    </w:p>
    <w:p w14:paraId="52C41808">
      <w:pPr>
        <w:pStyle w:val="6"/>
        <w:kinsoku/>
        <w:wordWrap/>
        <w:overflowPunct/>
        <w:topLinePunct w:val="0"/>
        <w:autoSpaceDE/>
        <w:autoSpaceDN/>
        <w:bidi w:val="0"/>
        <w:snapToGrid/>
        <w:spacing w:before="0" w:after="0" w:line="52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）响应有效期</w:t>
      </w:r>
    </w:p>
    <w:p w14:paraId="7090AE38">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从提交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截止之日起算</w:t>
      </w:r>
      <w:r>
        <w:rPr>
          <w:rFonts w:hint="eastAsia" w:ascii="仿宋" w:hAnsi="仿宋" w:eastAsia="仿宋" w:cs="仿宋"/>
          <w:color w:val="auto"/>
          <w:sz w:val="32"/>
          <w:szCs w:val="32"/>
          <w:lang w:val="en-US" w:eastAsia="zh-CN"/>
        </w:rPr>
        <w:t>60</w:t>
      </w:r>
      <w:r>
        <w:rPr>
          <w:rFonts w:hint="eastAsia" w:ascii="仿宋" w:hAnsi="仿宋" w:eastAsia="仿宋" w:cs="仿宋"/>
          <w:color w:val="auto"/>
          <w:sz w:val="32"/>
          <w:szCs w:val="32"/>
        </w:rPr>
        <w:t>天。</w:t>
      </w:r>
    </w:p>
    <w:p w14:paraId="730B2D52">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07499412">
      <w:pPr>
        <w:pStyle w:val="6"/>
        <w:kinsoku/>
        <w:wordWrap/>
        <w:overflowPunct/>
        <w:topLinePunct w:val="0"/>
        <w:autoSpaceDE/>
        <w:autoSpaceDN/>
        <w:bidi w:val="0"/>
        <w:snapToGrid/>
        <w:spacing w:before="0" w:after="0" w:line="520" w:lineRule="exact"/>
        <w:ind w:left="0" w:firstLine="320" w:firstLineChars="100"/>
        <w:jc w:val="both"/>
        <w:rPr>
          <w:rFonts w:hint="eastAsia" w:ascii="仿宋" w:hAnsi="仿宋" w:eastAsia="仿宋" w:cs="仿宋"/>
          <w:color w:val="auto"/>
          <w:sz w:val="32"/>
          <w:szCs w:val="32"/>
        </w:rPr>
      </w:pPr>
      <w:bookmarkStart w:id="26" w:name="_Toc24514"/>
      <w:bookmarkStart w:id="27" w:name="_Toc33795794"/>
      <w:bookmarkStart w:id="28" w:name="_Toc28216"/>
      <w:bookmarkStart w:id="29"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26"/>
      <w:bookmarkEnd w:id="27"/>
      <w:bookmarkEnd w:id="28"/>
      <w:bookmarkEnd w:id="29"/>
    </w:p>
    <w:p w14:paraId="12D2928F">
      <w:pPr>
        <w:pStyle w:val="6"/>
        <w:kinsoku/>
        <w:wordWrap/>
        <w:overflowPunct/>
        <w:topLinePunct w:val="0"/>
        <w:autoSpaceDE/>
        <w:autoSpaceDN/>
        <w:bidi w:val="0"/>
        <w:snapToGrid/>
        <w:spacing w:before="0" w:after="0"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提交相关证明材料时还应结合第三章“</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”的相关规定。</w:t>
      </w:r>
    </w:p>
    <w:p w14:paraId="1759AACA">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3556767C">
      <w:pPr>
        <w:kinsoku/>
        <w:wordWrap/>
        <w:overflowPunct/>
        <w:topLinePunct w:val="0"/>
        <w:autoSpaceDE/>
        <w:autoSpaceDN/>
        <w:bidi w:val="0"/>
        <w:snapToGrid/>
        <w:spacing w:line="52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从2024年2月至今的</w:t>
      </w:r>
      <w:r>
        <w:rPr>
          <w:rFonts w:hint="eastAsia" w:ascii="仿宋" w:hAnsi="仿宋" w:eastAsia="仿宋" w:cs="仿宋"/>
          <w:color w:val="auto"/>
          <w:sz w:val="32"/>
          <w:szCs w:val="32"/>
        </w:rPr>
        <w:t>合同复印件，每张表格只填写一个项目，并标明序号。</w:t>
      </w:r>
    </w:p>
    <w:p w14:paraId="76EDEBDA">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4" w:firstLineChars="200"/>
        <w:textAlignment w:val="auto"/>
        <w:rPr>
          <w:rFonts w:hint="eastAsia" w:ascii="仿宋" w:hAnsi="仿宋" w:eastAsia="仿宋" w:cs="仿宋"/>
          <w:b w:val="0"/>
          <w:bCs w:val="0"/>
          <w:color w:val="auto"/>
          <w:spacing w:val="1"/>
          <w:sz w:val="32"/>
          <w:szCs w:val="32"/>
          <w:highlight w:val="none"/>
          <w:lang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b w:val="0"/>
          <w:bCs w:val="0"/>
          <w:color w:val="auto"/>
          <w:spacing w:val="1"/>
          <w:sz w:val="32"/>
          <w:szCs w:val="32"/>
          <w:highlight w:val="none"/>
          <w:lang w:val="en-US" w:eastAsia="zh-CN"/>
        </w:rPr>
        <w:t>五</w:t>
      </w:r>
      <w:r>
        <w:rPr>
          <w:rFonts w:hint="eastAsia" w:ascii="仿宋" w:hAnsi="仿宋" w:eastAsia="仿宋" w:cs="仿宋"/>
          <w:b w:val="0"/>
          <w:bCs w:val="0"/>
          <w:color w:val="auto"/>
          <w:spacing w:val="1"/>
          <w:sz w:val="32"/>
          <w:szCs w:val="32"/>
          <w:highlight w:val="none"/>
          <w:lang w:eastAsia="zh-CN"/>
        </w:rPr>
        <w:t>）响应文件的</w:t>
      </w:r>
      <w:r>
        <w:rPr>
          <w:rFonts w:hint="eastAsia" w:ascii="仿宋" w:hAnsi="仿宋" w:eastAsia="仿宋" w:cs="仿宋"/>
          <w:b w:val="0"/>
          <w:bCs w:val="0"/>
          <w:color w:val="auto"/>
          <w:spacing w:val="1"/>
          <w:sz w:val="32"/>
          <w:szCs w:val="32"/>
          <w:highlight w:val="none"/>
          <w:lang w:val="en-US" w:eastAsia="zh-CN"/>
        </w:rPr>
        <w:t>提</w:t>
      </w:r>
      <w:r>
        <w:rPr>
          <w:rFonts w:hint="eastAsia" w:ascii="仿宋" w:hAnsi="仿宋" w:eastAsia="仿宋" w:cs="仿宋"/>
          <w:b w:val="0"/>
          <w:bCs w:val="0"/>
          <w:color w:val="auto"/>
          <w:spacing w:val="1"/>
          <w:sz w:val="32"/>
          <w:szCs w:val="32"/>
          <w:highlight w:val="none"/>
          <w:lang w:eastAsia="zh-CN"/>
        </w:rPr>
        <w:t>交</w:t>
      </w:r>
    </w:p>
    <w:p w14:paraId="4846D655">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4" w:firstLineChars="200"/>
        <w:textAlignment w:val="auto"/>
        <w:rPr>
          <w:rFonts w:hint="eastAsia" w:ascii="仿宋" w:hAnsi="仿宋" w:eastAsia="仿宋" w:cs="仿宋"/>
          <w:color w:val="auto"/>
          <w:spacing w:val="1"/>
          <w:sz w:val="32"/>
          <w:szCs w:val="32"/>
          <w:highlight w:val="none"/>
          <w:lang w:val="en-US" w:eastAsia="zh-CN"/>
        </w:rPr>
      </w:pPr>
      <w:r>
        <w:rPr>
          <w:rFonts w:hint="eastAsia" w:ascii="仿宋" w:hAnsi="仿宋" w:eastAsia="仿宋" w:cs="仿宋"/>
          <w:color w:val="auto"/>
          <w:spacing w:val="1"/>
          <w:sz w:val="32"/>
          <w:szCs w:val="32"/>
          <w:highlight w:val="none"/>
          <w:lang w:val="en-US" w:eastAsia="zh-CN"/>
        </w:rPr>
        <w:t>1. 响应文件提交截止时间：2026年3月4日12时；</w:t>
      </w:r>
    </w:p>
    <w:p w14:paraId="035E0ED0">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4"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pacing w:val="1"/>
          <w:sz w:val="32"/>
          <w:szCs w:val="32"/>
          <w:highlight w:val="none"/>
          <w:lang w:val="en-US" w:eastAsia="zh-CN"/>
        </w:rPr>
        <w:t>2.提交方法：</w:t>
      </w:r>
      <w:r>
        <w:rPr>
          <w:rFonts w:hint="eastAsia" w:ascii="仿宋" w:hAnsi="仿宋" w:eastAsia="仿宋" w:cs="仿宋"/>
          <w:color w:val="auto"/>
          <w:sz w:val="32"/>
          <w:szCs w:val="32"/>
          <w:lang w:val="en-US" w:eastAsia="zh-CN"/>
        </w:rPr>
        <w:t>将响应文件一式两份一正一副密封后直接送达或邮寄至陕西锌业有限公司一楼招投标办公室。</w:t>
      </w:r>
    </w:p>
    <w:p w14:paraId="4D07DBA9">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业务联系人：白浩楠     电话：18329587208</w:t>
      </w:r>
    </w:p>
    <w:p w14:paraId="017705DE">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技术联系人：王红军     电话：13991468657</w:t>
      </w:r>
    </w:p>
    <w:p w14:paraId="2C9947F2">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邮寄地址：商洛市商州区沙河子镇陕西锌业有限公司一楼招投标办公室。</w:t>
      </w:r>
    </w:p>
    <w:p w14:paraId="525D1F3C">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邮编：726007      </w:t>
      </w:r>
    </w:p>
    <w:p w14:paraId="6C197D99">
      <w:pPr>
        <w:pStyle w:val="15"/>
        <w:keepNext w:val="0"/>
        <w:keepLines w:val="0"/>
        <w:pageBreakBefore w:val="0"/>
        <w:shd w:val="clear" w:color="auto" w:fill="auto"/>
        <w:kinsoku/>
        <w:wordWrap/>
        <w:overflowPunct/>
        <w:topLinePunct w:val="0"/>
        <w:autoSpaceDE/>
        <w:autoSpaceDN/>
        <w:bidi w:val="0"/>
        <w:adjustRightInd/>
        <w:snapToGrid/>
        <w:spacing w:before="0" w:after="120" w:line="520" w:lineRule="exact"/>
        <w:ind w:firstLine="647" w:firstLineChars="200"/>
        <w:textAlignment w:val="auto"/>
        <w:rPr>
          <w:rFonts w:hint="eastAsia" w:ascii="仿宋" w:hAnsi="仿宋" w:eastAsia="仿宋" w:cs="仿宋"/>
          <w:b/>
          <w:bCs/>
          <w:color w:val="auto"/>
          <w:spacing w:val="1"/>
          <w:sz w:val="32"/>
          <w:szCs w:val="32"/>
          <w:highlight w:val="none"/>
          <w:lang w:eastAsia="zh-CN"/>
        </w:rPr>
      </w:pPr>
      <w:r>
        <w:rPr>
          <w:rFonts w:hint="eastAsia" w:ascii="仿宋" w:hAnsi="仿宋" w:eastAsia="仿宋" w:cs="仿宋"/>
          <w:b/>
          <w:bCs/>
          <w:color w:val="auto"/>
          <w:spacing w:val="1"/>
          <w:sz w:val="32"/>
          <w:szCs w:val="32"/>
          <w:highlight w:val="none"/>
          <w:lang w:val="en-US" w:eastAsia="zh-CN"/>
        </w:rPr>
        <w:t>四</w:t>
      </w:r>
      <w:r>
        <w:rPr>
          <w:rFonts w:hint="eastAsia" w:ascii="仿宋" w:hAnsi="仿宋" w:eastAsia="仿宋" w:cs="仿宋"/>
          <w:b/>
          <w:bCs/>
          <w:color w:val="auto"/>
          <w:spacing w:val="1"/>
          <w:sz w:val="32"/>
          <w:szCs w:val="32"/>
          <w:highlight w:val="none"/>
          <w:lang w:eastAsia="zh-CN"/>
        </w:rPr>
        <w:t>、响应文件开启时间及地点</w:t>
      </w:r>
      <w:bookmarkStart w:id="65" w:name="_GoBack"/>
      <w:bookmarkEnd w:id="65"/>
    </w:p>
    <w:p w14:paraId="4FF81EE1">
      <w:pPr>
        <w:keepNext w:val="0"/>
        <w:keepLines w:val="0"/>
        <w:pageBreakBefore w:val="0"/>
        <w:shd w:val="clear" w:color="auto" w:fill="auto"/>
        <w:kinsoku/>
        <w:wordWrap/>
        <w:overflowPunct/>
        <w:topLinePunct w:val="0"/>
        <w:autoSpaceDE/>
        <w:autoSpaceDN/>
        <w:bidi w:val="0"/>
        <w:adjustRightInd/>
        <w:snapToGrid/>
        <w:spacing w:line="520" w:lineRule="exact"/>
        <w:ind w:firstLine="644" w:firstLineChars="200"/>
        <w:textAlignment w:val="auto"/>
        <w:rPr>
          <w:rFonts w:hint="eastAsia" w:ascii="仿宋" w:hAnsi="仿宋" w:eastAsia="仿宋" w:cs="仿宋"/>
          <w:color w:val="auto"/>
          <w:spacing w:val="1"/>
          <w:kern w:val="0"/>
          <w:sz w:val="32"/>
          <w:szCs w:val="32"/>
          <w:highlight w:val="yellow"/>
          <w:lang w:val="en-US" w:eastAsia="zh-CN" w:bidi="ar-SA"/>
        </w:rPr>
      </w:pPr>
      <w:r>
        <w:rPr>
          <w:rFonts w:hint="eastAsia" w:ascii="仿宋" w:hAnsi="仿宋" w:eastAsia="仿宋" w:cs="仿宋"/>
          <w:color w:val="auto"/>
          <w:spacing w:val="1"/>
          <w:kern w:val="0"/>
          <w:sz w:val="32"/>
          <w:szCs w:val="32"/>
          <w:highlight w:val="none"/>
          <w:lang w:val="en-US" w:eastAsia="zh-CN" w:bidi="ar-SA"/>
        </w:rPr>
        <w:t>（一）响应文件的开启时间：2026</w:t>
      </w:r>
      <w:r>
        <w:rPr>
          <w:rFonts w:hint="eastAsia" w:ascii="仿宋" w:hAnsi="仿宋" w:eastAsia="仿宋" w:cs="仿宋"/>
          <w:color w:val="auto"/>
          <w:spacing w:val="1"/>
          <w:sz w:val="32"/>
          <w:szCs w:val="32"/>
          <w:highlight w:val="none"/>
          <w:lang w:val="en-US" w:eastAsia="zh-CN"/>
        </w:rPr>
        <w:t>年3月4日</w:t>
      </w:r>
      <w:r>
        <w:rPr>
          <w:rFonts w:hint="eastAsia" w:ascii="仿宋" w:hAnsi="仿宋" w:eastAsia="仿宋" w:cs="仿宋"/>
          <w:color w:val="auto"/>
          <w:spacing w:val="1"/>
          <w:kern w:val="0"/>
          <w:sz w:val="32"/>
          <w:szCs w:val="32"/>
          <w:highlight w:val="none"/>
          <w:lang w:val="en-US" w:eastAsia="zh-CN" w:bidi="ar-SA"/>
        </w:rPr>
        <w:t>；</w:t>
      </w:r>
    </w:p>
    <w:p w14:paraId="445FA2AE">
      <w:pPr>
        <w:keepNext w:val="0"/>
        <w:keepLines w:val="0"/>
        <w:pageBreakBefore w:val="0"/>
        <w:shd w:val="clear" w:color="auto" w:fill="auto"/>
        <w:kinsoku/>
        <w:wordWrap/>
        <w:overflowPunct/>
        <w:topLinePunct w:val="0"/>
        <w:autoSpaceDE/>
        <w:autoSpaceDN/>
        <w:bidi w:val="0"/>
        <w:adjustRightInd/>
        <w:snapToGrid/>
        <w:spacing w:line="520" w:lineRule="exact"/>
        <w:ind w:firstLine="644" w:firstLineChars="200"/>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（二）响应文件的开启地点：陕西锌业有限公司办公楼一楼招投标办公室（陕西省商洛市商州区沙河子镇）</w:t>
      </w:r>
    </w:p>
    <w:p w14:paraId="41A2854D">
      <w:pPr>
        <w:pStyle w:val="5"/>
        <w:pageBreakBefore w:val="0"/>
        <w:widowControl w:val="0"/>
        <w:kinsoku/>
        <w:wordWrap/>
        <w:overflowPunct/>
        <w:topLinePunct w:val="0"/>
        <w:autoSpaceDE/>
        <w:autoSpaceDN/>
        <w:bidi w:val="0"/>
        <w:adjustRightInd/>
        <w:snapToGrid/>
        <w:spacing w:before="0" w:after="0" w:line="520" w:lineRule="exact"/>
        <w:ind w:firstLine="643" w:firstLineChars="200"/>
        <w:jc w:val="both"/>
        <w:textAlignment w:val="auto"/>
        <w:rPr>
          <w:rFonts w:hint="eastAsia" w:ascii="仿宋" w:hAnsi="仿宋" w:eastAsia="仿宋" w:cs="仿宋"/>
          <w:color w:val="auto"/>
          <w:sz w:val="32"/>
          <w:szCs w:val="32"/>
          <w:lang w:val="en-US" w:eastAsia="zh-CN"/>
        </w:rPr>
      </w:pPr>
      <w:r>
        <w:rPr>
          <w:rStyle w:val="13"/>
          <w:rFonts w:hint="eastAsia" w:ascii="仿宋" w:hAnsi="仿宋" w:eastAsia="仿宋" w:cs="仿宋"/>
          <w:b/>
          <w:i w:val="0"/>
          <w:iCs w:val="0"/>
          <w:caps w:val="0"/>
          <w:color w:val="000000"/>
          <w:spacing w:val="0"/>
          <w:sz w:val="32"/>
          <w:szCs w:val="32"/>
          <w:lang w:val="en-US" w:eastAsia="zh-CN"/>
        </w:rPr>
        <w:t>五</w:t>
      </w:r>
      <w:r>
        <w:rPr>
          <w:rStyle w:val="13"/>
          <w:rFonts w:hint="eastAsia" w:ascii="仿宋" w:hAnsi="仿宋" w:eastAsia="仿宋" w:cs="仿宋"/>
          <w:b/>
          <w:i w:val="0"/>
          <w:iCs w:val="0"/>
          <w:caps w:val="0"/>
          <w:color w:val="000000"/>
          <w:spacing w:val="0"/>
          <w:sz w:val="32"/>
          <w:szCs w:val="32"/>
        </w:rPr>
        <w:t>、</w:t>
      </w:r>
      <w:r>
        <w:rPr>
          <w:rStyle w:val="13"/>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bookmarkStart w:id="30" w:name="OLE_LINK1"/>
    </w:p>
    <w:p w14:paraId="12F83017">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500" w:lineRule="exact"/>
        <w:ind w:left="0" w:lef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kern w:val="2"/>
          <w:sz w:val="32"/>
          <w:szCs w:val="32"/>
          <w:lang w:val="en-US" w:eastAsia="zh-CN" w:bidi="ar-SA"/>
        </w:rPr>
        <w:t>（一）</w:t>
      </w:r>
      <w:r>
        <w:rPr>
          <w:rFonts w:hint="eastAsia" w:ascii="仿宋" w:hAnsi="仿宋" w:eastAsia="仿宋" w:cs="仿宋"/>
          <w:color w:val="auto"/>
          <w:sz w:val="32"/>
          <w:szCs w:val="32"/>
          <w:lang w:val="en-US" w:eastAsia="zh-CN"/>
        </w:rPr>
        <w:t>评审标准</w:t>
      </w:r>
    </w:p>
    <w:p w14:paraId="742A2BA5">
      <w:pPr>
        <w:pStyle w:val="10"/>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Chars="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1.按照低价原则评定，确定入围单位。</w:t>
      </w:r>
    </w:p>
    <w:bookmarkEnd w:id="30"/>
    <w:p w14:paraId="2BB9453D">
      <w:pPr>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75F2E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对响应供应商</w:t>
      </w:r>
      <w:r>
        <w:rPr>
          <w:rFonts w:hint="eastAsia" w:ascii="仿宋" w:hAnsi="仿宋" w:eastAsia="仿宋" w:cs="仿宋"/>
          <w:color w:val="auto"/>
          <w:sz w:val="32"/>
          <w:szCs w:val="32"/>
        </w:rPr>
        <w:t>提交的</w:t>
      </w:r>
      <w:r>
        <w:rPr>
          <w:rFonts w:hint="eastAsia" w:ascii="仿宋" w:hAnsi="仿宋" w:eastAsia="仿宋" w:cs="仿宋"/>
          <w:color w:val="auto"/>
          <w:sz w:val="32"/>
          <w:szCs w:val="32"/>
          <w:lang w:val="en-US" w:eastAsia="zh-CN"/>
        </w:rPr>
        <w:t>资质</w:t>
      </w:r>
      <w:r>
        <w:rPr>
          <w:rFonts w:hint="eastAsia" w:ascii="仿宋" w:hAnsi="仿宋" w:eastAsia="仿宋" w:cs="仿宋"/>
          <w:color w:val="auto"/>
          <w:sz w:val="32"/>
          <w:szCs w:val="32"/>
        </w:rPr>
        <w:t>有关</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rPr>
        <w:t>证明</w:t>
      </w:r>
      <w:r>
        <w:rPr>
          <w:rFonts w:hint="eastAsia" w:ascii="仿宋" w:hAnsi="仿宋" w:eastAsia="仿宋" w:cs="仿宋"/>
          <w:color w:val="auto"/>
          <w:sz w:val="32"/>
          <w:szCs w:val="32"/>
          <w:lang w:val="en-US" w:eastAsia="zh-CN"/>
        </w:rPr>
        <w:t>文件</w:t>
      </w:r>
      <w:r>
        <w:rPr>
          <w:rFonts w:hint="eastAsia" w:ascii="仿宋" w:hAnsi="仿宋" w:eastAsia="仿宋" w:cs="仿宋"/>
          <w:color w:val="auto"/>
          <w:sz w:val="32"/>
          <w:szCs w:val="32"/>
        </w:rPr>
        <w:t>进行初步评审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不符合评审标准的</w:t>
      </w:r>
      <w:r>
        <w:rPr>
          <w:rFonts w:hint="eastAsia" w:ascii="仿宋" w:hAnsi="仿宋" w:eastAsia="仿宋" w:cs="仿宋"/>
          <w:color w:val="auto"/>
          <w:sz w:val="32"/>
          <w:szCs w:val="32"/>
          <w:lang w:val="en-US" w:eastAsia="zh-CN"/>
        </w:rPr>
        <w:t>应</w:t>
      </w:r>
      <w:r>
        <w:rPr>
          <w:rFonts w:hint="eastAsia" w:ascii="仿宋" w:hAnsi="仿宋" w:eastAsia="仿宋" w:cs="仿宋"/>
          <w:color w:val="auto"/>
          <w:sz w:val="32"/>
          <w:szCs w:val="32"/>
        </w:rPr>
        <w:t>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1A95BE6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2.响应供应商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0F1511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4031B26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单位盖章和单位负责人签字或盖章的；</w:t>
      </w:r>
    </w:p>
    <w:p w14:paraId="572CC81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6A491AC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54E8994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1F8F0BC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64E30911">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）评审结果</w:t>
      </w:r>
    </w:p>
    <w:p w14:paraId="151D7F2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低价原则评定由高到低</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15A85CC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后，向</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58D7AE8E">
      <w:pPr>
        <w:pStyle w:val="5"/>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643"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p>
    <w:p w14:paraId="7D4013F1">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p>
    <w:p w14:paraId="679B136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7269E99">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p>
    <w:p w14:paraId="50BAA95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或者其他利害关系人对</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4F8D8A2E">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确定成交人</w:t>
      </w:r>
    </w:p>
    <w:p w14:paraId="464F999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3B77AEE">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p>
    <w:p w14:paraId="45918F3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w:t>
      </w:r>
      <w:r>
        <w:rPr>
          <w:rFonts w:hint="eastAsia" w:ascii="仿宋" w:hAnsi="仿宋" w:eastAsia="仿宋" w:cs="仿宋"/>
          <w:color w:val="auto"/>
          <w:sz w:val="32"/>
          <w:szCs w:val="32"/>
          <w:lang w:eastAsia="zh-CN"/>
        </w:rPr>
        <w:t>。</w:t>
      </w:r>
    </w:p>
    <w:p w14:paraId="2D14FB30">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p>
    <w:p w14:paraId="62CA969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微软雅黑" w:hAnsi="微软雅黑" w:eastAsia="微软雅黑" w:cs="微软雅黑"/>
          <w:i w:val="0"/>
          <w:iCs w:val="0"/>
          <w:caps w:val="0"/>
          <w:color w:val="000000"/>
          <w:spacing w:val="0"/>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人无正当理由拒签合同，或者提出其他附加条件的，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w:t>
      </w:r>
      <w:r>
        <w:rPr>
          <w:rFonts w:hint="eastAsia" w:ascii="仿宋" w:hAnsi="仿宋" w:eastAsia="仿宋" w:cs="仿宋"/>
          <w:color w:val="auto"/>
          <w:sz w:val="32"/>
          <w:szCs w:val="32"/>
          <w:lang w:val="en-US" w:eastAsia="zh-CN"/>
        </w:rPr>
        <w:t>。</w:t>
      </w:r>
      <w:r>
        <w:rPr>
          <w:rFonts w:hint="eastAsia" w:ascii="仿宋" w:hAnsi="仿宋" w:eastAsia="仿宋" w:cs="仿宋"/>
          <w:color w:val="auto"/>
          <w:kern w:val="0"/>
          <w:sz w:val="32"/>
          <w:szCs w:val="32"/>
          <w:lang w:val="en-US" w:eastAsia="zh-CN" w:bidi="ar"/>
        </w:rPr>
        <w:t xml:space="preserve"> </w:t>
      </w:r>
    </w:p>
    <w:p w14:paraId="0EF7CB9E">
      <w:pPr>
        <w:pStyle w:val="4"/>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Chars="0"/>
        <w:jc w:val="both"/>
        <w:rPr>
          <w:rFonts w:hint="eastAsia" w:cs="宋体"/>
          <w:color w:val="auto"/>
          <w:sz w:val="36"/>
          <w:szCs w:val="36"/>
          <w:lang w:val="en-US" w:eastAsia="zh-CN"/>
        </w:rPr>
      </w:pPr>
    </w:p>
    <w:p w14:paraId="672E6428">
      <w:pPr>
        <w:rPr>
          <w:rFonts w:hint="eastAsia" w:cs="宋体"/>
          <w:color w:val="auto"/>
          <w:sz w:val="36"/>
          <w:szCs w:val="36"/>
          <w:lang w:val="en-US" w:eastAsia="zh-CN"/>
        </w:rPr>
      </w:pPr>
    </w:p>
    <w:p w14:paraId="53548F99">
      <w:pPr>
        <w:pStyle w:val="2"/>
        <w:rPr>
          <w:rFonts w:hint="eastAsia"/>
          <w:lang w:val="en-US" w:eastAsia="zh-CN"/>
        </w:rPr>
      </w:pPr>
    </w:p>
    <w:p w14:paraId="6ED4306C">
      <w:pPr>
        <w:pStyle w:val="4"/>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Chars="0" w:firstLine="5120" w:firstLineChars="16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111AB14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5440" w:firstLineChars="17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color w:val="auto"/>
          <w:sz w:val="32"/>
          <w:szCs w:val="32"/>
          <w:lang w:val="en-US" w:eastAsia="zh-CN"/>
        </w:rPr>
        <w:t>2026年2月24日</w:t>
      </w:r>
    </w:p>
    <w:p w14:paraId="76490C0F">
      <w:pPr>
        <w:pStyle w:val="4"/>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jc w:val="both"/>
        <w:rPr>
          <w:rFonts w:hint="eastAsia" w:ascii="宋体" w:hAnsi="宋体" w:eastAsia="宋体" w:cs="宋体"/>
          <w:color w:val="auto"/>
          <w:sz w:val="36"/>
          <w:szCs w:val="36"/>
          <w:lang w:val="en-US" w:eastAsia="zh-CN"/>
        </w:rPr>
      </w:pPr>
    </w:p>
    <w:p w14:paraId="3041549B">
      <w:pPr>
        <w:pStyle w:val="4"/>
        <w:ind w:firstLine="723" w:firstLineChars="200"/>
        <w:jc w:val="both"/>
        <w:rPr>
          <w:rFonts w:hint="default" w:ascii="宋体" w:hAnsi="宋体" w:eastAsia="宋体" w:cs="宋体"/>
          <w:color w:val="auto"/>
          <w:sz w:val="36"/>
          <w:szCs w:val="36"/>
          <w:lang w:val="en-US" w:eastAsia="zh-CN"/>
        </w:rPr>
      </w:pPr>
    </w:p>
    <w:p w14:paraId="11ED4F01">
      <w:pPr>
        <w:pStyle w:val="4"/>
        <w:ind w:firstLine="723" w:firstLineChars="200"/>
        <w:jc w:val="both"/>
        <w:rPr>
          <w:rFonts w:hint="eastAsia" w:ascii="宋体" w:hAnsi="宋体" w:eastAsia="宋体" w:cs="宋体"/>
          <w:color w:val="auto"/>
          <w:sz w:val="36"/>
          <w:szCs w:val="36"/>
          <w:lang w:val="en-US" w:eastAsia="zh-CN"/>
        </w:rPr>
      </w:pPr>
    </w:p>
    <w:p w14:paraId="0040E9D4">
      <w:pPr>
        <w:pStyle w:val="4"/>
        <w:ind w:firstLine="723" w:firstLineChars="200"/>
        <w:jc w:val="both"/>
        <w:rPr>
          <w:rFonts w:hint="eastAsia" w:ascii="宋体" w:hAnsi="宋体" w:eastAsia="宋体" w:cs="宋体"/>
          <w:color w:val="auto"/>
          <w:sz w:val="36"/>
          <w:szCs w:val="36"/>
          <w:lang w:val="en-US" w:eastAsia="zh-CN"/>
        </w:rPr>
      </w:pPr>
    </w:p>
    <w:p w14:paraId="0F64E509">
      <w:pPr>
        <w:pStyle w:val="4"/>
        <w:ind w:firstLine="723" w:firstLineChars="200"/>
        <w:jc w:val="both"/>
        <w:rPr>
          <w:rFonts w:hint="eastAsia" w:ascii="宋体" w:hAnsi="宋体" w:eastAsia="宋体" w:cs="宋体"/>
          <w:color w:val="auto"/>
          <w:sz w:val="36"/>
          <w:szCs w:val="36"/>
          <w:lang w:val="en-US" w:eastAsia="zh-CN"/>
        </w:rPr>
      </w:pPr>
    </w:p>
    <w:p w14:paraId="7AB3376F">
      <w:pPr>
        <w:pStyle w:val="4"/>
        <w:ind w:firstLine="723" w:firstLineChars="200"/>
        <w:jc w:val="both"/>
        <w:rPr>
          <w:rFonts w:hint="eastAsia" w:ascii="宋体" w:hAnsi="宋体" w:eastAsia="宋体" w:cs="宋体"/>
          <w:color w:val="auto"/>
          <w:sz w:val="36"/>
          <w:szCs w:val="36"/>
          <w:lang w:val="en-US" w:eastAsia="zh-CN"/>
        </w:rPr>
      </w:pPr>
    </w:p>
    <w:p w14:paraId="0DB4D1D1">
      <w:pPr>
        <w:pStyle w:val="4"/>
        <w:ind w:firstLine="723" w:firstLineChars="200"/>
        <w:jc w:val="both"/>
        <w:rPr>
          <w:rFonts w:hint="eastAsia" w:ascii="宋体" w:hAnsi="宋体" w:eastAsia="宋体" w:cs="宋体"/>
          <w:color w:val="auto"/>
          <w:sz w:val="36"/>
          <w:szCs w:val="36"/>
          <w:lang w:val="en-US" w:eastAsia="zh-CN"/>
        </w:rPr>
      </w:pPr>
    </w:p>
    <w:p w14:paraId="42E07A8E">
      <w:pPr>
        <w:pStyle w:val="4"/>
        <w:ind w:firstLine="723" w:firstLineChars="200"/>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4FC2DB4B">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5F9EA7DD">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XB20260224-01</w:t>
      </w:r>
    </w:p>
    <w:p w14:paraId="7B2308D2">
      <w:pPr>
        <w:spacing w:line="400" w:lineRule="exact"/>
        <w:rPr>
          <w:rFonts w:hint="default" w:ascii="Times New Roman" w:hAnsi="Times New Roman" w:eastAsia="黑体"/>
          <w:color w:val="auto"/>
          <w:highlight w:val="none"/>
          <w:lang w:val="en-US" w:eastAsia="zh-CN"/>
        </w:rPr>
      </w:pPr>
    </w:p>
    <w:p w14:paraId="00720ECD">
      <w:pPr>
        <w:spacing w:line="400" w:lineRule="exact"/>
        <w:rPr>
          <w:rFonts w:hint="eastAsia" w:ascii="仿宋" w:hAnsi="仿宋" w:eastAsia="仿宋" w:cs="仿宋"/>
          <w:color w:val="auto"/>
          <w:sz w:val="32"/>
          <w:szCs w:val="32"/>
        </w:rPr>
      </w:pPr>
    </w:p>
    <w:p w14:paraId="03BB468E">
      <w:pPr>
        <w:spacing w:line="400" w:lineRule="exact"/>
        <w:rPr>
          <w:rFonts w:hint="eastAsia" w:ascii="仿宋" w:hAnsi="仿宋" w:eastAsia="仿宋" w:cs="仿宋"/>
          <w:color w:val="auto"/>
          <w:sz w:val="32"/>
          <w:szCs w:val="32"/>
        </w:rPr>
      </w:pPr>
    </w:p>
    <w:p w14:paraId="7726F22A">
      <w:pPr>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5E87D6BB">
      <w:pPr>
        <w:pStyle w:val="2"/>
        <w:rPr>
          <w:rFonts w:hint="eastAsia"/>
          <w:lang w:eastAsia="zh-CN"/>
        </w:rPr>
      </w:pPr>
    </w:p>
    <w:p w14:paraId="3B890967">
      <w:pPr>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110kV供电线路建设辐射环境影响报告表</w:t>
      </w:r>
    </w:p>
    <w:p w14:paraId="0175653C">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16C90F2D">
      <w:pPr>
        <w:jc w:val="center"/>
        <w:rPr>
          <w:rFonts w:hint="eastAsia" w:ascii="黑体" w:hAnsi="黑体" w:eastAsia="黑体" w:cs="黑体"/>
          <w:b/>
          <w:bCs/>
          <w:color w:val="auto"/>
          <w:sz w:val="44"/>
          <w:szCs w:val="44"/>
        </w:rPr>
      </w:pPr>
    </w:p>
    <w:p w14:paraId="228261AD">
      <w:pPr>
        <w:rPr>
          <w:rFonts w:hint="eastAsia" w:ascii="仿宋" w:hAnsi="仿宋" w:eastAsia="仿宋" w:cs="仿宋"/>
          <w:color w:val="auto"/>
          <w:sz w:val="32"/>
          <w:szCs w:val="32"/>
        </w:rPr>
      </w:pPr>
    </w:p>
    <w:p w14:paraId="6B355D9B">
      <w:pPr>
        <w:rPr>
          <w:rFonts w:hint="eastAsia" w:ascii="仿宋" w:hAnsi="仿宋" w:eastAsia="仿宋" w:cs="仿宋"/>
          <w:color w:val="auto"/>
          <w:sz w:val="32"/>
          <w:szCs w:val="32"/>
        </w:rPr>
      </w:pPr>
    </w:p>
    <w:p w14:paraId="49924C4B">
      <w:pPr>
        <w:rPr>
          <w:rFonts w:hint="eastAsia" w:ascii="仿宋" w:hAnsi="仿宋" w:eastAsia="仿宋" w:cs="仿宋"/>
          <w:color w:val="auto"/>
          <w:sz w:val="32"/>
          <w:szCs w:val="32"/>
        </w:rPr>
      </w:pPr>
    </w:p>
    <w:p w14:paraId="20B65072">
      <w:pPr>
        <w:rPr>
          <w:rFonts w:hint="eastAsia" w:ascii="仿宋" w:hAnsi="仿宋" w:eastAsia="仿宋" w:cs="仿宋"/>
          <w:color w:val="auto"/>
          <w:sz w:val="32"/>
          <w:szCs w:val="32"/>
        </w:rPr>
      </w:pPr>
    </w:p>
    <w:p w14:paraId="2431F366">
      <w:pPr>
        <w:rPr>
          <w:rFonts w:hint="eastAsia" w:ascii="仿宋" w:hAnsi="仿宋" w:eastAsia="仿宋" w:cs="仿宋"/>
          <w:color w:val="auto"/>
          <w:sz w:val="32"/>
          <w:szCs w:val="32"/>
        </w:rPr>
      </w:pPr>
    </w:p>
    <w:p w14:paraId="5B6FEAA6">
      <w:pPr>
        <w:rPr>
          <w:rFonts w:hint="eastAsia" w:ascii="仿宋" w:hAnsi="仿宋" w:eastAsia="仿宋" w:cs="仿宋"/>
          <w:color w:val="auto"/>
          <w:sz w:val="32"/>
          <w:szCs w:val="32"/>
        </w:rPr>
      </w:pPr>
    </w:p>
    <w:p w14:paraId="712AD708">
      <w:pPr>
        <w:rPr>
          <w:rFonts w:hint="eastAsia" w:ascii="仿宋" w:hAnsi="仿宋" w:eastAsia="仿宋" w:cs="仿宋"/>
          <w:color w:val="auto"/>
          <w:sz w:val="32"/>
          <w:szCs w:val="32"/>
        </w:rPr>
      </w:pPr>
    </w:p>
    <w:p w14:paraId="559FEDB2">
      <w:pPr>
        <w:rPr>
          <w:rFonts w:hint="eastAsia" w:ascii="仿宋" w:hAnsi="仿宋" w:eastAsia="仿宋" w:cs="仿宋"/>
          <w:color w:val="auto"/>
          <w:sz w:val="32"/>
          <w:szCs w:val="32"/>
        </w:rPr>
      </w:pPr>
    </w:p>
    <w:p w14:paraId="44FBBD2A">
      <w:pPr>
        <w:spacing w:line="360" w:lineRule="auto"/>
        <w:rPr>
          <w:rFonts w:hint="eastAsia" w:ascii="仿宋" w:hAnsi="仿宋" w:eastAsia="仿宋" w:cs="仿宋"/>
          <w:color w:val="auto"/>
          <w:sz w:val="32"/>
          <w:szCs w:val="32"/>
        </w:rPr>
      </w:pPr>
    </w:p>
    <w:p w14:paraId="4156CC9A">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E24C0B3">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26FF32F4">
      <w:pPr>
        <w:jc w:val="center"/>
        <w:rPr>
          <w:rFonts w:hint="eastAsia" w:ascii="宋体" w:hAnsi="宋体" w:eastAsia="宋体" w:cs="宋体"/>
          <w:b/>
          <w:bCs/>
          <w:color w:val="auto"/>
          <w:sz w:val="32"/>
          <w:szCs w:val="32"/>
        </w:rPr>
      </w:pPr>
    </w:p>
    <w:p w14:paraId="030994DF">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60989019">
      <w:pPr>
        <w:pStyle w:val="5"/>
        <w:jc w:val="center"/>
        <w:rPr>
          <w:rFonts w:hint="eastAsia" w:ascii="黑体" w:hAnsi="黑体" w:eastAsia="黑体" w:cs="黑体"/>
          <w:b/>
          <w:bCs w:val="0"/>
          <w:color w:val="auto"/>
          <w:sz w:val="36"/>
          <w:szCs w:val="36"/>
        </w:rPr>
      </w:pPr>
      <w:bookmarkStart w:id="31" w:name="_Toc504488767"/>
      <w:bookmarkStart w:id="32"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31"/>
      <w:bookmarkEnd w:id="32"/>
    </w:p>
    <w:p w14:paraId="483C1166">
      <w:pPr>
        <w:spacing w:line="540" w:lineRule="exact"/>
        <w:rPr>
          <w:rFonts w:hint="eastAsia" w:ascii="仿宋" w:hAnsi="仿宋" w:eastAsia="仿宋" w:cs="仿宋"/>
          <w:color w:val="auto"/>
          <w:sz w:val="32"/>
          <w:szCs w:val="32"/>
        </w:rPr>
      </w:pPr>
    </w:p>
    <w:p w14:paraId="26ED588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5932D4C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426235C2">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0E4C4793">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5495CD80">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AC318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A1B0F66">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p>
    <w:p w14:paraId="0A168318">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773387">
      <w:pPr>
        <w:pStyle w:val="5"/>
        <w:jc w:val="center"/>
        <w:rPr>
          <w:rFonts w:hint="eastAsia" w:ascii="黑体" w:hAnsi="黑体" w:eastAsia="黑体" w:cs="黑体"/>
          <w:b w:val="0"/>
          <w:bCs/>
          <w:color w:val="auto"/>
          <w:sz w:val="36"/>
          <w:szCs w:val="36"/>
        </w:rPr>
      </w:pPr>
      <w:bookmarkStart w:id="33" w:name="_Toc16531"/>
      <w:bookmarkStart w:id="34" w:name="_Toc504488768"/>
      <w:r>
        <w:rPr>
          <w:rFonts w:hint="eastAsia" w:ascii="黑体" w:hAnsi="黑体" w:eastAsia="黑体" w:cs="黑体"/>
          <w:b w:val="0"/>
          <w:bCs/>
          <w:color w:val="auto"/>
          <w:sz w:val="36"/>
          <w:szCs w:val="36"/>
        </w:rPr>
        <w:t>一、</w:t>
      </w:r>
      <w:bookmarkEnd w:id="33"/>
      <w:bookmarkEnd w:id="34"/>
      <w:r>
        <w:rPr>
          <w:rFonts w:hint="eastAsia" w:ascii="黑体" w:hAnsi="黑体" w:eastAsia="黑体" w:cs="黑体"/>
          <w:b w:val="0"/>
          <w:bCs/>
          <w:color w:val="auto"/>
          <w:sz w:val="36"/>
          <w:szCs w:val="36"/>
          <w:lang w:eastAsia="zh-CN"/>
        </w:rPr>
        <w:t>响应函</w:t>
      </w:r>
    </w:p>
    <w:p w14:paraId="5C79666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4D5C5C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77768F9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5988B70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54AD3367">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5A992BD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若有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1D02FAC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268C1D66">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0A79E2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3041094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3AC4C25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73A97BB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0B448C0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562041B4">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5A90B30">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0CDAE1B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4EE9A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4FCAA5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六、</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2D96A15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1C01334C">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4A337C4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308962D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920F2C9">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6392F16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75B79FB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6471291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814D85E">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002B01AA">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88BA300">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14BDF667">
      <w:pPr>
        <w:spacing w:line="440" w:lineRule="exact"/>
        <w:rPr>
          <w:rFonts w:hint="eastAsia" w:ascii="仿宋" w:hAnsi="仿宋" w:eastAsia="仿宋" w:cs="仿宋"/>
          <w:color w:val="auto"/>
          <w:sz w:val="32"/>
          <w:szCs w:val="32"/>
        </w:rPr>
      </w:pPr>
    </w:p>
    <w:p w14:paraId="00F64D30">
      <w:pPr>
        <w:spacing w:line="440" w:lineRule="exact"/>
        <w:rPr>
          <w:rFonts w:hint="eastAsia" w:ascii="仿宋" w:hAnsi="仿宋" w:eastAsia="仿宋" w:cs="仿宋"/>
          <w:color w:val="auto"/>
          <w:sz w:val="32"/>
          <w:szCs w:val="32"/>
        </w:rPr>
      </w:pPr>
    </w:p>
    <w:p w14:paraId="2214B4F9">
      <w:pPr>
        <w:spacing w:line="440" w:lineRule="exact"/>
        <w:rPr>
          <w:rFonts w:hint="eastAsia" w:ascii="仿宋" w:hAnsi="仿宋" w:eastAsia="仿宋" w:cs="仿宋"/>
          <w:color w:val="auto"/>
          <w:sz w:val="32"/>
          <w:szCs w:val="32"/>
        </w:rPr>
      </w:pPr>
    </w:p>
    <w:p w14:paraId="3C82B2C0">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35" w:name="_Toc28734"/>
      <w:bookmarkStart w:id="36" w:name="_Toc504488769"/>
    </w:p>
    <w:p w14:paraId="5BF8AA38">
      <w:pPr>
        <w:pStyle w:val="5"/>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35"/>
      <w:bookmarkEnd w:id="36"/>
    </w:p>
    <w:p w14:paraId="34170B6E">
      <w:pPr>
        <w:spacing w:line="440" w:lineRule="exact"/>
        <w:rPr>
          <w:rFonts w:hint="eastAsia" w:ascii="仿宋" w:hAnsi="仿宋" w:eastAsia="仿宋" w:cs="仿宋"/>
          <w:color w:val="auto"/>
          <w:sz w:val="32"/>
          <w:szCs w:val="32"/>
        </w:rPr>
      </w:pPr>
    </w:p>
    <w:p w14:paraId="26B01521">
      <w:pPr>
        <w:spacing w:line="440" w:lineRule="exact"/>
        <w:rPr>
          <w:rFonts w:hint="eastAsia" w:ascii="仿宋" w:hAnsi="仿宋" w:eastAsia="仿宋" w:cs="仿宋"/>
          <w:color w:val="auto"/>
          <w:sz w:val="32"/>
          <w:szCs w:val="32"/>
        </w:rPr>
      </w:pPr>
    </w:p>
    <w:p w14:paraId="0268F46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F566D7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37" w:name="_Toc27897"/>
      <w:bookmarkStart w:id="38" w:name="_Toc352691662"/>
      <w:bookmarkStart w:id="39"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37"/>
      <w:bookmarkEnd w:id="38"/>
      <w:bookmarkEnd w:id="39"/>
      <w:r>
        <w:rPr>
          <w:rFonts w:hint="eastAsia" w:ascii="仿宋" w:hAnsi="仿宋" w:eastAsia="仿宋" w:cs="仿宋"/>
          <w:color w:val="auto"/>
          <w:sz w:val="32"/>
          <w:szCs w:val="32"/>
        </w:rPr>
        <w:t>龄</w:t>
      </w:r>
      <w:bookmarkStart w:id="40" w:name="_Toc247527829"/>
      <w:bookmarkStart w:id="41" w:name="_Toc152042578"/>
      <w:bookmarkStart w:id="42" w:name="_Toc369531699"/>
      <w:bookmarkStart w:id="43" w:name="_Toc384308377"/>
      <w:bookmarkStart w:id="44" w:name="_Toc15573"/>
      <w:bookmarkStart w:id="45" w:name="_Toc152045789"/>
      <w:bookmarkStart w:id="46" w:name="_Toc247514248"/>
      <w:bookmarkStart w:id="47" w:name="_Toc352691663"/>
      <w:bookmarkStart w:id="48" w:name="_Toc361508754"/>
      <w:bookmarkStart w:id="49" w:name="_Toc300835211"/>
      <w:bookmarkStart w:id="50" w:name="_Toc144974858"/>
      <w:r>
        <w:rPr>
          <w:rFonts w:hint="eastAsia" w:ascii="仿宋" w:hAnsi="仿宋" w:eastAsia="仿宋" w:cs="仿宋"/>
          <w:color w:val="auto"/>
          <w:sz w:val="32"/>
          <w:szCs w:val="32"/>
        </w:rPr>
        <w:t>：</w:t>
      </w:r>
      <w:bookmarkEnd w:id="40"/>
      <w:bookmarkEnd w:id="41"/>
      <w:bookmarkEnd w:id="42"/>
      <w:bookmarkEnd w:id="43"/>
      <w:bookmarkEnd w:id="44"/>
      <w:bookmarkEnd w:id="45"/>
      <w:bookmarkEnd w:id="46"/>
      <w:bookmarkEnd w:id="47"/>
      <w:bookmarkEnd w:id="48"/>
      <w:bookmarkEnd w:id="49"/>
      <w:bookmarkEnd w:id="50"/>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E520D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618E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12AAB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C5A87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23DD85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F1056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683C1C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CC536B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11BE7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B2727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CDCE0BC">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25ED54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F46D2FF">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72886FA4">
      <w:pPr>
        <w:pStyle w:val="5"/>
        <w:jc w:val="center"/>
        <w:rPr>
          <w:rFonts w:hint="eastAsia" w:ascii="黑体" w:hAnsi="黑体" w:eastAsia="黑体" w:cs="黑体"/>
          <w:color w:val="auto"/>
          <w:sz w:val="36"/>
          <w:szCs w:val="36"/>
        </w:rPr>
      </w:pPr>
      <w:bookmarkStart w:id="51" w:name="_Toc504488770"/>
      <w:bookmarkStart w:id="52" w:name="_Toc2777"/>
      <w:r>
        <w:rPr>
          <w:rFonts w:hint="eastAsia" w:ascii="黑体" w:hAnsi="黑体" w:eastAsia="黑体" w:cs="黑体"/>
          <w:color w:val="auto"/>
          <w:sz w:val="36"/>
          <w:szCs w:val="36"/>
        </w:rPr>
        <w:t>二、授权委托书</w:t>
      </w:r>
      <w:bookmarkEnd w:id="51"/>
      <w:bookmarkEnd w:id="52"/>
    </w:p>
    <w:p w14:paraId="24E3D049">
      <w:pPr>
        <w:spacing w:line="440" w:lineRule="exact"/>
        <w:rPr>
          <w:rFonts w:hint="eastAsia" w:ascii="仿宋" w:hAnsi="仿宋" w:eastAsia="仿宋" w:cs="仿宋"/>
          <w:color w:val="auto"/>
          <w:sz w:val="32"/>
          <w:szCs w:val="32"/>
        </w:rPr>
      </w:pPr>
    </w:p>
    <w:p w14:paraId="2D48CDFE">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7A93578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BACAD9D">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2F3DE94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5B9901B">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073E584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1E1D41B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5402510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14D05FC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5CF85479">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775B5167">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2FEBEF86">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00671E9F">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325B9E4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04A23EAD">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E4B0364">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77F1B6B3">
      <w:pPr>
        <w:pStyle w:val="5"/>
        <w:spacing w:after="0" w:line="413" w:lineRule="auto"/>
        <w:jc w:val="center"/>
        <w:rPr>
          <w:rFonts w:hint="eastAsia" w:ascii="黑体" w:hAnsi="黑体" w:eastAsia="黑体" w:cs="黑体"/>
          <w:color w:val="auto"/>
          <w:sz w:val="36"/>
          <w:szCs w:val="36"/>
          <w:u w:val="single"/>
          <w:lang w:eastAsia="zh-CN"/>
        </w:rPr>
      </w:pPr>
      <w:bookmarkStart w:id="53" w:name="_Toc7842"/>
      <w:bookmarkStart w:id="54"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53"/>
      <w:bookmarkEnd w:id="54"/>
      <w:r>
        <w:rPr>
          <w:rFonts w:hint="eastAsia" w:ascii="黑体" w:hAnsi="黑体" w:eastAsia="黑体" w:cs="黑体"/>
          <w:color w:val="auto"/>
          <w:sz w:val="36"/>
          <w:szCs w:val="36"/>
          <w:lang w:eastAsia="zh-CN"/>
        </w:rPr>
        <w:t>响应保证金</w:t>
      </w:r>
    </w:p>
    <w:p w14:paraId="1D392026">
      <w:pPr>
        <w:spacing w:line="440" w:lineRule="exact"/>
        <w:rPr>
          <w:rFonts w:hint="eastAsia" w:ascii="仿宋" w:hAnsi="仿宋" w:eastAsia="仿宋" w:cs="仿宋"/>
          <w:b/>
          <w:bCs/>
          <w:color w:val="auto"/>
          <w:sz w:val="32"/>
          <w:szCs w:val="32"/>
        </w:rPr>
      </w:pPr>
    </w:p>
    <w:p w14:paraId="7F7569DA">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2B9CB47B">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087F4DFE">
      <w:pPr>
        <w:widowControl/>
        <w:jc w:val="left"/>
        <w:rPr>
          <w:rFonts w:ascii="Times New Roman" w:hAnsi="Times New Roman"/>
          <w:color w:val="auto"/>
          <w:sz w:val="24"/>
          <w:szCs w:val="24"/>
        </w:rPr>
      </w:pPr>
    </w:p>
    <w:p w14:paraId="69D61559">
      <w:pPr>
        <w:spacing w:line="440" w:lineRule="exact"/>
        <w:jc w:val="center"/>
        <w:rPr>
          <w:rFonts w:ascii="Times New Roman" w:hAnsi="Times New Roman" w:eastAsia="黑体"/>
          <w:color w:val="auto"/>
          <w:sz w:val="27"/>
          <w:szCs w:val="27"/>
        </w:rPr>
      </w:pPr>
    </w:p>
    <w:p w14:paraId="17EE9F92">
      <w:pPr>
        <w:spacing w:line="440" w:lineRule="exact"/>
        <w:ind w:firstLine="420" w:firstLineChars="200"/>
        <w:rPr>
          <w:rFonts w:ascii="Times New Roman" w:hAnsi="Times New Roman"/>
          <w:color w:val="auto"/>
          <w:szCs w:val="21"/>
        </w:rPr>
      </w:pPr>
    </w:p>
    <w:p w14:paraId="09AD4A38">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76BB8728">
      <w:pPr>
        <w:pStyle w:val="5"/>
        <w:numPr>
          <w:ilvl w:val="0"/>
          <w:numId w:val="0"/>
        </w:numPr>
        <w:ind w:firstLine="2570" w:firstLineChars="800"/>
        <w:jc w:val="left"/>
        <w:rPr>
          <w:rFonts w:hint="eastAsia" w:ascii="Times New Roman" w:hAnsi="Times New Roman"/>
          <w:color w:val="auto"/>
        </w:rPr>
      </w:pPr>
      <w:bookmarkStart w:id="55" w:name="_Toc5529"/>
      <w:bookmarkStart w:id="56" w:name="_Toc504488774"/>
      <w:r>
        <w:rPr>
          <w:rFonts w:hint="eastAsia" w:ascii="Times New Roman" w:hAnsi="Times New Roman" w:cs="Times New Roman"/>
          <w:b/>
          <w:color w:val="auto"/>
          <w:kern w:val="2"/>
          <w:sz w:val="32"/>
          <w:szCs w:val="20"/>
          <w:lang w:val="en-US" w:eastAsia="zh-CN" w:bidi="ar-SA"/>
        </w:rPr>
        <w:t>五</w:t>
      </w:r>
      <w:r>
        <w:rPr>
          <w:rFonts w:hint="eastAsia" w:ascii="Times New Roman" w:hAnsi="Times New Roman" w:eastAsia="黑体" w:cs="Times New Roman"/>
          <w:b/>
          <w:color w:val="auto"/>
          <w:kern w:val="2"/>
          <w:sz w:val="32"/>
          <w:szCs w:val="20"/>
          <w:lang w:val="en-US" w:eastAsia="zh-CN" w:bidi="ar-SA"/>
        </w:rPr>
        <w:t>、</w:t>
      </w:r>
      <w:r>
        <w:rPr>
          <w:rFonts w:hint="eastAsia" w:ascii="Times New Roman" w:hAnsi="Times New Roman"/>
          <w:color w:val="auto"/>
        </w:rPr>
        <w:t>分项报价表</w:t>
      </w:r>
      <w:bookmarkEnd w:id="55"/>
      <w:bookmarkEnd w:id="56"/>
    </w:p>
    <w:tbl>
      <w:tblPr>
        <w:tblStyle w:val="11"/>
        <w:tblW w:w="5055" w:type="pct"/>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0"/>
        <w:gridCol w:w="1686"/>
        <w:gridCol w:w="3722"/>
        <w:gridCol w:w="1450"/>
        <w:gridCol w:w="1088"/>
      </w:tblGrid>
      <w:tr w14:paraId="6CBEB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exact"/>
          <w:tblHeader/>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41685BB1">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eastAsia" w:ascii="宋体" w:hAnsi="宋体" w:eastAsia="宋体" w:cs="宋体"/>
                <w:b/>
                <w:bCs/>
                <w:i w:val="0"/>
                <w:iCs w:val="0"/>
                <w:color w:val="000000"/>
                <w:sz w:val="24"/>
                <w:szCs w:val="24"/>
                <w:u w:val="none"/>
              </w:rPr>
            </w:pPr>
            <w:bookmarkStart w:id="57" w:name="_Toc1755"/>
            <w:bookmarkStart w:id="58" w:name="_Toc504488775"/>
            <w:r>
              <w:rPr>
                <w:rFonts w:hint="eastAsia" w:ascii="宋体" w:hAnsi="宋体" w:eastAsia="宋体" w:cs="宋体"/>
                <w:b/>
                <w:bCs/>
                <w:i w:val="0"/>
                <w:iCs w:val="0"/>
                <w:color w:val="000000"/>
                <w:kern w:val="0"/>
                <w:sz w:val="24"/>
                <w:szCs w:val="24"/>
                <w:u w:val="none"/>
                <w:lang w:val="en-US" w:eastAsia="zh-CN" w:bidi="ar"/>
              </w:rPr>
              <w:t>序号</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19141DAB">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物资名称</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02088BD6">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2D68AEC9">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599AFC2B">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厂家/品牌</w:t>
            </w:r>
          </w:p>
        </w:tc>
      </w:tr>
      <w:tr w14:paraId="38D6F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14067280">
            <w:pPr>
              <w:keepNext w:val="0"/>
              <w:keepLines w:val="0"/>
              <w:widowControl/>
              <w:suppressLineNumbers w:val="0"/>
              <w:jc w:val="center"/>
              <w:textAlignment w:val="center"/>
              <w:rPr>
                <w:rFonts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45D3F6D0">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0743AE69">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49A947D2">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40C74A95">
            <w:pPr>
              <w:jc w:val="center"/>
              <w:rPr>
                <w:rFonts w:hint="eastAsia" w:ascii="宋体" w:hAnsi="宋体" w:eastAsia="宋体" w:cs="宋体"/>
                <w:i w:val="0"/>
                <w:iCs w:val="0"/>
                <w:color w:val="000000"/>
                <w:sz w:val="20"/>
                <w:szCs w:val="20"/>
                <w:u w:val="none"/>
              </w:rPr>
            </w:pPr>
          </w:p>
        </w:tc>
      </w:tr>
      <w:tr w14:paraId="05453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3D6078B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2B5C83F3">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15BEE4B6">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76D3DE83">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0E447AD4">
            <w:pPr>
              <w:jc w:val="center"/>
              <w:rPr>
                <w:rFonts w:hint="eastAsia" w:ascii="宋体" w:hAnsi="宋体" w:eastAsia="宋体" w:cs="宋体"/>
                <w:i w:val="0"/>
                <w:iCs w:val="0"/>
                <w:color w:val="000000"/>
                <w:sz w:val="20"/>
                <w:szCs w:val="20"/>
                <w:u w:val="none"/>
              </w:rPr>
            </w:pPr>
          </w:p>
        </w:tc>
      </w:tr>
      <w:tr w14:paraId="1FE7E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3426517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4A2E142D">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169D258A">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03BD8DFB">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0F1CE372">
            <w:pPr>
              <w:jc w:val="center"/>
              <w:rPr>
                <w:rFonts w:hint="eastAsia" w:ascii="宋体" w:hAnsi="宋体" w:eastAsia="宋体" w:cs="宋体"/>
                <w:i w:val="0"/>
                <w:iCs w:val="0"/>
                <w:color w:val="000000"/>
                <w:sz w:val="20"/>
                <w:szCs w:val="20"/>
                <w:u w:val="none"/>
              </w:rPr>
            </w:pPr>
          </w:p>
        </w:tc>
      </w:tr>
      <w:tr w14:paraId="58AF2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6B653A7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4</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42157A8C">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10BF79E1">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4A4FC2CC">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1B046914">
            <w:pPr>
              <w:jc w:val="center"/>
              <w:rPr>
                <w:rFonts w:hint="eastAsia" w:ascii="宋体" w:hAnsi="宋体" w:eastAsia="宋体" w:cs="宋体"/>
                <w:i w:val="0"/>
                <w:iCs w:val="0"/>
                <w:color w:val="000000"/>
                <w:sz w:val="20"/>
                <w:szCs w:val="20"/>
                <w:u w:val="none"/>
              </w:rPr>
            </w:pPr>
          </w:p>
        </w:tc>
      </w:tr>
      <w:tr w14:paraId="41738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0A97CE4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17010E74">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7F4BC4BA">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128EEACD">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4C2FB8ED">
            <w:pPr>
              <w:jc w:val="center"/>
              <w:rPr>
                <w:rFonts w:hint="eastAsia" w:ascii="宋体" w:hAnsi="宋体" w:eastAsia="宋体" w:cs="宋体"/>
                <w:i w:val="0"/>
                <w:iCs w:val="0"/>
                <w:color w:val="000000"/>
                <w:sz w:val="20"/>
                <w:szCs w:val="20"/>
                <w:u w:val="none"/>
              </w:rPr>
            </w:pPr>
          </w:p>
        </w:tc>
      </w:tr>
      <w:tr w14:paraId="70B23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34ECAAA3">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6</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2E9F548D">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23209410">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010C04FA">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57793D21">
            <w:pPr>
              <w:jc w:val="center"/>
              <w:rPr>
                <w:rFonts w:hint="eastAsia" w:ascii="宋体" w:hAnsi="宋体" w:eastAsia="宋体" w:cs="宋体"/>
                <w:i w:val="0"/>
                <w:iCs w:val="0"/>
                <w:color w:val="000000"/>
                <w:sz w:val="20"/>
                <w:szCs w:val="20"/>
                <w:u w:val="none"/>
              </w:rPr>
            </w:pPr>
          </w:p>
        </w:tc>
      </w:tr>
    </w:tbl>
    <w:p w14:paraId="09AA6D0D">
      <w:pPr>
        <w:pStyle w:val="5"/>
        <w:spacing w:after="0"/>
        <w:jc w:val="center"/>
        <w:rPr>
          <w:rFonts w:ascii="Times New Roman" w:hAnsi="Times New Roman"/>
          <w:color w:val="auto"/>
        </w:rPr>
      </w:pPr>
      <w:r>
        <w:rPr>
          <w:rFonts w:hint="eastAsia" w:ascii="Times New Roman" w:hAnsi="Times New Roman" w:eastAsia="宋体" w:cs="Times New Roman"/>
          <w:b/>
          <w:bCs/>
          <w:color w:val="auto"/>
          <w:kern w:val="2"/>
          <w:sz w:val="21"/>
          <w:szCs w:val="22"/>
          <w:lang w:val="en-US" w:eastAsia="zh-CN" w:bidi="ar-SA"/>
        </w:rPr>
        <w:t>备注：供应商需对以上全部内容报价，缺项漏项做否决处理。</w:t>
      </w:r>
      <w:r>
        <w:rPr>
          <w:rFonts w:hint="eastAsia" w:ascii="Times New Roman" w:hAnsi="Times New Roman"/>
          <w:color w:val="auto"/>
          <w:kern w:val="0"/>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57"/>
      <w:bookmarkEnd w:id="58"/>
    </w:p>
    <w:p w14:paraId="58F6963B">
      <w:pPr>
        <w:pStyle w:val="6"/>
        <w:spacing w:before="20" w:after="0"/>
        <w:ind w:firstLine="103"/>
        <w:rPr>
          <w:rFonts w:ascii="Times New Roman"/>
          <w:color w:val="auto"/>
          <w:sz w:val="32"/>
          <w:szCs w:val="32"/>
        </w:rPr>
      </w:pPr>
      <w:bookmarkStart w:id="59" w:name="_Toc13906"/>
      <w:bookmarkStart w:id="60" w:name="_Toc504488776"/>
      <w:r>
        <w:rPr>
          <w:rFonts w:hint="eastAsia" w:ascii="Times New Roman"/>
          <w:color w:val="auto"/>
          <w:sz w:val="32"/>
          <w:szCs w:val="32"/>
        </w:rPr>
        <w:t>（一）基本情况表</w:t>
      </w:r>
      <w:bookmarkEnd w:id="59"/>
      <w:bookmarkEnd w:id="60"/>
    </w:p>
    <w:tbl>
      <w:tblPr>
        <w:tblStyle w:val="11"/>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109"/>
        <w:gridCol w:w="2122"/>
      </w:tblGrid>
      <w:tr w14:paraId="61826D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7CC06D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9CE914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5C607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9E284B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882B19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13FFDC6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w:t>
            </w:r>
          </w:p>
          <w:p w14:paraId="4C61F3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p>
        </w:tc>
        <w:tc>
          <w:tcPr>
            <w:tcW w:w="2122" w:type="dxa"/>
            <w:tcBorders>
              <w:top w:val="single" w:color="auto" w:sz="4" w:space="0"/>
              <w:left w:val="single" w:color="auto" w:sz="4" w:space="0"/>
              <w:bottom w:val="single" w:color="auto" w:sz="4" w:space="0"/>
            </w:tcBorders>
            <w:noWrap w:val="0"/>
            <w:vAlign w:val="center"/>
          </w:tcPr>
          <w:p w14:paraId="6D9C5E4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1A6DC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EAEB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562E8A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71EE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exact"/>
        </w:trPr>
        <w:tc>
          <w:tcPr>
            <w:tcW w:w="2210" w:type="dxa"/>
            <w:tcBorders>
              <w:top w:val="single" w:color="auto" w:sz="4" w:space="0"/>
              <w:bottom w:val="single" w:color="auto" w:sz="4" w:space="0"/>
              <w:right w:val="single" w:color="auto" w:sz="4" w:space="0"/>
            </w:tcBorders>
            <w:noWrap w:val="0"/>
            <w:vAlign w:val="center"/>
          </w:tcPr>
          <w:p w14:paraId="59C3675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7F97FCC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6EFF24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w:t>
            </w:r>
          </w:p>
          <w:p w14:paraId="1FFBA2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总数</w:t>
            </w:r>
          </w:p>
        </w:tc>
        <w:tc>
          <w:tcPr>
            <w:tcW w:w="2122" w:type="dxa"/>
            <w:tcBorders>
              <w:top w:val="single" w:color="auto" w:sz="4" w:space="0"/>
              <w:left w:val="single" w:color="auto" w:sz="4" w:space="0"/>
              <w:bottom w:val="single" w:color="auto" w:sz="4" w:space="0"/>
            </w:tcBorders>
            <w:noWrap w:val="0"/>
            <w:vAlign w:val="center"/>
          </w:tcPr>
          <w:p w14:paraId="55220A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1F1CC1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51563FF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3F577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A84B2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3AD30D5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2122" w:type="dxa"/>
            <w:tcBorders>
              <w:top w:val="single" w:color="auto" w:sz="4" w:space="0"/>
              <w:left w:val="single" w:color="auto" w:sz="4" w:space="0"/>
              <w:bottom w:val="single" w:color="auto" w:sz="4" w:space="0"/>
            </w:tcBorders>
            <w:noWrap w:val="0"/>
            <w:vAlign w:val="center"/>
          </w:tcPr>
          <w:p w14:paraId="6DA9245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253FF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064D2FC">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5AE1E4D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547367B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5F35D80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2122" w:type="dxa"/>
            <w:tcBorders>
              <w:top w:val="single" w:color="auto" w:sz="4" w:space="0"/>
              <w:left w:val="single" w:color="auto" w:sz="4" w:space="0"/>
              <w:bottom w:val="single" w:color="auto" w:sz="4" w:space="0"/>
            </w:tcBorders>
            <w:noWrap w:val="0"/>
            <w:vAlign w:val="center"/>
          </w:tcPr>
          <w:p w14:paraId="4FBA159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2A2E63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exact"/>
        </w:trPr>
        <w:tc>
          <w:tcPr>
            <w:tcW w:w="2210" w:type="dxa"/>
            <w:tcBorders>
              <w:top w:val="single" w:color="auto" w:sz="4" w:space="0"/>
              <w:bottom w:val="single" w:color="auto" w:sz="4" w:space="0"/>
              <w:right w:val="single" w:color="auto" w:sz="4" w:space="0"/>
            </w:tcBorders>
            <w:noWrap w:val="0"/>
            <w:vAlign w:val="center"/>
          </w:tcPr>
          <w:p w14:paraId="2A3D55D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0FFB359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3F8A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FB5119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5358B60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2122" w:type="dxa"/>
            <w:tcBorders>
              <w:top w:val="single" w:color="auto" w:sz="4" w:space="0"/>
              <w:left w:val="single" w:color="auto" w:sz="4" w:space="0"/>
              <w:bottom w:val="single" w:color="auto" w:sz="4" w:space="0"/>
            </w:tcBorders>
            <w:noWrap w:val="0"/>
            <w:vAlign w:val="center"/>
          </w:tcPr>
          <w:p w14:paraId="327D81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3BD1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2" w:hRule="exact"/>
        </w:trPr>
        <w:tc>
          <w:tcPr>
            <w:tcW w:w="2210" w:type="dxa"/>
            <w:tcBorders>
              <w:top w:val="single" w:color="auto" w:sz="4" w:space="0"/>
              <w:bottom w:val="single" w:color="auto" w:sz="4" w:space="0"/>
              <w:right w:val="single" w:color="auto" w:sz="4" w:space="0"/>
            </w:tcBorders>
            <w:noWrap w:val="0"/>
            <w:vAlign w:val="center"/>
          </w:tcPr>
          <w:p w14:paraId="64B9BE5A">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C5F8654">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79F891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137A0F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4FC5A7F3">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001904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920F0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D2CF9A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77685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852D4C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6F2D7B3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AE88B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exact"/>
        </w:trPr>
        <w:tc>
          <w:tcPr>
            <w:tcW w:w="2210" w:type="dxa"/>
            <w:tcBorders>
              <w:top w:val="single" w:color="auto" w:sz="4" w:space="0"/>
              <w:right w:val="single" w:color="auto" w:sz="4" w:space="0"/>
            </w:tcBorders>
            <w:noWrap w:val="0"/>
            <w:vAlign w:val="center"/>
          </w:tcPr>
          <w:p w14:paraId="6F516B1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0076CE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2067DF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exact"/>
        </w:trPr>
        <w:tc>
          <w:tcPr>
            <w:tcW w:w="2210" w:type="dxa"/>
            <w:tcBorders>
              <w:top w:val="single" w:color="auto" w:sz="4" w:space="0"/>
              <w:bottom w:val="single" w:color="auto" w:sz="4" w:space="0"/>
              <w:right w:val="single" w:color="auto" w:sz="4" w:space="0"/>
            </w:tcBorders>
            <w:noWrap w:val="0"/>
            <w:vAlign w:val="center"/>
          </w:tcPr>
          <w:p w14:paraId="07BF961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23396F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6A561DB8">
      <w:pPr>
        <w:spacing w:line="360" w:lineRule="auto"/>
        <w:ind w:firstLine="480" w:firstLineChars="200"/>
        <w:rPr>
          <w:rFonts w:hint="eastAsia" w:ascii="宋体" w:hAnsi="宋体" w:eastAsia="宋体" w:cs="宋体"/>
          <w:color w:val="auto"/>
          <w:sz w:val="24"/>
          <w:szCs w:val="24"/>
        </w:rPr>
      </w:pPr>
    </w:p>
    <w:p w14:paraId="3C3DA961">
      <w:pPr>
        <w:spacing w:line="360" w:lineRule="auto"/>
        <w:rPr>
          <w:rFonts w:hint="eastAsia" w:ascii="宋体" w:hAnsi="宋体" w:eastAsia="宋体" w:cs="宋体"/>
          <w:b w:val="0"/>
          <w:bCs w:val="0"/>
          <w:color w:val="auto"/>
          <w:sz w:val="24"/>
          <w:szCs w:val="24"/>
        </w:rPr>
      </w:pPr>
    </w:p>
    <w:p w14:paraId="4B93D5C1">
      <w:pPr>
        <w:rPr>
          <w:b/>
          <w:color w:val="auto"/>
          <w:sz w:val="28"/>
          <w:szCs w:val="28"/>
        </w:rPr>
      </w:pPr>
      <w:r>
        <w:rPr>
          <w:rFonts w:hint="eastAsia" w:ascii="宋体" w:hAnsi="宋体" w:eastAsia="宋体" w:cs="宋体"/>
          <w:color w:val="auto"/>
          <w:sz w:val="24"/>
          <w:szCs w:val="24"/>
        </w:rPr>
        <w:br w:type="page"/>
      </w:r>
    </w:p>
    <w:p w14:paraId="7023B57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64B43030">
      <w:pPr>
        <w:spacing w:line="440" w:lineRule="exact"/>
        <w:ind w:firstLine="643" w:firstLineChars="200"/>
        <w:jc w:val="left"/>
        <w:rPr>
          <w:rFonts w:hint="eastAsia" w:ascii="仿宋" w:hAnsi="仿宋" w:eastAsia="仿宋" w:cs="仿宋"/>
          <w:b/>
          <w:color w:val="auto"/>
          <w:sz w:val="32"/>
          <w:szCs w:val="32"/>
          <w:u w:val="single"/>
        </w:rPr>
      </w:pPr>
    </w:p>
    <w:p w14:paraId="008A6EEF">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1C197D2A">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7AD34EBF">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6F6AEEA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54822B7A">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42BF137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57AD5887">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4E17E6C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2C59CAE2">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8D4BDBA">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658A08D6">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3D01781F">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76EE44A1">
      <w:pPr>
        <w:pStyle w:val="6"/>
        <w:ind w:firstLine="103"/>
        <w:rPr>
          <w:rFonts w:ascii="Times New Roman"/>
          <w:color w:val="auto"/>
          <w:sz w:val="32"/>
          <w:szCs w:val="32"/>
        </w:rPr>
      </w:pPr>
      <w:bookmarkStart w:id="61" w:name="_Toc504488778"/>
      <w:bookmarkStart w:id="62"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情况表</w:t>
      </w:r>
      <w:bookmarkEnd w:id="61"/>
      <w:bookmarkEnd w:id="62"/>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0E42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771B79C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BD39C03">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3DB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2AEE66C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2C88DD0B">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4DE1F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64632E9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2364B6EB">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198B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080BEEF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5677549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A60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0806B2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129EC95E">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3A0ECA6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D7C7D9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A6779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CA8703">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3A789EF">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3A0B7FE">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49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6081B03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1EF2A07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01DEDA5B">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38A440E3">
      <w:pPr>
        <w:spacing w:line="440" w:lineRule="exact"/>
        <w:ind w:firstLine="480" w:firstLineChars="200"/>
        <w:rPr>
          <w:color w:val="auto"/>
          <w:sz w:val="24"/>
          <w:szCs w:val="24"/>
        </w:rPr>
      </w:pPr>
    </w:p>
    <w:p w14:paraId="4A6CE294">
      <w:pPr>
        <w:topLinePunct/>
        <w:spacing w:line="440" w:lineRule="exact"/>
        <w:rPr>
          <w:rFonts w:hint="eastAsia" w:ascii="仿宋" w:hAnsi="仿宋" w:eastAsia="仿宋" w:cs="仿宋"/>
          <w:color w:val="auto"/>
          <w:sz w:val="32"/>
          <w:szCs w:val="32"/>
        </w:rPr>
      </w:pPr>
    </w:p>
    <w:p w14:paraId="5DB9A21F">
      <w:pPr>
        <w:pStyle w:val="5"/>
        <w:spacing w:line="400" w:lineRule="exact"/>
        <w:jc w:val="both"/>
        <w:rPr>
          <w:rFonts w:hint="eastAsia" w:ascii="Times New Roman" w:hAnsi="Times New Roman"/>
          <w:color w:val="auto"/>
          <w:lang w:val="en-US" w:eastAsia="zh-CN"/>
        </w:rPr>
      </w:pPr>
    </w:p>
    <w:p w14:paraId="66D812BD">
      <w:pPr>
        <w:pStyle w:val="5"/>
        <w:spacing w:line="400" w:lineRule="exact"/>
        <w:jc w:val="both"/>
        <w:rPr>
          <w:rFonts w:hint="eastAsia" w:ascii="Times New Roman" w:hAnsi="Times New Roman"/>
          <w:color w:val="auto"/>
          <w:lang w:val="en-US" w:eastAsia="zh-CN"/>
        </w:rPr>
      </w:pPr>
    </w:p>
    <w:p w14:paraId="4F2C95AE">
      <w:pPr>
        <w:pStyle w:val="5"/>
        <w:spacing w:line="400" w:lineRule="exact"/>
        <w:jc w:val="both"/>
        <w:rPr>
          <w:rFonts w:hint="eastAsia" w:ascii="Times New Roman" w:hAnsi="Times New Roman"/>
          <w:color w:val="auto"/>
          <w:lang w:val="en-US" w:eastAsia="zh-CN"/>
        </w:rPr>
      </w:pPr>
    </w:p>
    <w:p w14:paraId="38B83FA9">
      <w:pPr>
        <w:pStyle w:val="5"/>
        <w:spacing w:line="400" w:lineRule="exact"/>
        <w:jc w:val="both"/>
        <w:rPr>
          <w:rFonts w:hint="eastAsia" w:ascii="Times New Roman" w:hAnsi="Times New Roman"/>
          <w:color w:val="auto"/>
          <w:lang w:val="en-US" w:eastAsia="zh-CN"/>
        </w:rPr>
      </w:pPr>
    </w:p>
    <w:p w14:paraId="612720AE">
      <w:pPr>
        <w:pStyle w:val="5"/>
        <w:spacing w:line="400" w:lineRule="exact"/>
        <w:jc w:val="both"/>
        <w:rPr>
          <w:rFonts w:hint="eastAsia" w:ascii="Times New Roman" w:hAnsi="Times New Roman"/>
          <w:color w:val="auto"/>
          <w:lang w:val="en-US" w:eastAsia="zh-CN"/>
        </w:rPr>
      </w:pPr>
    </w:p>
    <w:p w14:paraId="7C4FFD3B">
      <w:pPr>
        <w:pStyle w:val="5"/>
        <w:spacing w:line="400" w:lineRule="exact"/>
        <w:jc w:val="both"/>
        <w:rPr>
          <w:rFonts w:hint="eastAsia" w:ascii="Times New Roman" w:hAnsi="Times New Roman"/>
          <w:color w:val="auto"/>
          <w:lang w:val="en-US" w:eastAsia="zh-CN"/>
        </w:rPr>
      </w:pPr>
    </w:p>
    <w:p w14:paraId="4FFAAFAD">
      <w:pPr>
        <w:pStyle w:val="5"/>
        <w:spacing w:line="400" w:lineRule="exact"/>
        <w:jc w:val="both"/>
        <w:rPr>
          <w:rFonts w:hint="eastAsia" w:ascii="Times New Roman" w:hAnsi="Times New Roman"/>
          <w:color w:val="auto"/>
          <w:lang w:val="en-US" w:eastAsia="zh-CN"/>
        </w:rPr>
      </w:pPr>
    </w:p>
    <w:p w14:paraId="39679440">
      <w:pPr>
        <w:rPr>
          <w:rFonts w:hint="eastAsia"/>
          <w:lang w:val="en-US" w:eastAsia="zh-CN"/>
        </w:rPr>
      </w:pPr>
    </w:p>
    <w:p w14:paraId="40495D7C">
      <w:pPr>
        <w:pStyle w:val="5"/>
        <w:spacing w:line="400" w:lineRule="exact"/>
        <w:jc w:val="both"/>
        <w:rPr>
          <w:rFonts w:hint="eastAsia" w:ascii="Times New Roman" w:hAnsi="Times New Roman"/>
          <w:color w:val="auto"/>
        </w:rPr>
      </w:pPr>
      <w:r>
        <w:rPr>
          <w:rFonts w:hint="eastAsia" w:ascii="Times New Roman" w:hAnsi="Times New Roman"/>
          <w:color w:val="auto"/>
          <w:lang w:val="en-US" w:eastAsia="zh-CN"/>
        </w:rPr>
        <w:t>七</w:t>
      </w:r>
      <w:r>
        <w:rPr>
          <w:rFonts w:hint="eastAsia" w:ascii="Times New Roman" w:hAnsi="Times New Roman"/>
          <w:color w:val="auto"/>
        </w:rPr>
        <w:t>、</w:t>
      </w:r>
      <w:r>
        <w:rPr>
          <w:rFonts w:hint="eastAsia" w:ascii="Times New Roman" w:hAnsi="Times New Roman"/>
          <w:color w:val="auto"/>
          <w:lang w:eastAsia="zh-CN"/>
        </w:rPr>
        <w:t>响应方案（</w:t>
      </w:r>
      <w:r>
        <w:rPr>
          <w:rFonts w:hint="eastAsia" w:ascii="Times New Roman" w:hAnsi="Times New Roman"/>
          <w:color w:val="auto"/>
          <w:lang w:val="en-US" w:eastAsia="zh-CN"/>
        </w:rPr>
        <w:t>如有</w:t>
      </w:r>
      <w:r>
        <w:rPr>
          <w:rFonts w:hint="eastAsia" w:ascii="Times New Roman" w:hAnsi="Times New Roman"/>
          <w:color w:val="auto"/>
          <w:lang w:eastAsia="zh-CN"/>
        </w:rPr>
        <w:t>）</w:t>
      </w:r>
    </w:p>
    <w:p w14:paraId="12B5B9EE">
      <w:pPr>
        <w:ind w:firstLine="5440" w:firstLineChars="1700"/>
        <w:rPr>
          <w:rFonts w:hint="eastAsia" w:ascii="仿宋" w:hAnsi="仿宋" w:eastAsia="仿宋" w:cs="仿宋"/>
          <w:color w:val="auto"/>
          <w:sz w:val="32"/>
          <w:szCs w:val="32"/>
        </w:rPr>
      </w:pPr>
    </w:p>
    <w:p w14:paraId="1284A72A">
      <w:pPr>
        <w:topLinePunct/>
        <w:spacing w:line="440" w:lineRule="exact"/>
        <w:ind w:firstLine="640" w:firstLineChars="200"/>
        <w:jc w:val="center"/>
        <w:rPr>
          <w:rFonts w:hint="eastAsia" w:ascii="仿宋" w:hAnsi="仿宋" w:eastAsia="仿宋" w:cs="仿宋"/>
          <w:color w:val="auto"/>
          <w:sz w:val="32"/>
          <w:szCs w:val="32"/>
        </w:rPr>
      </w:pPr>
      <w:r>
        <w:rPr>
          <w:rFonts w:hint="eastAsia" w:ascii="仿宋" w:hAnsi="仿宋" w:eastAsia="仿宋" w:cs="仿宋"/>
          <w:color w:val="auto"/>
          <w:sz w:val="32"/>
          <w:szCs w:val="32"/>
        </w:rPr>
        <w:t>（格式自拟）</w:t>
      </w:r>
    </w:p>
    <w:p w14:paraId="33CC5F15">
      <w:pPr>
        <w:topLinePunct/>
        <w:spacing w:line="440" w:lineRule="exact"/>
        <w:ind w:firstLine="640" w:firstLineChars="200"/>
        <w:jc w:val="center"/>
        <w:rPr>
          <w:rFonts w:hint="eastAsia" w:ascii="仿宋" w:hAnsi="仿宋" w:eastAsia="仿宋" w:cs="仿宋"/>
          <w:color w:val="auto"/>
          <w:sz w:val="32"/>
          <w:szCs w:val="32"/>
        </w:rPr>
      </w:pPr>
    </w:p>
    <w:p w14:paraId="09463039">
      <w:pPr>
        <w:topLinePunct/>
        <w:spacing w:line="440" w:lineRule="exact"/>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各单位结合</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及</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的商务、技术要求提供</w:t>
      </w:r>
      <w:bookmarkStart w:id="63" w:name="_Toc504488783"/>
      <w:bookmarkStart w:id="64" w:name="_Toc22199"/>
      <w:r>
        <w:rPr>
          <w:rFonts w:hint="eastAsia" w:ascii="仿宋" w:hAnsi="仿宋" w:eastAsia="仿宋" w:cs="仿宋"/>
          <w:color w:val="auto"/>
          <w:sz w:val="32"/>
          <w:szCs w:val="32"/>
          <w:lang w:eastAsia="zh-CN"/>
        </w:rPr>
        <w:t>。</w:t>
      </w:r>
    </w:p>
    <w:p w14:paraId="3E349804">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63"/>
    <w:bookmarkEnd w:id="64"/>
    <w:p w14:paraId="669148EC">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289D511F">
      <w:pPr>
        <w:rPr>
          <w:rFonts w:hint="eastAsia" w:ascii="Times New Roman" w:hAnsi="Times New Roman" w:eastAsia="黑体" w:cs="Times New Roman"/>
          <w:b/>
          <w:color w:val="auto"/>
          <w:kern w:val="2"/>
          <w:sz w:val="32"/>
          <w:szCs w:val="20"/>
          <w:lang w:val="en-US" w:eastAsia="zh-CN" w:bidi="ar-SA"/>
        </w:rPr>
      </w:pPr>
    </w:p>
    <w:p w14:paraId="7FBA8A93">
      <w:pPr>
        <w:jc w:val="center"/>
        <w:rPr>
          <w:color w:val="auto"/>
        </w:rPr>
      </w:pPr>
    </w:p>
    <w:p w14:paraId="09099D3B">
      <w:pPr>
        <w:rPr>
          <w:color w:val="auto"/>
        </w:rPr>
      </w:pPr>
    </w:p>
    <w:p w14:paraId="08CB969F">
      <w:pPr>
        <w:pStyle w:val="10"/>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1639A39A">
      <w:pPr>
        <w:pStyle w:val="10"/>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3FD93CF9">
      <w:pPr>
        <w:pStyle w:val="10"/>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r>
        <w:rPr>
          <w:rFonts w:hint="eastAsia" w:ascii="仿宋" w:hAnsi="仿宋" w:eastAsia="仿宋" w:cs="仿宋"/>
          <w:i w:val="0"/>
          <w:iCs w:val="0"/>
          <w:caps w:val="0"/>
          <w:color w:val="000000"/>
          <w:spacing w:val="0"/>
          <w:sz w:val="32"/>
          <w:szCs w:val="32"/>
        </w:rPr>
        <w:t> 陕西锌业有限公司</w:t>
      </w:r>
    </w:p>
    <w:p w14:paraId="768ED42D">
      <w:pPr>
        <w:pStyle w:val="10"/>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r>
        <w:rPr>
          <w:rFonts w:hint="eastAsia" w:ascii="仿宋" w:hAnsi="仿宋" w:eastAsia="仿宋" w:cs="仿宋"/>
          <w:i w:val="0"/>
          <w:iCs w:val="0"/>
          <w:caps w:val="0"/>
          <w:color w:val="000000"/>
          <w:spacing w:val="0"/>
          <w:sz w:val="32"/>
          <w:szCs w:val="32"/>
        </w:rPr>
        <w:t> 2025年</w:t>
      </w:r>
      <w:r>
        <w:rPr>
          <w:rFonts w:hint="eastAsia" w:ascii="仿宋" w:hAnsi="仿宋" w:eastAsia="仿宋" w:cs="仿宋"/>
          <w:i w:val="0"/>
          <w:iCs w:val="0"/>
          <w:caps w:val="0"/>
          <w:color w:val="000000"/>
          <w:spacing w:val="0"/>
          <w:sz w:val="32"/>
          <w:szCs w:val="32"/>
          <w:lang w:val="en-US" w:eastAsia="zh-CN"/>
        </w:rPr>
        <w:t xml:space="preserve">  </w:t>
      </w:r>
      <w:r>
        <w:rPr>
          <w:rFonts w:hint="eastAsia" w:ascii="仿宋" w:hAnsi="仿宋" w:eastAsia="仿宋" w:cs="仿宋"/>
          <w:i w:val="0"/>
          <w:iCs w:val="0"/>
          <w:caps w:val="0"/>
          <w:color w:val="000000"/>
          <w:spacing w:val="0"/>
          <w:sz w:val="32"/>
          <w:szCs w:val="32"/>
        </w:rPr>
        <w:t>月</w:t>
      </w:r>
      <w:r>
        <w:rPr>
          <w:rFonts w:hint="eastAsia" w:ascii="仿宋" w:hAnsi="仿宋" w:eastAsia="仿宋" w:cs="仿宋"/>
          <w:i w:val="0"/>
          <w:iCs w:val="0"/>
          <w:caps w:val="0"/>
          <w:color w:val="000000"/>
          <w:spacing w:val="0"/>
          <w:sz w:val="32"/>
          <w:szCs w:val="32"/>
          <w:lang w:val="en-US" w:eastAsia="zh-CN"/>
        </w:rPr>
        <w:t xml:space="preserve">  </w:t>
      </w:r>
      <w:r>
        <w:rPr>
          <w:rFonts w:hint="eastAsia" w:ascii="仿宋" w:hAnsi="仿宋" w:eastAsia="仿宋" w:cs="仿宋"/>
          <w:i w:val="0"/>
          <w:iCs w:val="0"/>
          <w:caps w:val="0"/>
          <w:color w:val="000000"/>
          <w:spacing w:val="0"/>
          <w:sz w:val="32"/>
          <w:szCs w:val="32"/>
        </w:rPr>
        <w:t>日</w:t>
      </w:r>
    </w:p>
    <w:p w14:paraId="039468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22DB23-78D0-43AE-8365-DEA9ED9FEB0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embedRegular r:id="rId2" w:fontKey="{DF0D5BE9-0229-4B2C-BEA2-995FF3DE7D2D}"/>
  </w:font>
  <w:font w:name="微软雅黑">
    <w:panose1 w:val="020B0503020204020204"/>
    <w:charset w:val="86"/>
    <w:family w:val="auto"/>
    <w:pitch w:val="default"/>
    <w:sig w:usb0="80000287" w:usb1="280F3C52" w:usb2="00000016" w:usb3="00000000" w:csb0="0004001F" w:csb1="00000000"/>
    <w:embedRegular r:id="rId3" w:fontKey="{831F2CCF-1E30-4E8E-A8B2-0BEC2C51B2EB}"/>
  </w:font>
  <w:font w:name="新宋体">
    <w:panose1 w:val="02010609030101010101"/>
    <w:charset w:val="86"/>
    <w:family w:val="modern"/>
    <w:pitch w:val="default"/>
    <w:sig w:usb0="00000003" w:usb1="288F0000" w:usb2="00000006" w:usb3="00000000" w:csb0="00040001" w:csb1="00000000"/>
    <w:embedRegular r:id="rId4" w:fontKey="{2E337B07-914D-4178-A506-2AFEB8F22A8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0088E">
    <w:pPr>
      <w:pStyle w:val="16"/>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A6A5FD">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3A6A5F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E55EC">
    <w:pPr>
      <w:pStyle w:val="21"/>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0B891D53">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AB3C2">
    <w:pPr>
      <w:pStyle w:val="2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A96B68"/>
    <w:rsid w:val="023E2922"/>
    <w:rsid w:val="0367685A"/>
    <w:rsid w:val="04E3112D"/>
    <w:rsid w:val="0598027F"/>
    <w:rsid w:val="063A3D8E"/>
    <w:rsid w:val="07746A18"/>
    <w:rsid w:val="0C2D1053"/>
    <w:rsid w:val="0D3F27E7"/>
    <w:rsid w:val="102F1EF5"/>
    <w:rsid w:val="11BF336F"/>
    <w:rsid w:val="130812F6"/>
    <w:rsid w:val="15350822"/>
    <w:rsid w:val="15D66E82"/>
    <w:rsid w:val="183B2A8F"/>
    <w:rsid w:val="19BF0744"/>
    <w:rsid w:val="19BF485E"/>
    <w:rsid w:val="1C12049E"/>
    <w:rsid w:val="1D3D3823"/>
    <w:rsid w:val="1E391A9E"/>
    <w:rsid w:val="1FBA4E97"/>
    <w:rsid w:val="21834158"/>
    <w:rsid w:val="21D271B9"/>
    <w:rsid w:val="22596EC8"/>
    <w:rsid w:val="226546C9"/>
    <w:rsid w:val="231A6A24"/>
    <w:rsid w:val="23B627F8"/>
    <w:rsid w:val="241430A6"/>
    <w:rsid w:val="27723730"/>
    <w:rsid w:val="27C22742"/>
    <w:rsid w:val="28D56A54"/>
    <w:rsid w:val="295F349E"/>
    <w:rsid w:val="2D664737"/>
    <w:rsid w:val="2E377F5E"/>
    <w:rsid w:val="2EB3170E"/>
    <w:rsid w:val="2F3063B0"/>
    <w:rsid w:val="2F9A5D59"/>
    <w:rsid w:val="31832E12"/>
    <w:rsid w:val="32932214"/>
    <w:rsid w:val="333D3C9C"/>
    <w:rsid w:val="339B5162"/>
    <w:rsid w:val="33D371CA"/>
    <w:rsid w:val="33FA37DC"/>
    <w:rsid w:val="34DD5644"/>
    <w:rsid w:val="3A242ACC"/>
    <w:rsid w:val="3A561988"/>
    <w:rsid w:val="3B882F0B"/>
    <w:rsid w:val="3C190507"/>
    <w:rsid w:val="3CB63F34"/>
    <w:rsid w:val="3FC05C00"/>
    <w:rsid w:val="41962306"/>
    <w:rsid w:val="427D180C"/>
    <w:rsid w:val="42A17DA3"/>
    <w:rsid w:val="42BA6F5D"/>
    <w:rsid w:val="433C5D1E"/>
    <w:rsid w:val="4549119F"/>
    <w:rsid w:val="460F14C8"/>
    <w:rsid w:val="47AC2D16"/>
    <w:rsid w:val="48AE4FC8"/>
    <w:rsid w:val="4B142AA2"/>
    <w:rsid w:val="4B896DF6"/>
    <w:rsid w:val="4CB27A82"/>
    <w:rsid w:val="4D66647C"/>
    <w:rsid w:val="509B2FD7"/>
    <w:rsid w:val="524F1A19"/>
    <w:rsid w:val="52786485"/>
    <w:rsid w:val="54853C7B"/>
    <w:rsid w:val="56F815DC"/>
    <w:rsid w:val="59434F3C"/>
    <w:rsid w:val="5B97061C"/>
    <w:rsid w:val="5BA83AF9"/>
    <w:rsid w:val="5C2B04AE"/>
    <w:rsid w:val="604313DE"/>
    <w:rsid w:val="626C7BB7"/>
    <w:rsid w:val="62FA1BE5"/>
    <w:rsid w:val="66452F0C"/>
    <w:rsid w:val="669232D9"/>
    <w:rsid w:val="67A04629"/>
    <w:rsid w:val="68754AC9"/>
    <w:rsid w:val="690364B0"/>
    <w:rsid w:val="69E314DA"/>
    <w:rsid w:val="69F446AA"/>
    <w:rsid w:val="6C994B32"/>
    <w:rsid w:val="6D102048"/>
    <w:rsid w:val="6E963AB6"/>
    <w:rsid w:val="700E0640"/>
    <w:rsid w:val="730F2B6D"/>
    <w:rsid w:val="76987E92"/>
    <w:rsid w:val="78430AA8"/>
    <w:rsid w:val="7F6F530B"/>
    <w:rsid w:val="7FD62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6">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paragraph" w:styleId="7">
    <w:name w:val="heading 4"/>
    <w:basedOn w:val="1"/>
    <w:next w:val="8"/>
    <w:qFormat/>
    <w:uiPriority w:val="0"/>
    <w:pPr>
      <w:ind w:left="966" w:hanging="490"/>
      <w:outlineLvl w:val="3"/>
    </w:pPr>
    <w:rPr>
      <w:rFonts w:ascii="Times New Roman" w:hAnsi="Times New Roman" w:eastAsia="宋体" w:cs="Times New Roman"/>
      <w:b/>
      <w:bCs/>
      <w:sz w:val="28"/>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line="600" w:lineRule="exact"/>
      <w:ind w:left="0" w:leftChars="0" w:firstLine="420" w:firstLineChars="200"/>
    </w:pPr>
  </w:style>
  <w:style w:type="paragraph" w:styleId="3">
    <w:name w:val="Body Text Indent"/>
    <w:basedOn w:val="1"/>
    <w:qFormat/>
    <w:uiPriority w:val="0"/>
    <w:pPr>
      <w:widowControl/>
      <w:spacing w:after="50" w:afterLines="50" w:line="360" w:lineRule="auto"/>
      <w:ind w:firstLine="600" w:firstLineChars="250"/>
      <w:jc w:val="left"/>
    </w:pPr>
    <w:rPr>
      <w:rFonts w:eastAsia="楷体_GB2312"/>
      <w:kern w:val="0"/>
      <w:sz w:val="24"/>
      <w:szCs w:val="20"/>
    </w:rPr>
  </w:style>
  <w:style w:type="paragraph" w:styleId="8">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9">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6">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7">
    <w:name w:val="font71"/>
    <w:basedOn w:val="12"/>
    <w:qFormat/>
    <w:uiPriority w:val="0"/>
    <w:rPr>
      <w:rFonts w:hint="eastAsia" w:ascii="宋体" w:hAnsi="宋体" w:eastAsia="宋体" w:cs="宋体"/>
      <w:b/>
      <w:bCs/>
      <w:color w:val="000000"/>
      <w:sz w:val="24"/>
      <w:szCs w:val="24"/>
      <w:u w:val="none"/>
    </w:rPr>
  </w:style>
  <w:style w:type="character" w:customStyle="1" w:styleId="18">
    <w:name w:val="font81"/>
    <w:basedOn w:val="12"/>
    <w:qFormat/>
    <w:uiPriority w:val="0"/>
    <w:rPr>
      <w:rFonts w:hint="eastAsia" w:ascii="宋体" w:hAnsi="宋体" w:eastAsia="宋体" w:cs="宋体"/>
      <w:color w:val="000000"/>
      <w:sz w:val="24"/>
      <w:szCs w:val="24"/>
      <w:u w:val="none"/>
    </w:rPr>
  </w:style>
  <w:style w:type="character" w:customStyle="1" w:styleId="19">
    <w:name w:val="font91"/>
    <w:basedOn w:val="12"/>
    <w:qFormat/>
    <w:uiPriority w:val="0"/>
    <w:rPr>
      <w:rFonts w:hint="eastAsia" w:ascii="宋体" w:hAnsi="宋体" w:eastAsia="宋体" w:cs="宋体"/>
      <w:color w:val="000000"/>
      <w:sz w:val="21"/>
      <w:szCs w:val="21"/>
      <w:u w:val="none"/>
    </w:rPr>
  </w:style>
  <w:style w:type="paragraph" w:customStyle="1" w:styleId="20">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1">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2">
    <w:name w:val="Page Number1"/>
    <w:basedOn w:val="12"/>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4243</Words>
  <Characters>4374</Characters>
  <Lines>0</Lines>
  <Paragraphs>0</Paragraphs>
  <TotalTime>3</TotalTime>
  <ScaleCrop>false</ScaleCrop>
  <LinksUpToDate>false</LinksUpToDate>
  <CharactersWithSpaces>4792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王鹏</cp:lastModifiedBy>
  <cp:lastPrinted>2025-09-24T01:48:00Z</cp:lastPrinted>
  <dcterms:modified xsi:type="dcterms:W3CDTF">2026-02-24T03:37:54Z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BE80A878CDDC43B0978993DA9F15D8A1_13</vt:lpwstr>
  </property>
  <property fmtid="{D5CDD505-2E9C-101B-9397-08002B2CF9AE}" pid="4" name="KSOTemplateDocerSaveRecord">
    <vt:lpwstr>eyJoZGlkIjoiYTA3MzI2Nzc1YzE5N2UxZGM0ZDAwZjcyOTA5NTdjM2IiLCJ1c2VySWQiOiIxNTczNjAzNjMwIn0=</vt:lpwstr>
  </property>
</Properties>
</file>