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等线" w:cs="Times New Roman"/>
          <w:color w:val="auto"/>
          <w:sz w:val="32"/>
        </w:rPr>
      </w:pPr>
      <w:bookmarkStart w:id="0" w:name="OLE_LINK1"/>
      <w:bookmarkStart w:id="1" w:name="OLE_LINK2"/>
      <w:r>
        <w:rPr>
          <w:rFonts w:ascii="Times New Roman" w:hAnsi="Times New Roman" w:eastAsia="方正小标宋简体" w:cs="Times New Roman"/>
          <w:bCs/>
          <w:color w:val="auto"/>
          <w:kern w:val="44"/>
          <w:sz w:val="44"/>
          <w:szCs w:val="44"/>
        </w:rPr>
        <w:t>采办计划公告</w:t>
      </w:r>
    </w:p>
    <w:p>
      <w:pPr>
        <w:tabs>
          <w:tab w:val="left" w:pos="993"/>
          <w:tab w:val="left" w:pos="1134"/>
          <w:tab w:val="left" w:pos="1418"/>
        </w:tabs>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为便于供应商及时了解项目采办信息，现将</w:t>
      </w:r>
      <w:r>
        <w:rPr>
          <w:rFonts w:ascii="Times New Roman" w:hAnsi="Times New Roman" w:eastAsia="仿宋_GB2312" w:cs="Times New Roman"/>
          <w:color w:val="auto"/>
          <w:sz w:val="32"/>
          <w:szCs w:val="32"/>
          <w:u w:val="single"/>
        </w:rPr>
        <w:t>（</w:t>
      </w:r>
      <w:r>
        <w:rPr>
          <w:rFonts w:hint="eastAsia" w:ascii="Times New Roman" w:hAnsi="Times New Roman" w:eastAsia="仿宋_GB2312" w:cs="Times New Roman"/>
          <w:color w:val="auto"/>
          <w:sz w:val="32"/>
          <w:szCs w:val="32"/>
          <w:u w:val="single"/>
          <w:lang w:eastAsia="zh-CN"/>
        </w:rPr>
        <w:t>海油发展-化工品类部-</w:t>
      </w:r>
      <w:r>
        <w:rPr>
          <w:rFonts w:hint="eastAsia" w:ascii="Times New Roman" w:hAnsi="Times New Roman" w:eastAsia="仿宋_GB2312" w:cs="Times New Roman"/>
          <w:color w:val="auto"/>
          <w:sz w:val="32"/>
          <w:szCs w:val="32"/>
          <w:u w:val="single"/>
          <w:lang w:val="en-US" w:eastAsia="zh-CN"/>
        </w:rPr>
        <w:t>工程技术公司2026-2027年度仲烷基磺酸钠采购专有协议</w:t>
      </w:r>
      <w:r>
        <w:rPr>
          <w:rFonts w:ascii="Times New Roman" w:hAnsi="Times New Roman" w:eastAsia="仿宋_GB2312" w:cs="Times New Roman"/>
          <w:color w:val="auto"/>
          <w:sz w:val="32"/>
          <w:szCs w:val="32"/>
          <w:u w:val="single"/>
        </w:rPr>
        <w:t>）</w:t>
      </w:r>
      <w:r>
        <w:rPr>
          <w:rFonts w:ascii="Times New Roman" w:hAnsi="Times New Roman" w:eastAsia="仿宋_GB2312" w:cs="Times New Roman"/>
          <w:color w:val="auto"/>
          <w:sz w:val="32"/>
          <w:szCs w:val="32"/>
        </w:rPr>
        <w:t>的采办计划公开如下：</w:t>
      </w:r>
    </w:p>
    <w:tbl>
      <w:tblPr>
        <w:tblStyle w:val="20"/>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2250"/>
        <w:gridCol w:w="1710"/>
        <w:gridCol w:w="2255"/>
        <w:gridCol w:w="1843"/>
        <w:gridCol w:w="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序号</w:t>
            </w:r>
          </w:p>
        </w:tc>
        <w:tc>
          <w:tcPr>
            <w:tcW w:w="2250"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采办包</w:t>
            </w:r>
          </w:p>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名称</w:t>
            </w:r>
          </w:p>
        </w:tc>
        <w:tc>
          <w:tcPr>
            <w:tcW w:w="1710"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采购范围与主要技术指标</w:t>
            </w:r>
          </w:p>
        </w:tc>
        <w:tc>
          <w:tcPr>
            <w:tcW w:w="2255"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预计发标时间</w:t>
            </w:r>
          </w:p>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（填写到月）</w:t>
            </w:r>
          </w:p>
        </w:tc>
        <w:tc>
          <w:tcPr>
            <w:tcW w:w="1843"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供应商资质基本要求</w:t>
            </w:r>
          </w:p>
        </w:tc>
        <w:tc>
          <w:tcPr>
            <w:tcW w:w="538"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477" w:type="dxa"/>
            <w:vAlign w:val="center"/>
          </w:tcPr>
          <w:p>
            <w:pPr>
              <w:ind w:firstLine="480" w:firstLineChars="200"/>
              <w:rPr>
                <w:rFonts w:ascii="Times New Roman" w:hAnsi="Times New Roman" w:eastAsia="仿宋" w:cs="Times New Roman"/>
                <w:color w:val="auto"/>
                <w:kern w:val="0"/>
                <w:sz w:val="24"/>
                <w:szCs w:val="24"/>
              </w:rPr>
            </w:pPr>
          </w:p>
        </w:tc>
        <w:tc>
          <w:tcPr>
            <w:tcW w:w="2250" w:type="dxa"/>
            <w:vAlign w:val="center"/>
          </w:tcPr>
          <w:p>
            <w:pPr>
              <w:jc w:val="left"/>
              <w:rPr>
                <w:rFonts w:hint="eastAsia" w:ascii="Times New Roman" w:hAnsi="Times New Roman" w:eastAsia="仿宋" w:cs="Times New Roman"/>
                <w:color w:val="auto"/>
                <w:kern w:val="0"/>
                <w:sz w:val="24"/>
                <w:szCs w:val="24"/>
                <w:u w:val="single"/>
                <w:lang w:eastAsia="zh-CN"/>
              </w:rPr>
            </w:pPr>
            <w:r>
              <w:rPr>
                <w:rFonts w:hint="eastAsia" w:ascii="Times New Roman" w:hAnsi="Times New Roman" w:eastAsia="仿宋" w:cs="Times New Roman"/>
                <w:color w:val="auto"/>
                <w:kern w:val="0"/>
                <w:sz w:val="24"/>
                <w:szCs w:val="24"/>
                <w:u w:val="single"/>
                <w:lang w:eastAsia="zh-CN"/>
              </w:rPr>
              <w:t>海油发展-化工品类部-工程技术公司202</w:t>
            </w:r>
            <w:r>
              <w:rPr>
                <w:rFonts w:hint="eastAsia" w:ascii="Times New Roman" w:hAnsi="Times New Roman" w:eastAsia="仿宋" w:cs="Times New Roman"/>
                <w:color w:val="auto"/>
                <w:kern w:val="0"/>
                <w:sz w:val="24"/>
                <w:szCs w:val="24"/>
                <w:u w:val="single"/>
                <w:lang w:val="en-US" w:eastAsia="zh-CN"/>
              </w:rPr>
              <w:t>6</w:t>
            </w:r>
            <w:r>
              <w:rPr>
                <w:rFonts w:hint="eastAsia" w:ascii="Times New Roman" w:hAnsi="Times New Roman" w:eastAsia="仿宋" w:cs="Times New Roman"/>
                <w:color w:val="auto"/>
                <w:kern w:val="0"/>
                <w:sz w:val="24"/>
                <w:szCs w:val="24"/>
                <w:u w:val="single"/>
                <w:lang w:eastAsia="zh-CN"/>
              </w:rPr>
              <w:t>-202</w:t>
            </w:r>
            <w:r>
              <w:rPr>
                <w:rFonts w:hint="eastAsia" w:ascii="Times New Roman" w:hAnsi="Times New Roman" w:eastAsia="仿宋" w:cs="Times New Roman"/>
                <w:color w:val="auto"/>
                <w:kern w:val="0"/>
                <w:sz w:val="24"/>
                <w:szCs w:val="24"/>
                <w:u w:val="single"/>
                <w:lang w:val="en-US" w:eastAsia="zh-CN"/>
              </w:rPr>
              <w:t>7</w:t>
            </w:r>
            <w:r>
              <w:rPr>
                <w:rFonts w:hint="eastAsia" w:ascii="Times New Roman" w:hAnsi="Times New Roman" w:eastAsia="仿宋" w:cs="Times New Roman"/>
                <w:color w:val="auto"/>
                <w:kern w:val="0"/>
                <w:sz w:val="24"/>
                <w:szCs w:val="24"/>
                <w:u w:val="single"/>
                <w:lang w:eastAsia="zh-CN"/>
              </w:rPr>
              <w:t>年度仲烷基磺酸钠采购专有协议</w:t>
            </w:r>
          </w:p>
        </w:tc>
        <w:tc>
          <w:tcPr>
            <w:tcW w:w="1710" w:type="dxa"/>
            <w:vAlign w:val="center"/>
          </w:tcPr>
          <w:p>
            <w:pPr>
              <w:rPr>
                <w:rFonts w:ascii="Times New Roman" w:hAnsi="Times New Roman" w:eastAsia="仿宋" w:cs="Times New Roman"/>
                <w:color w:val="auto"/>
                <w:kern w:val="0"/>
                <w:sz w:val="24"/>
                <w:szCs w:val="24"/>
                <w:u w:val="single"/>
              </w:rPr>
            </w:pPr>
            <w:r>
              <w:rPr>
                <w:rFonts w:hint="eastAsia" w:ascii="Times New Roman" w:hAnsi="Times New Roman" w:eastAsia="仿宋" w:cs="Times New Roman"/>
                <w:color w:val="auto"/>
                <w:kern w:val="0"/>
                <w:sz w:val="24"/>
                <w:szCs w:val="24"/>
                <w:u w:val="single"/>
              </w:rPr>
              <w:t>详见附件</w:t>
            </w:r>
            <w:r>
              <w:rPr>
                <w:rFonts w:ascii="Times New Roman" w:hAnsi="Times New Roman" w:eastAsia="仿宋" w:cs="Times New Roman"/>
                <w:color w:val="auto"/>
                <w:kern w:val="0"/>
                <w:sz w:val="24"/>
                <w:szCs w:val="24"/>
                <w:u w:val="single"/>
              </w:rPr>
              <w:t>1。</w:t>
            </w:r>
          </w:p>
        </w:tc>
        <w:tc>
          <w:tcPr>
            <w:tcW w:w="2255" w:type="dxa"/>
            <w:vAlign w:val="center"/>
          </w:tcPr>
          <w:p>
            <w:pPr>
              <w:rPr>
                <w:rFonts w:ascii="Times New Roman" w:hAnsi="Times New Roman" w:eastAsia="仿宋" w:cs="Times New Roman"/>
                <w:color w:val="auto"/>
                <w:kern w:val="0"/>
                <w:sz w:val="24"/>
                <w:szCs w:val="24"/>
                <w:u w:val="single"/>
              </w:rPr>
            </w:pPr>
            <w:r>
              <w:rPr>
                <w:rFonts w:ascii="Times New Roman" w:hAnsi="Times New Roman" w:eastAsia="仿宋" w:cs="Times New Roman"/>
                <w:color w:val="auto"/>
                <w:kern w:val="0"/>
                <w:sz w:val="24"/>
                <w:szCs w:val="24"/>
                <w:u w:val="single"/>
              </w:rPr>
              <w:t>（202</w:t>
            </w:r>
            <w:r>
              <w:rPr>
                <w:rFonts w:hint="eastAsia" w:ascii="Times New Roman" w:hAnsi="Times New Roman" w:eastAsia="仿宋" w:cs="Times New Roman"/>
                <w:color w:val="auto"/>
                <w:kern w:val="0"/>
                <w:sz w:val="24"/>
                <w:szCs w:val="24"/>
                <w:u w:val="single"/>
                <w:lang w:val="en-US" w:eastAsia="zh-CN"/>
              </w:rPr>
              <w:t>6</w:t>
            </w:r>
            <w:r>
              <w:rPr>
                <w:rFonts w:hint="eastAsia" w:ascii="Times New Roman" w:hAnsi="Times New Roman" w:eastAsia="仿宋" w:cs="Times New Roman"/>
                <w:color w:val="auto"/>
                <w:kern w:val="0"/>
                <w:sz w:val="24"/>
                <w:szCs w:val="24"/>
                <w:u w:val="single"/>
              </w:rPr>
              <w:t>．</w:t>
            </w:r>
            <w:bookmarkStart w:id="17" w:name="_GoBack"/>
            <w:bookmarkEnd w:id="17"/>
            <w:r>
              <w:rPr>
                <w:rFonts w:hint="eastAsia" w:ascii="Times New Roman" w:hAnsi="Times New Roman" w:eastAsia="仿宋" w:cs="Times New Roman"/>
                <w:color w:val="auto"/>
                <w:kern w:val="0"/>
                <w:sz w:val="24"/>
                <w:szCs w:val="24"/>
                <w:u w:val="single"/>
                <w:lang w:val="en-US" w:eastAsia="zh-CN"/>
              </w:rPr>
              <w:t>1</w:t>
            </w:r>
            <w:r>
              <w:rPr>
                <w:rFonts w:ascii="Times New Roman" w:hAnsi="Times New Roman" w:eastAsia="仿宋" w:cs="Times New Roman"/>
                <w:color w:val="auto"/>
                <w:kern w:val="0"/>
                <w:sz w:val="24"/>
                <w:szCs w:val="24"/>
                <w:u w:val="single"/>
              </w:rPr>
              <w:t>）</w:t>
            </w:r>
          </w:p>
        </w:tc>
        <w:tc>
          <w:tcPr>
            <w:tcW w:w="1843" w:type="dxa"/>
            <w:vAlign w:val="center"/>
          </w:tcPr>
          <w:p>
            <w:pPr>
              <w:rPr>
                <w:rFonts w:ascii="Times New Roman" w:hAnsi="Times New Roman" w:eastAsia="仿宋" w:cs="Times New Roman"/>
                <w:color w:val="auto"/>
                <w:kern w:val="0"/>
                <w:sz w:val="24"/>
                <w:szCs w:val="24"/>
                <w:u w:val="single"/>
              </w:rPr>
            </w:pPr>
            <w:r>
              <w:rPr>
                <w:rFonts w:hint="eastAsia" w:ascii="Times New Roman" w:hAnsi="Times New Roman" w:eastAsia="仿宋" w:cs="Times New Roman"/>
                <w:color w:val="auto"/>
                <w:kern w:val="0"/>
                <w:sz w:val="24"/>
                <w:szCs w:val="24"/>
                <w:u w:val="single"/>
              </w:rPr>
              <w:t>详见附件2</w:t>
            </w:r>
          </w:p>
        </w:tc>
        <w:tc>
          <w:tcPr>
            <w:tcW w:w="538" w:type="dxa"/>
            <w:vAlign w:val="center"/>
          </w:tcPr>
          <w:p>
            <w:pPr>
              <w:rPr>
                <w:rFonts w:ascii="Times New Roman" w:hAnsi="Times New Roman" w:eastAsia="仿宋" w:cs="Times New Roman"/>
                <w:color w:val="auto"/>
                <w:kern w:val="0"/>
                <w:sz w:val="24"/>
                <w:szCs w:val="24"/>
                <w:u w:val="single"/>
              </w:rPr>
            </w:pPr>
          </w:p>
        </w:tc>
      </w:tr>
    </w:tbl>
    <w:p>
      <w:pPr>
        <w:tabs>
          <w:tab w:val="left" w:pos="993"/>
          <w:tab w:val="left" w:pos="1134"/>
          <w:tab w:val="left" w:pos="1418"/>
        </w:tabs>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本次公开的采办计划是本项目采办工作的初步安排，实际采购</w:t>
      </w:r>
      <w:r>
        <w:rPr>
          <w:rFonts w:hint="eastAsia" w:ascii="Times New Roman" w:hAnsi="Times New Roman" w:eastAsia="仿宋_GB2312" w:cs="Times New Roman"/>
          <w:color w:val="auto"/>
          <w:sz w:val="32"/>
          <w:szCs w:val="32"/>
        </w:rPr>
        <w:t>相关事宜</w:t>
      </w:r>
      <w:r>
        <w:rPr>
          <w:rFonts w:ascii="Times New Roman" w:hAnsi="Times New Roman" w:eastAsia="仿宋_GB2312" w:cs="Times New Roman"/>
          <w:color w:val="auto"/>
          <w:sz w:val="32"/>
          <w:szCs w:val="32"/>
        </w:rPr>
        <w:t>应以</w:t>
      </w:r>
      <w:r>
        <w:rPr>
          <w:rFonts w:hint="eastAsia" w:ascii="Times New Roman" w:hAnsi="Times New Roman" w:eastAsia="仿宋_GB2312" w:cs="Times New Roman"/>
          <w:color w:val="auto"/>
          <w:sz w:val="32"/>
          <w:szCs w:val="32"/>
        </w:rPr>
        <w:t>后续</w:t>
      </w:r>
      <w:r>
        <w:rPr>
          <w:rFonts w:ascii="Times New Roman" w:hAnsi="Times New Roman" w:eastAsia="仿宋_GB2312" w:cs="Times New Roman"/>
          <w:color w:val="auto"/>
          <w:sz w:val="32"/>
          <w:szCs w:val="32"/>
        </w:rPr>
        <w:t>相关采购公告和采购文件为准，本次公开的采办计划所有提供和反馈的信息只作为项目采办参考。</w:t>
      </w:r>
    </w:p>
    <w:p>
      <w:pPr>
        <w:tabs>
          <w:tab w:val="left" w:pos="993"/>
          <w:tab w:val="left" w:pos="1134"/>
          <w:tab w:val="left" w:pos="1418"/>
        </w:tabs>
        <w:spacing w:line="560" w:lineRule="exact"/>
        <w:ind w:firstLine="640" w:firstLineChars="200"/>
        <w:rPr>
          <w:rFonts w:ascii="Times New Roman" w:hAnsi="Times New Roman" w:eastAsia="仿宋" w:cs="Times New Roman"/>
          <w:color w:val="auto"/>
          <w:sz w:val="28"/>
          <w:szCs w:val="28"/>
        </w:rPr>
      </w:pPr>
      <w:r>
        <w:rPr>
          <w:rFonts w:ascii="Times New Roman" w:hAnsi="Times New Roman" w:eastAsia="仿宋_GB2312" w:cs="Times New Roman"/>
          <w:color w:val="auto"/>
          <w:sz w:val="32"/>
          <w:szCs w:val="32"/>
        </w:rPr>
        <w:t>本次公告有效期是（202</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日）至（202</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12</w:t>
      </w:r>
      <w:r>
        <w:rPr>
          <w:rFonts w:ascii="Times New Roman" w:hAnsi="Times New Roman" w:eastAsia="仿宋_GB2312" w:cs="Times New Roman"/>
          <w:color w:val="auto"/>
          <w:sz w:val="32"/>
          <w:szCs w:val="32"/>
        </w:rPr>
        <w:t>日）止。在此期间，</w:t>
      </w:r>
      <w:r>
        <w:rPr>
          <w:rFonts w:hint="eastAsia" w:ascii="Times New Roman" w:hAnsi="Times New Roman" w:eastAsia="仿宋_GB2312" w:cs="Times New Roman"/>
          <w:color w:val="auto"/>
          <w:sz w:val="32"/>
          <w:szCs w:val="32"/>
        </w:rPr>
        <w:t>有</w:t>
      </w:r>
      <w:r>
        <w:rPr>
          <w:rFonts w:hint="eastAsia" w:ascii="Times New Roman" w:hAnsi="Times New Roman" w:eastAsia="仿宋_GB2312" w:cs="Times New Roman"/>
          <w:color w:val="auto"/>
          <w:sz w:val="32"/>
          <w:szCs w:val="32"/>
          <w:lang w:val="en-US" w:eastAsia="zh-CN"/>
        </w:rPr>
        <w:t>可提供</w:t>
      </w:r>
      <w:r>
        <w:rPr>
          <w:rFonts w:hint="eastAsia" w:ascii="Times New Roman" w:hAnsi="Times New Roman" w:eastAsia="仿宋_GB2312" w:cs="Times New Roman"/>
          <w:b/>
          <w:bCs/>
          <w:color w:val="auto"/>
          <w:sz w:val="32"/>
          <w:szCs w:val="32"/>
          <w:u w:val="single"/>
          <w:lang w:val="en-US" w:eastAsia="zh-CN"/>
        </w:rPr>
        <w:t>仲烷基磺酸钠</w:t>
      </w:r>
      <w:r>
        <w:rPr>
          <w:rFonts w:hint="eastAsia" w:ascii="Times New Roman" w:hAnsi="Times New Roman" w:eastAsia="仿宋_GB2312" w:cs="Times New Roman"/>
          <w:color w:val="auto"/>
          <w:sz w:val="32"/>
          <w:szCs w:val="32"/>
        </w:rPr>
        <w:t>的系统用户可在集团公司采办系统中提交反馈材料。（详细内容请见附件1、2）。</w:t>
      </w:r>
    </w:p>
    <w:p>
      <w:pPr>
        <w:tabs>
          <w:tab w:val="left" w:pos="993"/>
          <w:tab w:val="left" w:pos="1134"/>
          <w:tab w:val="left" w:pos="1418"/>
        </w:tabs>
        <w:spacing w:line="600" w:lineRule="exact"/>
        <w:ind w:right="480" w:firstLine="960" w:firstLineChars="300"/>
        <w:jc w:val="righ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中海油能源发展股份有限公司</w:t>
      </w:r>
    </w:p>
    <w:p>
      <w:pPr>
        <w:tabs>
          <w:tab w:val="left" w:pos="993"/>
          <w:tab w:val="left" w:pos="1134"/>
          <w:tab w:val="left" w:pos="1418"/>
        </w:tabs>
        <w:spacing w:line="600" w:lineRule="exact"/>
        <w:ind w:right="480" w:firstLine="960" w:firstLineChars="3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采办共享中心</w:t>
      </w:r>
    </w:p>
    <w:p>
      <w:pPr>
        <w:tabs>
          <w:tab w:val="left" w:pos="993"/>
          <w:tab w:val="left" w:pos="1134"/>
          <w:tab w:val="left" w:pos="1418"/>
        </w:tabs>
        <w:spacing w:line="600" w:lineRule="exact"/>
        <w:ind w:right="1120" w:firstLine="960" w:firstLineChars="300"/>
        <w:jc w:val="righ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日</w:t>
      </w:r>
    </w:p>
    <w:p>
      <w:pPr>
        <w:tabs>
          <w:tab w:val="left" w:pos="993"/>
          <w:tab w:val="left" w:pos="1134"/>
          <w:tab w:val="left" w:pos="1418"/>
        </w:tabs>
        <w:spacing w:line="600" w:lineRule="exact"/>
        <w:ind w:right="1120"/>
        <w:jc w:val="left"/>
        <w:rPr>
          <w:rFonts w:hint="eastAsia" w:ascii="仿宋_GB2312" w:hAnsi="宋体" w:eastAsia="仿宋_GB2312" w:cs="仿宋_GB2312"/>
          <w:i w:val="0"/>
          <w:iCs w:val="0"/>
          <w:caps w:val="0"/>
          <w:spacing w:val="0"/>
          <w:sz w:val="32"/>
          <w:szCs w:val="32"/>
          <w:lang w:val="en-US" w:eastAsia="zh-CN"/>
        </w:rPr>
      </w:pPr>
      <w:r>
        <w:rPr>
          <w:rFonts w:hint="eastAsia" w:ascii="仿宋_GB2312" w:hAnsi="宋体" w:eastAsia="仿宋_GB2312" w:cs="仿宋_GB2312"/>
          <w:i w:val="0"/>
          <w:iCs w:val="0"/>
          <w:caps w:val="0"/>
          <w:spacing w:val="0"/>
          <w:sz w:val="32"/>
          <w:szCs w:val="32"/>
          <w:lang w:val="en-US" w:eastAsia="zh-CN"/>
        </w:rPr>
        <w:t>商务联系人：王莫飞，电话：02225801305</w:t>
      </w:r>
    </w:p>
    <w:p>
      <w:pPr>
        <w:tabs>
          <w:tab w:val="left" w:pos="993"/>
          <w:tab w:val="left" w:pos="1134"/>
          <w:tab w:val="left" w:pos="1418"/>
        </w:tabs>
        <w:spacing w:line="600" w:lineRule="exact"/>
        <w:ind w:right="1120"/>
        <w:jc w:val="left"/>
        <w:rPr>
          <w:rFonts w:ascii="Times New Roman" w:hAnsi="Times New Roman" w:eastAsia="仿宋_GB2312" w:cs="Times New Roman"/>
          <w:color w:val="auto"/>
          <w:sz w:val="32"/>
          <w:szCs w:val="32"/>
        </w:rPr>
      </w:pPr>
      <w:r>
        <w:rPr>
          <w:rFonts w:hint="eastAsia" w:ascii="仿宋_GB2312" w:hAnsi="宋体" w:eastAsia="仿宋_GB2312" w:cs="仿宋_GB2312"/>
          <w:i w:val="0"/>
          <w:iCs w:val="0"/>
          <w:caps w:val="0"/>
          <w:spacing w:val="0"/>
          <w:sz w:val="32"/>
          <w:szCs w:val="32"/>
          <w:lang w:val="en-US" w:eastAsia="zh-CN"/>
        </w:rPr>
        <w:t>邮箱：wangmf2@cnooc.com.cn</w:t>
      </w:r>
      <w:r>
        <w:rPr>
          <w:rFonts w:ascii="仿宋_GB2312" w:hAnsi="宋体" w:eastAsia="仿宋_GB2312" w:cs="仿宋_GB2312"/>
          <w:i w:val="0"/>
          <w:iCs w:val="0"/>
          <w:caps w:val="0"/>
          <w:spacing w:val="0"/>
          <w:sz w:val="32"/>
          <w:szCs w:val="32"/>
        </w:rPr>
        <w:t xml:space="preserve">  </w:t>
      </w:r>
      <w:r>
        <w:rPr>
          <w:rFonts w:ascii="Times New Roman" w:hAnsi="Times New Roman" w:eastAsia="仿宋_GB2312" w:cs="Times New Roman"/>
          <w:color w:val="auto"/>
          <w:sz w:val="32"/>
          <w:szCs w:val="32"/>
        </w:rPr>
        <w:t xml:space="preserve"> </w:t>
      </w:r>
    </w:p>
    <w:bookmarkEnd w:id="0"/>
    <w:p>
      <w:pPr>
        <w:tabs>
          <w:tab w:val="left" w:pos="993"/>
          <w:tab w:val="left" w:pos="1134"/>
          <w:tab w:val="left" w:pos="1418"/>
        </w:tabs>
        <w:spacing w:line="600" w:lineRule="exact"/>
        <w:ind w:right="1120"/>
        <w:jc w:val="both"/>
        <w:rPr>
          <w:rFonts w:ascii="Times New Roman" w:hAnsi="Times New Roman" w:eastAsia="仿宋_GB2312" w:cs="Times New Roman"/>
          <w:color w:val="auto"/>
          <w:sz w:val="32"/>
          <w:szCs w:val="32"/>
        </w:rPr>
      </w:pPr>
      <w:r>
        <w:rPr>
          <w:rFonts w:ascii="仿宋_GB2312" w:hAnsi="宋体" w:eastAsia="仿宋_GB2312" w:cs="仿宋_GB2312"/>
          <w:i w:val="0"/>
          <w:iCs w:val="0"/>
          <w:caps w:val="0"/>
          <w:spacing w:val="0"/>
          <w:sz w:val="32"/>
          <w:szCs w:val="32"/>
        </w:rPr>
        <w:t>如对上述公开内容真实、有效性存疑，请拨打社会监督电话：</w:t>
      </w:r>
      <w:r>
        <w:rPr>
          <w:rFonts w:hint="default" w:ascii="仿宋_GB2312" w:hAnsi="宋体" w:eastAsia="仿宋_GB2312" w:cs="仿宋_GB2312"/>
          <w:i w:val="0"/>
          <w:iCs w:val="0"/>
          <w:caps w:val="0"/>
          <w:spacing w:val="0"/>
          <w:sz w:val="32"/>
          <w:szCs w:val="32"/>
          <w:shd w:val="clear" w:fill="FFFFFF"/>
        </w:rPr>
        <w:t>022-25802262，其他事项不受理。</w:t>
      </w:r>
    </w:p>
    <w:bookmarkEnd w:id="1"/>
    <w:p>
      <w:pPr>
        <w:outlineLvl w:val="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br w:type="page"/>
      </w:r>
    </w:p>
    <w:p>
      <w:pPr>
        <w:tabs>
          <w:tab w:val="left" w:pos="993"/>
          <w:tab w:val="left" w:pos="1134"/>
          <w:tab w:val="left" w:pos="1418"/>
        </w:tabs>
        <w:spacing w:line="600" w:lineRule="exact"/>
        <w:ind w:right="1120"/>
        <w:jc w:val="left"/>
        <w:outlineLvl w:val="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附件1：采购范围与主要技术指标</w:t>
      </w:r>
    </w:p>
    <w:p>
      <w:pPr>
        <w:pStyle w:val="9"/>
        <w:spacing w:line="257" w:lineRule="auto"/>
        <w:ind w:right="122" w:firstLine="0" w:firstLineChars="0"/>
        <w:rPr>
          <w:rFonts w:hint="eastAsia" w:ascii="微软雅黑" w:hAnsi="微软雅黑" w:eastAsia="微软雅黑"/>
          <w:bCs/>
          <w:sz w:val="32"/>
          <w:szCs w:val="32"/>
          <w:lang w:eastAsia="zh-CN"/>
        </w:rPr>
      </w:pPr>
      <w:bookmarkStart w:id="2" w:name="_Toc13249324"/>
      <w:bookmarkStart w:id="3" w:name="_Toc13248927"/>
      <w:r>
        <w:rPr>
          <w:rFonts w:ascii="微软雅黑" w:hAnsi="微软雅黑" w:eastAsia="微软雅黑"/>
          <w:bCs/>
          <w:sz w:val="32"/>
          <w:szCs w:val="32"/>
          <w:lang w:eastAsia="zh-CN"/>
        </w:rPr>
        <w:t>一、</w:t>
      </w:r>
      <w:r>
        <w:rPr>
          <w:rFonts w:hint="eastAsia" w:ascii="微软雅黑" w:hAnsi="微软雅黑" w:eastAsia="微软雅黑"/>
          <w:bCs/>
          <w:sz w:val="32"/>
          <w:szCs w:val="32"/>
          <w:lang w:eastAsia="zh-CN"/>
        </w:rPr>
        <w:t>需求</w:t>
      </w:r>
      <w:r>
        <w:rPr>
          <w:rFonts w:ascii="微软雅黑" w:hAnsi="微软雅黑" w:eastAsia="微软雅黑"/>
          <w:bCs/>
          <w:sz w:val="32"/>
          <w:szCs w:val="32"/>
          <w:lang w:eastAsia="zh-CN"/>
        </w:rPr>
        <w:t>概况</w:t>
      </w:r>
      <w:bookmarkEnd w:id="2"/>
      <w:bookmarkEnd w:id="3"/>
    </w:p>
    <w:p>
      <w:pPr>
        <w:spacing w:before="2" w:line="100" w:lineRule="exact"/>
        <w:rPr>
          <w:rFonts w:hint="eastAsia" w:ascii="微软雅黑" w:hAnsi="微软雅黑" w:eastAsia="微软雅黑"/>
          <w:sz w:val="10"/>
          <w:szCs w:val="10"/>
          <w:lang w:eastAsia="zh-CN"/>
        </w:rPr>
      </w:pPr>
    </w:p>
    <w:p>
      <w:pPr>
        <w:pStyle w:val="9"/>
        <w:spacing w:line="257" w:lineRule="auto"/>
        <w:ind w:right="122" w:firstLine="480"/>
        <w:rPr>
          <w:rFonts w:hint="eastAsia" w:ascii="微软雅黑" w:hAnsi="微软雅黑" w:eastAsia="微软雅黑"/>
          <w:spacing w:val="-3"/>
          <w:sz w:val="24"/>
          <w:szCs w:val="24"/>
          <w:lang w:eastAsia="zh-CN"/>
        </w:rPr>
      </w:pPr>
      <w:bookmarkStart w:id="4" w:name="_Toc13248928"/>
      <w:bookmarkStart w:id="5" w:name="_Toc13249325"/>
      <w:r>
        <w:rPr>
          <w:rFonts w:hint="eastAsia" w:ascii="微软雅黑" w:hAnsi="微软雅黑" w:eastAsia="微软雅黑"/>
          <w:sz w:val="24"/>
          <w:szCs w:val="24"/>
          <w:lang w:eastAsia="zh-CN"/>
        </w:rPr>
        <w:t>稠油热采是重要的增产措施，目前自主化应用产品分为主剂和关键单剂，此次提出的仲烷基磺酸钠为关键单剂之一。本技术要求描述了海油发展工程技术公司仲烷基磺酸钠产品的最低要求，</w:t>
      </w:r>
      <w:r>
        <w:rPr>
          <w:rFonts w:hint="eastAsia" w:ascii="微软雅黑" w:hAnsi="微软雅黑" w:eastAsia="微软雅黑"/>
          <w:spacing w:val="-3"/>
          <w:sz w:val="24"/>
          <w:szCs w:val="24"/>
          <w:lang w:eastAsia="zh-CN"/>
        </w:rPr>
        <w:t>供应</w:t>
      </w:r>
      <w:r>
        <w:rPr>
          <w:rFonts w:hint="eastAsia" w:ascii="微软雅黑" w:hAnsi="微软雅黑" w:eastAsia="微软雅黑"/>
          <w:sz w:val="24"/>
          <w:szCs w:val="24"/>
          <w:lang w:eastAsia="zh-CN"/>
        </w:rPr>
        <w:t>商在报价、生产制造、调试及后续质量保障工作中应严格遵循。</w:t>
      </w:r>
    </w:p>
    <w:p>
      <w:pPr>
        <w:pStyle w:val="24"/>
        <w:spacing w:before="120" w:after="120"/>
        <w:ind w:firstLine="468" w:firstLineChars="200"/>
        <w:outlineLvl w:val="0"/>
        <w:rPr>
          <w:rFonts w:hint="eastAsia" w:ascii="微软雅黑" w:hAnsi="微软雅黑" w:eastAsia="微软雅黑" w:cs="Times New Roman"/>
          <w:color w:val="auto"/>
          <w:spacing w:val="-3"/>
        </w:rPr>
      </w:pPr>
      <w:r>
        <w:rPr>
          <w:rFonts w:hint="eastAsia" w:ascii="微软雅黑" w:hAnsi="微软雅黑" w:eastAsia="微软雅黑" w:cs="Times New Roman"/>
          <w:color w:val="auto"/>
          <w:spacing w:val="-3"/>
        </w:rPr>
        <w:t>本技术要求未引用产品标准，引用4项方法标准。</w:t>
      </w:r>
    </w:p>
    <w:p>
      <w:pPr>
        <w:pStyle w:val="9"/>
        <w:spacing w:line="257" w:lineRule="auto"/>
        <w:ind w:right="122" w:firstLine="0" w:firstLineChars="0"/>
        <w:rPr>
          <w:rFonts w:hint="eastAsia" w:ascii="微软雅黑" w:hAnsi="微软雅黑" w:eastAsia="微软雅黑"/>
          <w:bCs/>
          <w:sz w:val="32"/>
          <w:szCs w:val="32"/>
          <w:lang w:eastAsia="zh-CN"/>
        </w:rPr>
      </w:pPr>
      <w:r>
        <w:rPr>
          <w:rFonts w:ascii="微软雅黑" w:hAnsi="微软雅黑" w:eastAsia="微软雅黑"/>
          <w:bCs/>
          <w:sz w:val="32"/>
          <w:szCs w:val="32"/>
          <w:lang w:eastAsia="zh-CN"/>
        </w:rPr>
        <w:t>二、需求一览表</w:t>
      </w:r>
      <w:bookmarkEnd w:id="4"/>
      <w:bookmarkEnd w:id="5"/>
    </w:p>
    <w:p>
      <w:pPr>
        <w:adjustRightInd w:val="0"/>
        <w:snapToGrid w:val="0"/>
        <w:spacing w:before="156" w:beforeLines="50" w:line="36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表1  产品需求一览表</w:t>
      </w:r>
    </w:p>
    <w:tbl>
      <w:tblPr>
        <w:tblStyle w:val="20"/>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255"/>
        <w:gridCol w:w="1000"/>
        <w:gridCol w:w="1050"/>
        <w:gridCol w:w="1148"/>
        <w:gridCol w:w="960"/>
        <w:gridCol w:w="420"/>
        <w:gridCol w:w="840"/>
        <w:gridCol w:w="930"/>
        <w:gridCol w:w="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5" w:type="dxa"/>
            <w:tcMar>
              <w:top w:w="0" w:type="dxa"/>
              <w:left w:w="51" w:type="dxa"/>
              <w:bottom w:w="0" w:type="dxa"/>
              <w:right w:w="51" w:type="dxa"/>
            </w:tcMar>
            <w:vAlign w:val="center"/>
          </w:tcPr>
          <w:p>
            <w:pPr>
              <w:pStyle w:val="4"/>
              <w:adjustRightInd w:val="0"/>
              <w:snapToGrid w:val="0"/>
              <w:spacing w:line="240" w:lineRule="auto"/>
              <w:jc w:val="center"/>
              <w:rPr>
                <w:rFonts w:hint="eastAsia" w:ascii="微软雅黑" w:hAnsi="微软雅黑" w:eastAsia="微软雅黑"/>
                <w:spacing w:val="0"/>
                <w:sz w:val="21"/>
                <w:szCs w:val="21"/>
              </w:rPr>
            </w:pPr>
            <w:r>
              <w:rPr>
                <w:rFonts w:ascii="微软雅黑" w:hAnsi="微软雅黑" w:eastAsia="微软雅黑"/>
                <w:spacing w:val="0"/>
                <w:sz w:val="21"/>
                <w:szCs w:val="21"/>
              </w:rPr>
              <w:t>序号</w:t>
            </w:r>
          </w:p>
        </w:tc>
        <w:tc>
          <w:tcPr>
            <w:tcW w:w="1255" w:type="dxa"/>
            <w:tcMar>
              <w:top w:w="0" w:type="dxa"/>
              <w:left w:w="51" w:type="dxa"/>
              <w:bottom w:w="0" w:type="dxa"/>
              <w:right w:w="51" w:type="dxa"/>
            </w:tcMar>
            <w:vAlign w:val="center"/>
          </w:tcPr>
          <w:p>
            <w:pPr>
              <w:pStyle w:val="9"/>
              <w:adjustRightInd w:val="0"/>
              <w:snapToGrid w:val="0"/>
              <w:ind w:firstLine="0" w:firstLineChars="0"/>
              <w:jc w:val="center"/>
              <w:rPr>
                <w:rFonts w:hint="eastAsia" w:ascii="微软雅黑" w:hAnsi="微软雅黑" w:eastAsia="微软雅黑"/>
                <w:lang w:eastAsia="zh-CN"/>
              </w:rPr>
            </w:pPr>
            <w:r>
              <w:rPr>
                <w:rFonts w:hint="eastAsia" w:ascii="微软雅黑" w:hAnsi="微软雅黑" w:eastAsia="微软雅黑"/>
                <w:lang w:eastAsia="zh-CN"/>
              </w:rPr>
              <w:t>物资编码</w:t>
            </w:r>
          </w:p>
        </w:tc>
        <w:tc>
          <w:tcPr>
            <w:tcW w:w="1000" w:type="dxa"/>
            <w:tcMar>
              <w:top w:w="0" w:type="dxa"/>
              <w:left w:w="51" w:type="dxa"/>
              <w:bottom w:w="0" w:type="dxa"/>
              <w:right w:w="51" w:type="dxa"/>
            </w:tcMar>
            <w:vAlign w:val="center"/>
          </w:tcPr>
          <w:p>
            <w:pPr>
              <w:pStyle w:val="9"/>
              <w:adjustRightInd w:val="0"/>
              <w:snapToGrid w:val="0"/>
              <w:ind w:firstLine="0" w:firstLineChars="0"/>
              <w:jc w:val="center"/>
              <w:rPr>
                <w:rFonts w:hint="eastAsia" w:ascii="微软雅黑" w:hAnsi="微软雅黑" w:eastAsia="微软雅黑"/>
                <w:lang w:eastAsia="zh-CN"/>
              </w:rPr>
            </w:pPr>
            <w:r>
              <w:rPr>
                <w:rFonts w:hint="eastAsia" w:ascii="微软雅黑" w:hAnsi="微软雅黑" w:eastAsia="微软雅黑"/>
                <w:lang w:eastAsia="zh-CN"/>
              </w:rPr>
              <w:t>品类编码</w:t>
            </w:r>
          </w:p>
        </w:tc>
        <w:tc>
          <w:tcPr>
            <w:tcW w:w="1050" w:type="dxa"/>
            <w:tcMar>
              <w:top w:w="0" w:type="dxa"/>
              <w:left w:w="51" w:type="dxa"/>
              <w:bottom w:w="0" w:type="dxa"/>
              <w:right w:w="51" w:type="dxa"/>
            </w:tcMar>
            <w:vAlign w:val="center"/>
          </w:tcPr>
          <w:p>
            <w:pPr>
              <w:pStyle w:val="9"/>
              <w:adjustRightInd w:val="0"/>
              <w:snapToGrid w:val="0"/>
              <w:ind w:firstLine="0" w:firstLineChars="0"/>
              <w:jc w:val="center"/>
              <w:rPr>
                <w:rFonts w:hint="eastAsia" w:ascii="微软雅黑" w:hAnsi="微软雅黑" w:eastAsia="微软雅黑"/>
                <w:lang w:eastAsia="zh-CN"/>
              </w:rPr>
            </w:pPr>
            <w:r>
              <w:rPr>
                <w:rFonts w:hint="eastAsia" w:ascii="微软雅黑" w:hAnsi="微软雅黑" w:eastAsia="微软雅黑"/>
                <w:lang w:eastAsia="zh-CN"/>
              </w:rPr>
              <w:t>物资</w:t>
            </w:r>
            <w:r>
              <w:rPr>
                <w:rFonts w:ascii="微软雅黑" w:hAnsi="微软雅黑" w:eastAsia="微软雅黑"/>
                <w:lang w:eastAsia="zh-CN"/>
              </w:rPr>
              <w:t>名称</w:t>
            </w:r>
          </w:p>
        </w:tc>
        <w:tc>
          <w:tcPr>
            <w:tcW w:w="1148" w:type="dxa"/>
            <w:tcMar>
              <w:top w:w="0" w:type="dxa"/>
              <w:left w:w="51" w:type="dxa"/>
              <w:bottom w:w="0" w:type="dxa"/>
              <w:right w:w="51" w:type="dxa"/>
            </w:tcMar>
            <w:vAlign w:val="center"/>
          </w:tcPr>
          <w:p>
            <w:pPr>
              <w:pStyle w:val="9"/>
              <w:adjustRightInd w:val="0"/>
              <w:snapToGrid w:val="0"/>
              <w:ind w:firstLine="0" w:firstLineChars="0"/>
              <w:jc w:val="center"/>
              <w:rPr>
                <w:rFonts w:hint="eastAsia" w:ascii="微软雅黑" w:hAnsi="微软雅黑" w:eastAsia="微软雅黑"/>
                <w:lang w:eastAsia="zh-CN"/>
              </w:rPr>
            </w:pPr>
            <w:r>
              <w:rPr>
                <w:rFonts w:ascii="微软雅黑" w:hAnsi="微软雅黑" w:eastAsia="微软雅黑"/>
                <w:lang w:eastAsia="zh-CN"/>
              </w:rPr>
              <w:t>规格型号</w:t>
            </w:r>
          </w:p>
        </w:tc>
        <w:tc>
          <w:tcPr>
            <w:tcW w:w="960" w:type="dxa"/>
            <w:tcMar>
              <w:top w:w="0" w:type="dxa"/>
              <w:left w:w="51" w:type="dxa"/>
              <w:bottom w:w="0" w:type="dxa"/>
              <w:right w:w="51" w:type="dxa"/>
            </w:tcMar>
            <w:vAlign w:val="center"/>
          </w:tcPr>
          <w:p>
            <w:pPr>
              <w:pStyle w:val="9"/>
              <w:adjustRightInd w:val="0"/>
              <w:snapToGrid w:val="0"/>
              <w:ind w:firstLine="0" w:firstLineChars="0"/>
              <w:jc w:val="center"/>
              <w:rPr>
                <w:rFonts w:hint="eastAsia" w:ascii="微软雅黑" w:hAnsi="微软雅黑" w:eastAsia="微软雅黑"/>
                <w:lang w:eastAsia="zh-CN"/>
              </w:rPr>
            </w:pPr>
            <w:r>
              <w:rPr>
                <w:rFonts w:ascii="微软雅黑" w:hAnsi="微软雅黑" w:eastAsia="微软雅黑"/>
                <w:lang w:eastAsia="zh-CN"/>
              </w:rPr>
              <w:t>数量</w:t>
            </w:r>
          </w:p>
        </w:tc>
        <w:tc>
          <w:tcPr>
            <w:tcW w:w="420" w:type="dxa"/>
            <w:tcMar>
              <w:top w:w="0" w:type="dxa"/>
              <w:left w:w="51" w:type="dxa"/>
              <w:bottom w:w="0" w:type="dxa"/>
              <w:right w:w="51" w:type="dxa"/>
            </w:tcMar>
            <w:vAlign w:val="center"/>
          </w:tcPr>
          <w:p>
            <w:pPr>
              <w:pStyle w:val="9"/>
              <w:adjustRightInd w:val="0"/>
              <w:snapToGrid w:val="0"/>
              <w:ind w:firstLine="0" w:firstLineChars="0"/>
              <w:jc w:val="center"/>
              <w:rPr>
                <w:rFonts w:hint="eastAsia" w:ascii="微软雅黑" w:hAnsi="微软雅黑" w:eastAsia="微软雅黑"/>
                <w:lang w:eastAsia="zh-CN"/>
              </w:rPr>
            </w:pPr>
            <w:r>
              <w:rPr>
                <w:rFonts w:hint="eastAsia" w:ascii="微软雅黑" w:hAnsi="微软雅黑" w:eastAsia="微软雅黑"/>
                <w:lang w:eastAsia="zh-CN"/>
              </w:rPr>
              <w:t>单位</w:t>
            </w:r>
          </w:p>
        </w:tc>
        <w:tc>
          <w:tcPr>
            <w:tcW w:w="840" w:type="dxa"/>
            <w:tcMar>
              <w:top w:w="0" w:type="dxa"/>
              <w:left w:w="51" w:type="dxa"/>
              <w:bottom w:w="0" w:type="dxa"/>
              <w:right w:w="51" w:type="dxa"/>
            </w:tcMar>
            <w:vAlign w:val="center"/>
          </w:tcPr>
          <w:p>
            <w:pPr>
              <w:pStyle w:val="9"/>
              <w:adjustRightInd w:val="0"/>
              <w:snapToGrid w:val="0"/>
              <w:ind w:firstLine="0" w:firstLineChars="0"/>
              <w:jc w:val="center"/>
              <w:rPr>
                <w:rFonts w:hint="eastAsia" w:ascii="微软雅黑" w:hAnsi="微软雅黑" w:eastAsia="微软雅黑"/>
                <w:lang w:eastAsia="zh-CN"/>
              </w:rPr>
            </w:pPr>
            <w:r>
              <w:rPr>
                <w:rFonts w:hint="eastAsia" w:ascii="微软雅黑" w:hAnsi="微软雅黑" w:eastAsia="微软雅黑"/>
                <w:lang w:eastAsia="zh-CN"/>
              </w:rPr>
              <w:t>交货期</w:t>
            </w:r>
          </w:p>
        </w:tc>
        <w:tc>
          <w:tcPr>
            <w:tcW w:w="930" w:type="dxa"/>
            <w:tcMar>
              <w:top w:w="0" w:type="dxa"/>
              <w:left w:w="51" w:type="dxa"/>
              <w:bottom w:w="0" w:type="dxa"/>
              <w:right w:w="51" w:type="dxa"/>
            </w:tcMar>
            <w:vAlign w:val="center"/>
          </w:tcPr>
          <w:p>
            <w:pPr>
              <w:pStyle w:val="9"/>
              <w:adjustRightInd w:val="0"/>
              <w:snapToGrid w:val="0"/>
              <w:ind w:firstLine="0" w:firstLineChars="0"/>
              <w:jc w:val="center"/>
              <w:rPr>
                <w:rFonts w:hint="eastAsia" w:ascii="微软雅黑" w:hAnsi="微软雅黑" w:eastAsia="微软雅黑"/>
                <w:lang w:eastAsia="zh-CN"/>
              </w:rPr>
            </w:pPr>
            <w:r>
              <w:rPr>
                <w:rFonts w:hint="eastAsia" w:ascii="微软雅黑" w:hAnsi="微软雅黑" w:eastAsia="微软雅黑"/>
                <w:lang w:eastAsia="zh-CN"/>
              </w:rPr>
              <w:t>交货地点</w:t>
            </w:r>
          </w:p>
        </w:tc>
        <w:tc>
          <w:tcPr>
            <w:tcW w:w="439" w:type="dxa"/>
            <w:tcMar>
              <w:top w:w="0" w:type="dxa"/>
              <w:left w:w="51" w:type="dxa"/>
              <w:bottom w:w="0" w:type="dxa"/>
              <w:right w:w="51" w:type="dxa"/>
            </w:tcMar>
            <w:vAlign w:val="center"/>
          </w:tcPr>
          <w:p>
            <w:pPr>
              <w:pStyle w:val="9"/>
              <w:adjustRightInd w:val="0"/>
              <w:snapToGrid w:val="0"/>
              <w:ind w:firstLine="0" w:firstLineChars="0"/>
              <w:jc w:val="center"/>
              <w:rPr>
                <w:rFonts w:hint="eastAsia" w:ascii="微软雅黑" w:hAnsi="微软雅黑" w:eastAsia="微软雅黑"/>
                <w:lang w:eastAsia="zh-CN"/>
              </w:rPr>
            </w:pPr>
            <w:r>
              <w:rPr>
                <w:rFonts w:hint="eastAsia" w:ascii="微软雅黑" w:hAnsi="微软雅黑" w:eastAsia="微软雅黑"/>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5" w:type="dxa"/>
            <w:tcMar>
              <w:top w:w="0" w:type="dxa"/>
              <w:left w:w="51" w:type="dxa"/>
              <w:bottom w:w="0" w:type="dxa"/>
              <w:right w:w="51" w:type="dxa"/>
            </w:tcMar>
            <w:vAlign w:val="center"/>
          </w:tcPr>
          <w:p>
            <w:pPr>
              <w:pStyle w:val="4"/>
              <w:adjustRightInd w:val="0"/>
              <w:snapToGrid w:val="0"/>
              <w:spacing w:line="240" w:lineRule="auto"/>
              <w:jc w:val="center"/>
              <w:rPr>
                <w:rFonts w:hint="eastAsia" w:ascii="微软雅黑" w:hAnsi="微软雅黑" w:eastAsia="微软雅黑"/>
                <w:spacing w:val="0"/>
                <w:sz w:val="18"/>
                <w:szCs w:val="18"/>
              </w:rPr>
            </w:pPr>
            <w:r>
              <w:rPr>
                <w:rFonts w:hint="eastAsia" w:ascii="微软雅黑" w:hAnsi="微软雅黑" w:eastAsia="微软雅黑"/>
                <w:spacing w:val="0"/>
                <w:sz w:val="18"/>
                <w:szCs w:val="18"/>
              </w:rPr>
              <w:t>1</w:t>
            </w:r>
          </w:p>
        </w:tc>
        <w:tc>
          <w:tcPr>
            <w:tcW w:w="1255" w:type="dxa"/>
            <w:tcMar>
              <w:top w:w="0" w:type="dxa"/>
              <w:left w:w="51" w:type="dxa"/>
              <w:bottom w:w="0" w:type="dxa"/>
              <w:right w:w="51" w:type="dxa"/>
            </w:tcMar>
            <w:vAlign w:val="center"/>
          </w:tcPr>
          <w:p>
            <w:pPr>
              <w:pStyle w:val="9"/>
              <w:adjustRightInd w:val="0"/>
              <w:snapToGrid w:val="0"/>
              <w:ind w:firstLine="0" w:firstLineChars="0"/>
              <w:jc w:val="center"/>
              <w:rPr>
                <w:rFonts w:hint="eastAsia" w:ascii="微软雅黑" w:hAnsi="微软雅黑" w:eastAsia="微软雅黑"/>
                <w:sz w:val="18"/>
                <w:szCs w:val="18"/>
                <w:lang w:eastAsia="zh-CN"/>
              </w:rPr>
            </w:pPr>
            <w:r>
              <w:rPr>
                <w:rFonts w:ascii="微软雅黑" w:hAnsi="微软雅黑" w:eastAsia="微软雅黑"/>
                <w:sz w:val="18"/>
                <w:szCs w:val="18"/>
                <w:lang w:eastAsia="zh-CN"/>
              </w:rPr>
              <w:t>85194644</w:t>
            </w:r>
          </w:p>
        </w:tc>
        <w:tc>
          <w:tcPr>
            <w:tcW w:w="1000" w:type="dxa"/>
            <w:tcMar>
              <w:top w:w="0" w:type="dxa"/>
              <w:left w:w="51" w:type="dxa"/>
              <w:bottom w:w="0" w:type="dxa"/>
              <w:right w:w="51" w:type="dxa"/>
            </w:tcMar>
            <w:vAlign w:val="center"/>
          </w:tcPr>
          <w:p>
            <w:pPr>
              <w:pStyle w:val="9"/>
              <w:adjustRightInd w:val="0"/>
              <w:snapToGrid w:val="0"/>
              <w:ind w:firstLine="0" w:firstLineChars="0"/>
              <w:jc w:val="center"/>
              <w:rPr>
                <w:rFonts w:hint="eastAsia" w:ascii="微软雅黑" w:hAnsi="微软雅黑" w:eastAsia="微软雅黑"/>
                <w:sz w:val="18"/>
                <w:szCs w:val="18"/>
                <w:lang w:eastAsia="zh-CN"/>
              </w:rPr>
            </w:pPr>
            <w:r>
              <w:rPr>
                <w:rFonts w:hint="eastAsia" w:ascii="微软雅黑" w:hAnsi="微软雅黑" w:eastAsia="微软雅黑"/>
                <w:sz w:val="18"/>
                <w:szCs w:val="18"/>
                <w:lang w:eastAsia="zh-CN"/>
              </w:rPr>
              <w:t>A030807</w:t>
            </w:r>
          </w:p>
        </w:tc>
        <w:tc>
          <w:tcPr>
            <w:tcW w:w="1050" w:type="dxa"/>
            <w:tcMar>
              <w:top w:w="0" w:type="dxa"/>
              <w:left w:w="51" w:type="dxa"/>
              <w:bottom w:w="0" w:type="dxa"/>
              <w:right w:w="51" w:type="dxa"/>
            </w:tcMar>
            <w:vAlign w:val="center"/>
          </w:tcPr>
          <w:p>
            <w:pPr>
              <w:widowControl/>
              <w:spacing w:line="360" w:lineRule="auto"/>
              <w:jc w:val="center"/>
              <w:textAlignment w:val="center"/>
              <w:rPr>
                <w:rFonts w:hint="eastAsia" w:ascii="微软雅黑" w:hAnsi="微软雅黑" w:eastAsia="微软雅黑"/>
                <w:sz w:val="18"/>
                <w:szCs w:val="18"/>
                <w:lang w:eastAsia="zh-CN"/>
              </w:rPr>
            </w:pPr>
            <w:r>
              <w:rPr>
                <w:rFonts w:hint="eastAsia" w:ascii="微软雅黑" w:hAnsi="微软雅黑" w:eastAsia="微软雅黑"/>
                <w:sz w:val="18"/>
                <w:szCs w:val="18"/>
                <w:lang w:eastAsia="zh-CN"/>
              </w:rPr>
              <w:t>仲烷基磺酸钠</w:t>
            </w:r>
          </w:p>
        </w:tc>
        <w:tc>
          <w:tcPr>
            <w:tcW w:w="1148" w:type="dxa"/>
            <w:tcMar>
              <w:top w:w="0" w:type="dxa"/>
              <w:left w:w="51" w:type="dxa"/>
              <w:bottom w:w="0" w:type="dxa"/>
              <w:right w:w="51" w:type="dxa"/>
            </w:tcMar>
            <w:vAlign w:val="center"/>
          </w:tcPr>
          <w:p>
            <w:pPr>
              <w:widowControl/>
              <w:spacing w:line="360" w:lineRule="auto"/>
              <w:jc w:val="center"/>
              <w:textAlignment w:val="center"/>
              <w:rPr>
                <w:rFonts w:hint="eastAsia" w:ascii="微软雅黑" w:hAnsi="微软雅黑" w:eastAsia="微软雅黑"/>
                <w:sz w:val="18"/>
                <w:szCs w:val="18"/>
                <w:lang w:eastAsia="zh-CN"/>
              </w:rPr>
            </w:pPr>
            <w:r>
              <w:rPr>
                <w:rFonts w:ascii="微软雅黑" w:hAnsi="微软雅黑" w:eastAsia="微软雅黑"/>
                <w:sz w:val="18"/>
                <w:szCs w:val="18"/>
                <w:lang w:eastAsia="zh-CN"/>
              </w:rPr>
              <w:t>仲烷基磺酸钠\C14-17\液体</w:t>
            </w:r>
          </w:p>
        </w:tc>
        <w:tc>
          <w:tcPr>
            <w:tcW w:w="960" w:type="dxa"/>
            <w:tcMar>
              <w:top w:w="0" w:type="dxa"/>
              <w:left w:w="51" w:type="dxa"/>
              <w:bottom w:w="0" w:type="dxa"/>
              <w:right w:w="51" w:type="dxa"/>
            </w:tcMar>
            <w:vAlign w:val="center"/>
          </w:tcPr>
          <w:p>
            <w:pPr>
              <w:widowControl/>
              <w:spacing w:line="360" w:lineRule="auto"/>
              <w:jc w:val="center"/>
              <w:textAlignment w:val="center"/>
              <w:rPr>
                <w:rFonts w:hint="eastAsia" w:ascii="微软雅黑" w:hAnsi="微软雅黑" w:eastAsia="微软雅黑"/>
                <w:sz w:val="18"/>
                <w:szCs w:val="18"/>
                <w:lang w:eastAsia="zh-CN"/>
              </w:rPr>
            </w:pPr>
            <w:r>
              <w:rPr>
                <w:rFonts w:hint="eastAsia" w:ascii="微软雅黑" w:hAnsi="微软雅黑" w:eastAsia="微软雅黑" w:cs="微软雅黑"/>
                <w:sz w:val="18"/>
                <w:szCs w:val="18"/>
                <w:lang w:val="en-US" w:eastAsia="zh-CN" w:bidi="ar"/>
              </w:rPr>
              <w:t>31</w:t>
            </w:r>
            <w:r>
              <w:rPr>
                <w:rFonts w:hint="eastAsia" w:ascii="微软雅黑" w:hAnsi="微软雅黑" w:eastAsia="微软雅黑" w:cs="微软雅黑"/>
                <w:sz w:val="18"/>
                <w:szCs w:val="18"/>
                <w:lang w:eastAsia="zh-CN" w:bidi="ar"/>
              </w:rPr>
              <w:t>0000</w:t>
            </w:r>
          </w:p>
        </w:tc>
        <w:tc>
          <w:tcPr>
            <w:tcW w:w="420" w:type="dxa"/>
            <w:tcMar>
              <w:top w:w="0" w:type="dxa"/>
              <w:left w:w="51" w:type="dxa"/>
              <w:bottom w:w="0" w:type="dxa"/>
              <w:right w:w="51" w:type="dxa"/>
            </w:tcMar>
            <w:vAlign w:val="center"/>
          </w:tcPr>
          <w:p>
            <w:pPr>
              <w:pStyle w:val="9"/>
              <w:adjustRightInd w:val="0"/>
              <w:snapToGrid w:val="0"/>
              <w:ind w:firstLine="0" w:firstLineChars="0"/>
              <w:jc w:val="center"/>
              <w:rPr>
                <w:rFonts w:hint="eastAsia" w:ascii="微软雅黑" w:hAnsi="微软雅黑" w:eastAsia="微软雅黑"/>
                <w:sz w:val="18"/>
                <w:szCs w:val="18"/>
                <w:lang w:eastAsia="zh-CN"/>
              </w:rPr>
            </w:pPr>
            <w:r>
              <w:rPr>
                <w:rFonts w:hint="eastAsia" w:ascii="微软雅黑" w:hAnsi="微软雅黑" w:eastAsia="微软雅黑" w:cs="微软雅黑"/>
                <w:sz w:val="18"/>
                <w:szCs w:val="18"/>
                <w:lang w:eastAsia="zh-CN" w:bidi="ar"/>
              </w:rPr>
              <w:t>KG</w:t>
            </w:r>
          </w:p>
        </w:tc>
        <w:tc>
          <w:tcPr>
            <w:tcW w:w="840" w:type="dxa"/>
            <w:tcMar>
              <w:top w:w="0" w:type="dxa"/>
              <w:left w:w="51" w:type="dxa"/>
              <w:bottom w:w="0" w:type="dxa"/>
              <w:right w:w="51" w:type="dxa"/>
            </w:tcMar>
            <w:vAlign w:val="center"/>
          </w:tcPr>
          <w:p>
            <w:pPr>
              <w:pStyle w:val="9"/>
              <w:adjustRightInd w:val="0"/>
              <w:snapToGrid w:val="0"/>
              <w:ind w:firstLine="0" w:firstLineChars="0"/>
              <w:jc w:val="center"/>
              <w:rPr>
                <w:rFonts w:hint="eastAsia" w:ascii="微软雅黑" w:hAnsi="微软雅黑" w:eastAsia="微软雅黑"/>
                <w:sz w:val="18"/>
                <w:szCs w:val="18"/>
                <w:lang w:eastAsia="zh-CN"/>
              </w:rPr>
            </w:pPr>
            <w:r>
              <w:rPr>
                <w:rFonts w:hint="eastAsia" w:ascii="微软雅黑" w:hAnsi="微软雅黑" w:eastAsia="微软雅黑"/>
                <w:sz w:val="18"/>
                <w:szCs w:val="18"/>
                <w:lang w:eastAsia="zh-CN"/>
              </w:rPr>
              <w:t>协议签订后，以买方通知为准，要求通知后</w:t>
            </w:r>
            <w:r>
              <w:rPr>
                <w:rFonts w:hint="eastAsia" w:ascii="微软雅黑" w:hAnsi="微软雅黑" w:eastAsia="微软雅黑"/>
                <w:sz w:val="18"/>
                <w:szCs w:val="18"/>
                <w:lang w:val="en-US" w:eastAsia="zh-CN"/>
              </w:rPr>
              <w:t>2</w:t>
            </w:r>
            <w:r>
              <w:rPr>
                <w:rFonts w:hint="eastAsia" w:ascii="微软雅黑" w:hAnsi="微软雅黑" w:eastAsia="微软雅黑"/>
                <w:sz w:val="18"/>
                <w:szCs w:val="18"/>
                <w:lang w:eastAsia="zh-CN"/>
              </w:rPr>
              <w:t>天内送货</w:t>
            </w:r>
          </w:p>
        </w:tc>
        <w:tc>
          <w:tcPr>
            <w:tcW w:w="930" w:type="dxa"/>
            <w:tcMar>
              <w:top w:w="0" w:type="dxa"/>
              <w:left w:w="51" w:type="dxa"/>
              <w:bottom w:w="0" w:type="dxa"/>
              <w:right w:w="51" w:type="dxa"/>
            </w:tcMar>
            <w:vAlign w:val="center"/>
          </w:tcPr>
          <w:p>
            <w:pPr>
              <w:pStyle w:val="9"/>
              <w:adjustRightInd w:val="0"/>
              <w:snapToGrid w:val="0"/>
              <w:ind w:firstLine="0" w:firstLineChars="0"/>
              <w:jc w:val="center"/>
              <w:rPr>
                <w:rFonts w:hint="eastAsia" w:ascii="微软雅黑" w:hAnsi="微软雅黑" w:eastAsia="微软雅黑"/>
                <w:sz w:val="18"/>
                <w:szCs w:val="18"/>
                <w:lang w:eastAsia="zh-CN"/>
              </w:rPr>
            </w:pPr>
            <w:r>
              <w:rPr>
                <w:rFonts w:hint="eastAsia" w:ascii="微软雅黑" w:hAnsi="微软雅黑" w:eastAsia="微软雅黑"/>
                <w:sz w:val="18"/>
                <w:szCs w:val="18"/>
                <w:lang w:eastAsia="zh-CN"/>
              </w:rPr>
              <w:t>天津市滨海新区工程技术公司增产库房</w:t>
            </w:r>
          </w:p>
        </w:tc>
        <w:tc>
          <w:tcPr>
            <w:tcW w:w="439" w:type="dxa"/>
            <w:tcMar>
              <w:top w:w="0" w:type="dxa"/>
              <w:left w:w="51" w:type="dxa"/>
              <w:bottom w:w="0" w:type="dxa"/>
              <w:right w:w="51" w:type="dxa"/>
            </w:tcMar>
            <w:vAlign w:val="center"/>
          </w:tcPr>
          <w:p>
            <w:pPr>
              <w:pStyle w:val="9"/>
              <w:adjustRightInd w:val="0"/>
              <w:snapToGrid w:val="0"/>
              <w:ind w:firstLine="0" w:firstLineChars="0"/>
              <w:jc w:val="center"/>
              <w:rPr>
                <w:rFonts w:hint="eastAsia" w:ascii="微软雅黑" w:hAnsi="微软雅黑" w:eastAsia="微软雅黑"/>
                <w:sz w:val="18"/>
                <w:szCs w:val="18"/>
                <w:lang w:eastAsia="zh-CN"/>
              </w:rPr>
            </w:pPr>
            <w:r>
              <w:rPr>
                <w:rFonts w:hint="eastAsia" w:ascii="微软雅黑" w:hAnsi="微软雅黑" w:eastAsia="微软雅黑"/>
                <w:sz w:val="18"/>
                <w:szCs w:val="18"/>
                <w:lang w:eastAsia="zh-CN"/>
              </w:rPr>
              <w:t>最小送货量1000KG</w:t>
            </w:r>
          </w:p>
        </w:tc>
      </w:tr>
    </w:tbl>
    <w:p>
      <w:pPr>
        <w:rPr>
          <w:rFonts w:hint="eastAsia" w:ascii="微软雅黑" w:hAnsi="微软雅黑" w:eastAsia="微软雅黑" w:cs="Times New Roman"/>
          <w:b/>
          <w:bCs/>
          <w:color w:val="auto"/>
          <w:kern w:val="0"/>
          <w:sz w:val="32"/>
          <w:szCs w:val="32"/>
          <w:highlight w:val="yellow"/>
        </w:rPr>
      </w:pPr>
      <w:bookmarkStart w:id="6" w:name="_Toc13249326"/>
      <w:bookmarkStart w:id="7" w:name="_Toc13248929"/>
      <w:r>
        <w:rPr>
          <w:rFonts w:hint="eastAsia" w:ascii="仿宋" w:hAnsi="仿宋" w:eastAsia="仿宋" w:cs="仿宋"/>
          <w:b/>
          <w:bCs/>
          <w:kern w:val="0"/>
          <w:sz w:val="24"/>
          <w:szCs w:val="24"/>
          <w:highlight w:val="none"/>
          <w:lang w:val="en-US" w:eastAsia="zh-CN"/>
        </w:rPr>
        <w:t>备注：</w:t>
      </w:r>
      <w:r>
        <w:rPr>
          <w:rFonts w:hint="eastAsia" w:ascii="仿宋" w:hAnsi="仿宋" w:eastAsia="仿宋" w:cs="仿宋"/>
          <w:b/>
          <w:bCs/>
          <w:kern w:val="0"/>
          <w:sz w:val="24"/>
          <w:szCs w:val="24"/>
          <w:highlight w:val="none"/>
        </w:rPr>
        <w:t>以上数量为未来</w:t>
      </w:r>
      <w:r>
        <w:rPr>
          <w:rFonts w:hint="eastAsia" w:ascii="仿宋" w:hAnsi="仿宋" w:eastAsia="仿宋" w:cs="仿宋"/>
          <w:b/>
          <w:bCs/>
          <w:kern w:val="0"/>
          <w:sz w:val="24"/>
          <w:szCs w:val="24"/>
          <w:highlight w:val="none"/>
          <w:lang w:val="en-US" w:eastAsia="zh-CN"/>
        </w:rPr>
        <w:t>1</w:t>
      </w:r>
      <w:r>
        <w:rPr>
          <w:rFonts w:hint="eastAsia" w:ascii="仿宋" w:hAnsi="仿宋" w:eastAsia="仿宋" w:cs="仿宋"/>
          <w:b/>
          <w:bCs/>
          <w:kern w:val="0"/>
          <w:sz w:val="24"/>
          <w:szCs w:val="24"/>
          <w:highlight w:val="none"/>
        </w:rPr>
        <w:t>年的预估需求数量，每次采购数量以买方采购订单为准。</w:t>
      </w:r>
    </w:p>
    <w:p>
      <w:pPr>
        <w:pStyle w:val="24"/>
        <w:spacing w:before="120" w:after="120"/>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三、执行标准/规范</w:t>
      </w:r>
    </w:p>
    <w:p>
      <w:pPr>
        <w:pStyle w:val="24"/>
        <w:spacing w:before="120" w:after="120"/>
        <w:ind w:firstLine="480" w:firstLineChars="200"/>
        <w:outlineLvl w:val="0"/>
        <w:rPr>
          <w:rFonts w:hint="eastAsia" w:ascii="微软雅黑" w:hAnsi="微软雅黑" w:eastAsia="微软雅黑" w:cs="Times New Roman"/>
          <w:color w:val="auto"/>
        </w:rPr>
      </w:pPr>
      <w:r>
        <w:rPr>
          <w:rFonts w:hint="eastAsia" w:ascii="微软雅黑" w:hAnsi="微软雅黑" w:eastAsia="微软雅黑" w:cs="Times New Roman"/>
          <w:color w:val="auto"/>
        </w:rPr>
        <w:t>本技术要求采购产品性能指标及检测方法参考检测和试验方法进行检测。</w:t>
      </w:r>
    </w:p>
    <w:p>
      <w:pPr>
        <w:pStyle w:val="24"/>
        <w:spacing w:before="120" w:after="120"/>
        <w:ind w:firstLine="480" w:firstLineChars="200"/>
        <w:outlineLvl w:val="0"/>
        <w:rPr>
          <w:rFonts w:hint="eastAsia" w:ascii="微软雅黑" w:hAnsi="微软雅黑" w:eastAsia="微软雅黑" w:cs="Times New Roman"/>
          <w:color w:val="auto"/>
        </w:rPr>
      </w:pPr>
      <w:r>
        <w:rPr>
          <w:rFonts w:hint="eastAsia" w:ascii="微软雅黑" w:hAnsi="微软雅黑" w:eastAsia="微软雅黑" w:cs="Times New Roman"/>
          <w:color w:val="auto"/>
        </w:rPr>
        <w:t>《</w:t>
      </w:r>
      <w:r>
        <w:rPr>
          <w:rFonts w:ascii="微软雅黑" w:hAnsi="微软雅黑" w:eastAsia="微软雅黑" w:cs="Times New Roman"/>
          <w:color w:val="auto"/>
        </w:rPr>
        <w:t>GB/T 5173-2018</w:t>
      </w:r>
      <w:r>
        <w:rPr>
          <w:rFonts w:hint="eastAsia" w:ascii="微软雅黑" w:hAnsi="微软雅黑" w:eastAsia="微软雅黑" w:cs="Times New Roman"/>
          <w:color w:val="auto"/>
        </w:rPr>
        <w:t xml:space="preserve"> </w:t>
      </w:r>
      <w:r>
        <w:rPr>
          <w:rFonts w:ascii="微软雅黑" w:hAnsi="微软雅黑" w:eastAsia="微软雅黑" w:cs="Times New Roman"/>
          <w:color w:val="auto"/>
        </w:rPr>
        <w:t>表面活性剂 洗涤剂 阴离子活性物含量的测定 直接两相滴定法</w:t>
      </w:r>
      <w:r>
        <w:rPr>
          <w:rFonts w:hint="eastAsia" w:ascii="微软雅黑" w:hAnsi="微软雅黑" w:eastAsia="微软雅黑" w:cs="Times New Roman"/>
          <w:color w:val="auto"/>
        </w:rPr>
        <w:t>》</w:t>
      </w:r>
    </w:p>
    <w:p>
      <w:pPr>
        <w:pStyle w:val="24"/>
        <w:spacing w:before="120" w:after="120"/>
        <w:ind w:firstLine="480" w:firstLineChars="200"/>
        <w:outlineLvl w:val="0"/>
        <w:rPr>
          <w:rFonts w:hint="eastAsia" w:ascii="微软雅黑" w:hAnsi="微软雅黑" w:eastAsia="微软雅黑" w:cs="Times New Roman"/>
          <w:color w:val="auto"/>
        </w:rPr>
      </w:pPr>
      <w:r>
        <w:rPr>
          <w:rFonts w:hint="eastAsia" w:ascii="微软雅黑" w:hAnsi="微软雅黑" w:eastAsia="微软雅黑" w:cs="Times New Roman"/>
          <w:color w:val="auto"/>
        </w:rPr>
        <w:t>《GB/T 22592 水处理剂 PH值测定方法通则》</w:t>
      </w:r>
    </w:p>
    <w:p>
      <w:pPr>
        <w:pStyle w:val="24"/>
        <w:spacing w:before="120" w:after="120"/>
        <w:ind w:firstLine="480" w:firstLineChars="200"/>
        <w:outlineLvl w:val="0"/>
        <w:rPr>
          <w:rFonts w:hint="eastAsia" w:ascii="微软雅黑" w:hAnsi="微软雅黑" w:eastAsia="微软雅黑" w:cs="Times New Roman"/>
          <w:color w:val="auto"/>
        </w:rPr>
      </w:pPr>
      <w:bookmarkStart w:id="8" w:name="_Hlk215672733"/>
      <w:r>
        <w:rPr>
          <w:rFonts w:hint="eastAsia" w:ascii="微软雅黑" w:hAnsi="微软雅黑" w:eastAsia="微软雅黑" w:cs="Times New Roman"/>
          <w:color w:val="auto"/>
        </w:rPr>
        <w:t>《GB/T 6283-2008 化工产品中水分含量的测定 卡尔.费休法》</w:t>
      </w:r>
    </w:p>
    <w:p>
      <w:pPr>
        <w:pStyle w:val="24"/>
        <w:spacing w:before="120" w:after="120"/>
        <w:ind w:firstLine="480" w:firstLineChars="200"/>
        <w:outlineLvl w:val="0"/>
        <w:rPr>
          <w:rFonts w:hint="eastAsia" w:ascii="微软雅黑" w:hAnsi="微软雅黑" w:eastAsia="微软雅黑" w:cs="Times New Roman"/>
          <w:color w:val="auto"/>
        </w:rPr>
      </w:pPr>
      <w:r>
        <w:rPr>
          <w:rFonts w:ascii="微软雅黑" w:hAnsi="微软雅黑" w:eastAsia="微软雅黑" w:cs="Times New Roman"/>
          <w:color w:val="auto"/>
        </w:rPr>
        <w:t>《GB/T 6678-2003 化工产品采样总则》</w:t>
      </w:r>
    </w:p>
    <w:bookmarkEnd w:id="8"/>
    <w:p>
      <w:pPr>
        <w:tabs>
          <w:tab w:val="center" w:pos="4201"/>
          <w:tab w:val="right" w:leader="dot" w:pos="9298"/>
        </w:tabs>
        <w:overflowPunct w:val="0"/>
        <w:spacing w:after="120"/>
        <w:ind w:firstLine="480" w:firstLineChars="200"/>
        <w:jc w:val="both"/>
        <w:rPr>
          <w:rFonts w:hint="eastAsia" w:ascii="宋体" w:hAnsi="宋体" w:cs="宋体"/>
          <w:color w:val="000000" w:themeColor="text1"/>
          <w:sz w:val="21"/>
          <w:szCs w:val="21"/>
          <w:lang w:eastAsia="zh-CN"/>
          <w14:textFill>
            <w14:solidFill>
              <w14:schemeClr w14:val="tx1"/>
            </w14:solidFill>
          </w14:textFill>
        </w:rPr>
      </w:pPr>
      <w:r>
        <w:rPr>
          <w:rFonts w:hint="eastAsia" w:ascii="微软雅黑" w:hAnsi="微软雅黑" w:eastAsia="微软雅黑"/>
          <w:sz w:val="24"/>
          <w:szCs w:val="24"/>
          <w:lang w:eastAsia="zh-CN"/>
        </w:rPr>
        <w:t xml:space="preserve">    </w:t>
      </w:r>
      <w:r>
        <w:rPr>
          <w:rFonts w:hint="eastAsia" w:ascii="宋体" w:hAnsi="宋体" w:cs="宋体"/>
          <w:color w:val="000000" w:themeColor="text1"/>
          <w:sz w:val="21"/>
          <w:szCs w:val="21"/>
          <w:lang w:eastAsia="zh-CN"/>
          <w14:textFill>
            <w14:solidFill>
              <w14:schemeClr w14:val="tx1"/>
            </w14:solidFill>
          </w14:textFill>
        </w:rPr>
        <w:t xml:space="preserve">                                        </w:t>
      </w:r>
    </w:p>
    <w:p>
      <w:pPr>
        <w:pStyle w:val="24"/>
        <w:spacing w:before="120" w:after="120"/>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四、设计/使用条件</w:t>
      </w:r>
    </w:p>
    <w:p>
      <w:pPr>
        <w:pStyle w:val="9"/>
        <w:spacing w:line="257" w:lineRule="auto"/>
        <w:ind w:right="122" w:firstLine="199" w:firstLineChars="95"/>
        <w:rPr>
          <w:rFonts w:hint="eastAsia" w:ascii="微软雅黑" w:hAnsi="微软雅黑" w:eastAsia="微软雅黑"/>
          <w:lang w:eastAsia="zh-CN"/>
        </w:rPr>
      </w:pPr>
      <w:r>
        <w:rPr>
          <w:rFonts w:hint="eastAsia" w:ascii="微软雅黑" w:hAnsi="微软雅黑" w:eastAsia="微软雅黑"/>
          <w:lang w:eastAsia="zh-CN"/>
        </w:rPr>
        <w:t>1. 使用地点：</w:t>
      </w:r>
      <w:r>
        <w:rPr>
          <w:rFonts w:hint="eastAsia" w:ascii="Times New Roman" w:hAnsi="Times New Roman" w:eastAsia="微软雅黑"/>
          <w:lang w:eastAsia="zh-CN"/>
        </w:rPr>
        <w:t>本产品主要</w:t>
      </w:r>
      <w:r>
        <w:rPr>
          <w:rFonts w:ascii="Times New Roman" w:hAnsi="Times New Roman" w:eastAsia="微软雅黑"/>
          <w:lang w:eastAsia="zh-CN"/>
        </w:rPr>
        <w:t>在海上油田使用</w:t>
      </w:r>
      <w:r>
        <w:rPr>
          <w:rFonts w:hint="eastAsia" w:ascii="微软雅黑" w:hAnsi="微软雅黑" w:eastAsia="微软雅黑"/>
          <w:lang w:eastAsia="zh-CN"/>
        </w:rPr>
        <w:t>；</w:t>
      </w:r>
    </w:p>
    <w:p>
      <w:pPr>
        <w:pStyle w:val="9"/>
        <w:spacing w:line="257" w:lineRule="auto"/>
        <w:ind w:right="122" w:firstLine="199" w:firstLineChars="95"/>
        <w:rPr>
          <w:rFonts w:hint="eastAsia" w:ascii="微软雅黑" w:hAnsi="微软雅黑" w:eastAsia="微软雅黑"/>
          <w:lang w:eastAsia="zh-CN"/>
        </w:rPr>
      </w:pPr>
      <w:r>
        <w:rPr>
          <w:rFonts w:hint="eastAsia" w:ascii="微软雅黑" w:hAnsi="微软雅黑" w:eastAsia="微软雅黑"/>
          <w:lang w:eastAsia="zh-CN"/>
        </w:rPr>
        <w:t>2. 作业环境要求：温度：-20℃~200℃；湿度：40%-100%。</w:t>
      </w:r>
    </w:p>
    <w:p>
      <w:pPr>
        <w:pStyle w:val="24"/>
        <w:spacing w:before="120" w:after="120"/>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五</w:t>
      </w:r>
      <w:r>
        <w:rPr>
          <w:rFonts w:ascii="微软雅黑" w:hAnsi="微软雅黑" w:eastAsia="微软雅黑" w:cs="Times New Roman"/>
          <w:bCs/>
          <w:color w:val="auto"/>
          <w:sz w:val="32"/>
          <w:szCs w:val="32"/>
        </w:rPr>
        <w:t>、</w:t>
      </w:r>
      <w:r>
        <w:rPr>
          <w:rFonts w:hint="eastAsia" w:ascii="微软雅黑" w:hAnsi="微软雅黑" w:eastAsia="微软雅黑" w:cs="Times New Roman"/>
          <w:bCs/>
          <w:color w:val="auto"/>
          <w:sz w:val="32"/>
          <w:szCs w:val="32"/>
        </w:rPr>
        <w:t>技术要求</w:t>
      </w:r>
    </w:p>
    <w:p>
      <w:pPr>
        <w:spacing w:before="120" w:after="120" w:line="288" w:lineRule="auto"/>
        <w:rPr>
          <w:rFonts w:hint="eastAsia" w:ascii="Microsoft YaHei UI" w:hAnsi="Microsoft YaHei UI" w:eastAsia="Microsoft YaHei UI"/>
          <w:spacing w:val="2"/>
          <w:sz w:val="24"/>
          <w:szCs w:val="24"/>
          <w:lang w:eastAsia="zh-CN"/>
        </w:rPr>
      </w:pPr>
      <w:r>
        <w:rPr>
          <w:rFonts w:ascii="Microsoft YaHei UI" w:hAnsi="Microsoft YaHei UI" w:eastAsia="Microsoft YaHei UI"/>
          <w:spacing w:val="2"/>
          <w:sz w:val="24"/>
          <w:szCs w:val="24"/>
          <w:lang w:eastAsia="zh-CN"/>
        </w:rPr>
        <w:t>1. 产品基本信息</w:t>
      </w:r>
    </w:p>
    <w:p>
      <w:pPr>
        <w:spacing w:before="120" w:after="120" w:line="288" w:lineRule="auto"/>
        <w:rPr>
          <w:rFonts w:hint="eastAsia" w:ascii="微软雅黑" w:hAnsi="微软雅黑" w:eastAsia="微软雅黑"/>
          <w:sz w:val="21"/>
          <w:szCs w:val="21"/>
          <w:lang w:eastAsia="zh-CN"/>
        </w:rPr>
      </w:pPr>
      <w:r>
        <w:rPr>
          <w:rFonts w:ascii="微软雅黑" w:hAnsi="微软雅黑" w:eastAsia="微软雅黑"/>
          <w:sz w:val="21"/>
          <w:szCs w:val="21"/>
          <w:lang w:eastAsia="zh-CN"/>
        </w:rPr>
        <w:t>产品名称：</w:t>
      </w:r>
      <w:r>
        <w:rPr>
          <w:rFonts w:hint="eastAsia" w:ascii="微软雅黑" w:hAnsi="微软雅黑" w:eastAsia="微软雅黑"/>
          <w:sz w:val="21"/>
          <w:szCs w:val="21"/>
          <w:lang w:eastAsia="zh-CN"/>
        </w:rPr>
        <w:t>仲烷基磺酸钠（C14-17 ）</w:t>
      </w:r>
      <w:r>
        <w:rPr>
          <w:rFonts w:ascii="微软雅黑" w:hAnsi="微软雅黑" w:eastAsia="微软雅黑"/>
          <w:sz w:val="21"/>
          <w:szCs w:val="21"/>
          <w:lang w:eastAsia="zh-CN"/>
        </w:rPr>
        <w:t>；CAS号：68037-49-0。</w:t>
      </w:r>
    </w:p>
    <w:p>
      <w:pPr>
        <w:pStyle w:val="2"/>
        <w:jc w:val="center"/>
        <w:rPr>
          <w:lang w:eastAsia="zh-CN"/>
        </w:rPr>
      </w:pPr>
      <w:r>
        <w:rPr>
          <w:rFonts w:hint="eastAsia" w:ascii="微软雅黑" w:hAnsi="微软雅黑" w:eastAsia="微软雅黑"/>
          <w:sz w:val="21"/>
          <w:szCs w:val="21"/>
          <w:lang w:eastAsia="zh-CN"/>
        </w:rPr>
        <w:t>表2. 仲烷基磺酸钠技术参数</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57"/>
        <w:gridCol w:w="3187"/>
        <w:gridCol w:w="3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rPr>
        <w:tc>
          <w:tcPr>
            <w:tcW w:w="970" w:type="pct"/>
            <w:tcMar>
              <w:top w:w="60" w:type="dxa"/>
              <w:left w:w="120" w:type="dxa"/>
              <w:bottom w:w="30" w:type="dxa"/>
              <w:right w:w="120" w:type="dxa"/>
            </w:tcMar>
            <w:vAlign w:val="center"/>
          </w:tcPr>
          <w:p>
            <w:pPr>
              <w:jc w:val="center"/>
              <w:rPr>
                <w:rFonts w:ascii="Times New Roman" w:hAnsi="Times New Roman"/>
                <w:b/>
                <w:bCs/>
                <w:sz w:val="18"/>
                <w:szCs w:val="18"/>
              </w:rPr>
            </w:pPr>
            <w:r>
              <w:rPr>
                <w:rFonts w:ascii="Times New Roman" w:hAnsi="Times New Roman"/>
                <w:b/>
                <w:bCs/>
                <w:sz w:val="18"/>
                <w:szCs w:val="18"/>
              </w:rPr>
              <w:t>序号</w:t>
            </w:r>
          </w:p>
        </w:tc>
        <w:tc>
          <w:tcPr>
            <w:tcW w:w="1865" w:type="pct"/>
            <w:tcMar>
              <w:top w:w="60" w:type="dxa"/>
              <w:left w:w="120" w:type="dxa"/>
              <w:bottom w:w="30" w:type="dxa"/>
              <w:right w:w="120" w:type="dxa"/>
            </w:tcMar>
            <w:vAlign w:val="center"/>
          </w:tcPr>
          <w:p>
            <w:pPr>
              <w:jc w:val="center"/>
              <w:rPr>
                <w:rFonts w:ascii="Times New Roman" w:hAnsi="Times New Roman"/>
                <w:b/>
                <w:bCs/>
                <w:sz w:val="18"/>
                <w:szCs w:val="18"/>
              </w:rPr>
            </w:pPr>
            <w:r>
              <w:rPr>
                <w:rFonts w:ascii="Times New Roman" w:hAnsi="Times New Roman"/>
                <w:b/>
                <w:bCs/>
                <w:sz w:val="18"/>
                <w:szCs w:val="18"/>
              </w:rPr>
              <w:t>项目</w:t>
            </w:r>
          </w:p>
        </w:tc>
        <w:tc>
          <w:tcPr>
            <w:tcW w:w="2165" w:type="pct"/>
            <w:tcMar>
              <w:top w:w="60" w:type="dxa"/>
              <w:left w:w="120" w:type="dxa"/>
              <w:bottom w:w="30" w:type="dxa"/>
              <w:right w:w="120" w:type="dxa"/>
            </w:tcMar>
            <w:vAlign w:val="center"/>
          </w:tcPr>
          <w:p>
            <w:pPr>
              <w:jc w:val="center"/>
              <w:rPr>
                <w:rFonts w:ascii="Times New Roman" w:hAnsi="Times New Roman"/>
                <w:b/>
                <w:bCs/>
                <w:sz w:val="18"/>
                <w:szCs w:val="18"/>
              </w:rPr>
            </w:pPr>
            <w:r>
              <w:rPr>
                <w:rFonts w:ascii="Times New Roman" w:hAnsi="Times New Roman"/>
                <w:b/>
                <w:bCs/>
                <w:sz w:val="18"/>
                <w:szCs w:val="18"/>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rPr>
        <w:tc>
          <w:tcPr>
            <w:tcW w:w="970" w:type="pct"/>
            <w:tcMar>
              <w:top w:w="60" w:type="dxa"/>
              <w:left w:w="120" w:type="dxa"/>
              <w:bottom w:w="30" w:type="dxa"/>
              <w:right w:w="120" w:type="dxa"/>
            </w:tcMar>
            <w:vAlign w:val="center"/>
          </w:tcPr>
          <w:p>
            <w:pPr>
              <w:jc w:val="center"/>
              <w:rPr>
                <w:rFonts w:ascii="Times New Roman" w:hAnsi="Times New Roman"/>
                <w:sz w:val="18"/>
                <w:szCs w:val="18"/>
              </w:rPr>
            </w:pPr>
            <w:r>
              <w:rPr>
                <w:rFonts w:ascii="Times New Roman" w:hAnsi="Times New Roman"/>
                <w:sz w:val="18"/>
                <w:szCs w:val="18"/>
              </w:rPr>
              <w:t>1</w:t>
            </w:r>
          </w:p>
        </w:tc>
        <w:tc>
          <w:tcPr>
            <w:tcW w:w="1865" w:type="pct"/>
            <w:tcMar>
              <w:top w:w="60" w:type="dxa"/>
              <w:left w:w="120" w:type="dxa"/>
              <w:bottom w:w="30" w:type="dxa"/>
              <w:right w:w="120" w:type="dxa"/>
            </w:tcMar>
            <w:vAlign w:val="center"/>
          </w:tcPr>
          <w:p>
            <w:pPr>
              <w:jc w:val="center"/>
              <w:rPr>
                <w:rFonts w:ascii="Times New Roman" w:hAnsi="Times New Roman"/>
                <w:sz w:val="18"/>
                <w:szCs w:val="18"/>
              </w:rPr>
            </w:pPr>
            <w:r>
              <w:rPr>
                <w:rFonts w:ascii="Times New Roman" w:hAnsi="Times New Roman"/>
                <w:sz w:val="18"/>
                <w:szCs w:val="18"/>
              </w:rPr>
              <w:t>外观</w:t>
            </w:r>
          </w:p>
        </w:tc>
        <w:tc>
          <w:tcPr>
            <w:tcW w:w="2165" w:type="pct"/>
            <w:tcMar>
              <w:top w:w="60" w:type="dxa"/>
              <w:left w:w="120" w:type="dxa"/>
              <w:bottom w:w="30" w:type="dxa"/>
              <w:right w:w="120" w:type="dxa"/>
            </w:tcMar>
            <w:vAlign w:val="center"/>
          </w:tcPr>
          <w:p>
            <w:pPr>
              <w:jc w:val="center"/>
              <w:rPr>
                <w:rFonts w:ascii="Times New Roman" w:hAnsi="Times New Roman"/>
                <w:sz w:val="18"/>
                <w:szCs w:val="18"/>
                <w:lang w:eastAsia="zh-CN"/>
              </w:rPr>
            </w:pPr>
            <w:r>
              <w:rPr>
                <w:rFonts w:ascii="Times New Roman" w:hAnsi="Times New Roman"/>
                <w:sz w:val="18"/>
                <w:szCs w:val="18"/>
                <w:lang w:eastAsia="zh-CN"/>
              </w:rPr>
              <w:t>浅黄色均匀膏状物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rPr>
        <w:tc>
          <w:tcPr>
            <w:tcW w:w="970" w:type="pct"/>
            <w:tcMar>
              <w:top w:w="60" w:type="dxa"/>
              <w:left w:w="120" w:type="dxa"/>
              <w:bottom w:w="30" w:type="dxa"/>
              <w:right w:w="120" w:type="dxa"/>
            </w:tcMar>
            <w:vAlign w:val="center"/>
          </w:tcPr>
          <w:p>
            <w:pPr>
              <w:jc w:val="center"/>
              <w:rPr>
                <w:rFonts w:ascii="Times New Roman" w:hAnsi="Times New Roman"/>
                <w:sz w:val="18"/>
                <w:szCs w:val="18"/>
              </w:rPr>
            </w:pPr>
            <w:r>
              <w:rPr>
                <w:rFonts w:ascii="Times New Roman" w:hAnsi="Times New Roman"/>
                <w:sz w:val="18"/>
                <w:szCs w:val="18"/>
              </w:rPr>
              <w:t>2</w:t>
            </w:r>
          </w:p>
        </w:tc>
        <w:tc>
          <w:tcPr>
            <w:tcW w:w="1865" w:type="pct"/>
            <w:tcMar>
              <w:top w:w="60" w:type="dxa"/>
              <w:left w:w="120" w:type="dxa"/>
              <w:bottom w:w="30" w:type="dxa"/>
              <w:right w:w="120" w:type="dxa"/>
            </w:tcMar>
            <w:vAlign w:val="center"/>
          </w:tcPr>
          <w:p>
            <w:pPr>
              <w:jc w:val="center"/>
              <w:rPr>
                <w:rFonts w:ascii="Times New Roman" w:hAnsi="Times New Roman"/>
                <w:sz w:val="18"/>
                <w:szCs w:val="18"/>
              </w:rPr>
            </w:pPr>
            <w:r>
              <w:rPr>
                <w:rFonts w:ascii="Segoe UI Symbol" w:hAnsi="Segoe UI Symbol" w:cs="Segoe UI Symbol"/>
                <w:sz w:val="18"/>
                <w:szCs w:val="18"/>
              </w:rPr>
              <w:t>★</w:t>
            </w:r>
            <w:r>
              <w:rPr>
                <w:rFonts w:ascii="Times New Roman" w:hAnsi="Times New Roman"/>
                <w:sz w:val="18"/>
                <w:szCs w:val="18"/>
              </w:rPr>
              <w:t>活性物含量（w/%）</w:t>
            </w:r>
          </w:p>
        </w:tc>
        <w:tc>
          <w:tcPr>
            <w:tcW w:w="2165" w:type="pct"/>
            <w:tcMar>
              <w:top w:w="60" w:type="dxa"/>
              <w:left w:w="120" w:type="dxa"/>
              <w:bottom w:w="30" w:type="dxa"/>
              <w:right w:w="120" w:type="dxa"/>
            </w:tcMar>
            <w:vAlign w:val="center"/>
          </w:tcPr>
          <w:p>
            <w:pPr>
              <w:jc w:val="center"/>
              <w:rPr>
                <w:rFonts w:ascii="Times New Roman" w:hAnsi="Times New Roman"/>
                <w:sz w:val="18"/>
                <w:szCs w:val="18"/>
                <w:lang w:eastAsia="zh-CN"/>
              </w:rPr>
            </w:pPr>
            <w:r>
              <w:rPr>
                <w:rFonts w:ascii="Times New Roman" w:hAnsi="Times New Roman"/>
                <w:sz w:val="18"/>
                <w:szCs w:val="18"/>
              </w:rPr>
              <w:t>≥</w:t>
            </w:r>
            <w:r>
              <w:rPr>
                <w:rFonts w:hint="eastAsia" w:ascii="Times New Roman" w:hAnsi="Times New Roman"/>
                <w:sz w:val="18"/>
                <w:szCs w:val="18"/>
                <w:lang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2" w:hRule="atLeast"/>
        </w:trPr>
        <w:tc>
          <w:tcPr>
            <w:tcW w:w="970" w:type="pct"/>
            <w:tcMar>
              <w:top w:w="60" w:type="dxa"/>
              <w:left w:w="120" w:type="dxa"/>
              <w:bottom w:w="30" w:type="dxa"/>
              <w:right w:w="120" w:type="dxa"/>
            </w:tcMar>
            <w:vAlign w:val="center"/>
          </w:tcPr>
          <w:p>
            <w:pPr>
              <w:jc w:val="center"/>
              <w:rPr>
                <w:rFonts w:ascii="Times New Roman" w:hAnsi="Times New Roman"/>
                <w:sz w:val="18"/>
                <w:szCs w:val="18"/>
                <w:lang w:eastAsia="zh-CN"/>
              </w:rPr>
            </w:pPr>
            <w:r>
              <w:rPr>
                <w:rFonts w:hint="eastAsia" w:ascii="Times New Roman" w:hAnsi="Times New Roman"/>
                <w:sz w:val="18"/>
                <w:szCs w:val="18"/>
                <w:lang w:eastAsia="zh-CN"/>
              </w:rPr>
              <w:t>3</w:t>
            </w:r>
          </w:p>
        </w:tc>
        <w:tc>
          <w:tcPr>
            <w:tcW w:w="1865" w:type="pct"/>
            <w:tcMar>
              <w:top w:w="60" w:type="dxa"/>
              <w:left w:w="120" w:type="dxa"/>
              <w:bottom w:w="30" w:type="dxa"/>
              <w:right w:w="120" w:type="dxa"/>
            </w:tcMar>
            <w:vAlign w:val="center"/>
          </w:tcPr>
          <w:p>
            <w:pPr>
              <w:jc w:val="center"/>
              <w:rPr>
                <w:rFonts w:ascii="Times New Roman" w:hAnsi="Times New Roman"/>
                <w:sz w:val="18"/>
                <w:szCs w:val="18"/>
                <w:lang w:eastAsia="zh-CN"/>
              </w:rPr>
            </w:pPr>
            <w:r>
              <w:rPr>
                <w:rFonts w:hint="eastAsia" w:ascii="Times New Roman" w:hAnsi="Times New Roman"/>
                <w:sz w:val="20"/>
                <w:szCs w:val="20"/>
                <w:lang w:eastAsia="zh-CN"/>
              </w:rPr>
              <w:t>pH值（10%</w:t>
            </w:r>
            <w:r>
              <w:rPr>
                <w:rFonts w:ascii="Times New Roman" w:hAnsi="Times New Roman"/>
                <w:sz w:val="20"/>
                <w:szCs w:val="20"/>
                <w:lang w:eastAsia="zh-CN"/>
              </w:rPr>
              <w:t>溶液）</w:t>
            </w:r>
          </w:p>
        </w:tc>
        <w:tc>
          <w:tcPr>
            <w:tcW w:w="2165" w:type="pct"/>
            <w:tcMar>
              <w:top w:w="60" w:type="dxa"/>
              <w:left w:w="120" w:type="dxa"/>
              <w:bottom w:w="30" w:type="dxa"/>
              <w:right w:w="120" w:type="dxa"/>
            </w:tcMar>
            <w:vAlign w:val="center"/>
          </w:tcPr>
          <w:p>
            <w:pPr>
              <w:jc w:val="center"/>
              <w:rPr>
                <w:rFonts w:ascii="Times New Roman" w:hAnsi="Times New Roman"/>
                <w:sz w:val="18"/>
                <w:szCs w:val="18"/>
                <w:lang w:eastAsia="zh-CN"/>
              </w:rPr>
            </w:pPr>
            <w:r>
              <w:rPr>
                <w:rFonts w:hint="eastAsia" w:ascii="Times New Roman" w:hAnsi="Times New Roman"/>
                <w:sz w:val="18"/>
                <w:szCs w:val="18"/>
                <w:lang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rPr>
        <w:tc>
          <w:tcPr>
            <w:tcW w:w="970" w:type="pct"/>
            <w:tcMar>
              <w:top w:w="60" w:type="dxa"/>
              <w:left w:w="120" w:type="dxa"/>
              <w:bottom w:w="30" w:type="dxa"/>
              <w:right w:w="120" w:type="dxa"/>
            </w:tcMar>
            <w:vAlign w:val="center"/>
          </w:tcPr>
          <w:p>
            <w:pPr>
              <w:jc w:val="center"/>
              <w:rPr>
                <w:rFonts w:ascii="Times New Roman" w:hAnsi="Times New Roman"/>
                <w:sz w:val="18"/>
                <w:szCs w:val="18"/>
                <w:lang w:eastAsia="zh-CN"/>
              </w:rPr>
            </w:pPr>
            <w:r>
              <w:rPr>
                <w:rFonts w:hint="eastAsia" w:ascii="Times New Roman" w:hAnsi="Times New Roman"/>
                <w:sz w:val="18"/>
                <w:szCs w:val="18"/>
                <w:lang w:eastAsia="zh-CN"/>
              </w:rPr>
              <w:t>4</w:t>
            </w:r>
          </w:p>
        </w:tc>
        <w:tc>
          <w:tcPr>
            <w:tcW w:w="1865" w:type="pct"/>
            <w:tcMar>
              <w:top w:w="60" w:type="dxa"/>
              <w:left w:w="120" w:type="dxa"/>
              <w:bottom w:w="30" w:type="dxa"/>
              <w:right w:w="120" w:type="dxa"/>
            </w:tcMar>
            <w:vAlign w:val="center"/>
          </w:tcPr>
          <w:p>
            <w:pPr>
              <w:jc w:val="center"/>
              <w:rPr>
                <w:rFonts w:ascii="Times New Roman" w:hAnsi="Times New Roman"/>
                <w:sz w:val="18"/>
                <w:szCs w:val="18"/>
              </w:rPr>
            </w:pPr>
            <w:r>
              <w:rPr>
                <w:rFonts w:ascii="Segoe UI Symbol" w:hAnsi="Segoe UI Symbol" w:cs="Segoe UI Symbol"/>
                <w:sz w:val="18"/>
                <w:szCs w:val="18"/>
              </w:rPr>
              <w:t>★</w:t>
            </w:r>
            <w:r>
              <w:rPr>
                <w:rFonts w:ascii="Times New Roman" w:hAnsi="Times New Roman"/>
                <w:sz w:val="18"/>
                <w:szCs w:val="18"/>
              </w:rPr>
              <w:t>水分（w/%）</w:t>
            </w:r>
          </w:p>
        </w:tc>
        <w:tc>
          <w:tcPr>
            <w:tcW w:w="2165" w:type="pct"/>
            <w:tcMar>
              <w:top w:w="60" w:type="dxa"/>
              <w:left w:w="120" w:type="dxa"/>
              <w:bottom w:w="30" w:type="dxa"/>
              <w:right w:w="120" w:type="dxa"/>
            </w:tcMar>
            <w:vAlign w:val="center"/>
          </w:tcPr>
          <w:p>
            <w:pPr>
              <w:jc w:val="center"/>
              <w:rPr>
                <w:rFonts w:ascii="Times New Roman" w:hAnsi="Times New Roman"/>
                <w:sz w:val="18"/>
                <w:szCs w:val="18"/>
              </w:rPr>
            </w:pPr>
            <w:r>
              <w:rPr>
                <w:rFonts w:ascii="Times New Roman" w:hAnsi="Times New Roman"/>
                <w:sz w:val="18"/>
                <w:szCs w:val="18"/>
              </w:rPr>
              <w:t>≤1.0</w:t>
            </w:r>
          </w:p>
        </w:tc>
      </w:tr>
    </w:tbl>
    <w:p>
      <w:pPr>
        <w:spacing w:before="120" w:after="120" w:line="288" w:lineRule="auto"/>
        <w:rPr>
          <w:rFonts w:hint="eastAsia" w:ascii="Microsoft YaHei UI" w:hAnsi="Microsoft YaHei UI" w:eastAsia="Microsoft YaHei UI"/>
          <w:spacing w:val="2"/>
          <w:sz w:val="24"/>
          <w:szCs w:val="24"/>
          <w:lang w:eastAsia="zh-CN"/>
        </w:rPr>
      </w:pPr>
      <w:r>
        <w:rPr>
          <w:rFonts w:hint="eastAsia" w:ascii="Microsoft YaHei UI" w:hAnsi="Microsoft YaHei UI" w:eastAsia="Microsoft YaHei UI"/>
          <w:spacing w:val="2"/>
          <w:sz w:val="24"/>
          <w:szCs w:val="24"/>
          <w:lang w:eastAsia="zh-CN"/>
        </w:rPr>
        <w:t>2 检测方法</w:t>
      </w:r>
    </w:p>
    <w:p>
      <w:pPr>
        <w:pStyle w:val="4"/>
        <w:spacing w:line="360" w:lineRule="auto"/>
        <w:ind w:firstLine="428"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2.1 外观</w:t>
      </w:r>
    </w:p>
    <w:p>
      <w:pPr>
        <w:pStyle w:val="9"/>
        <w:spacing w:line="360" w:lineRule="auto"/>
        <w:ind w:left="221" w:right="119" w:firstLine="428"/>
        <w:rPr>
          <w:rFonts w:hint="eastAsia" w:ascii="微软雅黑" w:hAnsi="微软雅黑" w:eastAsia="微软雅黑" w:cs="微软雅黑"/>
          <w:spacing w:val="2"/>
          <w:lang w:eastAsia="zh-CN"/>
        </w:rPr>
      </w:pPr>
      <w:r>
        <w:rPr>
          <w:rFonts w:hint="eastAsia" w:ascii="微软雅黑" w:hAnsi="微软雅黑" w:eastAsia="微软雅黑" w:cs="微软雅黑"/>
          <w:spacing w:val="2"/>
          <w:lang w:eastAsia="zh-CN"/>
        </w:rPr>
        <w:t>目视观察。</w:t>
      </w:r>
    </w:p>
    <w:p>
      <w:pPr>
        <w:pStyle w:val="9"/>
        <w:spacing w:line="360" w:lineRule="auto"/>
        <w:ind w:left="221" w:right="119" w:firstLine="428"/>
        <w:rPr>
          <w:rFonts w:hint="eastAsia" w:ascii="微软雅黑" w:hAnsi="微软雅黑" w:eastAsia="微软雅黑" w:cs="微软雅黑"/>
          <w:spacing w:val="2"/>
          <w:lang w:eastAsia="zh-CN"/>
        </w:rPr>
      </w:pPr>
      <w:r>
        <w:rPr>
          <w:rFonts w:hint="eastAsia" w:ascii="微软雅黑" w:hAnsi="微软雅黑" w:eastAsia="微软雅黑" w:cs="微软雅黑"/>
          <w:spacing w:val="2"/>
          <w:lang w:eastAsia="zh-CN"/>
        </w:rPr>
        <w:t>比色管中加入10.0g样品，在非直射的自然光线下肉眼观察。</w:t>
      </w:r>
    </w:p>
    <w:p>
      <w:pPr>
        <w:pStyle w:val="4"/>
        <w:spacing w:line="360" w:lineRule="auto"/>
        <w:ind w:firstLine="428"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2.2 活性物含量</w:t>
      </w:r>
    </w:p>
    <w:p>
      <w:pPr>
        <w:pStyle w:val="9"/>
        <w:spacing w:line="360" w:lineRule="auto"/>
        <w:ind w:left="221" w:right="119" w:firstLine="428"/>
        <w:rPr>
          <w:rFonts w:hint="eastAsia" w:ascii="微软雅黑" w:hAnsi="微软雅黑" w:eastAsia="微软雅黑" w:cs="微软雅黑"/>
          <w:spacing w:val="2"/>
          <w:lang w:eastAsia="zh-CN"/>
        </w:rPr>
      </w:pPr>
      <w:r>
        <w:rPr>
          <w:rFonts w:hint="eastAsia" w:ascii="微软雅黑" w:hAnsi="微软雅黑" w:eastAsia="微软雅黑" w:cs="微软雅黑"/>
          <w:spacing w:val="2"/>
          <w:lang w:eastAsia="zh-CN"/>
        </w:rPr>
        <w:t>参照《GB/T 5173-2018 表面活性剂 洗涤剂 阴离子活性物含量的测定 直接两相滴定法》，检测活性物含量。</w:t>
      </w:r>
    </w:p>
    <w:p>
      <w:pPr>
        <w:pStyle w:val="4"/>
        <w:spacing w:line="360" w:lineRule="auto"/>
        <w:ind w:firstLine="428" w:firstLineChars="200"/>
        <w:rPr>
          <w:rFonts w:hint="eastAsia" w:ascii="微软雅黑" w:hAnsi="微软雅黑" w:eastAsia="微软雅黑" w:cs="微软雅黑"/>
          <w:sz w:val="21"/>
          <w:szCs w:val="21"/>
        </w:rPr>
      </w:pPr>
      <w:bookmarkStart w:id="9" w:name="_Hlk215670916"/>
      <w:r>
        <w:rPr>
          <w:rFonts w:hint="eastAsia" w:ascii="微软雅黑" w:hAnsi="微软雅黑" w:eastAsia="微软雅黑" w:cs="微软雅黑"/>
          <w:sz w:val="21"/>
          <w:szCs w:val="21"/>
        </w:rPr>
        <w:t>2.3 pH值（10%溶液）</w:t>
      </w:r>
    </w:p>
    <w:p>
      <w:pPr>
        <w:pStyle w:val="9"/>
        <w:spacing w:line="360" w:lineRule="auto"/>
        <w:ind w:left="221" w:right="119" w:firstLine="428"/>
        <w:rPr>
          <w:rFonts w:hint="eastAsia" w:ascii="微软雅黑" w:hAnsi="微软雅黑" w:eastAsia="微软雅黑" w:cs="微软雅黑"/>
          <w:spacing w:val="2"/>
          <w:lang w:eastAsia="zh-CN"/>
        </w:rPr>
      </w:pPr>
      <w:r>
        <w:rPr>
          <w:rFonts w:hint="eastAsia" w:ascii="微软雅黑" w:hAnsi="微软雅黑" w:eastAsia="微软雅黑" w:cs="微软雅黑"/>
          <w:spacing w:val="2"/>
          <w:lang w:eastAsia="zh-CN"/>
        </w:rPr>
        <w:t>参照《GB/T</w:t>
      </w:r>
      <w:r>
        <w:rPr>
          <w:rFonts w:ascii="微软雅黑" w:hAnsi="微软雅黑" w:eastAsia="微软雅黑" w:cs="微软雅黑"/>
          <w:spacing w:val="2"/>
          <w:lang w:eastAsia="zh-CN"/>
        </w:rPr>
        <w:t xml:space="preserve"> </w:t>
      </w:r>
      <w:r>
        <w:rPr>
          <w:rFonts w:hint="eastAsia" w:ascii="微软雅黑" w:hAnsi="微软雅黑" w:eastAsia="微软雅黑" w:cs="微软雅黑"/>
          <w:spacing w:val="2"/>
          <w:lang w:eastAsia="zh-CN"/>
        </w:rPr>
        <w:t>22592 水处理剂 PH值测定方法通则》，检测pH值。</w:t>
      </w:r>
    </w:p>
    <w:p>
      <w:pPr>
        <w:pStyle w:val="4"/>
        <w:spacing w:line="360" w:lineRule="auto"/>
        <w:ind w:firstLine="428"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2.4 水分</w:t>
      </w:r>
    </w:p>
    <w:bookmarkEnd w:id="9"/>
    <w:p>
      <w:pPr>
        <w:pStyle w:val="9"/>
        <w:spacing w:line="360" w:lineRule="auto"/>
        <w:ind w:left="221" w:right="119" w:firstLine="428"/>
        <w:rPr>
          <w:rFonts w:hint="eastAsia" w:ascii="微软雅黑" w:hAnsi="微软雅黑" w:eastAsia="微软雅黑" w:cs="微软雅黑"/>
          <w:spacing w:val="2"/>
          <w:lang w:eastAsia="zh-CN"/>
        </w:rPr>
      </w:pPr>
      <w:r>
        <w:rPr>
          <w:rFonts w:hint="eastAsia" w:ascii="微软雅黑" w:hAnsi="微软雅黑" w:eastAsia="微软雅黑" w:cs="微软雅黑"/>
          <w:spacing w:val="2"/>
          <w:lang w:eastAsia="zh-CN"/>
        </w:rPr>
        <w:t>参照《GB/T 6283-2008 化工产品中水分含量的测定 卡尔.费休法（通用方法）》，检测水分。</w:t>
      </w:r>
    </w:p>
    <w:p>
      <w:pPr>
        <w:pStyle w:val="24"/>
        <w:numPr>
          <w:ilvl w:val="0"/>
          <w:numId w:val="2"/>
        </w:numPr>
        <w:spacing w:before="120" w:after="120"/>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检测和试验</w:t>
      </w:r>
    </w:p>
    <w:p>
      <w:pPr>
        <w:pStyle w:val="9"/>
        <w:spacing w:line="360" w:lineRule="auto"/>
        <w:ind w:firstLine="420"/>
        <w:rPr>
          <w:rFonts w:hint="eastAsia" w:ascii="微软雅黑" w:hAnsi="微软雅黑" w:eastAsia="微软雅黑" w:cs="微软雅黑"/>
          <w:color w:val="auto"/>
          <w:sz w:val="21"/>
          <w:szCs w:val="21"/>
          <w:lang w:eastAsia="zh-CN"/>
        </w:rPr>
      </w:pPr>
      <w:bookmarkStart w:id="10" w:name="_Hlk215671005"/>
      <w:r>
        <w:rPr>
          <w:rFonts w:hint="eastAsia" w:ascii="微软雅黑" w:hAnsi="微软雅黑" w:eastAsia="微软雅黑" w:cs="微软雅黑"/>
          <w:color w:val="auto"/>
          <w:sz w:val="21"/>
          <w:szCs w:val="21"/>
          <w:lang w:val="en-US" w:eastAsia="zh-CN"/>
        </w:rPr>
        <w:t>1.投标时投标人须提供第三方检测机构出具的盖章版(CNAS或CMA印章)产品检测报告，报告须覆盖本技术要求所有标★检测项目，且满足指标要求。</w:t>
      </w:r>
    </w:p>
    <w:p>
      <w:pPr>
        <w:pStyle w:val="9"/>
        <w:spacing w:line="360" w:lineRule="auto"/>
        <w:ind w:firstLine="42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val="en-US" w:eastAsia="zh-CN"/>
        </w:rPr>
        <w:t>2.合同签订后，卖方需立即送样，通过工程技术公司质控中心检测项目全部技术要求合格后方可送货，供货时间为2天。</w:t>
      </w:r>
    </w:p>
    <w:p>
      <w:pPr>
        <w:pStyle w:val="9"/>
        <w:spacing w:line="360" w:lineRule="auto"/>
        <w:ind w:firstLine="42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val="en-US" w:eastAsia="zh-CN"/>
        </w:rPr>
        <w:t>3.卖方承诺送货时提供的产品满足本技术要求中产品技术参数的全部要求，出具出厂产品合格证。并在该合同执行首次订单提供覆盖本技术要求所有标★检测项目的第三方检测机构出具的盖章版产品检测报告。</w:t>
      </w:r>
    </w:p>
    <w:p>
      <w:pPr>
        <w:pStyle w:val="9"/>
        <w:spacing w:line="360" w:lineRule="auto"/>
        <w:ind w:firstLine="42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val="en-US" w:eastAsia="zh-CN"/>
        </w:rPr>
        <w:t>4.送货后，由买方取样送检化验，产品质检合格后方可办理验收手续。如到货产品买方抽样检测不合格，买方有权要求卖方退换货处理，退换货周期不超过1天。</w:t>
      </w:r>
    </w:p>
    <w:p>
      <w:pPr>
        <w:pStyle w:val="9"/>
        <w:spacing w:line="360" w:lineRule="auto"/>
        <w:ind w:firstLine="420"/>
        <w:rPr>
          <w:rFonts w:hint="eastAsia" w:ascii="微软雅黑" w:hAnsi="微软雅黑" w:eastAsia="微软雅黑" w:cs="微软雅黑"/>
          <w:lang w:eastAsia="zh-CN"/>
        </w:rPr>
      </w:pPr>
      <w:r>
        <w:rPr>
          <w:rFonts w:hint="eastAsia" w:ascii="微软雅黑" w:hAnsi="微软雅黑" w:eastAsia="微软雅黑" w:cs="微软雅黑"/>
          <w:color w:val="auto"/>
          <w:sz w:val="21"/>
          <w:szCs w:val="21"/>
          <w:lang w:val="en-US" w:eastAsia="zh-CN"/>
        </w:rPr>
        <w:t>5.如卖方对买方抽样质检结果有疑议，经双方协商后，进行联合取样，样品一式三份（每份不得少于200mL）；一份由具备CNAS/CMA认证机构的第三方质量检验机构检测，一份由工程技术公司质控中心检测，一份作为备样质控中心留存。若结果不一致，最终检测以质控中心检测结果为准。</w:t>
      </w:r>
    </w:p>
    <w:bookmarkEnd w:id="10"/>
    <w:p>
      <w:pPr>
        <w:pStyle w:val="24"/>
        <w:spacing w:before="120" w:after="120"/>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七、标识、包装、运输和存储</w:t>
      </w:r>
    </w:p>
    <w:p>
      <w:pPr>
        <w:pStyle w:val="4"/>
        <w:rPr>
          <w:rFonts w:hint="eastAsia"/>
          <w:sz w:val="24"/>
          <w:szCs w:val="24"/>
        </w:rPr>
      </w:pPr>
      <w:r>
        <w:rPr>
          <w:rFonts w:hint="eastAsia"/>
          <w:sz w:val="24"/>
          <w:szCs w:val="24"/>
        </w:rPr>
        <w:t>1. 产品标识</w:t>
      </w:r>
    </w:p>
    <w:p>
      <w:pPr>
        <w:pStyle w:val="9"/>
        <w:spacing w:line="257" w:lineRule="auto"/>
        <w:ind w:left="220" w:right="122" w:firstLine="420"/>
        <w:rPr>
          <w:rFonts w:hint="eastAsia" w:ascii="微软雅黑" w:hAnsi="微软雅黑" w:eastAsia="微软雅黑"/>
          <w:lang w:eastAsia="zh-CN"/>
        </w:rPr>
      </w:pPr>
      <w:r>
        <w:rPr>
          <w:rFonts w:ascii="Times New Roman" w:hAnsi="Times New Roman" w:eastAsia="微软雅黑"/>
          <w:lang w:eastAsia="zh-CN"/>
        </w:rPr>
        <w:t>产品标志/标签要求：标注产品名称、规格型号、生产批号、生产日期、有效期、生产商名称</w:t>
      </w:r>
      <w:r>
        <w:rPr>
          <w:rFonts w:hint="eastAsia" w:ascii="微软雅黑" w:hAnsi="微软雅黑" w:eastAsia="微软雅黑"/>
          <w:lang w:eastAsia="zh-CN"/>
        </w:rPr>
        <w:t>；</w:t>
      </w:r>
    </w:p>
    <w:p>
      <w:pPr>
        <w:pStyle w:val="4"/>
        <w:rPr>
          <w:rFonts w:hint="eastAsia"/>
          <w:sz w:val="24"/>
          <w:szCs w:val="24"/>
        </w:rPr>
      </w:pPr>
      <w:r>
        <w:rPr>
          <w:rFonts w:hint="eastAsia"/>
          <w:sz w:val="24"/>
          <w:szCs w:val="24"/>
        </w:rPr>
        <w:t>2. 产品包装</w:t>
      </w:r>
    </w:p>
    <w:p>
      <w:pPr>
        <w:pStyle w:val="9"/>
        <w:spacing w:line="257" w:lineRule="auto"/>
        <w:ind w:left="220" w:right="122" w:firstLine="420"/>
        <w:rPr>
          <w:rFonts w:ascii="Times New Roman" w:hAnsi="Times New Roman" w:eastAsia="微软雅黑"/>
          <w:lang w:eastAsia="zh-CN"/>
        </w:rPr>
      </w:pPr>
      <w:r>
        <w:rPr>
          <w:rFonts w:hint="eastAsia" w:ascii="Times New Roman" w:hAnsi="Times New Roman" w:eastAsia="微软雅黑"/>
          <w:lang w:val="en-US" w:eastAsia="zh-CN"/>
        </w:rPr>
        <w:t>不要求具体包装形式，但卖方进行产品交付时需由卖方负责提供药剂运输及倒灌服务，将买方的6m³空药剂罐由天津增产公司库房运输至卖方符合国家法律法规要求的罐装作业场地。倒服务完成后，卖方将6m³药剂罐从卖方作业场地运回天津增产公司库房</w:t>
      </w:r>
      <w:r>
        <w:rPr>
          <w:rFonts w:hint="eastAsia" w:ascii="Times New Roman" w:hAnsi="Times New Roman" w:eastAsia="微软雅黑"/>
          <w:lang w:eastAsia="zh-CN"/>
        </w:rPr>
        <w:t>。</w:t>
      </w:r>
    </w:p>
    <w:p>
      <w:pPr>
        <w:pStyle w:val="4"/>
        <w:rPr>
          <w:rFonts w:hint="eastAsia"/>
          <w:sz w:val="24"/>
          <w:szCs w:val="24"/>
        </w:rPr>
      </w:pPr>
      <w:r>
        <w:rPr>
          <w:rFonts w:hint="eastAsia"/>
          <w:sz w:val="24"/>
          <w:szCs w:val="24"/>
        </w:rPr>
        <w:t>3. 产品运输</w:t>
      </w:r>
    </w:p>
    <w:p>
      <w:pPr>
        <w:pStyle w:val="9"/>
        <w:spacing w:line="360" w:lineRule="auto"/>
        <w:ind w:right="122" w:firstLine="420"/>
        <w:rPr>
          <w:rFonts w:hint="eastAsia" w:ascii="微软雅黑" w:hAnsi="微软雅黑" w:eastAsia="微软雅黑" w:cs="微软雅黑"/>
          <w:lang w:eastAsia="zh-CN"/>
        </w:rPr>
      </w:pPr>
      <w:r>
        <w:rPr>
          <w:rFonts w:hint="eastAsia" w:ascii="微软雅黑" w:hAnsi="微软雅黑" w:eastAsia="微软雅黑" w:cs="微软雅黑"/>
          <w:lang w:val="en-US" w:eastAsia="zh-CN"/>
        </w:rPr>
        <w:t>买方负责在天津增产公司库房场地内的装卸作业，其余环节，如卖方作业场地的装车、倒装及运输服务均由卖方负责</w:t>
      </w:r>
      <w:r>
        <w:rPr>
          <w:rFonts w:hint="eastAsia" w:ascii="微软雅黑" w:hAnsi="微软雅黑" w:eastAsia="微软雅黑" w:cs="微软雅黑"/>
          <w:lang w:eastAsia="zh-CN"/>
        </w:rPr>
        <w:t>。</w:t>
      </w:r>
    </w:p>
    <w:p>
      <w:pPr>
        <w:pStyle w:val="4"/>
        <w:rPr>
          <w:rFonts w:hint="eastAsia"/>
          <w:sz w:val="24"/>
          <w:szCs w:val="24"/>
        </w:rPr>
      </w:pPr>
      <w:r>
        <w:rPr>
          <w:rFonts w:hint="eastAsia"/>
          <w:sz w:val="24"/>
          <w:szCs w:val="24"/>
        </w:rPr>
        <w:t>4. 产品存储</w:t>
      </w:r>
    </w:p>
    <w:p>
      <w:pPr>
        <w:pStyle w:val="9"/>
        <w:spacing w:line="257" w:lineRule="auto"/>
        <w:ind w:right="122" w:firstLine="420"/>
        <w:rPr>
          <w:rFonts w:ascii="Times New Roman" w:hAnsi="Times New Roman" w:eastAsia="微软雅黑"/>
          <w:lang w:eastAsia="zh-CN"/>
        </w:rPr>
      </w:pPr>
      <w:r>
        <w:rPr>
          <w:rFonts w:ascii="Times New Roman" w:hAnsi="Times New Roman" w:eastAsia="微软雅黑"/>
          <w:lang w:eastAsia="zh-CN"/>
        </w:rPr>
        <w:t>按照产品说明书执行</w:t>
      </w:r>
      <w:r>
        <w:rPr>
          <w:rFonts w:hint="eastAsia" w:ascii="Times New Roman" w:hAnsi="Times New Roman" w:eastAsia="微软雅黑"/>
          <w:lang w:eastAsia="zh-CN"/>
        </w:rPr>
        <w:t>。</w:t>
      </w:r>
    </w:p>
    <w:p>
      <w:pPr>
        <w:pStyle w:val="24"/>
        <w:numPr>
          <w:ilvl w:val="0"/>
          <w:numId w:val="3"/>
        </w:numPr>
        <w:spacing w:before="120" w:after="120"/>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技术文件</w:t>
      </w:r>
    </w:p>
    <w:p>
      <w:pPr>
        <w:pStyle w:val="9"/>
        <w:spacing w:line="360" w:lineRule="auto"/>
        <w:ind w:right="122" w:firstLine="210" w:firstLineChars="100"/>
        <w:rPr>
          <w:rFonts w:hint="eastAsia" w:ascii="微软雅黑" w:hAnsi="微软雅黑" w:eastAsia="微软雅黑" w:cs="微软雅黑"/>
          <w:lang w:eastAsia="zh-CN"/>
        </w:rPr>
      </w:pPr>
      <w:r>
        <w:rPr>
          <w:rFonts w:hint="eastAsia" w:ascii="微软雅黑" w:hAnsi="微软雅黑" w:eastAsia="微软雅黑" w:cs="微软雅黑"/>
          <w:lang w:eastAsia="zh-CN"/>
        </w:rPr>
        <w:t>1. 提供药剂时需要厂家提供出厂质检报告；</w:t>
      </w:r>
    </w:p>
    <w:p>
      <w:pPr>
        <w:pStyle w:val="9"/>
        <w:spacing w:line="360" w:lineRule="auto"/>
        <w:ind w:right="122" w:firstLine="210" w:firstLineChars="100"/>
        <w:rPr>
          <w:rFonts w:hint="eastAsia" w:ascii="微软雅黑" w:hAnsi="微软雅黑" w:eastAsia="微软雅黑" w:cs="微软雅黑"/>
          <w:lang w:eastAsia="zh-CN"/>
        </w:rPr>
      </w:pPr>
      <w:r>
        <w:rPr>
          <w:rFonts w:hint="eastAsia" w:ascii="微软雅黑" w:hAnsi="微软雅黑" w:eastAsia="微软雅黑" w:cs="微软雅黑"/>
          <w:lang w:eastAsia="zh-CN"/>
        </w:rPr>
        <w:t>2. 提供产品的说明书，说明书中需要包含产品的主要成分；</w:t>
      </w:r>
    </w:p>
    <w:p>
      <w:pPr>
        <w:pStyle w:val="9"/>
        <w:spacing w:line="360" w:lineRule="auto"/>
        <w:ind w:right="122" w:firstLine="210" w:firstLineChars="100"/>
        <w:rPr>
          <w:rFonts w:hint="eastAsia" w:ascii="微软雅黑" w:hAnsi="微软雅黑" w:eastAsia="微软雅黑" w:cs="微软雅黑"/>
          <w:lang w:eastAsia="zh-CN"/>
        </w:rPr>
      </w:pPr>
      <w:r>
        <w:rPr>
          <w:rFonts w:hint="eastAsia" w:ascii="微软雅黑" w:hAnsi="微软雅黑" w:eastAsia="微软雅黑" w:cs="微软雅黑"/>
          <w:lang w:eastAsia="zh-CN"/>
        </w:rPr>
        <w:t>3. 提供海事局认可的产品“货物运输条件鉴定书”，包含海运及陆运证书；</w:t>
      </w:r>
    </w:p>
    <w:p>
      <w:pPr>
        <w:pStyle w:val="9"/>
        <w:spacing w:line="360" w:lineRule="auto"/>
        <w:ind w:right="122" w:firstLine="210" w:firstLineChars="100"/>
        <w:rPr>
          <w:rFonts w:hint="eastAsia" w:ascii="微软雅黑" w:hAnsi="微软雅黑" w:eastAsia="微软雅黑" w:cs="微软雅黑"/>
          <w:lang w:eastAsia="zh-CN"/>
        </w:rPr>
      </w:pPr>
      <w:r>
        <w:rPr>
          <w:rFonts w:hint="eastAsia" w:ascii="微软雅黑" w:hAnsi="微软雅黑" w:eastAsia="微软雅黑" w:cs="微软雅黑"/>
          <w:lang w:eastAsia="zh-CN"/>
        </w:rPr>
        <w:t>4. 提供产品的MSDS。</w:t>
      </w:r>
    </w:p>
    <w:p>
      <w:pPr>
        <w:pStyle w:val="24"/>
        <w:spacing w:before="120" w:after="120"/>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九、工作进度、监造和现场验收</w:t>
      </w:r>
    </w:p>
    <w:p>
      <w:pPr>
        <w:pStyle w:val="9"/>
        <w:keepNext w:val="0"/>
        <w:keepLines w:val="0"/>
        <w:pageBreakBefore w:val="0"/>
        <w:shd w:val="clear" w:color="auto" w:fill="auto"/>
        <w:kinsoku/>
        <w:wordWrap/>
        <w:overflowPunct/>
        <w:topLinePunct w:val="0"/>
        <w:bidi w:val="0"/>
        <w:spacing w:line="360" w:lineRule="auto"/>
        <w:ind w:right="122" w:firstLineChars="0"/>
        <w:rPr>
          <w:rFonts w:hint="eastAsia" w:ascii="微软雅黑" w:hAnsi="微软雅黑" w:eastAsia="微软雅黑" w:cs="微软雅黑"/>
          <w:color w:val="auto"/>
          <w:lang w:eastAsia="zh-CN"/>
        </w:rPr>
      </w:pPr>
      <w:bookmarkStart w:id="11" w:name="_Hlk215671147"/>
      <w:r>
        <w:rPr>
          <w:rFonts w:hint="eastAsia" w:ascii="微软雅黑" w:hAnsi="微软雅黑" w:eastAsia="微软雅黑" w:cs="微软雅黑"/>
          <w:color w:val="auto"/>
          <w:lang w:eastAsia="zh-CN"/>
        </w:rPr>
        <w:t xml:space="preserve">1. </w:t>
      </w:r>
      <w:r>
        <w:rPr>
          <w:rFonts w:hint="eastAsia" w:ascii="微软雅黑" w:hAnsi="微软雅黑" w:eastAsia="微软雅黑" w:cs="微软雅黑"/>
          <w:sz w:val="21"/>
          <w:szCs w:val="21"/>
        </w:rPr>
        <w:t>货物到达</w:t>
      </w:r>
      <w:r>
        <w:rPr>
          <w:rFonts w:hint="eastAsia" w:ascii="微软雅黑" w:hAnsi="微软雅黑" w:eastAsia="微软雅黑" w:cs="微软雅黑"/>
          <w:sz w:val="21"/>
          <w:szCs w:val="21"/>
          <w:lang w:eastAsia="zh-CN"/>
        </w:rPr>
        <w:t>买方</w:t>
      </w:r>
      <w:r>
        <w:rPr>
          <w:rFonts w:hint="eastAsia" w:ascii="微软雅黑" w:hAnsi="微软雅黑" w:eastAsia="微软雅黑" w:cs="微软雅黑"/>
          <w:sz w:val="21"/>
          <w:szCs w:val="21"/>
        </w:rPr>
        <w:t>合同/订单指定到货地点后，由</w:t>
      </w:r>
      <w:r>
        <w:rPr>
          <w:rFonts w:hint="eastAsia" w:ascii="微软雅黑" w:hAnsi="微软雅黑" w:eastAsia="微软雅黑" w:cs="微软雅黑"/>
          <w:sz w:val="21"/>
          <w:szCs w:val="21"/>
          <w:lang w:eastAsia="zh-CN"/>
        </w:rPr>
        <w:t>买方</w:t>
      </w:r>
      <w:r>
        <w:rPr>
          <w:rFonts w:hint="eastAsia" w:ascii="微软雅黑" w:hAnsi="微软雅黑" w:eastAsia="微软雅黑" w:cs="微软雅黑"/>
          <w:sz w:val="21"/>
          <w:szCs w:val="21"/>
        </w:rPr>
        <w:t>人员按本协议及合同/订单有关名称、品牌、型号、规格、数量、质量及技术要求进行验收。如发现</w:t>
      </w:r>
      <w:r>
        <w:rPr>
          <w:rFonts w:hint="eastAsia" w:ascii="微软雅黑" w:hAnsi="微软雅黑" w:eastAsia="微软雅黑" w:cs="微软雅黑"/>
          <w:sz w:val="21"/>
          <w:szCs w:val="21"/>
          <w:lang w:eastAsia="zh-CN"/>
        </w:rPr>
        <w:t>卖方</w:t>
      </w:r>
      <w:r>
        <w:rPr>
          <w:rFonts w:hint="eastAsia" w:ascii="微软雅黑" w:hAnsi="微软雅黑" w:eastAsia="微软雅黑" w:cs="微软雅黑"/>
          <w:sz w:val="21"/>
          <w:szCs w:val="21"/>
        </w:rPr>
        <w:t>提供的货物名称、品牌、型号、规格、数量、质量及技术要求不符合</w:t>
      </w:r>
      <w:r>
        <w:rPr>
          <w:rFonts w:hint="eastAsia" w:ascii="微软雅黑" w:hAnsi="微软雅黑" w:eastAsia="微软雅黑" w:cs="微软雅黑"/>
          <w:sz w:val="21"/>
          <w:szCs w:val="21"/>
          <w:lang w:eastAsia="zh-CN"/>
        </w:rPr>
        <w:t>买方</w:t>
      </w:r>
      <w:r>
        <w:rPr>
          <w:rFonts w:hint="eastAsia" w:ascii="微软雅黑" w:hAnsi="微软雅黑" w:eastAsia="微软雅黑" w:cs="微软雅黑"/>
          <w:sz w:val="21"/>
          <w:szCs w:val="21"/>
        </w:rPr>
        <w:t>合同/订单及本协议要求，证书、技术资料不齐，破损，</w:t>
      </w:r>
      <w:r>
        <w:rPr>
          <w:rFonts w:hint="eastAsia" w:ascii="微软雅黑" w:hAnsi="微软雅黑" w:eastAsia="微软雅黑" w:cs="微软雅黑"/>
          <w:sz w:val="21"/>
          <w:szCs w:val="21"/>
          <w:lang w:eastAsia="zh-CN"/>
        </w:rPr>
        <w:t>买方</w:t>
      </w:r>
      <w:r>
        <w:rPr>
          <w:rFonts w:hint="eastAsia" w:ascii="微软雅黑" w:hAnsi="微软雅黑" w:eastAsia="微软雅黑" w:cs="微软雅黑"/>
          <w:sz w:val="21"/>
          <w:szCs w:val="21"/>
        </w:rPr>
        <w:t>有权要求退货、更换、补齐，由此引起的一切费用由</w:t>
      </w:r>
      <w:r>
        <w:rPr>
          <w:rFonts w:hint="eastAsia" w:ascii="微软雅黑" w:hAnsi="微软雅黑" w:eastAsia="微软雅黑" w:cs="微软雅黑"/>
          <w:sz w:val="21"/>
          <w:szCs w:val="21"/>
          <w:lang w:eastAsia="zh-CN"/>
        </w:rPr>
        <w:t>卖方</w:t>
      </w:r>
      <w:r>
        <w:rPr>
          <w:rFonts w:hint="eastAsia" w:ascii="微软雅黑" w:hAnsi="微软雅黑" w:eastAsia="微软雅黑" w:cs="微软雅黑"/>
          <w:sz w:val="21"/>
          <w:szCs w:val="21"/>
        </w:rPr>
        <w:t>负责</w:t>
      </w:r>
      <w:r>
        <w:rPr>
          <w:rFonts w:hint="eastAsia" w:ascii="微软雅黑" w:hAnsi="微软雅黑" w:eastAsia="微软雅黑" w:cs="微软雅黑"/>
          <w:color w:val="auto"/>
          <w:lang w:eastAsia="zh-CN"/>
        </w:rPr>
        <w:t>；</w:t>
      </w:r>
    </w:p>
    <w:p>
      <w:pPr>
        <w:pStyle w:val="9"/>
        <w:keepNext w:val="0"/>
        <w:keepLines w:val="0"/>
        <w:pageBreakBefore w:val="0"/>
        <w:shd w:val="clear" w:color="auto" w:fill="auto"/>
        <w:kinsoku/>
        <w:wordWrap/>
        <w:overflowPunct/>
        <w:topLinePunct w:val="0"/>
        <w:bidi w:val="0"/>
        <w:spacing w:line="360" w:lineRule="auto"/>
        <w:ind w:right="122" w:firstLineChars="0"/>
        <w:rPr>
          <w:rFonts w:hint="eastAsia"/>
          <w:lang w:eastAsia="zh-CN"/>
        </w:rPr>
      </w:pPr>
      <w:r>
        <w:rPr>
          <w:rFonts w:hint="eastAsia" w:ascii="微软雅黑" w:hAnsi="微软雅黑" w:eastAsia="微软雅黑" w:cs="微软雅黑"/>
          <w:color w:val="auto"/>
          <w:lang w:eastAsia="zh-CN"/>
        </w:rPr>
        <w:t xml:space="preserve">2. </w:t>
      </w:r>
      <w:r>
        <w:rPr>
          <w:rFonts w:hint="eastAsia" w:ascii="微软雅黑" w:hAnsi="微软雅黑" w:eastAsia="微软雅黑" w:cs="微软雅黑"/>
          <w:sz w:val="21"/>
          <w:szCs w:val="21"/>
        </w:rPr>
        <w:t>验收合格后，</w:t>
      </w:r>
      <w:r>
        <w:rPr>
          <w:rFonts w:hint="eastAsia" w:ascii="微软雅黑" w:hAnsi="微软雅黑" w:eastAsia="微软雅黑" w:cs="微软雅黑"/>
          <w:sz w:val="21"/>
          <w:szCs w:val="21"/>
          <w:lang w:eastAsia="zh-CN"/>
        </w:rPr>
        <w:t>买方</w:t>
      </w:r>
      <w:r>
        <w:rPr>
          <w:rFonts w:hint="eastAsia" w:ascii="微软雅黑" w:hAnsi="微软雅黑" w:eastAsia="微软雅黑" w:cs="微软雅黑"/>
          <w:sz w:val="21"/>
          <w:szCs w:val="21"/>
        </w:rPr>
        <w:t>指定人员在送货清单上签字确认，送货清单由验收人保留一份，</w:t>
      </w:r>
      <w:r>
        <w:rPr>
          <w:rFonts w:hint="eastAsia" w:ascii="微软雅黑" w:hAnsi="微软雅黑" w:eastAsia="微软雅黑" w:cs="微软雅黑"/>
          <w:sz w:val="21"/>
          <w:szCs w:val="21"/>
          <w:lang w:eastAsia="zh-CN"/>
        </w:rPr>
        <w:t>卖方</w:t>
      </w:r>
      <w:r>
        <w:rPr>
          <w:rFonts w:hint="eastAsia" w:ascii="微软雅黑" w:hAnsi="微软雅黑" w:eastAsia="微软雅黑" w:cs="微软雅黑"/>
          <w:sz w:val="21"/>
          <w:szCs w:val="21"/>
        </w:rPr>
        <w:t>将其余的二份送货单交采办人员认可签字后，一份由我方物资采办管理部门保留，另一份由</w:t>
      </w:r>
      <w:r>
        <w:rPr>
          <w:rFonts w:hint="eastAsia" w:ascii="微软雅黑" w:hAnsi="微软雅黑" w:eastAsia="微软雅黑" w:cs="微软雅黑"/>
          <w:sz w:val="21"/>
          <w:szCs w:val="21"/>
          <w:lang w:eastAsia="zh-CN"/>
        </w:rPr>
        <w:t>卖方</w:t>
      </w:r>
      <w:r>
        <w:rPr>
          <w:rFonts w:hint="eastAsia" w:ascii="微软雅黑" w:hAnsi="微软雅黑" w:eastAsia="微软雅黑" w:cs="微软雅黑"/>
          <w:sz w:val="21"/>
          <w:szCs w:val="21"/>
        </w:rPr>
        <w:t>保留</w:t>
      </w:r>
      <w:r>
        <w:rPr>
          <w:rFonts w:hint="eastAsia" w:ascii="微软雅黑" w:hAnsi="微软雅黑" w:eastAsia="微软雅黑" w:cs="微软雅黑"/>
          <w:color w:val="auto"/>
          <w:lang w:eastAsia="zh-CN"/>
        </w:rPr>
        <w:t>。</w:t>
      </w:r>
    </w:p>
    <w:bookmarkEnd w:id="11"/>
    <w:p>
      <w:pPr>
        <w:pStyle w:val="24"/>
        <w:spacing w:before="120" w:after="120"/>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十、技术服务与售后服务</w:t>
      </w:r>
    </w:p>
    <w:p>
      <w:pPr>
        <w:keepNext w:val="0"/>
        <w:keepLines w:val="0"/>
        <w:pageBreakBefore w:val="0"/>
        <w:numPr>
          <w:ilvl w:val="0"/>
          <w:numId w:val="0"/>
        </w:numPr>
        <w:shd w:val="clear" w:color="auto" w:fill="auto"/>
        <w:kinsoku/>
        <w:wordWrap/>
        <w:overflowPunct/>
        <w:topLinePunct w:val="0"/>
        <w:bidi w:val="0"/>
        <w:spacing w:line="360" w:lineRule="auto"/>
        <w:ind w:firstLine="210" w:firstLineChars="100"/>
        <w:rPr>
          <w:rFonts w:hint="eastAsia" w:ascii="微软雅黑" w:hAnsi="微软雅黑" w:eastAsia="微软雅黑" w:cs="微软雅黑"/>
          <w:kern w:val="0"/>
          <w:sz w:val="21"/>
          <w:szCs w:val="21"/>
          <w:lang w:val="en-US" w:eastAsia="en-US" w:bidi="ar-SA"/>
        </w:rPr>
      </w:pPr>
      <w:r>
        <w:rPr>
          <w:rFonts w:hint="eastAsia" w:ascii="微软雅黑" w:hAnsi="微软雅黑" w:eastAsia="微软雅黑" w:cs="微软雅黑"/>
          <w:color w:val="auto"/>
          <w:sz w:val="21"/>
          <w:szCs w:val="21"/>
          <w:lang w:val="en-US" w:eastAsia="zh-CN"/>
        </w:rPr>
        <w:t>1</w:t>
      </w:r>
      <w:r>
        <w:rPr>
          <w:rFonts w:hint="eastAsia" w:ascii="微软雅黑" w:hAnsi="微软雅黑" w:eastAsia="微软雅黑" w:cs="微软雅黑"/>
          <w:color w:val="auto"/>
          <w:sz w:val="21"/>
          <w:szCs w:val="21"/>
          <w:lang w:eastAsia="zh-CN"/>
        </w:rPr>
        <w:t xml:space="preserve">. </w:t>
      </w:r>
      <w:r>
        <w:rPr>
          <w:rFonts w:hint="eastAsia" w:ascii="微软雅黑" w:hAnsi="微软雅黑" w:eastAsia="微软雅黑" w:cs="微软雅黑"/>
          <w:kern w:val="0"/>
          <w:sz w:val="21"/>
          <w:szCs w:val="21"/>
          <w:lang w:val="en-US" w:eastAsia="en-US" w:bidi="ar-SA"/>
        </w:rPr>
        <w:t>质保期要求：质保期为卖方交付该批货物经双方签署送货检验单后12个月。</w:t>
      </w:r>
    </w:p>
    <w:p>
      <w:pPr>
        <w:keepNext w:val="0"/>
        <w:keepLines w:val="0"/>
        <w:pageBreakBefore w:val="0"/>
        <w:numPr>
          <w:ilvl w:val="0"/>
          <w:numId w:val="0"/>
        </w:numPr>
        <w:shd w:val="clear" w:color="auto" w:fill="auto"/>
        <w:kinsoku/>
        <w:wordWrap/>
        <w:overflowPunct/>
        <w:topLinePunct w:val="0"/>
        <w:bidi w:val="0"/>
        <w:spacing w:line="360" w:lineRule="auto"/>
        <w:ind w:firstLine="210" w:firstLineChars="100"/>
        <w:rPr>
          <w:rFonts w:hint="eastAsia" w:ascii="微软雅黑" w:hAnsi="微软雅黑" w:eastAsia="微软雅黑" w:cs="微软雅黑"/>
          <w:kern w:val="0"/>
          <w:sz w:val="21"/>
          <w:szCs w:val="21"/>
          <w:lang w:val="en-US" w:eastAsia="en-US" w:bidi="ar-SA"/>
        </w:rPr>
      </w:pPr>
      <w:r>
        <w:rPr>
          <w:rFonts w:hint="eastAsia" w:ascii="微软雅黑" w:hAnsi="微软雅黑" w:eastAsia="微软雅黑" w:cs="微软雅黑"/>
          <w:color w:val="auto"/>
          <w:sz w:val="21"/>
          <w:szCs w:val="21"/>
          <w:lang w:val="en-US" w:eastAsia="zh-CN"/>
        </w:rPr>
        <w:t>2</w:t>
      </w:r>
      <w:r>
        <w:rPr>
          <w:rFonts w:hint="eastAsia" w:ascii="微软雅黑" w:hAnsi="微软雅黑" w:eastAsia="微软雅黑" w:cs="微软雅黑"/>
          <w:color w:val="auto"/>
          <w:sz w:val="21"/>
          <w:szCs w:val="21"/>
          <w:lang w:eastAsia="zh-CN"/>
        </w:rPr>
        <w:t xml:space="preserve">. </w:t>
      </w:r>
      <w:r>
        <w:rPr>
          <w:rFonts w:hint="eastAsia" w:ascii="微软雅黑" w:hAnsi="微软雅黑" w:eastAsia="微软雅黑" w:cs="微软雅黑"/>
          <w:kern w:val="0"/>
          <w:sz w:val="21"/>
          <w:szCs w:val="21"/>
          <w:lang w:val="en-US" w:eastAsia="en-US" w:bidi="ar-SA"/>
        </w:rPr>
        <w:t>生产日期不能早于送货日期3个月。在质保期内，药剂出现质量问题时，</w:t>
      </w:r>
      <w:r>
        <w:rPr>
          <w:rFonts w:hint="eastAsia" w:ascii="微软雅黑" w:hAnsi="微软雅黑" w:eastAsia="微软雅黑" w:cs="微软雅黑"/>
          <w:kern w:val="0"/>
          <w:sz w:val="21"/>
          <w:szCs w:val="21"/>
          <w:lang w:val="en-US" w:eastAsia="zh-CN" w:bidi="ar-SA"/>
        </w:rPr>
        <w:t>卖方</w:t>
      </w:r>
      <w:r>
        <w:rPr>
          <w:rFonts w:hint="eastAsia" w:ascii="微软雅黑" w:hAnsi="微软雅黑" w:eastAsia="微软雅黑" w:cs="微软雅黑"/>
          <w:kern w:val="0"/>
          <w:sz w:val="21"/>
          <w:szCs w:val="21"/>
          <w:lang w:val="en-US" w:eastAsia="en-US" w:bidi="ar-SA"/>
        </w:rPr>
        <w:t>应负责进行免费更换。</w:t>
      </w:r>
      <w:r>
        <w:rPr>
          <w:rFonts w:hint="eastAsia" w:ascii="微软雅黑" w:hAnsi="微软雅黑" w:eastAsia="微软雅黑" w:cs="微软雅黑"/>
          <w:kern w:val="0"/>
          <w:sz w:val="21"/>
          <w:szCs w:val="21"/>
          <w:lang w:val="en-US" w:eastAsia="zh-CN" w:bidi="ar-SA"/>
        </w:rPr>
        <w:t>卖方</w:t>
      </w:r>
      <w:r>
        <w:rPr>
          <w:rFonts w:hint="eastAsia" w:ascii="微软雅黑" w:hAnsi="微软雅黑" w:eastAsia="微软雅黑" w:cs="微软雅黑"/>
          <w:kern w:val="0"/>
          <w:sz w:val="21"/>
          <w:szCs w:val="21"/>
          <w:lang w:val="en-US" w:eastAsia="en-US" w:bidi="ar-SA"/>
        </w:rPr>
        <w:t>保证更换的药剂为合格产品。如果药剂更换2批次后仍存在质量问题，</w:t>
      </w:r>
      <w:r>
        <w:rPr>
          <w:rFonts w:hint="eastAsia" w:ascii="微软雅黑" w:hAnsi="微软雅黑" w:eastAsia="微软雅黑" w:cs="微软雅黑"/>
          <w:kern w:val="0"/>
          <w:sz w:val="21"/>
          <w:szCs w:val="21"/>
          <w:lang w:val="en-US" w:eastAsia="zh-CN" w:bidi="ar-SA"/>
        </w:rPr>
        <w:t>买方</w:t>
      </w:r>
      <w:r>
        <w:rPr>
          <w:rFonts w:hint="eastAsia" w:ascii="微软雅黑" w:hAnsi="微软雅黑" w:eastAsia="微软雅黑" w:cs="微软雅黑"/>
          <w:kern w:val="0"/>
          <w:sz w:val="21"/>
          <w:szCs w:val="21"/>
          <w:lang w:val="en-US" w:eastAsia="en-US" w:bidi="ar-SA"/>
        </w:rPr>
        <w:t>有权提出退货，并按照惩罚措施提出赔偿。</w:t>
      </w:r>
    </w:p>
    <w:p>
      <w:pPr>
        <w:pStyle w:val="9"/>
        <w:keepNext w:val="0"/>
        <w:keepLines w:val="0"/>
        <w:pageBreakBefore w:val="0"/>
        <w:numPr>
          <w:ilvl w:val="0"/>
          <w:numId w:val="0"/>
        </w:numPr>
        <w:shd w:val="clear" w:color="auto" w:fill="auto"/>
        <w:kinsoku/>
        <w:wordWrap/>
        <w:overflowPunct/>
        <w:topLinePunct w:val="0"/>
        <w:bidi w:val="0"/>
        <w:spacing w:line="360" w:lineRule="auto"/>
        <w:ind w:right="122" w:rightChars="0" w:firstLine="210" w:firstLineChars="100"/>
        <w:rPr>
          <w:rFonts w:hint="eastAsia" w:ascii="微软雅黑" w:hAnsi="微软雅黑" w:eastAsia="微软雅黑" w:cs="微软雅黑"/>
          <w:color w:val="auto"/>
          <w:lang w:eastAsia="zh-CN"/>
        </w:rPr>
      </w:pPr>
      <w:r>
        <w:rPr>
          <w:rFonts w:hint="eastAsia" w:ascii="微软雅黑" w:hAnsi="微软雅黑" w:eastAsia="微软雅黑" w:cs="微软雅黑"/>
          <w:color w:val="auto"/>
          <w:sz w:val="21"/>
          <w:szCs w:val="21"/>
          <w:lang w:val="en-US" w:eastAsia="zh-CN"/>
        </w:rPr>
        <w:t>3</w:t>
      </w:r>
      <w:r>
        <w:rPr>
          <w:rFonts w:hint="eastAsia" w:ascii="微软雅黑" w:hAnsi="微软雅黑" w:eastAsia="微软雅黑" w:cs="微软雅黑"/>
          <w:color w:val="auto"/>
          <w:sz w:val="21"/>
          <w:szCs w:val="21"/>
          <w:lang w:eastAsia="zh-CN"/>
        </w:rPr>
        <w:t xml:space="preserve">. </w:t>
      </w:r>
      <w:r>
        <w:rPr>
          <w:rFonts w:hint="eastAsia" w:ascii="微软雅黑" w:hAnsi="微软雅黑" w:eastAsia="微软雅黑" w:cs="微软雅黑"/>
          <w:kern w:val="0"/>
          <w:sz w:val="21"/>
          <w:szCs w:val="21"/>
          <w:lang w:val="en-US" w:eastAsia="en-US" w:bidi="ar-SA"/>
        </w:rPr>
        <w:t>其它要求：到货验收不合格，无条件退或换货</w:t>
      </w:r>
      <w:r>
        <w:rPr>
          <w:rFonts w:hint="eastAsia" w:ascii="微软雅黑" w:hAnsi="微软雅黑" w:eastAsia="微软雅黑" w:cs="微软雅黑"/>
          <w:color w:val="auto"/>
          <w:lang w:eastAsia="zh-CN"/>
        </w:rPr>
        <w:t>。</w:t>
      </w:r>
    </w:p>
    <w:p>
      <w:pPr>
        <w:pStyle w:val="24"/>
        <w:spacing w:before="120" w:after="120"/>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十一、质量保证</w:t>
      </w:r>
    </w:p>
    <w:p>
      <w:pPr>
        <w:spacing w:line="360" w:lineRule="auto"/>
        <w:ind w:firstLine="210" w:firstLineChars="100"/>
        <w:rPr>
          <w:rFonts w:hint="eastAsia" w:ascii="Microsoft YaHei UI" w:hAnsi="Microsoft YaHei UI" w:eastAsia="微软雅黑"/>
          <w:sz w:val="21"/>
          <w:szCs w:val="21"/>
          <w:lang w:eastAsia="zh-CN"/>
        </w:rPr>
      </w:pPr>
      <w:bookmarkStart w:id="12" w:name="_Hlk215671201"/>
      <w:r>
        <w:rPr>
          <w:rFonts w:hint="eastAsia" w:ascii="微软雅黑" w:hAnsi="微软雅黑" w:eastAsia="微软雅黑"/>
          <w:sz w:val="21"/>
          <w:szCs w:val="21"/>
          <w:lang w:eastAsia="zh-CN"/>
        </w:rPr>
        <w:t xml:space="preserve">1. </w:t>
      </w:r>
      <w:r>
        <w:rPr>
          <w:rFonts w:ascii="Microsoft YaHei UI" w:hAnsi="Microsoft YaHei UI" w:eastAsia="微软雅黑"/>
          <w:sz w:val="21"/>
          <w:szCs w:val="21"/>
          <w:lang w:eastAsia="zh-CN"/>
        </w:rPr>
        <w:t>质保期要求：质保期为</w:t>
      </w:r>
      <w:r>
        <w:rPr>
          <w:rFonts w:hint="eastAsia" w:ascii="Microsoft YaHei UI" w:hAnsi="Microsoft YaHei UI" w:eastAsia="微软雅黑"/>
          <w:sz w:val="21"/>
          <w:szCs w:val="21"/>
          <w:lang w:eastAsia="zh-CN"/>
        </w:rPr>
        <w:t>卖方</w:t>
      </w:r>
      <w:r>
        <w:rPr>
          <w:rFonts w:ascii="Microsoft YaHei UI" w:hAnsi="Microsoft YaHei UI" w:eastAsia="微软雅黑"/>
          <w:sz w:val="21"/>
          <w:szCs w:val="21"/>
          <w:lang w:eastAsia="zh-CN"/>
        </w:rPr>
        <w:t>交付该批货物经双方签署送货检验单后12个月。</w:t>
      </w:r>
    </w:p>
    <w:p>
      <w:pPr>
        <w:spacing w:line="360" w:lineRule="auto"/>
        <w:ind w:firstLine="210" w:firstLineChars="100"/>
        <w:rPr>
          <w:rFonts w:hint="eastAsia" w:ascii="Microsoft YaHei UI" w:hAnsi="Microsoft YaHei UI" w:eastAsia="微软雅黑"/>
          <w:sz w:val="21"/>
          <w:szCs w:val="21"/>
          <w:lang w:eastAsia="zh-CN"/>
        </w:rPr>
      </w:pPr>
      <w:r>
        <w:rPr>
          <w:rFonts w:hint="eastAsia" w:ascii="微软雅黑" w:hAnsi="微软雅黑" w:eastAsia="微软雅黑"/>
          <w:sz w:val="21"/>
          <w:szCs w:val="21"/>
          <w:lang w:eastAsia="zh-CN"/>
        </w:rPr>
        <w:t xml:space="preserve">2. </w:t>
      </w:r>
      <w:r>
        <w:rPr>
          <w:rFonts w:ascii="Microsoft YaHei UI" w:hAnsi="Microsoft YaHei UI" w:eastAsia="微软雅黑"/>
          <w:sz w:val="21"/>
          <w:szCs w:val="21"/>
          <w:lang w:eastAsia="zh-CN"/>
        </w:rPr>
        <w:t>生产日期不能早于送货日期3个月。在质保期内，药剂出现质量问题时，</w:t>
      </w:r>
      <w:r>
        <w:rPr>
          <w:rFonts w:hint="eastAsia" w:ascii="Microsoft YaHei UI" w:hAnsi="Microsoft YaHei UI" w:eastAsia="微软雅黑"/>
          <w:sz w:val="21"/>
          <w:szCs w:val="21"/>
          <w:lang w:eastAsia="zh-CN"/>
        </w:rPr>
        <w:t>卖方</w:t>
      </w:r>
      <w:r>
        <w:rPr>
          <w:rFonts w:ascii="Microsoft YaHei UI" w:hAnsi="Microsoft YaHei UI" w:eastAsia="微软雅黑"/>
          <w:sz w:val="21"/>
          <w:szCs w:val="21"/>
          <w:lang w:eastAsia="zh-CN"/>
        </w:rPr>
        <w:t>应负责进行免费更换。</w:t>
      </w:r>
      <w:r>
        <w:rPr>
          <w:rFonts w:hint="eastAsia" w:ascii="Microsoft YaHei UI" w:hAnsi="Microsoft YaHei UI" w:eastAsia="微软雅黑"/>
          <w:sz w:val="21"/>
          <w:szCs w:val="21"/>
          <w:lang w:eastAsia="zh-CN"/>
        </w:rPr>
        <w:t>卖方</w:t>
      </w:r>
      <w:r>
        <w:rPr>
          <w:rFonts w:ascii="Microsoft YaHei UI" w:hAnsi="Microsoft YaHei UI" w:eastAsia="微软雅黑"/>
          <w:sz w:val="21"/>
          <w:szCs w:val="21"/>
          <w:lang w:eastAsia="zh-CN"/>
        </w:rPr>
        <w:t>保证更换的药剂为合格产品。如果药剂更换2批次后仍存在质量问题，</w:t>
      </w:r>
      <w:r>
        <w:rPr>
          <w:rFonts w:hint="eastAsia" w:ascii="Microsoft YaHei UI" w:hAnsi="Microsoft YaHei UI" w:eastAsia="微软雅黑"/>
          <w:sz w:val="21"/>
          <w:szCs w:val="21"/>
          <w:lang w:eastAsia="zh-CN"/>
        </w:rPr>
        <w:t>买方</w:t>
      </w:r>
      <w:r>
        <w:rPr>
          <w:rFonts w:ascii="Microsoft YaHei UI" w:hAnsi="Microsoft YaHei UI" w:eastAsia="微软雅黑"/>
          <w:sz w:val="21"/>
          <w:szCs w:val="21"/>
          <w:lang w:eastAsia="zh-CN"/>
        </w:rPr>
        <w:t>有权提出退货，并按照惩罚措施提出赔偿。</w:t>
      </w:r>
    </w:p>
    <w:p>
      <w:pPr>
        <w:pStyle w:val="9"/>
        <w:spacing w:line="257" w:lineRule="auto"/>
        <w:ind w:right="122" w:firstLine="210" w:firstLineChars="100"/>
        <w:rPr>
          <w:rFonts w:hint="eastAsia" w:ascii="微软雅黑" w:hAnsi="微软雅黑" w:eastAsia="微软雅黑"/>
          <w:lang w:eastAsia="zh-CN"/>
        </w:rPr>
      </w:pPr>
      <w:r>
        <w:rPr>
          <w:rFonts w:hint="eastAsia" w:ascii="微软雅黑" w:hAnsi="微软雅黑" w:eastAsia="微软雅黑"/>
          <w:lang w:eastAsia="zh-CN"/>
        </w:rPr>
        <w:t xml:space="preserve">3. </w:t>
      </w:r>
      <w:r>
        <w:rPr>
          <w:rFonts w:eastAsia="微软雅黑"/>
          <w:lang w:eastAsia="zh-CN"/>
        </w:rPr>
        <w:t>其它要求：到货验收不合格，无条件退或换货</w:t>
      </w:r>
      <w:r>
        <w:rPr>
          <w:rFonts w:hint="eastAsia" w:ascii="微软雅黑" w:hAnsi="微软雅黑" w:eastAsia="微软雅黑"/>
          <w:lang w:eastAsia="zh-CN"/>
        </w:rPr>
        <w:t>。</w:t>
      </w:r>
    </w:p>
    <w:bookmarkEnd w:id="12"/>
    <w:p>
      <w:pPr>
        <w:pStyle w:val="24"/>
        <w:spacing w:before="120" w:after="120"/>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十二</w:t>
      </w:r>
      <w:r>
        <w:rPr>
          <w:rFonts w:ascii="微软雅黑" w:hAnsi="微软雅黑" w:eastAsia="微软雅黑" w:cs="Times New Roman"/>
          <w:bCs/>
          <w:color w:val="auto"/>
          <w:sz w:val="32"/>
          <w:szCs w:val="32"/>
        </w:rPr>
        <w:t>、</w:t>
      </w:r>
      <w:bookmarkEnd w:id="6"/>
      <w:bookmarkEnd w:id="7"/>
      <w:bookmarkStart w:id="13" w:name="_Toc13248931"/>
      <w:bookmarkStart w:id="14" w:name="_Toc13249328"/>
      <w:r>
        <w:rPr>
          <w:rFonts w:hint="eastAsia" w:ascii="微软雅黑" w:hAnsi="微软雅黑" w:eastAsia="微软雅黑" w:cs="Times New Roman"/>
          <w:bCs/>
          <w:color w:val="auto"/>
          <w:sz w:val="32"/>
          <w:szCs w:val="32"/>
        </w:rPr>
        <w:t>其他</w:t>
      </w:r>
      <w:r>
        <w:rPr>
          <w:rFonts w:ascii="微软雅黑" w:hAnsi="微软雅黑" w:eastAsia="微软雅黑" w:cs="Times New Roman"/>
          <w:bCs/>
          <w:color w:val="auto"/>
          <w:sz w:val="32"/>
          <w:szCs w:val="32"/>
        </w:rPr>
        <w:t>要求</w:t>
      </w:r>
      <w:bookmarkEnd w:id="13"/>
      <w:bookmarkEnd w:id="14"/>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cs="微软雅黑"/>
          <w:kern w:val="2"/>
          <w:sz w:val="21"/>
          <w:szCs w:val="21"/>
          <w:lang w:val="en-US" w:eastAsia="zh-CN"/>
        </w:rPr>
      </w:pPr>
      <w:r>
        <w:rPr>
          <w:rFonts w:hint="eastAsia" w:ascii="微软雅黑" w:hAnsi="微软雅黑" w:eastAsia="微软雅黑" w:cs="微软雅黑"/>
          <w:kern w:val="2"/>
          <w:sz w:val="21"/>
          <w:szCs w:val="21"/>
          <w:lang w:val="en-US" w:eastAsia="zh-CN"/>
        </w:rPr>
        <w:t>1. 付款方式：合同约定银行电汇。</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cs="微软雅黑"/>
          <w:kern w:val="2"/>
          <w:sz w:val="21"/>
          <w:szCs w:val="21"/>
          <w:lang w:val="en-US" w:eastAsia="zh-CN"/>
        </w:rPr>
      </w:pPr>
      <w:r>
        <w:rPr>
          <w:rFonts w:hint="eastAsia" w:ascii="微软雅黑" w:hAnsi="微软雅黑" w:eastAsia="微软雅黑" w:cs="微软雅黑"/>
          <w:kern w:val="2"/>
          <w:sz w:val="21"/>
          <w:szCs w:val="21"/>
          <w:lang w:val="en-US" w:eastAsia="zh-CN"/>
        </w:rPr>
        <w:t>2. 付款周期要求：订单完成后，开票后45日付款。</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cs="微软雅黑"/>
          <w:kern w:val="2"/>
          <w:sz w:val="21"/>
          <w:szCs w:val="21"/>
          <w:lang w:val="en-US" w:eastAsia="zh-CN"/>
        </w:rPr>
      </w:pPr>
      <w:r>
        <w:rPr>
          <w:rFonts w:hint="eastAsia" w:ascii="微软雅黑" w:hAnsi="微软雅黑" w:eastAsia="微软雅黑" w:cs="微软雅黑"/>
          <w:kern w:val="2"/>
          <w:sz w:val="21"/>
          <w:szCs w:val="21"/>
          <w:lang w:val="en-US" w:eastAsia="zh-CN"/>
        </w:rPr>
        <w:t>3. 结算方式：本合同为年度协议合同，付款内容根据订单内容进行结算。</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cs="微软雅黑"/>
          <w:kern w:val="2"/>
          <w:sz w:val="21"/>
          <w:szCs w:val="21"/>
          <w:lang w:val="en-US" w:eastAsia="zh-CN"/>
        </w:rPr>
      </w:pPr>
      <w:r>
        <w:rPr>
          <w:rFonts w:hint="eastAsia" w:ascii="微软雅黑" w:hAnsi="微软雅黑" w:eastAsia="微软雅黑" w:cs="微软雅黑"/>
          <w:kern w:val="2"/>
          <w:sz w:val="21"/>
          <w:szCs w:val="21"/>
          <w:lang w:val="en-US" w:eastAsia="zh-CN"/>
        </w:rPr>
        <w:t>4. 交货日期：合同有效期内，按买方订单通知送货，卖方收到买方订单送货通知后，2日内完成送货。</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cs="微软雅黑"/>
          <w:kern w:val="2"/>
          <w:sz w:val="21"/>
          <w:szCs w:val="21"/>
          <w:lang w:val="en-US" w:eastAsia="zh-CN"/>
        </w:rPr>
      </w:pPr>
      <w:r>
        <w:rPr>
          <w:rFonts w:hint="eastAsia" w:ascii="微软雅黑" w:hAnsi="微软雅黑" w:eastAsia="微软雅黑" w:cs="微软雅黑"/>
          <w:kern w:val="2"/>
          <w:sz w:val="21"/>
          <w:szCs w:val="21"/>
          <w:lang w:val="en-US" w:eastAsia="zh-CN"/>
        </w:rPr>
        <w:t>5. 交货地点：天津市滨海新区工程技术公司增产库房。</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lang w:val="en-US" w:eastAsia="zh-CN"/>
        </w:rPr>
        <w:t>6. 技术联系人：</w:t>
      </w:r>
      <w:r>
        <w:rPr>
          <w:rFonts w:hint="eastAsia" w:ascii="微软雅黑" w:hAnsi="微软雅黑" w:eastAsia="微软雅黑" w:cs="微软雅黑"/>
          <w:kern w:val="2"/>
          <w:sz w:val="21"/>
          <w:szCs w:val="21"/>
          <w:lang w:eastAsia="zh-CN"/>
        </w:rPr>
        <w:t>曲庆东 联系电话（手机号）：15320038872</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cs="微软雅黑"/>
          <w:kern w:val="2"/>
          <w:sz w:val="21"/>
          <w:szCs w:val="21"/>
          <w:lang w:val="en-US" w:eastAsia="zh-CN"/>
        </w:rPr>
      </w:pPr>
      <w:r>
        <w:rPr>
          <w:rFonts w:hint="eastAsia" w:ascii="微软雅黑" w:hAnsi="微软雅黑" w:eastAsia="微软雅黑" w:cs="微软雅黑"/>
          <w:kern w:val="2"/>
          <w:sz w:val="21"/>
          <w:szCs w:val="21"/>
          <w:lang w:val="en-US" w:eastAsia="zh-CN"/>
        </w:rPr>
        <w:t>7. 库房联系人：王  健，联系方式：13389080085。</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cs="微软雅黑"/>
          <w:kern w:val="2"/>
          <w:sz w:val="21"/>
          <w:szCs w:val="21"/>
          <w:lang w:val="en-US" w:eastAsia="zh-CN"/>
        </w:rPr>
      </w:pPr>
      <w:r>
        <w:rPr>
          <w:rFonts w:hint="eastAsia" w:ascii="微软雅黑" w:hAnsi="微软雅黑" w:eastAsia="微软雅黑" w:cs="微软雅黑"/>
          <w:kern w:val="2"/>
          <w:sz w:val="21"/>
          <w:szCs w:val="21"/>
          <w:lang w:val="en-US" w:eastAsia="zh-CN"/>
        </w:rPr>
        <w:t>8. 商务联系人：齐  健，联系方式：022-25803168。</w:t>
      </w:r>
    </w:p>
    <w:p>
      <w:pPr>
        <w:pStyle w:val="25"/>
        <w:rPr>
          <w:rFonts w:hint="eastAsia" w:ascii="微软雅黑" w:hAnsi="微软雅黑" w:eastAsia="微软雅黑" w:cs="微软雅黑"/>
          <w:kern w:val="2"/>
          <w:sz w:val="21"/>
          <w:szCs w:val="21"/>
          <w:lang w:val="en-US" w:eastAsia="zh-CN"/>
        </w:rPr>
      </w:pPr>
      <w:r>
        <w:rPr>
          <w:rFonts w:hint="eastAsia" w:ascii="微软雅黑" w:hAnsi="微软雅黑" w:eastAsia="微软雅黑" w:cs="微软雅黑"/>
          <w:kern w:val="2"/>
          <w:sz w:val="21"/>
          <w:szCs w:val="21"/>
          <w:lang w:val="en-US" w:eastAsia="zh-CN"/>
        </w:rPr>
        <w:t>9. 发票接收人：陈  媛，联系方式：022-25800974。</w:t>
      </w:r>
    </w:p>
    <w:p>
      <w:pPr>
        <w:pStyle w:val="25"/>
        <w:rPr>
          <w:rFonts w:hint="eastAsia" w:ascii="微软雅黑" w:hAnsi="微软雅黑" w:eastAsia="微软雅黑" w:cs="微软雅黑"/>
          <w:kern w:val="2"/>
          <w:sz w:val="21"/>
          <w:szCs w:val="21"/>
          <w:lang w:val="en-US" w:eastAsia="zh-CN"/>
        </w:rPr>
      </w:pPr>
    </w:p>
    <w:p>
      <w:pPr>
        <w:pStyle w:val="25"/>
        <w:rPr>
          <w:rFonts w:hint="eastAsia" w:ascii="微软雅黑" w:hAnsi="微软雅黑" w:eastAsia="微软雅黑" w:cs="微软雅黑"/>
          <w:kern w:val="2"/>
          <w:sz w:val="21"/>
          <w:szCs w:val="21"/>
          <w:lang w:val="en-US" w:eastAsia="zh-CN"/>
        </w:rPr>
      </w:pPr>
    </w:p>
    <w:p>
      <w:pPr>
        <w:pStyle w:val="25"/>
        <w:rPr>
          <w:rFonts w:hint="eastAsia" w:ascii="微软雅黑" w:hAnsi="微软雅黑" w:eastAsia="微软雅黑" w:cs="微软雅黑"/>
          <w:kern w:val="2"/>
          <w:sz w:val="21"/>
          <w:szCs w:val="21"/>
          <w:lang w:val="en-US" w:eastAsia="zh-CN"/>
        </w:rPr>
      </w:pPr>
    </w:p>
    <w:p>
      <w:pPr>
        <w:pStyle w:val="25"/>
        <w:rPr>
          <w:rFonts w:hint="eastAsia" w:ascii="微软雅黑" w:hAnsi="微软雅黑" w:eastAsia="微软雅黑" w:cs="微软雅黑"/>
          <w:kern w:val="2"/>
          <w:sz w:val="21"/>
          <w:szCs w:val="21"/>
          <w:lang w:val="en-US" w:eastAsia="zh-CN"/>
        </w:rPr>
      </w:pPr>
    </w:p>
    <w:p>
      <w:pPr>
        <w:pStyle w:val="25"/>
        <w:rPr>
          <w:rFonts w:hint="eastAsia" w:ascii="微软雅黑" w:hAnsi="微软雅黑" w:eastAsia="微软雅黑" w:cs="微软雅黑"/>
          <w:kern w:val="2"/>
          <w:sz w:val="21"/>
          <w:szCs w:val="21"/>
          <w:lang w:val="en-US" w:eastAsia="zh-CN"/>
        </w:rPr>
      </w:pPr>
    </w:p>
    <w:p>
      <w:pPr>
        <w:pStyle w:val="25"/>
        <w:rPr>
          <w:rFonts w:hint="eastAsia" w:ascii="微软雅黑" w:hAnsi="微软雅黑" w:eastAsia="微软雅黑" w:cs="微软雅黑"/>
          <w:kern w:val="2"/>
          <w:sz w:val="21"/>
          <w:szCs w:val="21"/>
          <w:lang w:val="en-US" w:eastAsia="zh-CN"/>
        </w:rPr>
      </w:pPr>
    </w:p>
    <w:p>
      <w:pPr>
        <w:pStyle w:val="25"/>
        <w:rPr>
          <w:rFonts w:hint="eastAsia" w:ascii="微软雅黑" w:hAnsi="微软雅黑" w:eastAsia="微软雅黑" w:cs="微软雅黑"/>
          <w:kern w:val="2"/>
          <w:sz w:val="21"/>
          <w:szCs w:val="21"/>
          <w:lang w:val="en-US" w:eastAsia="zh-CN"/>
        </w:rPr>
      </w:pPr>
    </w:p>
    <w:p>
      <w:pPr>
        <w:pStyle w:val="25"/>
        <w:rPr>
          <w:rFonts w:hint="eastAsia" w:ascii="微软雅黑" w:hAnsi="微软雅黑" w:eastAsia="微软雅黑" w:cs="微软雅黑"/>
          <w:kern w:val="2"/>
          <w:sz w:val="21"/>
          <w:szCs w:val="21"/>
          <w:lang w:val="en-US" w:eastAsia="zh-CN"/>
        </w:rPr>
      </w:pPr>
    </w:p>
    <w:p>
      <w:pPr>
        <w:pStyle w:val="25"/>
        <w:rPr>
          <w:rFonts w:hint="eastAsia" w:ascii="微软雅黑" w:hAnsi="微软雅黑" w:eastAsia="微软雅黑" w:cs="微软雅黑"/>
          <w:kern w:val="2"/>
          <w:sz w:val="21"/>
          <w:szCs w:val="21"/>
          <w:lang w:val="en-US" w:eastAsia="zh-CN"/>
        </w:rPr>
      </w:pPr>
    </w:p>
    <w:p>
      <w:pPr>
        <w:pStyle w:val="25"/>
        <w:rPr>
          <w:rFonts w:hint="eastAsia" w:ascii="微软雅黑" w:hAnsi="微软雅黑" w:eastAsia="微软雅黑" w:cs="微软雅黑"/>
          <w:kern w:val="2"/>
          <w:sz w:val="21"/>
          <w:szCs w:val="21"/>
          <w:lang w:val="en-US" w:eastAsia="zh-CN"/>
        </w:rPr>
      </w:pPr>
    </w:p>
    <w:p>
      <w:pPr>
        <w:pStyle w:val="25"/>
        <w:rPr>
          <w:rFonts w:hint="eastAsia" w:ascii="微软雅黑" w:hAnsi="微软雅黑" w:eastAsia="微软雅黑" w:cs="微软雅黑"/>
          <w:kern w:val="2"/>
          <w:sz w:val="21"/>
          <w:szCs w:val="21"/>
          <w:lang w:val="en-US" w:eastAsia="zh-CN"/>
        </w:rPr>
      </w:pPr>
    </w:p>
    <w:p>
      <w:pPr>
        <w:pStyle w:val="25"/>
        <w:rPr>
          <w:rFonts w:hint="eastAsia" w:ascii="微软雅黑" w:hAnsi="微软雅黑" w:eastAsia="微软雅黑" w:cs="微软雅黑"/>
          <w:kern w:val="2"/>
          <w:sz w:val="21"/>
          <w:szCs w:val="21"/>
          <w:lang w:val="en-US" w:eastAsia="zh-CN"/>
        </w:rPr>
      </w:pPr>
    </w:p>
    <w:p>
      <w:pPr>
        <w:pStyle w:val="25"/>
        <w:rPr>
          <w:rFonts w:hint="eastAsia" w:ascii="微软雅黑" w:hAnsi="微软雅黑" w:eastAsia="微软雅黑" w:cs="微软雅黑"/>
          <w:kern w:val="2"/>
          <w:sz w:val="21"/>
          <w:szCs w:val="21"/>
          <w:lang w:val="en-US" w:eastAsia="zh-CN"/>
        </w:rPr>
      </w:pPr>
    </w:p>
    <w:p>
      <w:pPr>
        <w:pStyle w:val="25"/>
        <w:rPr>
          <w:rFonts w:hint="eastAsia" w:ascii="微软雅黑" w:hAnsi="微软雅黑" w:eastAsia="微软雅黑" w:cs="微软雅黑"/>
          <w:kern w:val="2"/>
          <w:sz w:val="21"/>
          <w:szCs w:val="21"/>
          <w:lang w:val="en-US" w:eastAsia="zh-CN"/>
        </w:rPr>
      </w:pPr>
    </w:p>
    <w:p>
      <w:pPr>
        <w:pStyle w:val="25"/>
        <w:rPr>
          <w:rFonts w:hint="eastAsia" w:ascii="宋体" w:hAnsi="宋体"/>
          <w:sz w:val="24"/>
          <w:szCs w:val="24"/>
          <w:lang w:eastAsia="zh-CN"/>
        </w:rPr>
      </w:pPr>
    </w:p>
    <w:p>
      <w:pPr>
        <w:pStyle w:val="25"/>
        <w:rPr>
          <w:rFonts w:hint="eastAsia" w:ascii="宋体" w:hAnsi="宋体"/>
          <w:sz w:val="24"/>
          <w:szCs w:val="24"/>
          <w:lang w:eastAsia="zh-CN"/>
        </w:rPr>
      </w:pPr>
    </w:p>
    <w:p>
      <w:pPr>
        <w:pStyle w:val="25"/>
        <w:rPr>
          <w:rFonts w:hint="eastAsia" w:ascii="宋体" w:hAnsi="宋体"/>
          <w:sz w:val="24"/>
          <w:szCs w:val="24"/>
          <w:lang w:eastAsia="zh-CN"/>
        </w:rPr>
      </w:pPr>
    </w:p>
    <w:p>
      <w:pPr>
        <w:pStyle w:val="25"/>
        <w:rPr>
          <w:rFonts w:hint="eastAsia" w:ascii="宋体" w:hAnsi="宋体"/>
          <w:sz w:val="24"/>
          <w:szCs w:val="24"/>
          <w:lang w:eastAsia="zh-CN"/>
        </w:rPr>
      </w:pPr>
    </w:p>
    <w:p>
      <w:pPr>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项目联系人</w:t>
      </w:r>
    </w:p>
    <w:p>
      <w:pPr>
        <w:tabs>
          <w:tab w:val="left" w:pos="993"/>
          <w:tab w:val="left" w:pos="1134"/>
          <w:tab w:val="left" w:pos="1418"/>
        </w:tabs>
        <w:spacing w:line="6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请感兴趣的供应商于</w:t>
      </w:r>
      <w:r>
        <w:rPr>
          <w:rFonts w:hint="eastAsia" w:ascii="Times New Roman" w:hAnsi="Times New Roman" w:eastAsia="仿宋_GB2312" w:cs="Times New Roman"/>
          <w:sz w:val="24"/>
          <w:szCs w:val="24"/>
          <w:u w:val="single"/>
        </w:rPr>
        <w:t>202</w:t>
      </w:r>
      <w:r>
        <w:rPr>
          <w:rFonts w:hint="eastAsia" w:ascii="Times New Roman" w:hAnsi="Times New Roman" w:eastAsia="仿宋_GB2312" w:cs="Times New Roman"/>
          <w:sz w:val="24"/>
          <w:szCs w:val="24"/>
          <w:u w:val="single"/>
          <w:lang w:val="en-US" w:eastAsia="zh-CN"/>
        </w:rPr>
        <w:t>6</w:t>
      </w:r>
      <w:r>
        <w:rPr>
          <w:rFonts w:ascii="Times New Roman" w:hAnsi="Times New Roman" w:eastAsia="仿宋_GB2312" w:cs="Times New Roman"/>
          <w:sz w:val="24"/>
          <w:szCs w:val="24"/>
        </w:rPr>
        <w:t>年</w:t>
      </w:r>
      <w:r>
        <w:rPr>
          <w:rFonts w:hint="eastAsia" w:ascii="Times New Roman" w:hAnsi="Times New Roman" w:eastAsia="仿宋_GB2312" w:cs="Times New Roman"/>
          <w:sz w:val="24"/>
          <w:szCs w:val="24"/>
          <w:u w:val="single"/>
          <w:lang w:val="en-US" w:eastAsia="zh-CN"/>
        </w:rPr>
        <w:t>1</w:t>
      </w:r>
      <w:r>
        <w:rPr>
          <w:rFonts w:ascii="Times New Roman" w:hAnsi="Times New Roman" w:eastAsia="仿宋_GB2312" w:cs="Times New Roman"/>
          <w:sz w:val="24"/>
          <w:szCs w:val="24"/>
        </w:rPr>
        <w:t>月</w:t>
      </w:r>
      <w:r>
        <w:rPr>
          <w:rFonts w:hint="eastAsia" w:ascii="Times New Roman" w:hAnsi="Times New Roman" w:eastAsia="仿宋_GB2312" w:cs="Times New Roman"/>
          <w:sz w:val="24"/>
          <w:szCs w:val="24"/>
          <w:u w:val="single"/>
          <w:lang w:val="en-US" w:eastAsia="zh-CN"/>
        </w:rPr>
        <w:t>5</w:t>
      </w:r>
      <w:r>
        <w:rPr>
          <w:rFonts w:ascii="Times New Roman" w:hAnsi="Times New Roman" w:eastAsia="仿宋_GB2312" w:cs="Times New Roman"/>
          <w:sz w:val="24"/>
          <w:szCs w:val="24"/>
        </w:rPr>
        <w:t>日前，</w:t>
      </w:r>
      <w:r>
        <w:rPr>
          <w:rFonts w:hint="eastAsia" w:ascii="Times New Roman" w:hAnsi="Times New Roman" w:eastAsia="仿宋_GB2312" w:cs="Times New Roman"/>
          <w:sz w:val="24"/>
          <w:szCs w:val="24"/>
        </w:rPr>
        <w:t>在系统反馈</w:t>
      </w:r>
      <w:r>
        <w:rPr>
          <w:rFonts w:ascii="Times New Roman" w:hAnsi="Times New Roman" w:eastAsia="仿宋_GB2312" w:cs="Times New Roman"/>
          <w:sz w:val="24"/>
          <w:szCs w:val="24"/>
        </w:rPr>
        <w:t>。</w:t>
      </w:r>
    </w:p>
    <w:p>
      <w:pPr>
        <w:tabs>
          <w:tab w:val="left" w:pos="993"/>
          <w:tab w:val="left" w:pos="1134"/>
          <w:tab w:val="left" w:pos="1418"/>
        </w:tabs>
        <w:spacing w:line="600" w:lineRule="exact"/>
        <w:ind w:firstLine="480" w:firstLineChars="200"/>
        <w:rPr>
          <w:rFonts w:hint="eastAsia" w:ascii="Times New Roman" w:hAnsi="Times New Roman" w:eastAsia="仿宋_GB2312" w:cs="Times New Roman"/>
          <w:sz w:val="24"/>
          <w:szCs w:val="24"/>
          <w:lang w:eastAsia="zh-CN"/>
        </w:rPr>
      </w:pPr>
      <w:r>
        <w:rPr>
          <w:rFonts w:ascii="Times New Roman" w:hAnsi="Times New Roman" w:eastAsia="仿宋_GB2312" w:cs="Times New Roman"/>
          <w:sz w:val="24"/>
          <w:szCs w:val="24"/>
        </w:rPr>
        <w:t>联系人：</w:t>
      </w:r>
      <w:r>
        <w:rPr>
          <w:rFonts w:hint="eastAsia" w:ascii="Times New Roman" w:hAnsi="Times New Roman" w:eastAsia="仿宋_GB2312" w:cs="Times New Roman"/>
          <w:sz w:val="24"/>
          <w:szCs w:val="24"/>
          <w:lang w:val="en-US" w:eastAsia="zh-CN"/>
        </w:rPr>
        <w:t>王莫飞</w:t>
      </w:r>
    </w:p>
    <w:p>
      <w:pPr>
        <w:tabs>
          <w:tab w:val="left" w:pos="993"/>
          <w:tab w:val="left" w:pos="1134"/>
          <w:tab w:val="left" w:pos="1418"/>
        </w:tabs>
        <w:spacing w:line="600" w:lineRule="exact"/>
        <w:ind w:firstLine="480" w:firstLineChars="200"/>
        <w:rPr>
          <w:rFonts w:hint="default" w:ascii="Times New Roman" w:hAnsi="Times New Roman" w:eastAsia="仿宋_GB2312" w:cs="Times New Roman"/>
          <w:sz w:val="24"/>
          <w:szCs w:val="24"/>
          <w:lang w:val="en-US" w:eastAsia="zh-CN"/>
        </w:rPr>
      </w:pPr>
      <w:r>
        <w:rPr>
          <w:rFonts w:ascii="Times New Roman" w:hAnsi="Times New Roman" w:eastAsia="仿宋_GB2312" w:cs="Times New Roman"/>
          <w:sz w:val="24"/>
          <w:szCs w:val="24"/>
        </w:rPr>
        <w:t>电  话：</w:t>
      </w:r>
      <w:r>
        <w:rPr>
          <w:rFonts w:hint="eastAsia" w:ascii="Times New Roman" w:hAnsi="Times New Roman" w:eastAsia="仿宋_GB2312" w:cs="Times New Roman"/>
          <w:sz w:val="24"/>
          <w:szCs w:val="24"/>
        </w:rPr>
        <w:t>022-2</w:t>
      </w:r>
      <w:r>
        <w:rPr>
          <w:rFonts w:hint="eastAsia" w:ascii="Times New Roman" w:hAnsi="Times New Roman" w:eastAsia="仿宋_GB2312" w:cs="Times New Roman"/>
          <w:sz w:val="24"/>
          <w:szCs w:val="24"/>
          <w:lang w:val="en-US" w:eastAsia="zh-CN"/>
        </w:rPr>
        <w:t>5801305</w:t>
      </w:r>
    </w:p>
    <w:p>
      <w:pPr>
        <w:tabs>
          <w:tab w:val="left" w:pos="993"/>
          <w:tab w:val="left" w:pos="1134"/>
          <w:tab w:val="left" w:pos="1418"/>
        </w:tabs>
        <w:spacing w:line="600" w:lineRule="exact"/>
        <w:ind w:firstLine="480" w:firstLineChars="200"/>
        <w:rPr>
          <w:rFonts w:ascii="Times New Roman" w:hAnsi="Times New Roman" w:eastAsia="仿宋_GB2312" w:cs="Times New Roman"/>
          <w:sz w:val="28"/>
          <w:szCs w:val="28"/>
        </w:rPr>
      </w:pPr>
      <w:r>
        <w:rPr>
          <w:rFonts w:ascii="Times New Roman" w:hAnsi="Times New Roman" w:eastAsia="仿宋_GB2312" w:cs="Times New Roman"/>
          <w:sz w:val="24"/>
          <w:szCs w:val="24"/>
        </w:rPr>
        <w:t>邮  箱：</w:t>
      </w:r>
      <w:r>
        <w:rPr>
          <w:rFonts w:hint="eastAsia" w:ascii="Times New Roman" w:hAnsi="Times New Roman" w:eastAsia="仿宋_GB2312" w:cs="Times New Roman"/>
          <w:sz w:val="24"/>
          <w:szCs w:val="24"/>
          <w:lang w:val="en-US" w:eastAsia="zh-CN"/>
        </w:rPr>
        <w:t>wangmf2</w:t>
      </w:r>
      <w:r>
        <w:rPr>
          <w:rFonts w:ascii="Times New Roman" w:hAnsi="Times New Roman" w:eastAsia="仿宋_GB2312" w:cs="Times New Roman"/>
          <w:sz w:val="24"/>
          <w:szCs w:val="24"/>
        </w:rPr>
        <w:t>@cnooc.com.cn</w:t>
      </w:r>
    </w:p>
    <w:p>
      <w:pPr>
        <w:pStyle w:val="9"/>
        <w:numPr>
          <w:ilvl w:val="0"/>
          <w:numId w:val="4"/>
        </w:numPr>
        <w:spacing w:line="360" w:lineRule="auto"/>
        <w:ind w:right="122" w:firstLineChars="0"/>
        <w:rPr>
          <w:rFonts w:ascii="仿宋" w:hAnsi="仿宋" w:eastAsia="仿宋" w:cs="仿宋"/>
          <w:sz w:val="28"/>
          <w:szCs w:val="28"/>
        </w:rPr>
      </w:pPr>
      <w:r>
        <w:rPr>
          <w:rFonts w:hint="eastAsia" w:ascii="仿宋" w:hAnsi="仿宋" w:eastAsia="仿宋" w:cs="仿宋"/>
          <w:sz w:val="28"/>
          <w:szCs w:val="28"/>
        </w:rPr>
        <w:br w:type="page"/>
      </w:r>
    </w:p>
    <w:p>
      <w:pPr>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附件2 供应商资质基本要求</w:t>
      </w:r>
    </w:p>
    <w:tbl>
      <w:tblPr>
        <w:tblStyle w:val="19"/>
        <w:tblW w:w="5045" w:type="pct"/>
        <w:jc w:val="center"/>
        <w:tblLayout w:type="autofit"/>
        <w:tblCellMar>
          <w:top w:w="0" w:type="dxa"/>
          <w:left w:w="0" w:type="dxa"/>
          <w:bottom w:w="0" w:type="dxa"/>
          <w:right w:w="0" w:type="dxa"/>
        </w:tblCellMar>
      </w:tblPr>
      <w:tblGrid>
        <w:gridCol w:w="1318"/>
        <w:gridCol w:w="7076"/>
      </w:tblGrid>
      <w:tr>
        <w:tblPrEx>
          <w:tblCellMar>
            <w:top w:w="0" w:type="dxa"/>
            <w:left w:w="0" w:type="dxa"/>
            <w:bottom w:w="0" w:type="dxa"/>
            <w:right w:w="0" w:type="dxa"/>
          </w:tblCellMar>
        </w:tblPrEx>
        <w:trPr>
          <w:trHeight w:val="2048" w:hRule="atLeast"/>
          <w:jc w:val="center"/>
        </w:trPr>
        <w:tc>
          <w:tcPr>
            <w:tcW w:w="785" w:type="pct"/>
            <w:tcBorders>
              <w:top w:val="single" w:color="000000" w:sz="4" w:space="0"/>
              <w:left w:val="single" w:color="000000" w:sz="6" w:space="0"/>
              <w:bottom w:val="single" w:color="000000" w:sz="4" w:space="0"/>
              <w:right w:val="single" w:color="000000" w:sz="4" w:space="0"/>
            </w:tcBorders>
            <w:vAlign w:val="center"/>
          </w:tcPr>
          <w:p>
            <w:pPr>
              <w:pStyle w:val="32"/>
              <w:spacing w:line="300" w:lineRule="exact"/>
              <w:jc w:val="center"/>
              <w:rPr>
                <w:rFonts w:hint="eastAsia" w:ascii="仿宋" w:hAnsi="仿宋" w:eastAsia="仿宋" w:cs="Calibri"/>
                <w:b/>
                <w:bCs/>
                <w:color w:val="FF0000"/>
                <w:kern w:val="0"/>
                <w:sz w:val="21"/>
                <w:szCs w:val="21"/>
                <w:highlight w:val="yellow"/>
                <w:lang w:val="en-US" w:eastAsia="zh-CN" w:bidi="ar-SA"/>
              </w:rPr>
            </w:pPr>
            <w:r>
              <w:rPr>
                <w:rFonts w:hint="eastAsia" w:ascii="仿宋" w:hAnsi="仿宋" w:eastAsia="仿宋" w:cs="Calibri"/>
                <w:b/>
                <w:bCs/>
                <w:color w:val="auto"/>
                <w:kern w:val="0"/>
                <w:sz w:val="21"/>
                <w:szCs w:val="21"/>
                <w:highlight w:val="none"/>
                <w:lang w:val="en-US" w:eastAsia="zh-CN" w:bidi="ar-SA"/>
              </w:rPr>
              <w:t>资质要求</w:t>
            </w:r>
          </w:p>
          <w:p>
            <w:pPr>
              <w:pStyle w:val="32"/>
              <w:spacing w:line="300" w:lineRule="exact"/>
              <w:jc w:val="center"/>
              <w:rPr>
                <w:rFonts w:hint="eastAsia" w:ascii="仿宋" w:hAnsi="仿宋" w:eastAsia="仿宋" w:cs="Calibri"/>
                <w:b w:val="0"/>
                <w:bCs w:val="0"/>
                <w:kern w:val="0"/>
                <w:sz w:val="21"/>
                <w:szCs w:val="21"/>
                <w:highlight w:val="none"/>
                <w:lang w:val="en-US" w:eastAsia="zh-CN" w:bidi="ar-SA"/>
              </w:rPr>
            </w:pPr>
          </w:p>
        </w:tc>
        <w:tc>
          <w:tcPr>
            <w:tcW w:w="4214" w:type="pct"/>
            <w:tcBorders>
              <w:top w:val="single" w:color="000000" w:sz="4" w:space="0"/>
              <w:left w:val="nil"/>
              <w:bottom w:val="single" w:color="000000" w:sz="4" w:space="0"/>
              <w:right w:val="single" w:color="000000" w:sz="4" w:space="0"/>
            </w:tcBorders>
            <w:vAlign w:val="center"/>
          </w:tcPr>
          <w:p>
            <w:pPr>
              <w:pStyle w:val="32"/>
              <w:jc w:val="both"/>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1.申请人须是中华人民共和国境内注册的独立法人单位，具有合法有效的企业法人营业执照、税务登记证及组织机构代码证或证照合一的营业执照；</w:t>
            </w:r>
          </w:p>
          <w:p>
            <w:pPr>
              <w:pStyle w:val="32"/>
              <w:jc w:val="both"/>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2.申请人须是中华人民共和国境内具有独立承担民事责任能力的法人，或具备国家认可经营资格的其他组织。</w:t>
            </w:r>
          </w:p>
          <w:p>
            <w:pPr>
              <w:pStyle w:val="32"/>
              <w:jc w:val="both"/>
              <w:rPr>
                <w:rFonts w:hint="default" w:ascii="仿宋" w:hAnsi="仿宋" w:eastAsia="仿宋" w:cs="仿宋"/>
                <w:b w:val="0"/>
                <w:bCs w:val="0"/>
                <w:sz w:val="21"/>
                <w:szCs w:val="21"/>
                <w:highlight w:val="none"/>
                <w:lang w:val="en-US" w:eastAsia="zh-CN"/>
              </w:rPr>
            </w:pPr>
          </w:p>
        </w:tc>
      </w:tr>
    </w:tbl>
    <w:p>
      <w:pPr>
        <w:pStyle w:val="18"/>
        <w:rPr>
          <w:rFonts w:hint="eastAsia"/>
          <w:color w:val="auto"/>
        </w:rPr>
      </w:pPr>
    </w:p>
    <w:p>
      <w:pPr>
        <w:pStyle w:val="18"/>
        <w:rPr>
          <w:color w:val="auto"/>
        </w:rPr>
      </w:pPr>
    </w:p>
    <w:p>
      <w:pPr>
        <w:rPr>
          <w:rFonts w:ascii="Times New Roman" w:hAnsi="Times New Roman" w:eastAsia="仿宋_GB2312" w:cs="Times New Roman"/>
          <w:color w:val="auto"/>
          <w:sz w:val="28"/>
          <w:szCs w:val="28"/>
        </w:rPr>
      </w:pPr>
    </w:p>
    <w:p>
      <w:pPr>
        <w:pStyle w:val="24"/>
        <w:spacing w:before="120" w:after="120"/>
        <w:outlineLvl w:val="0"/>
        <w:rPr>
          <w:color w:val="auto"/>
        </w:rPr>
      </w:pPr>
    </w:p>
    <w:sectPr>
      <w:footerReference r:id="rId3" w:type="default"/>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IDFont+F4">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MingLiU">
    <w:altName w:val="PMingLiU-ExtB"/>
    <w:panose1 w:val="02020509000000000000"/>
    <w:charset w:val="88"/>
    <w:family w:val="modern"/>
    <w:pitch w:val="default"/>
    <w:sig w:usb0="00000000" w:usb1="00000000" w:usb2="00000016" w:usb3="00000000" w:csb0="00100001" w:csb1="00000000"/>
  </w:font>
  <w:font w:name="SimSong Bold">
    <w:altName w:val="宋体"/>
    <w:panose1 w:val="02020300000000000000"/>
    <w:charset w:val="86"/>
    <w:family w:val="roman"/>
    <w:pitch w:val="default"/>
    <w:sig w:usb0="00000000" w:usb1="00000000" w:usb2="00000016" w:usb3="00000000" w:csb0="0004000D"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PMingLiU-ExtB">
    <w:panose1 w:val="02020500000000000000"/>
    <w:charset w:val="88"/>
    <w:family w:val="auto"/>
    <w:pitch w:val="default"/>
    <w:sig w:usb0="8000002F" w:usb1="02000008" w:usb2="00000000" w:usb3="00000000" w:csb0="0010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center"/>
      <w:rPr>
        <w:rFonts w:ascii="仿宋" w:hAnsi="仿宋" w:eastAsia="仿宋"/>
        <w:sz w:val="21"/>
        <w:szCs w:val="21"/>
      </w:rPr>
    </w:pPr>
    <w:r>
      <w:rPr>
        <w:rFonts w:ascii="仿宋" w:hAnsi="仿宋" w:eastAsia="仿宋"/>
        <w:b/>
        <w:bCs/>
        <w:sz w:val="21"/>
        <w:szCs w:val="21"/>
      </w:rPr>
      <w:fldChar w:fldCharType="begin"/>
    </w:r>
    <w:r>
      <w:rPr>
        <w:rFonts w:ascii="仿宋" w:hAnsi="仿宋" w:eastAsia="仿宋"/>
        <w:b/>
        <w:bCs/>
        <w:sz w:val="21"/>
        <w:szCs w:val="21"/>
      </w:rPr>
      <w:instrText xml:space="preserve">PAGE  \* Arabic  \* MERGEFORMAT</w:instrText>
    </w:r>
    <w:r>
      <w:rPr>
        <w:rFonts w:ascii="仿宋" w:hAnsi="仿宋" w:eastAsia="仿宋"/>
        <w:b/>
        <w:bCs/>
        <w:sz w:val="21"/>
        <w:szCs w:val="21"/>
      </w:rPr>
      <w:fldChar w:fldCharType="separate"/>
    </w:r>
    <w:r>
      <w:rPr>
        <w:rFonts w:ascii="仿宋" w:hAnsi="仿宋" w:eastAsia="仿宋"/>
        <w:b/>
        <w:bCs/>
        <w:sz w:val="21"/>
        <w:szCs w:val="21"/>
        <w:lang w:val="zh-CN"/>
      </w:rPr>
      <w:t>2</w:t>
    </w:r>
    <w:r>
      <w:rPr>
        <w:rFonts w:ascii="仿宋" w:hAnsi="仿宋" w:eastAsia="仿宋"/>
        <w:b/>
        <w:bCs/>
        <w:sz w:val="21"/>
        <w:szCs w:val="21"/>
      </w:rPr>
      <w:fldChar w:fldCharType="end"/>
    </w:r>
    <w:r>
      <w:rPr>
        <w:rFonts w:ascii="仿宋" w:hAnsi="仿宋" w:eastAsia="仿宋"/>
        <w:sz w:val="21"/>
        <w:szCs w:val="21"/>
        <w:lang w:val="zh-CN"/>
      </w:rPr>
      <w:t xml:space="preserve"> / </w:t>
    </w:r>
    <w:r>
      <w:rPr>
        <w:rFonts w:ascii="仿宋" w:hAnsi="仿宋" w:eastAsia="仿宋"/>
        <w:b/>
        <w:bCs/>
        <w:sz w:val="21"/>
        <w:szCs w:val="21"/>
      </w:rPr>
      <w:fldChar w:fldCharType="begin"/>
    </w:r>
    <w:r>
      <w:rPr>
        <w:rFonts w:ascii="仿宋" w:hAnsi="仿宋" w:eastAsia="仿宋"/>
        <w:b/>
        <w:bCs/>
        <w:sz w:val="21"/>
        <w:szCs w:val="21"/>
      </w:rPr>
      <w:instrText xml:space="preserve">NUMPAGES  \* Arabic  \* MERGEFORMAT</w:instrText>
    </w:r>
    <w:r>
      <w:rPr>
        <w:rFonts w:ascii="仿宋" w:hAnsi="仿宋" w:eastAsia="仿宋"/>
        <w:b/>
        <w:bCs/>
        <w:sz w:val="21"/>
        <w:szCs w:val="21"/>
      </w:rPr>
      <w:fldChar w:fldCharType="separate"/>
    </w:r>
    <w:r>
      <w:rPr>
        <w:rFonts w:ascii="仿宋" w:hAnsi="仿宋" w:eastAsia="仿宋"/>
        <w:b/>
        <w:bCs/>
        <w:sz w:val="21"/>
        <w:szCs w:val="21"/>
        <w:lang w:val="zh-CN"/>
      </w:rPr>
      <w:t>3</w:t>
    </w:r>
    <w:r>
      <w:rPr>
        <w:rFonts w:ascii="仿宋" w:hAnsi="仿宋" w:eastAsia="仿宋"/>
        <w:b/>
        <w:bCs/>
        <w:sz w:val="21"/>
        <w:szCs w:val="21"/>
      </w:rPr>
      <w:fldChar w:fldCharType="end"/>
    </w:r>
    <w:r>
      <w:rPr>
        <w:rFonts w:ascii="仿宋" w:hAnsi="仿宋" w:eastAsia="仿宋"/>
      </w:rPr>
      <w:drawing>
        <wp:anchor distT="0" distB="0" distL="114300" distR="114300" simplePos="0" relativeHeight="251659264" behindDoc="1" locked="0" layoutInCell="1" allowOverlap="0">
          <wp:simplePos x="0" y="0"/>
          <wp:positionH relativeFrom="column">
            <wp:posOffset>-407670</wp:posOffset>
          </wp:positionH>
          <wp:positionV relativeFrom="paragraph">
            <wp:posOffset>-40640</wp:posOffset>
          </wp:positionV>
          <wp:extent cx="409575" cy="333375"/>
          <wp:effectExtent l="0" t="0" r="9525" b="9525"/>
          <wp:wrapTight wrapText="bothSides">
            <wp:wrapPolygon>
              <wp:start x="0" y="0"/>
              <wp:lineTo x="0" y="20283"/>
              <wp:lineTo x="20394" y="20283"/>
              <wp:lineTo x="20394" y="0"/>
              <wp:lineTo x="0" y="0"/>
            </wp:wrapPolygon>
          </wp:wrapTight>
          <wp:docPr id="2" name="图片 2" descr="基地集团标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基地集团标 拷贝"/>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09575" cy="333375"/>
                  </a:xfrm>
                  <a:prstGeom prst="rect">
                    <a:avLst/>
                  </a:prstGeom>
                  <a:noFill/>
                  <a:ln>
                    <a:noFill/>
                  </a:ln>
                </pic:spPr>
              </pic:pic>
            </a:graphicData>
          </a:graphic>
        </wp:anchor>
      </w:drawing>
    </w:r>
    <w:bookmarkStart w:id="15" w:name="OLE_LINK4"/>
    <w:bookmarkStart w:id="16" w:name="OLE_LINK3"/>
    <w:r>
      <w:rPr>
        <w:rFonts w:ascii="仿宋" w:hAnsi="仿宋" w:eastAsia="仿宋"/>
        <w:b/>
        <w:bCs/>
        <w:sz w:val="21"/>
        <w:szCs w:val="21"/>
      </w:rPr>
      <w:t xml:space="preserve">        </w:t>
    </w:r>
    <w:bookmarkEnd w:id="15"/>
    <w:bookmarkEnd w:id="16"/>
    <w:r>
      <w:rPr>
        <w:rFonts w:hint="eastAsia" w:ascii="仿宋" w:hAnsi="仿宋" w:eastAsia="仿宋"/>
        <w:sz w:val="21"/>
        <w:szCs w:val="21"/>
      </w:rPr>
      <w:t xml:space="preserve"> </w:t>
    </w:r>
    <w:r>
      <w:rPr>
        <w:rFonts w:ascii="仿宋" w:hAnsi="仿宋" w:eastAsia="仿宋"/>
        <w:sz w:val="21"/>
        <w:szCs w:val="21"/>
      </w:rPr>
      <w:t xml:space="preserve">        </w: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463864"/>
    <w:multiLevelType w:val="singleLevel"/>
    <w:tmpl w:val="F7463864"/>
    <w:lvl w:ilvl="0" w:tentative="0">
      <w:start w:val="6"/>
      <w:numFmt w:val="chineseCounting"/>
      <w:suff w:val="nothing"/>
      <w:lvlText w:val="%1、"/>
      <w:lvlJc w:val="left"/>
      <w:rPr>
        <w:rFonts w:hint="eastAsia"/>
      </w:rPr>
    </w:lvl>
  </w:abstractNum>
  <w:abstractNum w:abstractNumId="1">
    <w:nsid w:val="0B6542FA"/>
    <w:multiLevelType w:val="multilevel"/>
    <w:tmpl w:val="0B6542FA"/>
    <w:lvl w:ilvl="0" w:tentative="0">
      <w:start w:val="8"/>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D7C105B"/>
    <w:multiLevelType w:val="multilevel"/>
    <w:tmpl w:val="0D7C105B"/>
    <w:lvl w:ilvl="0" w:tentative="0">
      <w:start w:val="1"/>
      <w:numFmt w:val="decimal"/>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3">
    <w:nsid w:val="646260FA"/>
    <w:multiLevelType w:val="multilevel"/>
    <w:tmpl w:val="646260FA"/>
    <w:lvl w:ilvl="0" w:tentative="0">
      <w:start w:val="1"/>
      <w:numFmt w:val="decimal"/>
      <w:pStyle w:val="60"/>
      <w:suff w:val="nothing"/>
      <w:lvlText w:val="表%1　"/>
      <w:lvlJc w:val="left"/>
      <w:pPr>
        <w:ind w:left="0" w:firstLine="0"/>
      </w:pPr>
      <w:rPr>
        <w:rFonts w:hint="default" w:ascii="黑体" w:hAnsi="Times New Roman" w:eastAsia="黑体"/>
        <w:b w:val="0"/>
        <w:i w:val="0"/>
        <w:sz w:val="24"/>
        <w:szCs w:val="24"/>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16E2"/>
    <w:rsid w:val="000B220C"/>
    <w:rsid w:val="00107032"/>
    <w:rsid w:val="00143E94"/>
    <w:rsid w:val="00172A27"/>
    <w:rsid w:val="00174371"/>
    <w:rsid w:val="00181BD2"/>
    <w:rsid w:val="001C2D24"/>
    <w:rsid w:val="001C3E76"/>
    <w:rsid w:val="0021116D"/>
    <w:rsid w:val="002E3C4A"/>
    <w:rsid w:val="00314735"/>
    <w:rsid w:val="00367E10"/>
    <w:rsid w:val="004029A6"/>
    <w:rsid w:val="00411A38"/>
    <w:rsid w:val="0044417F"/>
    <w:rsid w:val="004B33E2"/>
    <w:rsid w:val="004C7AFB"/>
    <w:rsid w:val="00501326"/>
    <w:rsid w:val="005015FF"/>
    <w:rsid w:val="005A53FA"/>
    <w:rsid w:val="005B0EB0"/>
    <w:rsid w:val="005D7510"/>
    <w:rsid w:val="005F0FF7"/>
    <w:rsid w:val="00613D64"/>
    <w:rsid w:val="006715FA"/>
    <w:rsid w:val="0067235B"/>
    <w:rsid w:val="00680A61"/>
    <w:rsid w:val="006E4F13"/>
    <w:rsid w:val="007902D1"/>
    <w:rsid w:val="007E2B6E"/>
    <w:rsid w:val="007F4845"/>
    <w:rsid w:val="008056E2"/>
    <w:rsid w:val="009C7502"/>
    <w:rsid w:val="00AB604F"/>
    <w:rsid w:val="00AD1FBC"/>
    <w:rsid w:val="00AE20AB"/>
    <w:rsid w:val="00C67851"/>
    <w:rsid w:val="00CA23A2"/>
    <w:rsid w:val="00CC63E4"/>
    <w:rsid w:val="00D0073C"/>
    <w:rsid w:val="00DA6FBC"/>
    <w:rsid w:val="00DF61BF"/>
    <w:rsid w:val="00E260FE"/>
    <w:rsid w:val="00E607B8"/>
    <w:rsid w:val="00E91985"/>
    <w:rsid w:val="00E93761"/>
    <w:rsid w:val="00ED277A"/>
    <w:rsid w:val="00EE4BE5"/>
    <w:rsid w:val="01315496"/>
    <w:rsid w:val="03037297"/>
    <w:rsid w:val="042B0162"/>
    <w:rsid w:val="04970DEB"/>
    <w:rsid w:val="04A13BF5"/>
    <w:rsid w:val="05FA36B3"/>
    <w:rsid w:val="082F6484"/>
    <w:rsid w:val="08B03D7F"/>
    <w:rsid w:val="08B8755F"/>
    <w:rsid w:val="090136BA"/>
    <w:rsid w:val="0C5E130F"/>
    <w:rsid w:val="0EA9243F"/>
    <w:rsid w:val="1075107E"/>
    <w:rsid w:val="1083522F"/>
    <w:rsid w:val="120B79FF"/>
    <w:rsid w:val="12583FF0"/>
    <w:rsid w:val="12676EF7"/>
    <w:rsid w:val="14554261"/>
    <w:rsid w:val="14E85B0B"/>
    <w:rsid w:val="17395E68"/>
    <w:rsid w:val="17E30D84"/>
    <w:rsid w:val="18160E8A"/>
    <w:rsid w:val="18B901E2"/>
    <w:rsid w:val="18CA5D34"/>
    <w:rsid w:val="1959070C"/>
    <w:rsid w:val="1A1C7FA7"/>
    <w:rsid w:val="1C3346E3"/>
    <w:rsid w:val="1D445EA9"/>
    <w:rsid w:val="1E0228EA"/>
    <w:rsid w:val="1FDB7401"/>
    <w:rsid w:val="20A822B0"/>
    <w:rsid w:val="215138A3"/>
    <w:rsid w:val="21ED5AF5"/>
    <w:rsid w:val="23AD5C0E"/>
    <w:rsid w:val="23CB7E76"/>
    <w:rsid w:val="24557A62"/>
    <w:rsid w:val="2470010E"/>
    <w:rsid w:val="25A07D36"/>
    <w:rsid w:val="25D315FC"/>
    <w:rsid w:val="260C296A"/>
    <w:rsid w:val="261660D7"/>
    <w:rsid w:val="262A06AE"/>
    <w:rsid w:val="278E5E5C"/>
    <w:rsid w:val="27CC380E"/>
    <w:rsid w:val="28116C59"/>
    <w:rsid w:val="284C135E"/>
    <w:rsid w:val="28EB7ADC"/>
    <w:rsid w:val="29795D87"/>
    <w:rsid w:val="29B95546"/>
    <w:rsid w:val="2C080054"/>
    <w:rsid w:val="2D682882"/>
    <w:rsid w:val="2D6F3D43"/>
    <w:rsid w:val="2EAB2229"/>
    <w:rsid w:val="2ED57289"/>
    <w:rsid w:val="2EE25E79"/>
    <w:rsid w:val="2EF97B56"/>
    <w:rsid w:val="2F36197A"/>
    <w:rsid w:val="2FF14B70"/>
    <w:rsid w:val="30742F55"/>
    <w:rsid w:val="30F30C08"/>
    <w:rsid w:val="31861248"/>
    <w:rsid w:val="31AD608F"/>
    <w:rsid w:val="32154A80"/>
    <w:rsid w:val="32414456"/>
    <w:rsid w:val="333E6152"/>
    <w:rsid w:val="337079B0"/>
    <w:rsid w:val="337669FE"/>
    <w:rsid w:val="33A079C9"/>
    <w:rsid w:val="341B40B2"/>
    <w:rsid w:val="356A6AB4"/>
    <w:rsid w:val="383D35A9"/>
    <w:rsid w:val="38683657"/>
    <w:rsid w:val="39CD52A6"/>
    <w:rsid w:val="3A221A02"/>
    <w:rsid w:val="3EB61C1E"/>
    <w:rsid w:val="3FC6488C"/>
    <w:rsid w:val="3FC80FEC"/>
    <w:rsid w:val="40C27314"/>
    <w:rsid w:val="40D753B1"/>
    <w:rsid w:val="41640557"/>
    <w:rsid w:val="41B55BC8"/>
    <w:rsid w:val="41FE63B3"/>
    <w:rsid w:val="420815E8"/>
    <w:rsid w:val="42914049"/>
    <w:rsid w:val="429C25B3"/>
    <w:rsid w:val="43E5509C"/>
    <w:rsid w:val="44A54B4E"/>
    <w:rsid w:val="4570022A"/>
    <w:rsid w:val="46930865"/>
    <w:rsid w:val="46AF0D45"/>
    <w:rsid w:val="46C679BC"/>
    <w:rsid w:val="46DD2F9D"/>
    <w:rsid w:val="46DE25E8"/>
    <w:rsid w:val="471D6ECC"/>
    <w:rsid w:val="48226FCA"/>
    <w:rsid w:val="48687BA5"/>
    <w:rsid w:val="48CF427E"/>
    <w:rsid w:val="49E77AC2"/>
    <w:rsid w:val="4BB2268D"/>
    <w:rsid w:val="4C462C70"/>
    <w:rsid w:val="4CF5013C"/>
    <w:rsid w:val="4D597AF2"/>
    <w:rsid w:val="4E2063E8"/>
    <w:rsid w:val="4E6752F6"/>
    <w:rsid w:val="4F1C21CE"/>
    <w:rsid w:val="4F2560D5"/>
    <w:rsid w:val="4F4641AC"/>
    <w:rsid w:val="50AA7AFA"/>
    <w:rsid w:val="51105B38"/>
    <w:rsid w:val="517A4DD0"/>
    <w:rsid w:val="527B5708"/>
    <w:rsid w:val="539B7172"/>
    <w:rsid w:val="539D57CA"/>
    <w:rsid w:val="54164A93"/>
    <w:rsid w:val="5438717C"/>
    <w:rsid w:val="548C6C11"/>
    <w:rsid w:val="559D38ED"/>
    <w:rsid w:val="567C7AEC"/>
    <w:rsid w:val="57AE6642"/>
    <w:rsid w:val="58322343"/>
    <w:rsid w:val="58AB4430"/>
    <w:rsid w:val="590409AE"/>
    <w:rsid w:val="59EE4B41"/>
    <w:rsid w:val="5A4D7987"/>
    <w:rsid w:val="5D61469C"/>
    <w:rsid w:val="5D7E5022"/>
    <w:rsid w:val="5D8600C3"/>
    <w:rsid w:val="5E157BF4"/>
    <w:rsid w:val="5E332C05"/>
    <w:rsid w:val="5F5A281C"/>
    <w:rsid w:val="60EA207F"/>
    <w:rsid w:val="61DF490B"/>
    <w:rsid w:val="61F67264"/>
    <w:rsid w:val="62722A72"/>
    <w:rsid w:val="63D72C7A"/>
    <w:rsid w:val="64532F63"/>
    <w:rsid w:val="66277454"/>
    <w:rsid w:val="664507CD"/>
    <w:rsid w:val="67EA2143"/>
    <w:rsid w:val="690E4C9C"/>
    <w:rsid w:val="693F0865"/>
    <w:rsid w:val="6A6D2C99"/>
    <w:rsid w:val="6DC07857"/>
    <w:rsid w:val="6E745C88"/>
    <w:rsid w:val="6F8B5DFD"/>
    <w:rsid w:val="72404480"/>
    <w:rsid w:val="746239D6"/>
    <w:rsid w:val="74AC2FA8"/>
    <w:rsid w:val="7540101E"/>
    <w:rsid w:val="760945AB"/>
    <w:rsid w:val="787A446B"/>
    <w:rsid w:val="797B5BDA"/>
    <w:rsid w:val="79C05BBE"/>
    <w:rsid w:val="7A64266B"/>
    <w:rsid w:val="7B5553A1"/>
    <w:rsid w:val="7BE529AE"/>
    <w:rsid w:val="7E123D0B"/>
    <w:rsid w:val="7EF93B32"/>
    <w:rsid w:val="7F8A39FF"/>
    <w:rsid w:val="7FC13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4"/>
    <w:qFormat/>
    <w:uiPriority w:val="0"/>
    <w:pPr>
      <w:spacing w:before="120" w:after="120"/>
      <w:outlineLvl w:val="0"/>
    </w:pPr>
    <w:rPr>
      <w:rFonts w:ascii="微软雅黑" w:hAnsi="微软雅黑" w:eastAsia="微软雅黑" w:cs="Times New Roman"/>
      <w:bCs/>
      <w:color w:val="auto"/>
      <w:sz w:val="32"/>
      <w:szCs w:val="32"/>
    </w:rPr>
  </w:style>
  <w:style w:type="paragraph" w:styleId="4">
    <w:name w:val="heading 2"/>
    <w:basedOn w:val="1"/>
    <w:next w:val="1"/>
    <w:link w:val="35"/>
    <w:qFormat/>
    <w:uiPriority w:val="1"/>
    <w:pPr>
      <w:spacing w:line="479" w:lineRule="exact"/>
      <w:outlineLvl w:val="1"/>
    </w:pPr>
    <w:rPr>
      <w:rFonts w:ascii="Microsoft YaHei UI" w:hAnsi="Microsoft YaHei UI" w:eastAsia="Microsoft YaHei UI"/>
      <w:spacing w:val="2"/>
      <w:sz w:val="32"/>
      <w:szCs w:val="32"/>
    </w:rPr>
  </w:style>
  <w:style w:type="paragraph" w:styleId="5">
    <w:name w:val="heading 6"/>
    <w:basedOn w:val="1"/>
    <w:next w:val="1"/>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27"/>
    <w:unhideWhenUsed/>
    <w:qFormat/>
    <w:uiPriority w:val="99"/>
    <w:pPr>
      <w:tabs>
        <w:tab w:val="center" w:pos="4153"/>
        <w:tab w:val="right" w:pos="8306"/>
      </w:tabs>
      <w:snapToGrid w:val="0"/>
      <w:jc w:val="left"/>
    </w:pPr>
    <w:rPr>
      <w:sz w:val="18"/>
      <w:szCs w:val="18"/>
    </w:rPr>
  </w:style>
  <w:style w:type="paragraph" w:styleId="6">
    <w:name w:val="Normal Indent"/>
    <w:basedOn w:val="1"/>
    <w:qFormat/>
    <w:uiPriority w:val="0"/>
    <w:pPr>
      <w:ind w:firstLine="420"/>
      <w:jc w:val="both"/>
    </w:pPr>
    <w:rPr>
      <w:rFonts w:ascii="Times New Roman" w:hAnsi="Times New Roman" w:eastAsia="宋体" w:cs="Times New Roman"/>
      <w:kern w:val="2"/>
      <w:sz w:val="21"/>
      <w:szCs w:val="20"/>
      <w:lang w:eastAsia="zh-CN"/>
    </w:rPr>
  </w:style>
  <w:style w:type="paragraph" w:styleId="7">
    <w:name w:val="toa heading"/>
    <w:basedOn w:val="1"/>
    <w:next w:val="1"/>
    <w:qFormat/>
    <w:uiPriority w:val="0"/>
    <w:pPr>
      <w:spacing w:before="120"/>
    </w:pPr>
    <w:rPr>
      <w:rFonts w:ascii="Cambria" w:hAnsi="Cambria"/>
    </w:rPr>
  </w:style>
  <w:style w:type="paragraph" w:styleId="8">
    <w:name w:val="annotation text"/>
    <w:basedOn w:val="1"/>
    <w:link w:val="43"/>
    <w:unhideWhenUsed/>
    <w:qFormat/>
    <w:uiPriority w:val="99"/>
    <w:pPr>
      <w:jc w:val="left"/>
    </w:pPr>
  </w:style>
  <w:style w:type="paragraph" w:styleId="9">
    <w:name w:val="Body Text"/>
    <w:basedOn w:val="1"/>
    <w:next w:val="1"/>
    <w:link w:val="36"/>
    <w:qFormat/>
    <w:uiPriority w:val="1"/>
    <w:pPr>
      <w:ind w:firstLine="200" w:firstLineChars="200"/>
    </w:pPr>
    <w:rPr>
      <w:rFonts w:ascii="Microsoft YaHei UI" w:hAnsi="Microsoft YaHei UI" w:eastAsia="Microsoft YaHei UI"/>
      <w:szCs w:val="21"/>
    </w:rPr>
  </w:style>
  <w:style w:type="paragraph" w:styleId="10">
    <w:name w:val="toc 3"/>
    <w:basedOn w:val="1"/>
    <w:next w:val="1"/>
    <w:unhideWhenUsed/>
    <w:qFormat/>
    <w:uiPriority w:val="39"/>
    <w:pPr>
      <w:widowControl/>
      <w:spacing w:after="100" w:line="259" w:lineRule="auto"/>
      <w:ind w:left="440"/>
      <w:jc w:val="left"/>
    </w:pPr>
    <w:rPr>
      <w:rFonts w:cs="Times New Roman"/>
      <w:kern w:val="0"/>
      <w:sz w:val="22"/>
    </w:rPr>
  </w:style>
  <w:style w:type="paragraph" w:styleId="11">
    <w:name w:val="Plain Text"/>
    <w:basedOn w:val="1"/>
    <w:qFormat/>
    <w:uiPriority w:val="0"/>
    <w:rPr>
      <w:rFonts w:ascii="宋体" w:hAnsi="Courier New" w:eastAsia="宋体" w:cs="Times New Roman"/>
      <w:kern w:val="22"/>
      <w:szCs w:val="20"/>
    </w:rPr>
  </w:style>
  <w:style w:type="paragraph" w:styleId="12">
    <w:name w:val="Date"/>
    <w:basedOn w:val="1"/>
    <w:next w:val="1"/>
    <w:link w:val="29"/>
    <w:semiHidden/>
    <w:unhideWhenUsed/>
    <w:qFormat/>
    <w:uiPriority w:val="99"/>
    <w:pPr>
      <w:ind w:left="100" w:leftChars="2500"/>
    </w:pPr>
  </w:style>
  <w:style w:type="paragraph" w:styleId="13">
    <w:name w:val="Body Text Indent 2"/>
    <w:basedOn w:val="1"/>
    <w:link w:val="37"/>
    <w:semiHidden/>
    <w:unhideWhenUsed/>
    <w:qFormat/>
    <w:uiPriority w:val="99"/>
    <w:pPr>
      <w:spacing w:after="120" w:line="480" w:lineRule="auto"/>
      <w:ind w:left="420" w:leftChars="200"/>
      <w:jc w:val="left"/>
    </w:pPr>
    <w:rPr>
      <w:kern w:val="0"/>
      <w:sz w:val="22"/>
      <w:lang w:eastAsia="en-US"/>
    </w:rPr>
  </w:style>
  <w:style w:type="paragraph" w:styleId="14">
    <w:name w:val="Balloon Text"/>
    <w:basedOn w:val="1"/>
    <w:link w:val="38"/>
    <w:semiHidden/>
    <w:unhideWhenUsed/>
    <w:qFormat/>
    <w:uiPriority w:val="99"/>
    <w:pPr>
      <w:jc w:val="left"/>
    </w:pPr>
    <w:rPr>
      <w:kern w:val="0"/>
      <w:sz w:val="18"/>
      <w:szCs w:val="18"/>
      <w:lang w:eastAsia="en-US"/>
    </w:rPr>
  </w:style>
  <w:style w:type="paragraph" w:styleId="15">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59" w:lineRule="auto"/>
      <w:jc w:val="left"/>
    </w:pPr>
    <w:rPr>
      <w:rFonts w:cs="Times New Roman"/>
      <w:kern w:val="0"/>
      <w:sz w:val="22"/>
    </w:rPr>
  </w:style>
  <w:style w:type="paragraph" w:styleId="1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8">
    <w:name w:val="Body Text First Indent"/>
    <w:basedOn w:val="9"/>
    <w:unhideWhenUsed/>
    <w:qFormat/>
    <w:uiPriority w:val="99"/>
    <w:pPr>
      <w:ind w:firstLine="567"/>
    </w:pPr>
  </w:style>
  <w:style w:type="table" w:styleId="20">
    <w:name w:val="Table Grid"/>
    <w:basedOn w:val="19"/>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semiHidden/>
    <w:unhideWhenUsed/>
    <w:qFormat/>
    <w:uiPriority w:val="99"/>
    <w:rPr>
      <w:color w:val="954F72" w:themeColor="followedHyperlink"/>
      <w:u w:val="single"/>
      <w14:textFill>
        <w14:solidFill>
          <w14:schemeClr w14:val="folHlink"/>
        </w14:solidFill>
      </w14:textFill>
    </w:rPr>
  </w:style>
  <w:style w:type="character" w:styleId="23">
    <w:name w:val="Hyperlink"/>
    <w:basedOn w:val="21"/>
    <w:unhideWhenUsed/>
    <w:qFormat/>
    <w:uiPriority w:val="99"/>
    <w:rPr>
      <w:color w:val="0000FF"/>
      <w:u w:val="single"/>
    </w:rPr>
  </w:style>
  <w:style w:type="paragraph" w:customStyle="1" w:styleId="2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5">
    <w:name w:val="默认段落字体 Para Char"/>
    <w:basedOn w:val="1"/>
    <w:qFormat/>
    <w:uiPriority w:val="0"/>
    <w:pPr>
      <w:spacing w:before="80" w:after="80" w:line="360" w:lineRule="auto"/>
    </w:pPr>
    <w:rPr>
      <w:sz w:val="24"/>
    </w:rPr>
  </w:style>
  <w:style w:type="character" w:customStyle="1" w:styleId="26">
    <w:name w:val="页眉 字符"/>
    <w:basedOn w:val="21"/>
    <w:link w:val="15"/>
    <w:qFormat/>
    <w:uiPriority w:val="0"/>
    <w:rPr>
      <w:sz w:val="18"/>
      <w:szCs w:val="18"/>
    </w:rPr>
  </w:style>
  <w:style w:type="character" w:customStyle="1" w:styleId="27">
    <w:name w:val="页脚 字符"/>
    <w:basedOn w:val="21"/>
    <w:link w:val="2"/>
    <w:qFormat/>
    <w:uiPriority w:val="99"/>
    <w:rPr>
      <w:sz w:val="18"/>
      <w:szCs w:val="18"/>
    </w:rPr>
  </w:style>
  <w:style w:type="paragraph" w:styleId="28">
    <w:name w:val="List Paragraph"/>
    <w:basedOn w:val="1"/>
    <w:qFormat/>
    <w:uiPriority w:val="34"/>
    <w:pPr>
      <w:ind w:firstLine="420" w:firstLineChars="200"/>
    </w:pPr>
  </w:style>
  <w:style w:type="character" w:customStyle="1" w:styleId="29">
    <w:name w:val="日期 字符"/>
    <w:basedOn w:val="21"/>
    <w:link w:val="12"/>
    <w:semiHidden/>
    <w:qFormat/>
    <w:uiPriority w:val="99"/>
  </w:style>
  <w:style w:type="character" w:customStyle="1" w:styleId="30">
    <w:name w:val="fontstyle01"/>
    <w:basedOn w:val="21"/>
    <w:qFormat/>
    <w:uiPriority w:val="0"/>
    <w:rPr>
      <w:rFonts w:hint="default" w:ascii="CIDFont+F4" w:hAnsi="CIDFont+F4"/>
      <w:color w:val="000000"/>
      <w:sz w:val="24"/>
      <w:szCs w:val="24"/>
    </w:rPr>
  </w:style>
  <w:style w:type="paragraph" w:styleId="31">
    <w:name w:val="No Spacing"/>
    <w:qFormat/>
    <w:uiPriority w:val="99"/>
    <w:pPr>
      <w:spacing w:line="360" w:lineRule="auto"/>
      <w:jc w:val="center"/>
    </w:pPr>
    <w:rPr>
      <w:rFonts w:ascii="Arial" w:hAnsi="Arial" w:eastAsia="宋体" w:cs="Times New Roman"/>
      <w:spacing w:val="-5"/>
      <w:sz w:val="21"/>
      <w:lang w:val="en-US" w:eastAsia="zh-CN" w:bidi="ar-SA"/>
    </w:rPr>
  </w:style>
  <w:style w:type="paragraph" w:customStyle="1" w:styleId="32">
    <w:name w:val="Table Paragraph"/>
    <w:basedOn w:val="1"/>
    <w:qFormat/>
    <w:uiPriority w:val="0"/>
    <w:pPr>
      <w:jc w:val="left"/>
    </w:pPr>
    <w:rPr>
      <w:kern w:val="0"/>
      <w:sz w:val="22"/>
      <w:lang w:eastAsia="en-US"/>
    </w:rPr>
  </w:style>
  <w:style w:type="paragraph" w:customStyle="1" w:styleId="33">
    <w:name w:val="正文_1"/>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标题 1 字符"/>
    <w:basedOn w:val="21"/>
    <w:link w:val="3"/>
    <w:qFormat/>
    <w:uiPriority w:val="0"/>
    <w:rPr>
      <w:rFonts w:ascii="微软雅黑" w:hAnsi="微软雅黑" w:eastAsia="微软雅黑" w:cs="Times New Roman"/>
      <w:bCs/>
      <w:sz w:val="32"/>
      <w:szCs w:val="32"/>
    </w:rPr>
  </w:style>
  <w:style w:type="character" w:customStyle="1" w:styleId="35">
    <w:name w:val="标题 2 字符"/>
    <w:basedOn w:val="21"/>
    <w:link w:val="4"/>
    <w:qFormat/>
    <w:uiPriority w:val="1"/>
    <w:rPr>
      <w:rFonts w:ascii="Microsoft YaHei UI" w:hAnsi="Microsoft YaHei UI" w:eastAsia="Microsoft YaHei UI"/>
      <w:spacing w:val="2"/>
      <w:kern w:val="2"/>
      <w:sz w:val="32"/>
      <w:szCs w:val="32"/>
    </w:rPr>
  </w:style>
  <w:style w:type="character" w:customStyle="1" w:styleId="36">
    <w:name w:val="正文文本 字符"/>
    <w:basedOn w:val="21"/>
    <w:link w:val="9"/>
    <w:qFormat/>
    <w:uiPriority w:val="1"/>
    <w:rPr>
      <w:rFonts w:ascii="Microsoft YaHei UI" w:hAnsi="Microsoft YaHei UI" w:eastAsia="Microsoft YaHei UI"/>
      <w:kern w:val="2"/>
      <w:sz w:val="21"/>
      <w:szCs w:val="21"/>
    </w:rPr>
  </w:style>
  <w:style w:type="character" w:customStyle="1" w:styleId="37">
    <w:name w:val="正文文本缩进 2 字符"/>
    <w:basedOn w:val="21"/>
    <w:link w:val="13"/>
    <w:semiHidden/>
    <w:qFormat/>
    <w:uiPriority w:val="99"/>
    <w:rPr>
      <w:sz w:val="22"/>
      <w:szCs w:val="22"/>
      <w:lang w:eastAsia="en-US"/>
    </w:rPr>
  </w:style>
  <w:style w:type="character" w:customStyle="1" w:styleId="38">
    <w:name w:val="批注框文本 字符"/>
    <w:basedOn w:val="21"/>
    <w:link w:val="14"/>
    <w:semiHidden/>
    <w:qFormat/>
    <w:uiPriority w:val="99"/>
    <w:rPr>
      <w:sz w:val="18"/>
      <w:szCs w:val="18"/>
      <w:lang w:eastAsia="en-US"/>
    </w:rPr>
  </w:style>
  <w:style w:type="table" w:customStyle="1" w:styleId="39">
    <w:name w:val="Table Normal"/>
    <w:semiHidden/>
    <w:unhideWhenUsed/>
    <w:qFormat/>
    <w:uiPriority w:val="2"/>
    <w:pPr>
      <w:widowControl w:val="0"/>
    </w:pPr>
    <w:rPr>
      <w:rFonts w:ascii="Times New Roman" w:hAnsi="Times New Roman" w:eastAsia="宋体" w:cs="Times New Roman"/>
      <w:sz w:val="22"/>
      <w:lang w:eastAsia="en-US"/>
    </w:rPr>
    <w:tblPr>
      <w:tblCellMar>
        <w:top w:w="0" w:type="dxa"/>
        <w:left w:w="0" w:type="dxa"/>
        <w:bottom w:w="0" w:type="dxa"/>
        <w:right w:w="0" w:type="dxa"/>
      </w:tblCellMar>
    </w:tblPr>
  </w:style>
  <w:style w:type="paragraph" w:customStyle="1" w:styleId="40">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列出段落1"/>
    <w:basedOn w:val="1"/>
    <w:qFormat/>
    <w:uiPriority w:val="34"/>
    <w:pPr>
      <w:ind w:firstLine="420" w:firstLineChars="200"/>
    </w:pPr>
    <w:rPr>
      <w:rFonts w:ascii="Calibri" w:hAnsi="Calibri" w:eastAsia="宋体" w:cs="Times New Roman"/>
    </w:rPr>
  </w:style>
  <w:style w:type="paragraph" w:customStyle="1" w:styleId="42">
    <w:name w:val="设计正文2"/>
    <w:basedOn w:val="1"/>
    <w:qFormat/>
    <w:uiPriority w:val="0"/>
    <w:pPr>
      <w:snapToGrid w:val="0"/>
      <w:spacing w:before="160" w:line="320" w:lineRule="atLeast"/>
    </w:pPr>
    <w:rPr>
      <w:rFonts w:ascii="Times New Roman" w:hAnsi="Times New Roman" w:eastAsia="宋体" w:cs="Times New Roman"/>
      <w:sz w:val="24"/>
      <w:szCs w:val="20"/>
    </w:rPr>
  </w:style>
  <w:style w:type="character" w:customStyle="1" w:styleId="43">
    <w:name w:val="批注文字 字符"/>
    <w:basedOn w:val="21"/>
    <w:link w:val="8"/>
    <w:qFormat/>
    <w:uiPriority w:val="99"/>
    <w:rPr>
      <w:kern w:val="2"/>
      <w:sz w:val="21"/>
      <w:szCs w:val="22"/>
    </w:rPr>
  </w:style>
  <w:style w:type="character" w:customStyle="1" w:styleId="44">
    <w:name w:val="fontstyle21"/>
    <w:basedOn w:val="21"/>
    <w:qFormat/>
    <w:uiPriority w:val="0"/>
    <w:rPr>
      <w:rFonts w:ascii="TimesNewRomanPSMT" w:hAnsi="TimesNewRomanPSMT" w:eastAsia="TimesNewRomanPSMT" w:cs="TimesNewRomanPSMT"/>
      <w:color w:val="000000"/>
      <w:sz w:val="22"/>
      <w:szCs w:val="22"/>
    </w:rPr>
  </w:style>
  <w:style w:type="paragraph" w:customStyle="1" w:styleId="45">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character" w:customStyle="1" w:styleId="46">
    <w:name w:val="hover16"/>
    <w:basedOn w:val="21"/>
    <w:qFormat/>
    <w:uiPriority w:val="0"/>
    <w:rPr>
      <w:color w:val="FF6600"/>
      <w:bdr w:val="single" w:color="DDDDDD" w:sz="6" w:space="0"/>
      <w:shd w:val="clear" w:fill="FFFFFF"/>
    </w:rPr>
  </w:style>
  <w:style w:type="character" w:customStyle="1" w:styleId="47">
    <w:name w:val="over"/>
    <w:basedOn w:val="21"/>
    <w:qFormat/>
    <w:uiPriority w:val="0"/>
    <w:rPr>
      <w:shd w:val="clear" w:fill="3F82BE"/>
    </w:rPr>
  </w:style>
  <w:style w:type="character" w:customStyle="1" w:styleId="48">
    <w:name w:val="before"/>
    <w:basedOn w:val="21"/>
    <w:qFormat/>
    <w:uiPriority w:val="0"/>
  </w:style>
  <w:style w:type="character" w:customStyle="1" w:styleId="49">
    <w:name w:val="selallcontainer"/>
    <w:basedOn w:val="21"/>
    <w:qFormat/>
    <w:uiPriority w:val="0"/>
  </w:style>
  <w:style w:type="character" w:customStyle="1" w:styleId="50">
    <w:name w:val="font11"/>
    <w:basedOn w:val="21"/>
    <w:qFormat/>
    <w:uiPriority w:val="0"/>
    <w:rPr>
      <w:rFonts w:hint="eastAsia" w:ascii="宋体" w:hAnsi="宋体" w:eastAsia="宋体" w:cs="宋体"/>
      <w:color w:val="000000"/>
      <w:sz w:val="24"/>
      <w:szCs w:val="24"/>
      <w:u w:val="none"/>
    </w:rPr>
  </w:style>
  <w:style w:type="character" w:customStyle="1" w:styleId="51">
    <w:name w:val="Body text (2)"/>
    <w:basedOn w:val="21"/>
    <w:qFormat/>
    <w:uiPriority w:val="0"/>
    <w:rPr>
      <w:rFonts w:hint="eastAsia" w:ascii="MingLiU" w:hAnsi="MingLiU" w:eastAsia="MingLiU" w:cs="MingLiU"/>
      <w:color w:val="000000"/>
      <w:spacing w:val="0"/>
      <w:w w:val="100"/>
      <w:position w:val="0"/>
      <w:sz w:val="19"/>
      <w:szCs w:val="19"/>
      <w:u w:val="none"/>
      <w:lang w:val="zh-CN" w:eastAsia="zh-CN" w:bidi="zh-CN"/>
    </w:rPr>
  </w:style>
  <w:style w:type="character" w:customStyle="1" w:styleId="52">
    <w:name w:val="Body text (2) + 10 pt"/>
    <w:basedOn w:val="21"/>
    <w:qFormat/>
    <w:uiPriority w:val="0"/>
    <w:rPr>
      <w:rFonts w:hint="eastAsia" w:ascii="MingLiU" w:hAnsi="MingLiU" w:eastAsia="MingLiU" w:cs="MingLiU"/>
      <w:color w:val="000000"/>
      <w:spacing w:val="0"/>
      <w:w w:val="100"/>
      <w:position w:val="0"/>
      <w:sz w:val="20"/>
      <w:szCs w:val="20"/>
      <w:u w:val="none"/>
      <w:lang w:val="zh-CN" w:eastAsia="zh-CN" w:bidi="zh-CN"/>
    </w:rPr>
  </w:style>
  <w:style w:type="character" w:customStyle="1" w:styleId="53">
    <w:name w:val="font61"/>
    <w:basedOn w:val="21"/>
    <w:qFormat/>
    <w:uiPriority w:val="0"/>
    <w:rPr>
      <w:rFonts w:hint="default" w:ascii="Times New Roman" w:hAnsi="Times New Roman" w:cs="Times New Roman"/>
      <w:color w:val="000000"/>
      <w:sz w:val="16"/>
      <w:szCs w:val="16"/>
      <w:u w:val="none"/>
    </w:rPr>
  </w:style>
  <w:style w:type="character" w:customStyle="1" w:styleId="54">
    <w:name w:val="font41"/>
    <w:basedOn w:val="21"/>
    <w:qFormat/>
    <w:uiPriority w:val="0"/>
    <w:rPr>
      <w:rFonts w:hint="default" w:ascii="Times New Roman" w:hAnsi="Times New Roman" w:cs="Times New Roman"/>
      <w:color w:val="000000"/>
      <w:sz w:val="16"/>
      <w:szCs w:val="16"/>
      <w:u w:val="none"/>
    </w:rPr>
  </w:style>
  <w:style w:type="character" w:customStyle="1" w:styleId="55">
    <w:name w:val="font31"/>
    <w:basedOn w:val="21"/>
    <w:qFormat/>
    <w:uiPriority w:val="0"/>
    <w:rPr>
      <w:rFonts w:hint="default" w:ascii="Times New Roman" w:hAnsi="Times New Roman" w:cs="Times New Roman"/>
      <w:color w:val="000000"/>
      <w:sz w:val="16"/>
      <w:szCs w:val="16"/>
      <w:u w:val="none"/>
    </w:rPr>
  </w:style>
  <w:style w:type="paragraph" w:customStyle="1" w:styleId="56">
    <w:name w:val="zz-1"/>
    <w:qFormat/>
    <w:uiPriority w:val="0"/>
    <w:pPr>
      <w:keepNext/>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20" w:beforeAutospacing="0" w:after="0" w:afterAutospacing="0" w:line="300" w:lineRule="auto"/>
      <w:ind w:left="340" w:right="0" w:hanging="340"/>
      <w:jc w:val="both"/>
      <w:outlineLvl w:val="0"/>
    </w:pPr>
    <w:rPr>
      <w:rFonts w:ascii="SimSong Bold" w:hAnsi="SimSong Bold" w:eastAsia="SimSong Bold" w:cs="SimSong Bold"/>
      <w:color w:val="000000"/>
      <w:spacing w:val="0"/>
      <w:w w:val="100"/>
      <w:kern w:val="44"/>
      <w:position w:val="0"/>
      <w:sz w:val="28"/>
      <w:szCs w:val="28"/>
      <w:u w:val="none" w:color="000000"/>
      <w:shd w:val="clear" w:color="auto" w:fill="auto"/>
      <w:vertAlign w:val="baseline"/>
      <w:lang w:val="en-US"/>
    </w:rPr>
  </w:style>
  <w:style w:type="paragraph" w:customStyle="1" w:styleId="57">
    <w:name w:val="正文 B"/>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Times New Roman" w:hAnsi="Times New Roman" w:eastAsia="Times New Roman" w:cs="Times New Roman"/>
      <w:color w:val="000000"/>
      <w:spacing w:val="0"/>
      <w:w w:val="100"/>
      <w:kern w:val="0"/>
      <w:position w:val="0"/>
      <w:sz w:val="24"/>
      <w:szCs w:val="24"/>
      <w:u w:val="none" w:color="000000"/>
      <w:shd w:val="clear" w:color="auto" w:fill="auto"/>
      <w:vertAlign w:val="baseline"/>
      <w:lang w:val="en-US"/>
    </w:rPr>
  </w:style>
  <w:style w:type="paragraph" w:customStyle="1" w:styleId="58">
    <w:name w:val="正文文本_1"/>
    <w:basedOn w:val="33"/>
    <w:qFormat/>
    <w:uiPriority w:val="0"/>
    <w:pPr>
      <w:widowControl/>
      <w:overflowPunct w:val="0"/>
      <w:autoSpaceDE w:val="0"/>
      <w:autoSpaceDN w:val="0"/>
      <w:adjustRightInd w:val="0"/>
      <w:jc w:val="left"/>
      <w:textAlignment w:val="baseline"/>
    </w:pPr>
    <w:rPr>
      <w:rFonts w:ascii="楷体" w:eastAsia="楷体"/>
      <w:i/>
      <w:iCs/>
      <w:kern w:val="0"/>
      <w:sz w:val="20"/>
      <w:szCs w:val="20"/>
      <w:lang w:val="zh-CN"/>
    </w:rPr>
  </w:style>
  <w:style w:type="table" w:customStyle="1" w:styleId="59">
    <w:name w:val="网格型3"/>
    <w:basedOn w:val="19"/>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0">
    <w:name w:val="正文表标题"/>
    <w:next w:val="61"/>
    <w:qFormat/>
    <w:uiPriority w:val="0"/>
    <w:pPr>
      <w:numPr>
        <w:ilvl w:val="0"/>
        <w:numId w:val="1"/>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6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346</Words>
  <Characters>1976</Characters>
  <Lines>16</Lines>
  <Paragraphs>4</Paragraphs>
  <TotalTime>32</TotalTime>
  <ScaleCrop>false</ScaleCrop>
  <LinksUpToDate>false</LinksUpToDate>
  <CharactersWithSpaces>2318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2021-04-29T03:47:00Z</dcterms:created>
  <dc:creator>季云峰/采办项目组/集团公司机关</dc:creator>
  <cp:lastModifiedBy>王莫飞</cp:lastModifiedBy>
  <dcterms:modified xsi:type="dcterms:W3CDTF">2026-01-05T08:16:58Z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4211DA143C5747EE8C593054049621C5</vt:lpwstr>
  </property>
</Properties>
</file>