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line="274" w:lineRule="auto"/>
        <w:ind w:left="1340" w:right="742" w:hanging="526"/>
        <w:jc w:val="center"/>
        <w:rPr>
          <w:sz w:val="35"/>
          <w:szCs w:val="35"/>
          <w:highlight w:val="none"/>
        </w:rPr>
      </w:pPr>
      <w:bookmarkStart w:id="0" w:name="_GoBack"/>
      <w:r>
        <w:rPr>
          <w:b/>
          <w:bCs/>
          <w:spacing w:val="1"/>
          <w:sz w:val="43"/>
          <w:szCs w:val="43"/>
          <w:highlight w:val="none"/>
        </w:rPr>
        <w:t>中交一公局集团北京凯通物资有限公司</w:t>
      </w:r>
      <w:r>
        <w:rPr>
          <w:spacing w:val="14"/>
          <w:sz w:val="43"/>
          <w:szCs w:val="43"/>
          <w:highlight w:val="none"/>
        </w:rPr>
        <w:t xml:space="preserve"> </w:t>
      </w:r>
      <w:r>
        <w:rPr>
          <w:rFonts w:hint="eastAsia"/>
          <w:b/>
          <w:bCs/>
          <w:spacing w:val="5"/>
          <w:sz w:val="35"/>
          <w:szCs w:val="35"/>
          <w:highlight w:val="none"/>
          <w:lang w:val="en-US" w:eastAsia="zh-CN"/>
        </w:rPr>
        <w:t>西北营销</w:t>
      </w:r>
      <w:r>
        <w:rPr>
          <w:b/>
          <w:bCs/>
          <w:spacing w:val="5"/>
          <w:sz w:val="35"/>
          <w:szCs w:val="35"/>
          <w:highlight w:val="none"/>
        </w:rPr>
        <w:t>中心</w:t>
      </w:r>
      <w:r>
        <w:rPr>
          <w:rFonts w:hint="eastAsia"/>
          <w:b/>
          <w:bCs/>
          <w:spacing w:val="5"/>
          <w:sz w:val="35"/>
          <w:szCs w:val="35"/>
          <w:highlight w:val="none"/>
          <w:lang w:val="en-US" w:eastAsia="zh-CN"/>
        </w:rPr>
        <w:t>新疆</w:t>
      </w:r>
      <w:r>
        <w:rPr>
          <w:b/>
          <w:bCs/>
          <w:spacing w:val="5"/>
          <w:sz w:val="35"/>
          <w:szCs w:val="35"/>
          <w:highlight w:val="none"/>
        </w:rPr>
        <w:t>网点</w:t>
      </w:r>
      <w:r>
        <w:rPr>
          <w:rFonts w:hint="eastAsia"/>
          <w:b/>
          <w:bCs/>
          <w:spacing w:val="5"/>
          <w:sz w:val="35"/>
          <w:szCs w:val="35"/>
          <w:highlight w:val="none"/>
          <w:lang w:val="en-US" w:eastAsia="zh-CN"/>
        </w:rPr>
        <w:t>钢材</w:t>
      </w:r>
      <w:r>
        <w:rPr>
          <w:b/>
          <w:bCs/>
          <w:spacing w:val="5"/>
          <w:sz w:val="35"/>
          <w:szCs w:val="35"/>
          <w:highlight w:val="none"/>
        </w:rPr>
        <w:t>公开询价公告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285" w:line="223" w:lineRule="auto"/>
        <w:ind w:left="507"/>
        <w:outlineLvl w:val="0"/>
      </w:pPr>
      <w:r>
        <w:rPr>
          <w:b/>
          <w:bCs/>
          <w:spacing w:val="-5"/>
        </w:rPr>
        <w:t>一、项目基本情况介绍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3" w:line="360" w:lineRule="auto"/>
        <w:ind w:right="19" w:firstLine="556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pacing w:val="-1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凯通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</w:rPr>
        <w:t>公司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西北营销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</w:rPr>
        <w:t>中心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中标的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—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公局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_新疆乌尉公路包PPP项目WYTJ-0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标段项目经理部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的钢材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</w:rPr>
        <w:t>供应合同已签订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</w:rPr>
        <w:t>现对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本批钢材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</w:rPr>
        <w:t>进行公开询价。本次公开询价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不分</w:t>
      </w:r>
      <w:r>
        <w:rPr>
          <w:rFonts w:hint="eastAsia" w:asciiTheme="minorEastAsia" w:hAnsiTheme="minorEastAsia" w:eastAsiaTheme="minorEastAsia" w:cstheme="minorEastAsia"/>
          <w:spacing w:val="-1"/>
          <w:highlight w:val="none"/>
        </w:rPr>
        <w:t>包件。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3" w:line="360" w:lineRule="auto"/>
        <w:ind w:left="837" w:leftChars="266" w:right="19" w:hanging="278" w:hangingChars="100"/>
        <w:jc w:val="both"/>
        <w:textAlignment w:val="baseline"/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highlight w:val="none"/>
          <w:lang w:val="en-US" w:eastAsia="zh-CN"/>
        </w:rPr>
        <w:t>项目简称：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—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公局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_新疆乌尉公路包PPP项目WYTJ-0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  <w:t>标段项目经理部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3" w:line="360" w:lineRule="auto"/>
        <w:ind w:left="828" w:leftChars="266" w:right="19" w:hanging="269" w:hangingChars="100"/>
        <w:jc w:val="both"/>
        <w:textAlignment w:val="baseline"/>
        <w:rPr>
          <w:highlight w:val="none"/>
        </w:rPr>
      </w:pPr>
      <w:r>
        <w:rPr>
          <w:b/>
          <w:bCs/>
          <w:spacing w:val="-6"/>
          <w:highlight w:val="none"/>
        </w:rPr>
        <w:t>二、</w:t>
      </w:r>
      <w:r>
        <w:rPr>
          <w:b/>
          <w:bCs/>
          <w:spacing w:val="-5"/>
        </w:rPr>
        <w:t>供应商注册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86" w:line="360" w:lineRule="auto"/>
        <w:ind w:firstLine="560" w:firstLineChars="200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凡有意参加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者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需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登录中交集团供应链管理信息系统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http://ec.ccccltd.cn完成报名并进行报价。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未注册供应链系统的单位需进行注册，合作意向单位选择</w:t>
      </w:r>
      <w:r>
        <w:rPr>
          <w:rFonts w:hint="eastAsia" w:asciiTheme="minorEastAsia" w:hAnsiTheme="minorEastAsia" w:eastAsiaTheme="minorEastAsia" w:cstheme="minorEastAsia"/>
          <w:b/>
          <w:bCs/>
          <w:spacing w:val="-4"/>
          <w:sz w:val="28"/>
          <w:szCs w:val="28"/>
          <w:highlight w:val="none"/>
        </w:rPr>
        <w:t>“北京凯通物资有限公司</w:t>
      </w:r>
      <w:r>
        <w:rPr>
          <w:rFonts w:hint="eastAsia" w:asciiTheme="minorEastAsia" w:hAnsiTheme="minorEastAsia" w:eastAsiaTheme="minorEastAsia" w:cstheme="minorEastAsia"/>
          <w:spacing w:val="-103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8"/>
          <w:szCs w:val="28"/>
          <w:highlight w:val="none"/>
        </w:rPr>
        <w:t>”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，审核通过后方可报名参与。</w:t>
      </w:r>
    </w:p>
    <w:p>
      <w:pPr>
        <w:pStyle w:val="2"/>
        <w:numPr>
          <w:ilvl w:val="0"/>
          <w:numId w:val="1"/>
        </w:numPr>
        <w:spacing w:before="166" w:line="223" w:lineRule="auto"/>
        <w:ind w:left="649"/>
        <w:rPr>
          <w:b/>
          <w:bCs/>
          <w:spacing w:val="-7"/>
          <w:highlight w:val="none"/>
        </w:rPr>
      </w:pPr>
      <w:r>
        <w:rPr>
          <w:b/>
          <w:bCs/>
          <w:spacing w:val="-7"/>
          <w:highlight w:val="none"/>
        </w:rPr>
        <w:t>询价时间：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360" w:lineRule="auto"/>
        <w:textAlignment w:val="baseline"/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7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highlight w:val="none"/>
          <w:lang w:val="en-US" w:eastAsia="zh-CN"/>
        </w:rPr>
        <w:t>报名开始及结束时间：2024年6月25日上午10时至2024年6月27日上午10时</w:t>
      </w:r>
    </w:p>
    <w:p>
      <w:pPr>
        <w:widowControl/>
        <w:tabs>
          <w:tab w:val="left" w:pos="4816"/>
        </w:tabs>
        <w:adjustRightInd w:val="0"/>
        <w:snapToGrid w:val="0"/>
        <w:spacing w:line="360" w:lineRule="auto"/>
        <w:ind w:firstLine="266" w:firstLineChars="100"/>
        <w:jc w:val="left"/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highlight w:val="none"/>
          <w:lang w:val="en-US" w:eastAsia="zh-CN"/>
        </w:rPr>
        <w:t>报价开始及结束时间：2024年6月25日上午10时至2024年6月28日上午10时</w:t>
      </w:r>
    </w:p>
    <w:p>
      <w:pPr>
        <w:widowControl/>
        <w:tabs>
          <w:tab w:val="left" w:pos="4816"/>
        </w:tabs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开标时间：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highlight w:val="none"/>
          <w:lang w:val="en-US" w:eastAsia="zh-CN"/>
        </w:rPr>
        <w:t>2024年6月28日上午10时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，进行线上开标。</w:t>
      </w:r>
    </w:p>
    <w:p>
      <w:pPr>
        <w:pStyle w:val="2"/>
        <w:spacing w:before="285" w:line="223" w:lineRule="auto"/>
        <w:rPr>
          <w:highlight w:val="none"/>
        </w:rPr>
      </w:pPr>
      <w:r>
        <w:rPr>
          <w:b/>
          <w:bCs/>
          <w:spacing w:val="-11"/>
          <w:highlight w:val="none"/>
        </w:rPr>
        <w:t>四、报价要求</w:t>
      </w:r>
    </w:p>
    <w:p>
      <w:pPr>
        <w:pStyle w:val="2"/>
        <w:spacing w:before="285" w:line="222" w:lineRule="auto"/>
        <w:ind w:left="558"/>
        <w:rPr>
          <w:b/>
          <w:bCs/>
          <w:color w:val="FF0000"/>
          <w:spacing w:val="-4"/>
          <w:highlight w:val="none"/>
        </w:rPr>
      </w:pPr>
      <w:r>
        <w:rPr>
          <w:b/>
          <w:bCs/>
          <w:color w:val="FF0000"/>
          <w:spacing w:val="-4"/>
          <w:highlight w:val="none"/>
        </w:rPr>
        <w:t>投标人需将报价单盖章扫描件(PDF</w:t>
      </w:r>
      <w:r>
        <w:rPr>
          <w:color w:val="FF0000"/>
          <w:spacing w:val="-40"/>
          <w:highlight w:val="none"/>
        </w:rPr>
        <w:t xml:space="preserve"> </w:t>
      </w:r>
      <w:r>
        <w:rPr>
          <w:b/>
          <w:bCs/>
          <w:color w:val="FF0000"/>
          <w:spacing w:val="-4"/>
          <w:highlight w:val="none"/>
        </w:rPr>
        <w:t>版本)上传系统。</w:t>
      </w:r>
    </w:p>
    <w:p>
      <w:pPr>
        <w:pStyle w:val="2"/>
        <w:spacing w:before="285" w:line="222" w:lineRule="auto"/>
        <w:ind w:left="558"/>
        <w:rPr>
          <w:b/>
          <w:bCs/>
          <w:color w:val="FF0000"/>
          <w:spacing w:val="-4"/>
          <w:highlight w:val="none"/>
        </w:rPr>
      </w:pPr>
    </w:p>
    <w:p>
      <w:pPr>
        <w:pStyle w:val="2"/>
        <w:spacing w:before="155" w:line="223" w:lineRule="auto"/>
        <w:ind w:left="432"/>
        <w:outlineLvl w:val="0"/>
        <w:rPr>
          <w:highlight w:val="none"/>
        </w:rPr>
      </w:pPr>
      <w:r>
        <w:rPr>
          <w:rFonts w:hint="eastAsia"/>
          <w:b/>
          <w:bCs/>
          <w:spacing w:val="-6"/>
          <w:highlight w:val="none"/>
          <w:lang w:val="en-US" w:eastAsia="zh-CN"/>
        </w:rPr>
        <w:t>五、</w:t>
      </w:r>
      <w:r>
        <w:rPr>
          <w:b/>
          <w:bCs/>
          <w:spacing w:val="-6"/>
          <w:highlight w:val="none"/>
        </w:rPr>
        <w:t>联系方式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360" w:lineRule="auto"/>
        <w:ind w:left="558" w:firstLine="552" w:firstLineChars="200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2"/>
          <w:sz w:val="28"/>
          <w:szCs w:val="28"/>
          <w:highlight w:val="none"/>
        </w:rPr>
        <w:t>询价人：北京凯通物资有限公司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0" w:line="360" w:lineRule="auto"/>
        <w:ind w:left="558" w:firstLine="548" w:firstLineChars="200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</w:rPr>
        <w:t>招标地址：北京市通州区新华西街西</w:t>
      </w:r>
      <w:r>
        <w:rPr>
          <w:rFonts w:hint="eastAsia" w:asciiTheme="minorEastAsia" w:hAnsiTheme="minorEastAsia" w:eastAsiaTheme="minorEastAsia" w:cstheme="minorEastAsia"/>
          <w:spacing w:val="-28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</w:rPr>
        <w:t>145</w:t>
      </w:r>
      <w:r>
        <w:rPr>
          <w:rFonts w:hint="eastAsia" w:asciiTheme="minorEastAsia" w:hAnsiTheme="minorEastAsia" w:eastAsiaTheme="minorEastAsia" w:cstheme="minorEastAsia"/>
          <w:spacing w:val="-46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</w:rPr>
        <w:t>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7" w:line="360" w:lineRule="auto"/>
        <w:ind w:left="556" w:firstLine="556" w:firstLineChars="200"/>
        <w:textAlignment w:val="baseline"/>
        <w:rPr>
          <w:rFonts w:hint="default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highlight w:val="none"/>
        </w:rPr>
        <w:t>联系人：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highlight w:val="none"/>
          <w:lang w:val="en-US" w:eastAsia="zh-CN"/>
        </w:rPr>
        <w:t>吴瑞焱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highlight w:val="none"/>
        </w:rPr>
        <w:t xml:space="preserve"> 联系电话：</w:t>
      </w: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highlight w:val="none"/>
          <w:lang w:val="en-US" w:eastAsia="zh-CN"/>
        </w:rPr>
        <w:t>18690226592</w:t>
      </w: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66" w:line="223" w:lineRule="auto"/>
        <w:jc w:val="left"/>
        <w:textAlignment w:val="baseline"/>
        <w:rPr>
          <w:rFonts w:hint="eastAsia" w:eastAsia="仿宋"/>
          <w:b/>
          <w:bCs/>
          <w:spacing w:val="-7"/>
          <w:highlight w:val="none"/>
          <w:lang w:val="en-US" w:eastAsia="zh-CN"/>
        </w:rPr>
        <w:sectPr>
          <w:pgSz w:w="11906" w:h="16839"/>
          <w:pgMar w:top="1431" w:right="1460" w:bottom="0" w:left="146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spacing w:line="242" w:lineRule="auto"/>
        <w:rPr>
          <w:rFonts w:ascii="Arial"/>
          <w:sz w:val="21"/>
          <w:highlight w:val="none"/>
        </w:rPr>
      </w:pPr>
    </w:p>
    <w:p>
      <w:pPr>
        <w:pStyle w:val="2"/>
        <w:numPr>
          <w:ilvl w:val="0"/>
          <w:numId w:val="2"/>
        </w:numPr>
        <w:spacing w:before="92" w:line="223" w:lineRule="auto"/>
        <w:ind w:left="290"/>
        <w:outlineLvl w:val="0"/>
        <w:rPr>
          <w:b/>
          <w:bCs/>
          <w:spacing w:val="-5"/>
          <w:highlight w:val="none"/>
        </w:rPr>
      </w:pPr>
      <w:r>
        <w:rPr>
          <w:b/>
          <w:bCs/>
          <w:spacing w:val="-5"/>
          <w:highlight w:val="none"/>
        </w:rPr>
        <w:t>报价具体要求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firstLine="54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b/>
          <w:bCs/>
          <w:spacing w:val="-5"/>
          <w:highlight w:val="none"/>
          <w:lang w:val="en-US" w:eastAsia="zh-CN"/>
        </w:rPr>
      </w:pPr>
      <w:r>
        <w:rPr>
          <w:rFonts w:hint="eastAsia"/>
          <w:b/>
          <w:bCs/>
          <w:spacing w:val="-5"/>
          <w:highlight w:val="non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spacing w:val="-5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firstLine="542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5"/>
          <w:sz w:val="28"/>
          <w:szCs w:val="28"/>
          <w:highlight w:val="none"/>
          <w:lang w:val="en-US" w:eastAsia="zh-CN"/>
        </w:rPr>
        <w:t>综合单价=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highlight w:val="none"/>
        </w:rPr>
        <w:t>基准价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highlight w:val="none"/>
          <w:lang w:val="en-US" w:eastAsia="zh-CN"/>
        </w:rPr>
        <w:t>+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highlight w:val="none"/>
        </w:rPr>
        <w:t>调节价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highlight w:val="none"/>
          <w:lang w:val="en-US" w:eastAsia="zh-CN"/>
        </w:rPr>
        <w:t>+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</w:rPr>
        <w:t>运输单价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  <w:t>其中：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firstLine="54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  <w:t>基准价：表中基准价为网价，钢板参考2024年6月14日我的钢铁网乌鲁木齐网价以订货当日“我的钢铁网”乌鲁木齐地区市场八钢对应规格第一次公布网价为准，如遇节假日则以前一日第一次公布网价为准。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firstLine="54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  <w:t>调节价：指乙方为物资销售所发生的必要费用，包含但不限于网价优惠、保险费、包装费、装卸搬运、储存、装车费、服务费、售后服务费、管理费、利润、税金以及其他所有费用（可为正数也可为负数），合同执行期间调节价固定不变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firstLine="548" w:firstLineChars="200"/>
        <w:textAlignment w:val="baseline"/>
        <w:outlineLvl w:val="0"/>
        <w:rPr>
          <w:rFonts w:hint="eastAsia" w:asciiTheme="minorEastAsia" w:hAnsiTheme="minorEastAsia" w:eastAsiaTheme="minorEastAsia" w:cstheme="minorEastAsia"/>
          <w:spacing w:val="-5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  <w:lang w:val="en-US" w:eastAsia="zh-CN"/>
        </w:rPr>
        <w:t>运输单价：指把货物由生产地完好无损地运至指定交货地点所发生的运输费用，在合同执行过程中保持不变。</w:t>
      </w:r>
    </w:p>
    <w:p>
      <w:pPr>
        <w:pStyle w:val="2"/>
        <w:numPr>
          <w:ilvl w:val="0"/>
          <w:numId w:val="2"/>
        </w:numPr>
        <w:spacing w:before="92" w:line="223" w:lineRule="auto"/>
        <w:ind w:left="290"/>
        <w:outlineLvl w:val="0"/>
        <w:rPr>
          <w:b/>
          <w:bCs/>
          <w:spacing w:val="-5"/>
          <w:highlight w:val="none"/>
        </w:rPr>
      </w:pPr>
      <w:r>
        <w:rPr>
          <w:b/>
          <w:bCs/>
          <w:spacing w:val="-5"/>
          <w:highlight w:val="none"/>
        </w:rPr>
        <w:t>支付</w:t>
      </w:r>
      <w:r>
        <w:rPr>
          <w:rFonts w:hint="eastAsia"/>
          <w:b/>
          <w:bCs/>
          <w:spacing w:val="-5"/>
          <w:highlight w:val="none"/>
          <w:lang w:val="en-US" w:eastAsia="zh-CN"/>
        </w:rPr>
        <w:t>方式</w:t>
      </w:r>
      <w:r>
        <w:rPr>
          <w:b/>
          <w:bCs/>
          <w:spacing w:val="-5"/>
          <w:highlight w:val="none"/>
        </w:rPr>
        <w:t>：</w:t>
      </w:r>
    </w:p>
    <w:p>
      <w:pPr>
        <w:spacing w:line="310" w:lineRule="auto"/>
        <w:ind w:firstLine="556" w:firstLineChars="200"/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highlight w:val="none"/>
        </w:rPr>
      </w:pPr>
    </w:p>
    <w:p>
      <w:pPr>
        <w:spacing w:line="310" w:lineRule="auto"/>
        <w:ind w:firstLine="556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1"/>
          <w:sz w:val="28"/>
          <w:szCs w:val="28"/>
          <w:highlight w:val="none"/>
        </w:rPr>
        <w:t>本合同甲方不向乙方支付预付款，乙方必须具备满足本合同的流动资金。 甲方收到发票后应于 30 天内支付所欠乙方全部款项的100%，最后一批供货后在30 天内全部付清。如乙方收到甲方支付的银行承兑汇票、商业承兑汇票、E信通或云信等金融产品后，由此产生的成本费用据实或双方协商，在结算单上进行确认，并且开具增值税专用发票（税率按当期国家政策）。乙方提供增值税专用发票前，甲方有权拒绝付款。乙方收款应及时提供相应的收款收据。</w:t>
      </w:r>
    </w:p>
    <w:p>
      <w:pPr>
        <w:spacing w:line="311" w:lineRule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360" w:lineRule="auto"/>
        <w:ind w:left="5732" w:right="969" w:hanging="397"/>
        <w:textAlignment w:val="baseline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pacing w:val="-3"/>
          <w:sz w:val="28"/>
          <w:szCs w:val="28"/>
          <w:highlight w:val="none"/>
        </w:rPr>
        <w:t>北京凯通物资有限公司</w:t>
      </w:r>
      <w:r>
        <w:rPr>
          <w:rFonts w:hint="eastAsia" w:asciiTheme="minorEastAsia" w:hAnsiTheme="minorEastAsia" w:eastAsiaTheme="minorEastAsia" w:cstheme="minorEastAsia"/>
          <w:spacing w:val="3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highlight w:val="none"/>
        </w:rPr>
        <w:t>20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spacing w:val="-40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spacing w:val="-57"/>
          <w:sz w:val="28"/>
          <w:szCs w:val="28"/>
          <w:highlight w:val="none"/>
          <w:lang w:val="en-US" w:eastAsia="zh-CN"/>
        </w:rPr>
        <w:t xml:space="preserve">17 </w:t>
      </w:r>
      <w:r>
        <w:rPr>
          <w:rFonts w:hint="eastAsia" w:asciiTheme="minorEastAsia" w:hAnsiTheme="minorEastAsia" w:eastAsiaTheme="minorEastAsia" w:cstheme="minorEastAsia"/>
          <w:spacing w:val="-9"/>
          <w:sz w:val="28"/>
          <w:szCs w:val="28"/>
          <w:highlight w:val="none"/>
        </w:rPr>
        <w:t>日</w:t>
      </w:r>
    </w:p>
    <w:p>
      <w:pPr>
        <w:spacing w:line="397" w:lineRule="auto"/>
        <w:rPr>
          <w:rFonts w:hint="eastAsia" w:asciiTheme="minorEastAsia" w:hAnsiTheme="minorEastAsia" w:eastAsiaTheme="minorEastAsia" w:cstheme="minorEastAsia"/>
          <w:sz w:val="28"/>
          <w:szCs w:val="28"/>
          <w:highlight w:val="cyan"/>
        </w:rPr>
        <w:sectPr>
          <w:pgSz w:w="11906" w:h="16839"/>
          <w:pgMar w:top="1431" w:right="1340" w:bottom="0" w:left="1482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bookmarkEnd w:id="0"/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91" w:line="223" w:lineRule="auto"/>
        <w:ind w:left="514"/>
      </w:pPr>
      <w:r>
        <w:rPr>
          <w:spacing w:val="-15"/>
        </w:rPr>
        <w:t>附件</w:t>
      </w:r>
      <w:r>
        <w:rPr>
          <w:spacing w:val="-40"/>
        </w:rPr>
        <w:t xml:space="preserve"> </w:t>
      </w:r>
      <w:r>
        <w:rPr>
          <w:spacing w:val="-15"/>
        </w:rPr>
        <w:t>1：</w:t>
      </w:r>
    </w:p>
    <w:tbl>
      <w:tblPr>
        <w:tblStyle w:val="5"/>
        <w:tblpPr w:leftFromText="180" w:rightFromText="180" w:vertAnchor="text" w:horzAnchor="page" w:tblpX="1079" w:tblpY="486"/>
        <w:tblOverlap w:val="never"/>
        <w:tblW w:w="152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21"/>
        <w:gridCol w:w="1656"/>
        <w:gridCol w:w="733"/>
        <w:gridCol w:w="757"/>
        <w:gridCol w:w="936"/>
        <w:gridCol w:w="1092"/>
        <w:gridCol w:w="1043"/>
        <w:gridCol w:w="1224"/>
        <w:gridCol w:w="1224"/>
        <w:gridCol w:w="1224"/>
        <w:gridCol w:w="1345"/>
        <w:gridCol w:w="23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2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数量（吨）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基准价（元/吨）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运杂费（元/吨）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综合费用（元/吨）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含税单价（元/吨）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含税总金额（元）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项目标段名称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8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钢板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理计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3970</w:t>
            </w: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3970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397000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乌尉三标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397000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合计金额大写：</w:t>
            </w:r>
          </w:p>
        </w:tc>
        <w:tc>
          <w:tcPr>
            <w:tcW w:w="1353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叁拾玖万柒仟元整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951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表中基准价为网价，钢板参考2024年6月14日我的钢铁网乌鲁木齐网价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951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</w:pPr>
          </w:p>
        </w:tc>
        <w:tc>
          <w:tcPr>
            <w:tcW w:w="244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报价单位：</w:t>
            </w:r>
          </w:p>
        </w:tc>
        <w:tc>
          <w:tcPr>
            <w:tcW w:w="364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法定代表人或授权人及电话：</w:t>
            </w:r>
          </w:p>
        </w:tc>
        <w:tc>
          <w:tcPr>
            <w:tcW w:w="364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263" w:lineRule="auto"/>
        <w:rPr>
          <w:rFonts w:ascii="Arial"/>
          <w:sz w:val="21"/>
        </w:rPr>
      </w:pPr>
    </w:p>
    <w:sectPr>
      <w:headerReference r:id="rId5" w:type="default"/>
      <w:footerReference r:id="rId6" w:type="default"/>
      <w:pgSz w:w="16839" w:h="11906"/>
      <w:pgMar w:top="0" w:right="0" w:bottom="0" w:left="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7F084"/>
    <w:multiLevelType w:val="singleLevel"/>
    <w:tmpl w:val="D3C7F08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FC8B7FD"/>
    <w:multiLevelType w:val="singleLevel"/>
    <w:tmpl w:val="4FC8B7FD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E5ZWYzZjJjYTg4MDZmMTExZmIyNWNkM2NkMmQyYTkifQ=="/>
  </w:docVars>
  <w:rsids>
    <w:rsidRoot w:val="00000000"/>
    <w:rsid w:val="02277D98"/>
    <w:rsid w:val="03A35C6C"/>
    <w:rsid w:val="05320B65"/>
    <w:rsid w:val="05A10DC6"/>
    <w:rsid w:val="05DE3FB5"/>
    <w:rsid w:val="12ED77DD"/>
    <w:rsid w:val="14E55858"/>
    <w:rsid w:val="14F5681A"/>
    <w:rsid w:val="16B93952"/>
    <w:rsid w:val="17257F4A"/>
    <w:rsid w:val="17A60341"/>
    <w:rsid w:val="1C1D0679"/>
    <w:rsid w:val="1D7C45A1"/>
    <w:rsid w:val="1DEE0CA9"/>
    <w:rsid w:val="211723A1"/>
    <w:rsid w:val="222D7FA5"/>
    <w:rsid w:val="2529388D"/>
    <w:rsid w:val="267327D2"/>
    <w:rsid w:val="28D83E59"/>
    <w:rsid w:val="2AEF67EE"/>
    <w:rsid w:val="35773071"/>
    <w:rsid w:val="36443CD8"/>
    <w:rsid w:val="39DA5E57"/>
    <w:rsid w:val="3B356C35"/>
    <w:rsid w:val="3C2C6246"/>
    <w:rsid w:val="3C4E58E7"/>
    <w:rsid w:val="3D580F26"/>
    <w:rsid w:val="3D5E16BB"/>
    <w:rsid w:val="3DA45A17"/>
    <w:rsid w:val="3DAB1AF5"/>
    <w:rsid w:val="3F8D0A0A"/>
    <w:rsid w:val="42BC5F05"/>
    <w:rsid w:val="448F0B09"/>
    <w:rsid w:val="45BF33F9"/>
    <w:rsid w:val="48120CAA"/>
    <w:rsid w:val="48416F3C"/>
    <w:rsid w:val="4B17615E"/>
    <w:rsid w:val="4BDA0271"/>
    <w:rsid w:val="4CC4608B"/>
    <w:rsid w:val="4D1E3396"/>
    <w:rsid w:val="4FEA7B4E"/>
    <w:rsid w:val="50AF63FF"/>
    <w:rsid w:val="54AC72FA"/>
    <w:rsid w:val="54BE3A75"/>
    <w:rsid w:val="55F62501"/>
    <w:rsid w:val="56034376"/>
    <w:rsid w:val="57FC4BCD"/>
    <w:rsid w:val="5AE16125"/>
    <w:rsid w:val="5C263E43"/>
    <w:rsid w:val="5CA84C7D"/>
    <w:rsid w:val="5CD42660"/>
    <w:rsid w:val="5D765102"/>
    <w:rsid w:val="5F592687"/>
    <w:rsid w:val="601E3DE9"/>
    <w:rsid w:val="60790CD5"/>
    <w:rsid w:val="63CA3762"/>
    <w:rsid w:val="651E01E9"/>
    <w:rsid w:val="68844737"/>
    <w:rsid w:val="6F6822D7"/>
    <w:rsid w:val="71751495"/>
    <w:rsid w:val="726D7D7A"/>
    <w:rsid w:val="729C4303"/>
    <w:rsid w:val="73CB5ADB"/>
    <w:rsid w:val="76C5306F"/>
    <w:rsid w:val="77015157"/>
    <w:rsid w:val="7B2622F6"/>
    <w:rsid w:val="7C9E7D52"/>
    <w:rsid w:val="7D89203A"/>
    <w:rsid w:val="7F6556D9"/>
    <w:rsid w:val="7FAC5B28"/>
    <w:rsid w:val="7FF67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  <w:style w:type="character" w:customStyle="1" w:styleId="9">
    <w:name w:val="font3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6</TotalTime>
  <ScaleCrop>false</ScaleCrop>
  <LinksUpToDate>false</LinksUpToDate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2023-11-28T10:55:00Z</dcterms:created>
  <dc:creator>A</dc:creator>
  <cp:lastModifiedBy>Administrator</cp:lastModifiedBy>
  <dcterms:modified xsi:type="dcterms:W3CDTF">2024-06-25T01:34:15Z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2024-05-09T17:20:03Z</vt:filetime>
  </property>
  <property fmtid="{D5CDD505-2E9C-101B-9397-08002B2CF9AE}" pid="4" name="KSOProductBuildVer">
    <vt:lpwstr>2052-11.8.2.11813</vt:lpwstr>
  </property>
  <property fmtid="{D5CDD505-2E9C-101B-9397-08002B2CF9AE}" pid="5" name="ICV">
    <vt:lpwstr>9D80ACFD30BD44A5ADD141B84E53B146</vt:lpwstr>
  </property>
</Properties>
</file>