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Times New Roman" w:hAnsi="Times New Roman" w:eastAsia="方正小标宋简体" w:cs="Times New Roman"/>
          <w:bCs/>
          <w:kern w:val="44"/>
          <w:sz w:val="44"/>
          <w:szCs w:val="44"/>
        </w:rPr>
      </w:pPr>
      <w:bookmarkStart w:id="0" w:name="OLE_LINK1"/>
      <w:r>
        <w:rPr>
          <w:rFonts w:ascii="Times New Roman" w:hAnsi="Times New Roman" w:eastAsia="方正小标宋简体" w:cs="Times New Roman"/>
          <w:bCs/>
          <w:kern w:val="44"/>
          <w:sz w:val="44"/>
          <w:szCs w:val="44"/>
        </w:rPr>
        <w:t>采办计划公告</w:t>
      </w:r>
    </w:p>
    <w:bookmarkEnd w:id="0"/>
    <w:p>
      <w:pPr>
        <w:tabs>
          <w:tab w:val="left" w:pos="993"/>
          <w:tab w:val="left" w:pos="1134"/>
          <w:tab w:val="left" w:pos="1418"/>
        </w:tabs>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采办包名称：</w:t>
      </w:r>
    </w:p>
    <w:p>
      <w:pPr>
        <w:tabs>
          <w:tab w:val="left" w:pos="993"/>
          <w:tab w:val="left" w:pos="1134"/>
          <w:tab w:val="left" w:pos="1418"/>
        </w:tabs>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海油发展-化工品类部-天津院2026-2029年度镍基条形加氢催化剂加工服务采购专有协议</w:t>
      </w:r>
      <w:r>
        <w:rPr>
          <w:rFonts w:ascii="Times New Roman" w:hAnsi="Times New Roman" w:eastAsia="仿宋_GB2312" w:cs="Times New Roman"/>
          <w:sz w:val="32"/>
          <w:szCs w:val="32"/>
        </w:rPr>
        <w:t>采办计划公</w:t>
      </w:r>
      <w:r>
        <w:rPr>
          <w:rFonts w:hint="eastAsia" w:ascii="Times New Roman" w:hAnsi="Times New Roman" w:eastAsia="仿宋_GB2312" w:cs="Times New Roman"/>
          <w:sz w:val="32"/>
          <w:szCs w:val="32"/>
        </w:rPr>
        <w:t>告</w:t>
      </w:r>
      <w:r>
        <w:rPr>
          <w:rFonts w:ascii="Times New Roman" w:hAnsi="Times New Roman" w:eastAsia="仿宋_GB2312" w:cs="Times New Roman"/>
          <w:sz w:val="32"/>
          <w:szCs w:val="32"/>
        </w:rPr>
        <w:t>如下：</w:t>
      </w:r>
    </w:p>
    <w:tbl>
      <w:tblPr>
        <w:tblStyle w:val="19"/>
        <w:tblW w:w="9716" w:type="dxa"/>
        <w:tblInd w:w="-6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3076"/>
        <w:gridCol w:w="1610"/>
        <w:gridCol w:w="1911"/>
        <w:gridCol w:w="2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685" w:type="dxa"/>
            <w:vAlign w:val="center"/>
          </w:tcPr>
          <w:p>
            <w:pPr>
              <w:adjustRightInd w:val="0"/>
              <w:snapToGrid w:val="0"/>
              <w:jc w:val="center"/>
              <w:rPr>
                <w:rFonts w:ascii="Times New Roman" w:hAnsi="Times New Roman" w:eastAsia="仿宋" w:cs="Times New Roman"/>
                <w:kern w:val="0"/>
                <w:sz w:val="28"/>
                <w:szCs w:val="28"/>
              </w:rPr>
            </w:pPr>
            <w:r>
              <w:rPr>
                <w:rFonts w:ascii="Times New Roman" w:hAnsi="Times New Roman" w:eastAsia="仿宋" w:cs="Times New Roman"/>
                <w:kern w:val="0"/>
                <w:sz w:val="28"/>
                <w:szCs w:val="28"/>
              </w:rPr>
              <w:t>序号</w:t>
            </w:r>
          </w:p>
        </w:tc>
        <w:tc>
          <w:tcPr>
            <w:tcW w:w="3076" w:type="dxa"/>
            <w:vAlign w:val="center"/>
          </w:tcPr>
          <w:p>
            <w:pPr>
              <w:adjustRightInd w:val="0"/>
              <w:snapToGrid w:val="0"/>
              <w:jc w:val="center"/>
              <w:rPr>
                <w:rFonts w:ascii="Times New Roman" w:hAnsi="Times New Roman" w:eastAsia="仿宋" w:cs="Times New Roman"/>
                <w:kern w:val="0"/>
                <w:sz w:val="28"/>
                <w:szCs w:val="28"/>
              </w:rPr>
            </w:pPr>
            <w:r>
              <w:rPr>
                <w:rFonts w:ascii="Times New Roman" w:hAnsi="Times New Roman" w:eastAsia="仿宋" w:cs="Times New Roman"/>
                <w:kern w:val="0"/>
                <w:sz w:val="28"/>
                <w:szCs w:val="28"/>
              </w:rPr>
              <w:t>采办包</w:t>
            </w:r>
          </w:p>
          <w:p>
            <w:pPr>
              <w:adjustRightInd w:val="0"/>
              <w:snapToGrid w:val="0"/>
              <w:jc w:val="center"/>
              <w:rPr>
                <w:rFonts w:ascii="Times New Roman" w:hAnsi="Times New Roman" w:eastAsia="仿宋" w:cs="Times New Roman"/>
                <w:kern w:val="0"/>
                <w:sz w:val="28"/>
                <w:szCs w:val="28"/>
              </w:rPr>
            </w:pPr>
            <w:r>
              <w:rPr>
                <w:rFonts w:ascii="Times New Roman" w:hAnsi="Times New Roman" w:eastAsia="仿宋" w:cs="Times New Roman"/>
                <w:kern w:val="0"/>
                <w:sz w:val="28"/>
                <w:szCs w:val="28"/>
              </w:rPr>
              <w:t>名称</w:t>
            </w:r>
          </w:p>
        </w:tc>
        <w:tc>
          <w:tcPr>
            <w:tcW w:w="1610" w:type="dxa"/>
            <w:vAlign w:val="center"/>
          </w:tcPr>
          <w:p>
            <w:pPr>
              <w:adjustRightInd w:val="0"/>
              <w:snapToGrid w:val="0"/>
              <w:jc w:val="center"/>
              <w:rPr>
                <w:rFonts w:ascii="Times New Roman" w:hAnsi="Times New Roman" w:eastAsia="仿宋" w:cs="Times New Roman"/>
                <w:kern w:val="0"/>
                <w:sz w:val="28"/>
                <w:szCs w:val="28"/>
              </w:rPr>
            </w:pPr>
            <w:r>
              <w:rPr>
                <w:rFonts w:ascii="Times New Roman" w:hAnsi="Times New Roman" w:eastAsia="仿宋" w:cs="Times New Roman"/>
                <w:kern w:val="0"/>
                <w:sz w:val="28"/>
                <w:szCs w:val="28"/>
              </w:rPr>
              <w:t>采购范围与主要技术指标</w:t>
            </w:r>
          </w:p>
        </w:tc>
        <w:tc>
          <w:tcPr>
            <w:tcW w:w="1911" w:type="dxa"/>
            <w:vAlign w:val="center"/>
          </w:tcPr>
          <w:p>
            <w:pPr>
              <w:adjustRightInd w:val="0"/>
              <w:snapToGrid w:val="0"/>
              <w:jc w:val="center"/>
              <w:rPr>
                <w:rFonts w:ascii="Times New Roman" w:hAnsi="Times New Roman" w:eastAsia="仿宋" w:cs="Times New Roman"/>
                <w:kern w:val="0"/>
                <w:sz w:val="28"/>
                <w:szCs w:val="28"/>
              </w:rPr>
            </w:pPr>
            <w:r>
              <w:rPr>
                <w:rFonts w:ascii="Times New Roman" w:hAnsi="Times New Roman" w:eastAsia="仿宋" w:cs="Times New Roman"/>
                <w:kern w:val="0"/>
                <w:sz w:val="28"/>
                <w:szCs w:val="28"/>
              </w:rPr>
              <w:t>预计发标时间</w:t>
            </w:r>
          </w:p>
        </w:tc>
        <w:tc>
          <w:tcPr>
            <w:tcW w:w="2434" w:type="dxa"/>
            <w:vAlign w:val="center"/>
          </w:tcPr>
          <w:p>
            <w:pPr>
              <w:adjustRightInd w:val="0"/>
              <w:snapToGrid w:val="0"/>
              <w:jc w:val="center"/>
              <w:rPr>
                <w:rFonts w:ascii="Times New Roman" w:hAnsi="Times New Roman" w:eastAsia="仿宋" w:cs="Times New Roman"/>
                <w:kern w:val="0"/>
                <w:sz w:val="28"/>
                <w:szCs w:val="28"/>
              </w:rPr>
            </w:pPr>
            <w:r>
              <w:rPr>
                <w:rFonts w:hint="eastAsia" w:ascii="Times New Roman" w:hAnsi="Times New Roman" w:eastAsia="仿宋" w:cs="Times New Roman"/>
                <w:kern w:val="0"/>
                <w:sz w:val="28"/>
                <w:szCs w:val="28"/>
                <w:lang w:eastAsia="zh-CN"/>
              </w:rPr>
              <w:t>乙方</w:t>
            </w:r>
            <w:r>
              <w:rPr>
                <w:rFonts w:ascii="Times New Roman" w:hAnsi="Times New Roman" w:eastAsia="仿宋" w:cs="Times New Roman"/>
                <w:kern w:val="0"/>
                <w:sz w:val="28"/>
                <w:szCs w:val="28"/>
              </w:rPr>
              <w:t>资质基本要求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685" w:type="dxa"/>
            <w:vAlign w:val="center"/>
          </w:tcPr>
          <w:p>
            <w:pPr>
              <w:adjustRightInd w:val="0"/>
              <w:snapToGrid w:val="0"/>
              <w:ind w:firstLine="280" w:firstLineChars="100"/>
              <w:rPr>
                <w:rFonts w:ascii="Times New Roman" w:hAnsi="Times New Roman" w:eastAsia="仿宋" w:cs="Times New Roman"/>
                <w:kern w:val="0"/>
                <w:sz w:val="28"/>
                <w:szCs w:val="28"/>
              </w:rPr>
            </w:pPr>
            <w:r>
              <w:rPr>
                <w:rFonts w:hint="eastAsia" w:ascii="Times New Roman" w:hAnsi="Times New Roman" w:eastAsia="仿宋" w:cs="Times New Roman"/>
                <w:kern w:val="0"/>
                <w:sz w:val="28"/>
                <w:szCs w:val="28"/>
              </w:rPr>
              <w:t>1</w:t>
            </w:r>
          </w:p>
        </w:tc>
        <w:tc>
          <w:tcPr>
            <w:tcW w:w="3076" w:type="dxa"/>
            <w:vAlign w:val="center"/>
          </w:tcPr>
          <w:p>
            <w:pPr>
              <w:adjustRightInd w:val="0"/>
              <w:snapToGrid w:val="0"/>
              <w:jc w:val="center"/>
              <w:rPr>
                <w:rFonts w:ascii="Times New Roman" w:hAnsi="Times New Roman" w:eastAsia="仿宋" w:cs="Times New Roman"/>
                <w:kern w:val="0"/>
                <w:sz w:val="28"/>
                <w:szCs w:val="28"/>
              </w:rPr>
            </w:pPr>
            <w:r>
              <w:rPr>
                <w:rFonts w:hint="eastAsia" w:ascii="Times New Roman" w:hAnsi="Times New Roman" w:eastAsia="仿宋" w:cs="Times New Roman"/>
                <w:kern w:val="0"/>
                <w:sz w:val="28"/>
                <w:szCs w:val="28"/>
              </w:rPr>
              <w:t>天津院2026-2029年度镍基条形加氢催化剂加工服务采购专有协议</w:t>
            </w:r>
          </w:p>
        </w:tc>
        <w:tc>
          <w:tcPr>
            <w:tcW w:w="1610" w:type="dxa"/>
            <w:vAlign w:val="center"/>
          </w:tcPr>
          <w:p>
            <w:pPr>
              <w:adjustRightInd w:val="0"/>
              <w:snapToGrid w:val="0"/>
              <w:jc w:val="center"/>
              <w:rPr>
                <w:rFonts w:ascii="Times New Roman" w:hAnsi="Times New Roman" w:eastAsia="仿宋" w:cs="Times New Roman"/>
                <w:kern w:val="0"/>
                <w:sz w:val="28"/>
                <w:szCs w:val="28"/>
              </w:rPr>
            </w:pPr>
            <w:r>
              <w:rPr>
                <w:rFonts w:hint="eastAsia" w:ascii="Times New Roman" w:hAnsi="Times New Roman" w:eastAsia="仿宋" w:cs="Times New Roman"/>
                <w:kern w:val="0"/>
                <w:sz w:val="28"/>
                <w:szCs w:val="28"/>
              </w:rPr>
              <w:t>见附件1</w:t>
            </w:r>
          </w:p>
        </w:tc>
        <w:tc>
          <w:tcPr>
            <w:tcW w:w="1911" w:type="dxa"/>
            <w:vAlign w:val="center"/>
          </w:tcPr>
          <w:p>
            <w:pPr>
              <w:adjustRightInd w:val="0"/>
              <w:snapToGrid w:val="0"/>
              <w:jc w:val="center"/>
              <w:rPr>
                <w:rFonts w:ascii="Times New Roman" w:hAnsi="Times New Roman" w:eastAsia="仿宋" w:cs="Times New Roman"/>
                <w:kern w:val="0"/>
                <w:sz w:val="28"/>
                <w:szCs w:val="28"/>
              </w:rPr>
            </w:pPr>
            <w:r>
              <w:rPr>
                <w:rFonts w:hint="eastAsia" w:ascii="Times New Roman" w:hAnsi="Times New Roman" w:eastAsia="仿宋" w:cs="Times New Roman"/>
                <w:kern w:val="0"/>
                <w:sz w:val="28"/>
                <w:szCs w:val="28"/>
              </w:rPr>
              <w:t>202</w:t>
            </w:r>
            <w:r>
              <w:rPr>
                <w:rFonts w:hint="eastAsia" w:ascii="Times New Roman" w:hAnsi="Times New Roman" w:eastAsia="仿宋" w:cs="Times New Roman"/>
                <w:kern w:val="0"/>
                <w:sz w:val="28"/>
                <w:szCs w:val="28"/>
                <w:lang w:val="en-US" w:eastAsia="zh-CN"/>
              </w:rPr>
              <w:t>6</w:t>
            </w:r>
            <w:r>
              <w:rPr>
                <w:rFonts w:hint="eastAsia" w:ascii="Times New Roman" w:hAnsi="Times New Roman" w:eastAsia="仿宋" w:cs="Times New Roman"/>
                <w:kern w:val="0"/>
                <w:sz w:val="28"/>
                <w:szCs w:val="28"/>
              </w:rPr>
              <w:t>年</w:t>
            </w:r>
            <w:r>
              <w:rPr>
                <w:rFonts w:hint="eastAsia" w:ascii="Times New Roman" w:hAnsi="Times New Roman" w:eastAsia="仿宋" w:cs="Times New Roman"/>
                <w:kern w:val="0"/>
                <w:sz w:val="28"/>
                <w:szCs w:val="28"/>
                <w:lang w:val="en-US" w:eastAsia="zh-CN"/>
              </w:rPr>
              <w:t>02</w:t>
            </w:r>
            <w:r>
              <w:rPr>
                <w:rFonts w:hint="eastAsia" w:ascii="Times New Roman" w:hAnsi="Times New Roman" w:eastAsia="仿宋" w:cs="Times New Roman"/>
                <w:kern w:val="0"/>
                <w:sz w:val="28"/>
                <w:szCs w:val="28"/>
              </w:rPr>
              <w:t>月</w:t>
            </w:r>
          </w:p>
        </w:tc>
        <w:tc>
          <w:tcPr>
            <w:tcW w:w="2434" w:type="dxa"/>
            <w:vAlign w:val="center"/>
          </w:tcPr>
          <w:p>
            <w:pPr>
              <w:adjustRightInd w:val="0"/>
              <w:snapToGrid w:val="0"/>
              <w:jc w:val="center"/>
              <w:rPr>
                <w:rFonts w:ascii="Times New Roman" w:hAnsi="Times New Roman" w:eastAsia="仿宋" w:cs="Times New Roman"/>
                <w:kern w:val="0"/>
                <w:sz w:val="28"/>
                <w:szCs w:val="28"/>
              </w:rPr>
            </w:pPr>
            <w:r>
              <w:rPr>
                <w:rFonts w:hint="eastAsia" w:ascii="Times New Roman" w:hAnsi="Times New Roman" w:eastAsia="仿宋" w:cs="Times New Roman"/>
                <w:kern w:val="0"/>
                <w:sz w:val="28"/>
                <w:szCs w:val="28"/>
              </w:rPr>
              <w:t>见附件2</w:t>
            </w:r>
          </w:p>
        </w:tc>
      </w:tr>
    </w:tbl>
    <w:p>
      <w:pPr>
        <w:tabs>
          <w:tab w:val="left" w:pos="993"/>
          <w:tab w:val="left" w:pos="1134"/>
          <w:tab w:val="left" w:pos="1418"/>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本次公告有效期是（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日）至（</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日）止。在此期间，有意参与</w:t>
      </w:r>
      <w:r>
        <w:rPr>
          <w:rFonts w:hint="eastAsia" w:ascii="Times New Roman" w:hAnsi="Times New Roman" w:eastAsia="仿宋_GB2312" w:cs="Times New Roman"/>
          <w:sz w:val="32"/>
          <w:szCs w:val="32"/>
        </w:rPr>
        <w:t>该</w:t>
      </w:r>
      <w:r>
        <w:rPr>
          <w:rFonts w:ascii="Times New Roman" w:hAnsi="Times New Roman" w:eastAsia="仿宋_GB2312" w:cs="Times New Roman"/>
          <w:sz w:val="32"/>
          <w:szCs w:val="32"/>
        </w:rPr>
        <w:t>采办包的系统用户可在集团公司采办系统中提交反馈材料。</w:t>
      </w:r>
    </w:p>
    <w:p>
      <w:pPr>
        <w:tabs>
          <w:tab w:val="left" w:pos="993"/>
          <w:tab w:val="left" w:pos="1134"/>
          <w:tab w:val="left" w:pos="1418"/>
        </w:tabs>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请感兴趣的</w:t>
      </w:r>
      <w:r>
        <w:rPr>
          <w:rFonts w:hint="eastAsia" w:ascii="Times New Roman" w:hAnsi="Times New Roman" w:eastAsia="仿宋_GB2312" w:cs="Times New Roman"/>
          <w:sz w:val="32"/>
          <w:szCs w:val="32"/>
          <w:lang w:eastAsia="zh-CN"/>
        </w:rPr>
        <w:t>乙方</w:t>
      </w:r>
      <w:r>
        <w:rPr>
          <w:rFonts w:hint="eastAsia" w:ascii="Times New Roman" w:hAnsi="Times New Roman" w:eastAsia="仿宋_GB2312" w:cs="Times New Roman"/>
          <w:sz w:val="32"/>
          <w:szCs w:val="32"/>
        </w:rPr>
        <w:t>于202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01</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14</w:t>
      </w:r>
      <w:r>
        <w:rPr>
          <w:rFonts w:hint="eastAsia" w:ascii="Times New Roman" w:hAnsi="Times New Roman" w:eastAsia="仿宋_GB2312" w:cs="Times New Roman"/>
          <w:sz w:val="32"/>
          <w:szCs w:val="32"/>
        </w:rPr>
        <w:t>日17:00前，与我方联系人接洽。</w:t>
      </w:r>
    </w:p>
    <w:p>
      <w:pPr>
        <w:tabs>
          <w:tab w:val="left" w:pos="993"/>
          <w:tab w:val="left" w:pos="1134"/>
          <w:tab w:val="left" w:pos="1418"/>
        </w:tabs>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联系人：闫震          电话：022-25802203  </w:t>
      </w:r>
    </w:p>
    <w:p>
      <w:pPr>
        <w:tabs>
          <w:tab w:val="left" w:pos="993"/>
          <w:tab w:val="left" w:pos="1134"/>
          <w:tab w:val="left" w:pos="1418"/>
        </w:tabs>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邮箱：yanzhen@cnooc.com.cn</w:t>
      </w:r>
    </w:p>
    <w:p>
      <w:pPr>
        <w:tabs>
          <w:tab w:val="left" w:pos="993"/>
          <w:tab w:val="left" w:pos="1134"/>
          <w:tab w:val="left" w:pos="1418"/>
        </w:tabs>
        <w:spacing w:line="600" w:lineRule="exact"/>
        <w:rPr>
          <w:rFonts w:ascii="Times New Roman" w:hAnsi="Times New Roman" w:eastAsia="仿宋" w:cs="Times New Roman"/>
          <w:sz w:val="28"/>
          <w:szCs w:val="28"/>
        </w:rPr>
      </w:pPr>
      <w:r>
        <w:rPr>
          <w:rFonts w:hint="eastAsia" w:ascii="Times New Roman" w:hAnsi="Times New Roman" w:eastAsia="仿宋_GB2312" w:cs="Times New Roman"/>
          <w:sz w:val="32"/>
          <w:szCs w:val="32"/>
        </w:rPr>
        <w:t xml:space="preserve">如对上述公开内容真实、有效性存疑，请拨打社会监督电话：022-25802262，其他事项不受理。    </w:t>
      </w:r>
    </w:p>
    <w:p>
      <w:pPr>
        <w:tabs>
          <w:tab w:val="left" w:pos="993"/>
          <w:tab w:val="left" w:pos="1134"/>
          <w:tab w:val="left" w:pos="1418"/>
        </w:tabs>
        <w:spacing w:line="600" w:lineRule="exact"/>
        <w:ind w:right="320" w:firstLine="960" w:firstLineChars="300"/>
        <w:jc w:val="righ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中海油能源发展股份有限公司采办共享中心</w:t>
      </w:r>
    </w:p>
    <w:p>
      <w:pPr>
        <w:tabs>
          <w:tab w:val="left" w:pos="993"/>
          <w:tab w:val="left" w:pos="1134"/>
          <w:tab w:val="left" w:pos="1418"/>
        </w:tabs>
        <w:spacing w:line="600" w:lineRule="exact"/>
        <w:ind w:right="480" w:firstLine="960" w:firstLineChars="300"/>
        <w:jc w:val="right"/>
        <w:rPr>
          <w:rFonts w:ascii="Times New Roman" w:hAnsi="Times New Roman" w:eastAsia="仿宋_GB2312" w:cs="Times New Roman"/>
          <w:b/>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 xml:space="preserve">日  </w:t>
      </w:r>
    </w:p>
    <w:p>
      <w:pPr>
        <w:rPr>
          <w:rFonts w:hint="eastAsia"/>
        </w:rPr>
      </w:pPr>
      <w:r>
        <w:br w:type="page"/>
      </w:r>
    </w:p>
    <w:p>
      <w:pPr>
        <w:tabs>
          <w:tab w:val="left" w:pos="993"/>
          <w:tab w:val="left" w:pos="1134"/>
          <w:tab w:val="left" w:pos="1418"/>
        </w:tabs>
        <w:spacing w:line="560" w:lineRule="exact"/>
        <w:outlineLvl w:val="0"/>
        <w:rPr>
          <w:rFonts w:hint="eastAsia" w:ascii="仿宋" w:hAnsi="仿宋" w:eastAsia="仿宋" w:cs="仿宋"/>
          <w:b w:val="0"/>
          <w:bCs w:val="0"/>
          <w:sz w:val="24"/>
          <w:lang w:val="en-US" w:eastAsia="zh-CN"/>
        </w:rPr>
      </w:pPr>
      <w:r>
        <w:rPr>
          <w:rFonts w:hint="eastAsia" w:ascii="Times New Roman" w:hAnsi="Times New Roman" w:eastAsia="仿宋_GB2312" w:cs="Times New Roman"/>
          <w:sz w:val="32"/>
          <w:szCs w:val="32"/>
        </w:rPr>
        <w:t>附件1采购范围与主要技术指标</w:t>
      </w:r>
      <w:bookmarkStart w:id="1" w:name="_Toc13248928"/>
      <w:bookmarkStart w:id="2" w:name="_Toc13249325"/>
    </w:p>
    <w:bookmarkEnd w:id="1"/>
    <w:bookmarkEnd w:id="2"/>
    <w:p>
      <w:pPr>
        <w:pStyle w:val="33"/>
        <w:numPr>
          <w:ilvl w:val="0"/>
          <w:numId w:val="1"/>
        </w:numPr>
        <w:spacing w:before="120" w:after="120"/>
        <w:outlineLvl w:val="0"/>
        <w:rPr>
          <w:rFonts w:hint="eastAsia" w:ascii="微软雅黑" w:hAnsi="微软雅黑" w:eastAsia="微软雅黑" w:cs="Times New Roman"/>
          <w:bCs/>
          <w:color w:val="auto"/>
          <w:sz w:val="24"/>
          <w:szCs w:val="24"/>
        </w:rPr>
      </w:pPr>
      <w:bookmarkStart w:id="3" w:name="_Toc13248929"/>
      <w:bookmarkStart w:id="4" w:name="_Toc13249326"/>
      <w:r>
        <w:rPr>
          <w:rFonts w:hint="eastAsia" w:ascii="微软雅黑" w:hAnsi="微软雅黑" w:eastAsia="微软雅黑" w:cs="Times New Roman"/>
          <w:bCs/>
          <w:color w:val="auto"/>
          <w:sz w:val="24"/>
          <w:szCs w:val="24"/>
        </w:rPr>
        <w:t>服务内容和范围</w:t>
      </w:r>
    </w:p>
    <w:p>
      <w:pPr>
        <w:widowControl w:val="0"/>
        <w:adjustRightInd w:val="0"/>
        <w:snapToGrid w:val="0"/>
        <w:spacing w:line="312" w:lineRule="auto"/>
        <w:ind w:firstLine="220" w:firstLineChars="100"/>
        <w:rPr>
          <w:rFonts w:hint="eastAsia" w:ascii="微软雅黑" w:hAnsi="微软雅黑" w:eastAsia="微软雅黑" w:cs="微软雅黑"/>
          <w:color w:val="auto"/>
          <w:kern w:val="0"/>
          <w:sz w:val="22"/>
          <w:szCs w:val="22"/>
          <w:lang w:val="en-US" w:eastAsia="zh-CN" w:bidi="ar-SA"/>
        </w:rPr>
      </w:pPr>
      <w:r>
        <w:rPr>
          <w:rFonts w:hint="eastAsia" w:ascii="微软雅黑" w:hAnsi="微软雅黑" w:eastAsia="微软雅黑" w:cs="微软雅黑"/>
          <w:color w:val="auto"/>
          <w:kern w:val="0"/>
          <w:sz w:val="22"/>
          <w:szCs w:val="22"/>
          <w:lang w:val="en-US" w:eastAsia="zh-CN" w:bidi="ar-SA"/>
        </w:rPr>
        <w:t>1、工作量清单</w:t>
      </w:r>
    </w:p>
    <w:tbl>
      <w:tblPr>
        <w:tblStyle w:val="19"/>
        <w:tblW w:w="822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607"/>
        <w:gridCol w:w="1442"/>
        <w:gridCol w:w="1701"/>
        <w:gridCol w:w="1134"/>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widowControl w:val="0"/>
              <w:adjustRightInd w:val="0"/>
              <w:snapToGrid w:val="0"/>
              <w:spacing w:line="240" w:lineRule="auto"/>
              <w:jc w:val="center"/>
              <w:outlineLvl w:val="1"/>
              <w:rPr>
                <w:rFonts w:ascii="Times New Roman" w:hAnsi="Times New Roman" w:eastAsia="微软雅黑" w:cs="Times New Roman"/>
                <w:color w:val="auto"/>
                <w:spacing w:val="0"/>
                <w:kern w:val="0"/>
                <w:sz w:val="21"/>
                <w:szCs w:val="21"/>
                <w:lang w:val="en-US" w:eastAsia="zh-CN" w:bidi="ar-SA"/>
              </w:rPr>
            </w:pPr>
            <w:r>
              <w:rPr>
                <w:rFonts w:ascii="Times New Roman" w:hAnsi="Times New Roman" w:eastAsia="微软雅黑" w:cs="Times New Roman"/>
                <w:color w:val="auto"/>
                <w:spacing w:val="0"/>
                <w:kern w:val="0"/>
                <w:sz w:val="21"/>
                <w:szCs w:val="21"/>
                <w:lang w:val="en-US" w:eastAsia="zh-CN" w:bidi="ar-SA"/>
              </w:rPr>
              <w:t>序号</w:t>
            </w:r>
          </w:p>
        </w:tc>
        <w:tc>
          <w:tcPr>
            <w:tcW w:w="1607" w:type="dxa"/>
            <w:noWrap w:val="0"/>
            <w:vAlign w:val="center"/>
          </w:tcPr>
          <w:p>
            <w:pPr>
              <w:widowControl w:val="0"/>
              <w:adjustRightInd w:val="0"/>
              <w:snapToGrid w:val="0"/>
              <w:spacing w:line="240" w:lineRule="auto"/>
              <w:jc w:val="center"/>
              <w:outlineLvl w:val="1"/>
              <w:rPr>
                <w:rFonts w:ascii="Times New Roman" w:hAnsi="Times New Roman" w:eastAsia="微软雅黑" w:cs="Times New Roman"/>
                <w:color w:val="auto"/>
                <w:spacing w:val="0"/>
                <w:kern w:val="0"/>
                <w:sz w:val="21"/>
                <w:szCs w:val="21"/>
                <w:lang w:val="en-US" w:eastAsia="zh-CN" w:bidi="ar-SA"/>
              </w:rPr>
            </w:pPr>
            <w:r>
              <w:rPr>
                <w:rFonts w:hint="eastAsia" w:ascii="Times New Roman" w:hAnsi="Times New Roman" w:eastAsia="微软雅黑" w:cs="Times New Roman"/>
                <w:color w:val="auto"/>
                <w:spacing w:val="0"/>
                <w:kern w:val="0"/>
                <w:sz w:val="21"/>
                <w:szCs w:val="21"/>
                <w:lang w:val="en-US" w:eastAsia="zh-CN" w:bidi="ar-SA"/>
              </w:rPr>
              <w:t>服务</w:t>
            </w:r>
            <w:r>
              <w:rPr>
                <w:rFonts w:ascii="Times New Roman" w:hAnsi="Times New Roman" w:eastAsia="微软雅黑" w:cs="Times New Roman"/>
                <w:color w:val="auto"/>
                <w:spacing w:val="0"/>
                <w:kern w:val="0"/>
                <w:sz w:val="21"/>
                <w:szCs w:val="21"/>
                <w:lang w:val="en-US" w:eastAsia="zh-CN" w:bidi="ar-SA"/>
              </w:rPr>
              <w:t>名称</w:t>
            </w:r>
          </w:p>
        </w:tc>
        <w:tc>
          <w:tcPr>
            <w:tcW w:w="1442" w:type="dxa"/>
            <w:noWrap w:val="0"/>
            <w:vAlign w:val="center"/>
          </w:tcPr>
          <w:p>
            <w:pPr>
              <w:widowControl w:val="0"/>
              <w:adjustRightInd w:val="0"/>
              <w:snapToGrid w:val="0"/>
              <w:spacing w:line="240" w:lineRule="auto"/>
              <w:jc w:val="center"/>
              <w:outlineLvl w:val="1"/>
              <w:rPr>
                <w:rFonts w:hint="default" w:ascii="Times New Roman" w:hAnsi="Times New Roman" w:eastAsia="微软雅黑" w:cs="Times New Roman"/>
                <w:color w:val="auto"/>
                <w:spacing w:val="0"/>
                <w:kern w:val="0"/>
                <w:sz w:val="21"/>
                <w:szCs w:val="21"/>
                <w:lang w:val="en-US" w:eastAsia="zh-CN" w:bidi="ar-SA"/>
              </w:rPr>
            </w:pPr>
            <w:r>
              <w:rPr>
                <w:rFonts w:hint="eastAsia" w:ascii="Times New Roman" w:hAnsi="Times New Roman" w:eastAsia="微软雅黑" w:cs="Times New Roman"/>
                <w:color w:val="auto"/>
                <w:spacing w:val="0"/>
                <w:kern w:val="0"/>
                <w:sz w:val="21"/>
                <w:szCs w:val="21"/>
                <w:lang w:val="en-US" w:eastAsia="zh-CN" w:bidi="ar-SA"/>
              </w:rPr>
              <w:t>预估数量</w:t>
            </w:r>
          </w:p>
        </w:tc>
        <w:tc>
          <w:tcPr>
            <w:tcW w:w="1701" w:type="dxa"/>
            <w:noWrap w:val="0"/>
            <w:vAlign w:val="center"/>
          </w:tcPr>
          <w:p>
            <w:pPr>
              <w:widowControl w:val="0"/>
              <w:adjustRightInd w:val="0"/>
              <w:snapToGrid w:val="0"/>
              <w:spacing w:line="240" w:lineRule="auto"/>
              <w:jc w:val="center"/>
              <w:outlineLvl w:val="1"/>
              <w:rPr>
                <w:rFonts w:ascii="Times New Roman" w:hAnsi="Times New Roman" w:eastAsia="微软雅黑" w:cs="Times New Roman"/>
                <w:color w:val="auto"/>
                <w:spacing w:val="0"/>
                <w:kern w:val="0"/>
                <w:sz w:val="21"/>
                <w:szCs w:val="21"/>
                <w:lang w:val="en-US" w:eastAsia="zh-CN" w:bidi="ar-SA"/>
              </w:rPr>
            </w:pPr>
            <w:r>
              <w:rPr>
                <w:rFonts w:ascii="Times New Roman" w:hAnsi="Times New Roman" w:eastAsia="微软雅黑" w:cs="Times New Roman"/>
                <w:color w:val="auto"/>
                <w:spacing w:val="0"/>
                <w:kern w:val="0"/>
                <w:sz w:val="21"/>
                <w:szCs w:val="21"/>
                <w:lang w:val="en-US" w:eastAsia="zh-CN" w:bidi="ar-SA"/>
              </w:rPr>
              <w:t>交货期</w:t>
            </w:r>
          </w:p>
        </w:tc>
        <w:tc>
          <w:tcPr>
            <w:tcW w:w="1134" w:type="dxa"/>
            <w:noWrap w:val="0"/>
            <w:vAlign w:val="center"/>
          </w:tcPr>
          <w:p>
            <w:pPr>
              <w:widowControl w:val="0"/>
              <w:adjustRightInd w:val="0"/>
              <w:snapToGrid w:val="0"/>
              <w:spacing w:line="240" w:lineRule="auto"/>
              <w:jc w:val="center"/>
              <w:outlineLvl w:val="1"/>
              <w:rPr>
                <w:rFonts w:ascii="Times New Roman" w:hAnsi="Times New Roman" w:eastAsia="微软雅黑" w:cs="Times New Roman"/>
                <w:color w:val="auto"/>
                <w:spacing w:val="0"/>
                <w:kern w:val="0"/>
                <w:sz w:val="21"/>
                <w:szCs w:val="21"/>
                <w:lang w:val="en-US" w:eastAsia="zh-CN" w:bidi="ar-SA"/>
              </w:rPr>
            </w:pPr>
            <w:r>
              <w:rPr>
                <w:rFonts w:ascii="Times New Roman" w:hAnsi="Times New Roman" w:eastAsia="微软雅黑" w:cs="Times New Roman"/>
                <w:color w:val="auto"/>
                <w:spacing w:val="0"/>
                <w:kern w:val="0"/>
                <w:sz w:val="21"/>
                <w:szCs w:val="21"/>
                <w:lang w:val="en-US" w:eastAsia="zh-CN" w:bidi="ar-SA"/>
              </w:rPr>
              <w:t>交货地点</w:t>
            </w:r>
          </w:p>
        </w:tc>
        <w:tc>
          <w:tcPr>
            <w:tcW w:w="1708" w:type="dxa"/>
            <w:noWrap w:val="0"/>
            <w:vAlign w:val="center"/>
          </w:tcPr>
          <w:p>
            <w:pPr>
              <w:widowControl w:val="0"/>
              <w:adjustRightInd w:val="0"/>
              <w:snapToGrid w:val="0"/>
              <w:spacing w:line="240" w:lineRule="auto"/>
              <w:jc w:val="center"/>
              <w:outlineLvl w:val="1"/>
              <w:rPr>
                <w:rFonts w:ascii="Times New Roman" w:hAnsi="Times New Roman" w:eastAsia="微软雅黑" w:cs="Times New Roman"/>
                <w:color w:val="auto"/>
                <w:spacing w:val="0"/>
                <w:kern w:val="0"/>
                <w:sz w:val="21"/>
                <w:szCs w:val="21"/>
                <w:lang w:val="en-US" w:eastAsia="zh-CN" w:bidi="ar-SA"/>
              </w:rPr>
            </w:pPr>
            <w:r>
              <w:rPr>
                <w:rFonts w:ascii="Times New Roman" w:hAnsi="Times New Roman" w:eastAsia="微软雅黑" w:cs="Times New Roman"/>
                <w:color w:val="auto"/>
                <w:spacing w:val="0"/>
                <w:kern w:val="0"/>
                <w:sz w:val="21"/>
                <w:szCs w:val="21"/>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0" w:type="auto"/>
            <w:noWrap w:val="0"/>
            <w:vAlign w:val="center"/>
          </w:tcPr>
          <w:p>
            <w:pPr>
              <w:widowControl w:val="0"/>
              <w:adjustRightInd w:val="0"/>
              <w:snapToGrid w:val="0"/>
              <w:spacing w:line="240" w:lineRule="auto"/>
              <w:jc w:val="center"/>
              <w:outlineLvl w:val="1"/>
              <w:rPr>
                <w:rFonts w:ascii="Times New Roman" w:hAnsi="Times New Roman" w:eastAsia="微软雅黑" w:cs="Times New Roman"/>
                <w:color w:val="auto"/>
                <w:spacing w:val="0"/>
                <w:kern w:val="0"/>
                <w:sz w:val="21"/>
                <w:szCs w:val="21"/>
                <w:lang w:val="en-US" w:eastAsia="zh-CN" w:bidi="ar-SA"/>
              </w:rPr>
            </w:pPr>
            <w:r>
              <w:rPr>
                <w:rFonts w:ascii="Times New Roman" w:hAnsi="Times New Roman" w:eastAsia="微软雅黑" w:cs="Times New Roman"/>
                <w:color w:val="auto"/>
                <w:spacing w:val="0"/>
                <w:kern w:val="0"/>
                <w:sz w:val="21"/>
                <w:szCs w:val="21"/>
                <w:lang w:val="en-US" w:eastAsia="zh-CN" w:bidi="ar-SA"/>
              </w:rPr>
              <w:t>1</w:t>
            </w:r>
          </w:p>
        </w:tc>
        <w:tc>
          <w:tcPr>
            <w:tcW w:w="1607" w:type="dxa"/>
            <w:noWrap w:val="0"/>
            <w:vAlign w:val="center"/>
          </w:tcPr>
          <w:p>
            <w:pPr>
              <w:widowControl w:val="0"/>
              <w:adjustRightInd w:val="0"/>
              <w:snapToGrid w:val="0"/>
              <w:spacing w:line="240" w:lineRule="auto"/>
              <w:jc w:val="center"/>
              <w:outlineLvl w:val="1"/>
              <w:rPr>
                <w:rFonts w:ascii="Times New Roman" w:hAnsi="Times New Roman" w:eastAsia="微软雅黑" w:cs="Times New Roman"/>
                <w:color w:val="auto"/>
                <w:spacing w:val="0"/>
                <w:kern w:val="0"/>
                <w:sz w:val="21"/>
                <w:szCs w:val="21"/>
                <w:lang w:val="en-US" w:eastAsia="zh-CN" w:bidi="ar-SA"/>
              </w:rPr>
            </w:pPr>
            <w:r>
              <w:rPr>
                <w:rFonts w:hint="eastAsia" w:ascii="Times New Roman" w:hAnsi="Times New Roman" w:eastAsia="微软雅黑" w:cs="Times New Roman"/>
                <w:color w:val="auto"/>
                <w:spacing w:val="0"/>
                <w:kern w:val="0"/>
                <w:sz w:val="21"/>
                <w:szCs w:val="21"/>
                <w:lang w:val="en-US" w:eastAsia="zh-CN" w:bidi="ar-SA"/>
              </w:rPr>
              <w:t>镍基条形加氢催化剂加工服务</w:t>
            </w:r>
          </w:p>
        </w:tc>
        <w:tc>
          <w:tcPr>
            <w:tcW w:w="1442" w:type="dxa"/>
            <w:noWrap w:val="0"/>
            <w:vAlign w:val="center"/>
          </w:tcPr>
          <w:p>
            <w:pPr>
              <w:widowControl w:val="0"/>
              <w:adjustRightInd w:val="0"/>
              <w:snapToGrid w:val="0"/>
              <w:spacing w:line="240" w:lineRule="auto"/>
              <w:jc w:val="center"/>
              <w:outlineLvl w:val="1"/>
              <w:rPr>
                <w:rFonts w:ascii="Times New Roman" w:hAnsi="Times New Roman" w:eastAsia="微软雅黑" w:cs="Times New Roman"/>
                <w:color w:val="auto"/>
                <w:spacing w:val="0"/>
                <w:kern w:val="0"/>
                <w:sz w:val="21"/>
                <w:szCs w:val="21"/>
                <w:lang w:val="en-US" w:eastAsia="zh-CN" w:bidi="ar-SA"/>
              </w:rPr>
            </w:pPr>
            <w:r>
              <w:rPr>
                <w:rFonts w:hint="eastAsia" w:ascii="Times New Roman" w:hAnsi="Times New Roman" w:eastAsia="微软雅黑" w:cs="Times New Roman"/>
                <w:color w:val="auto"/>
                <w:spacing w:val="0"/>
                <w:kern w:val="0"/>
                <w:sz w:val="21"/>
                <w:szCs w:val="21"/>
                <w:lang w:val="en-US" w:eastAsia="zh-CN" w:bidi="ar-SA"/>
              </w:rPr>
              <w:t>60</w:t>
            </w:r>
            <w:r>
              <w:rPr>
                <w:rFonts w:ascii="Times New Roman" w:hAnsi="Times New Roman" w:eastAsia="微软雅黑" w:cs="Times New Roman"/>
                <w:color w:val="auto"/>
                <w:spacing w:val="0"/>
                <w:kern w:val="0"/>
                <w:sz w:val="21"/>
                <w:szCs w:val="21"/>
                <w:lang w:val="en-US" w:eastAsia="zh-CN" w:bidi="ar-SA"/>
              </w:rPr>
              <w:t>吨</w:t>
            </w:r>
          </w:p>
        </w:tc>
        <w:tc>
          <w:tcPr>
            <w:tcW w:w="1701" w:type="dxa"/>
            <w:noWrap w:val="0"/>
            <w:vAlign w:val="center"/>
          </w:tcPr>
          <w:p>
            <w:pPr>
              <w:adjustRightInd w:val="0"/>
              <w:snapToGrid w:val="0"/>
              <w:spacing w:line="312" w:lineRule="auto"/>
              <w:jc w:val="center"/>
              <w:textAlignment w:val="baseline"/>
              <w:rPr>
                <w:rFonts w:ascii="Times New Roman" w:hAnsi="Times New Roman" w:eastAsia="微软雅黑" w:cs="Times New Roman"/>
                <w:color w:val="auto"/>
                <w:kern w:val="0"/>
                <w:sz w:val="21"/>
                <w:szCs w:val="21"/>
                <w:lang w:eastAsia="zh-CN"/>
              </w:rPr>
            </w:pPr>
            <w:r>
              <w:rPr>
                <w:rFonts w:hint="eastAsia" w:ascii="微软雅黑" w:hAnsi="微软雅黑" w:eastAsia="微软雅黑" w:cs="微软雅黑"/>
                <w:color w:val="auto"/>
                <w:kern w:val="0"/>
                <w:sz w:val="21"/>
                <w:szCs w:val="21"/>
                <w:lang w:eastAsia="zh-CN"/>
              </w:rPr>
              <w:t>订单签订后</w:t>
            </w:r>
            <w:r>
              <w:rPr>
                <w:rFonts w:hint="eastAsia" w:ascii="微软雅黑" w:hAnsi="微软雅黑" w:eastAsia="微软雅黑" w:cs="微软雅黑"/>
                <w:color w:val="auto"/>
                <w:kern w:val="0"/>
                <w:sz w:val="21"/>
                <w:szCs w:val="21"/>
                <w:lang w:val="en-US" w:eastAsia="zh-CN"/>
              </w:rPr>
              <w:t>30</w:t>
            </w:r>
            <w:r>
              <w:rPr>
                <w:rFonts w:hint="eastAsia" w:ascii="微软雅黑" w:hAnsi="微软雅黑" w:eastAsia="微软雅黑" w:cs="微软雅黑"/>
                <w:color w:val="auto"/>
                <w:kern w:val="0"/>
                <w:sz w:val="21"/>
                <w:szCs w:val="21"/>
                <w:lang w:eastAsia="zh-CN"/>
              </w:rPr>
              <w:t>日内交货，</w:t>
            </w:r>
            <w:r>
              <w:rPr>
                <w:rFonts w:hint="eastAsia" w:ascii="微软雅黑" w:hAnsi="微软雅黑" w:eastAsia="微软雅黑" w:cs="微软雅黑"/>
                <w:color w:val="auto"/>
                <w:kern w:val="0"/>
                <w:sz w:val="21"/>
                <w:szCs w:val="21"/>
                <w:lang w:val="en-US" w:eastAsia="zh-CN"/>
              </w:rPr>
              <w:t>具体以订单为准</w:t>
            </w:r>
          </w:p>
        </w:tc>
        <w:tc>
          <w:tcPr>
            <w:tcW w:w="1134" w:type="dxa"/>
            <w:noWrap w:val="0"/>
            <w:vAlign w:val="center"/>
          </w:tcPr>
          <w:p>
            <w:pPr>
              <w:widowControl w:val="0"/>
              <w:adjustRightInd w:val="0"/>
              <w:snapToGrid w:val="0"/>
              <w:spacing w:line="240" w:lineRule="auto"/>
              <w:jc w:val="center"/>
              <w:outlineLvl w:val="1"/>
              <w:rPr>
                <w:rFonts w:hint="default" w:ascii="Times New Roman" w:hAnsi="Times New Roman" w:eastAsia="微软雅黑" w:cs="Times New Roman"/>
                <w:color w:val="auto"/>
                <w:spacing w:val="0"/>
                <w:kern w:val="0"/>
                <w:sz w:val="21"/>
                <w:szCs w:val="21"/>
                <w:lang w:val="en-US" w:eastAsia="zh-CN" w:bidi="ar-SA"/>
              </w:rPr>
            </w:pPr>
            <w:r>
              <w:rPr>
                <w:rFonts w:hint="eastAsia" w:ascii="Times New Roman" w:hAnsi="Times New Roman" w:eastAsia="微软雅黑" w:cs="Times New Roman"/>
                <w:color w:val="auto"/>
                <w:spacing w:val="0"/>
                <w:kern w:val="0"/>
                <w:sz w:val="21"/>
                <w:szCs w:val="21"/>
                <w:lang w:val="en-US" w:eastAsia="zh-CN" w:bidi="ar-SA"/>
              </w:rPr>
              <w:t>加工厂内</w:t>
            </w:r>
          </w:p>
        </w:tc>
        <w:tc>
          <w:tcPr>
            <w:tcW w:w="1708" w:type="dxa"/>
            <w:noWrap w:val="0"/>
            <w:vAlign w:val="center"/>
          </w:tcPr>
          <w:p>
            <w:pPr>
              <w:widowControl w:val="0"/>
              <w:adjustRightInd w:val="0"/>
              <w:snapToGrid w:val="0"/>
              <w:spacing w:line="240" w:lineRule="auto"/>
              <w:jc w:val="center"/>
              <w:outlineLvl w:val="1"/>
              <w:rPr>
                <w:rFonts w:hint="eastAsia" w:ascii="Times New Roman" w:hAnsi="Times New Roman" w:eastAsia="Microsoft YaHei UI" w:cs="Times New Roman"/>
                <w:color w:val="auto"/>
                <w:spacing w:val="0"/>
                <w:kern w:val="0"/>
                <w:sz w:val="21"/>
                <w:szCs w:val="21"/>
                <w:lang w:val="en-US" w:eastAsia="zh-CN" w:bidi="ar-SA"/>
              </w:rPr>
            </w:pPr>
            <w:r>
              <w:rPr>
                <w:rFonts w:hint="eastAsia" w:ascii="Times New Roman" w:hAnsi="Times New Roman" w:eastAsia="微软雅黑" w:cs="Times New Roman"/>
                <w:color w:val="auto"/>
                <w:spacing w:val="0"/>
                <w:kern w:val="0"/>
                <w:sz w:val="21"/>
                <w:szCs w:val="21"/>
                <w:lang w:val="en-US" w:eastAsia="zh-CN" w:bidi="ar-SA"/>
              </w:rPr>
              <w:t>最小加工量3吨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0" w:type="auto"/>
            <w:noWrap w:val="0"/>
            <w:vAlign w:val="center"/>
          </w:tcPr>
          <w:p>
            <w:pPr>
              <w:widowControl w:val="0"/>
              <w:adjustRightInd w:val="0"/>
              <w:snapToGrid w:val="0"/>
              <w:spacing w:line="240" w:lineRule="auto"/>
              <w:jc w:val="center"/>
              <w:outlineLvl w:val="1"/>
              <w:rPr>
                <w:rFonts w:hint="eastAsia" w:ascii="Times New Roman" w:hAnsi="Times New Roman" w:eastAsia="微软雅黑" w:cs="Times New Roman"/>
                <w:color w:val="auto"/>
                <w:spacing w:val="0"/>
                <w:kern w:val="0"/>
                <w:sz w:val="21"/>
                <w:szCs w:val="21"/>
                <w:lang w:val="en-US" w:eastAsia="zh-CN" w:bidi="ar-SA"/>
              </w:rPr>
            </w:pPr>
            <w:r>
              <w:rPr>
                <w:rFonts w:hint="eastAsia" w:ascii="Times New Roman" w:hAnsi="Times New Roman" w:eastAsia="微软雅黑" w:cs="Times New Roman"/>
                <w:color w:val="auto"/>
                <w:spacing w:val="0"/>
                <w:kern w:val="0"/>
                <w:sz w:val="21"/>
                <w:szCs w:val="21"/>
                <w:lang w:val="en-US" w:eastAsia="zh-CN" w:bidi="ar-SA"/>
              </w:rPr>
              <w:t>备注</w:t>
            </w:r>
          </w:p>
        </w:tc>
        <w:tc>
          <w:tcPr>
            <w:tcW w:w="7592" w:type="dxa"/>
            <w:gridSpan w:val="5"/>
            <w:noWrap w:val="0"/>
            <w:vAlign w:val="center"/>
          </w:tcPr>
          <w:p>
            <w:pPr>
              <w:widowControl w:val="0"/>
              <w:adjustRightInd w:val="0"/>
              <w:snapToGrid w:val="0"/>
              <w:spacing w:line="240" w:lineRule="auto"/>
              <w:jc w:val="left"/>
              <w:outlineLvl w:val="1"/>
              <w:rPr>
                <w:rFonts w:hint="default" w:ascii="Times New Roman" w:hAnsi="Times New Roman" w:eastAsia="微软雅黑" w:cs="Times New Roman"/>
                <w:color w:val="auto"/>
                <w:spacing w:val="0"/>
                <w:kern w:val="0"/>
                <w:sz w:val="21"/>
                <w:szCs w:val="21"/>
                <w:lang w:val="en-US" w:eastAsia="zh-CN" w:bidi="ar-SA"/>
              </w:rPr>
            </w:pPr>
            <w:r>
              <w:rPr>
                <w:rFonts w:hint="eastAsia" w:ascii="Times New Roman" w:hAnsi="Times New Roman" w:eastAsia="微软雅黑" w:cs="Times New Roman"/>
                <w:color w:val="auto"/>
                <w:spacing w:val="0"/>
                <w:kern w:val="0"/>
                <w:sz w:val="21"/>
                <w:szCs w:val="21"/>
                <w:lang w:val="en-US" w:eastAsia="zh-CN" w:bidi="ar-SA"/>
              </w:rPr>
              <w:t>按照催化剂成品数量执行结算</w:t>
            </w:r>
          </w:p>
        </w:tc>
      </w:tr>
    </w:tbl>
    <w:p>
      <w:pPr>
        <w:widowControl w:val="0"/>
        <w:adjustRightInd w:val="0"/>
        <w:snapToGrid w:val="0"/>
        <w:spacing w:line="312" w:lineRule="auto"/>
        <w:ind w:firstLine="220" w:firstLineChars="100"/>
        <w:rPr>
          <w:rFonts w:hint="eastAsia" w:ascii="微软雅黑" w:hAnsi="微软雅黑" w:eastAsia="微软雅黑" w:cs="微软雅黑"/>
          <w:color w:val="auto"/>
          <w:kern w:val="0"/>
          <w:sz w:val="22"/>
          <w:szCs w:val="22"/>
          <w:lang w:val="en-US" w:eastAsia="zh-CN" w:bidi="ar-SA"/>
        </w:rPr>
      </w:pPr>
      <w:r>
        <w:rPr>
          <w:rFonts w:hint="eastAsia" w:ascii="微软雅黑" w:hAnsi="微软雅黑" w:eastAsia="微软雅黑" w:cs="微软雅黑"/>
          <w:color w:val="auto"/>
          <w:kern w:val="0"/>
          <w:sz w:val="22"/>
          <w:szCs w:val="22"/>
          <w:lang w:val="en-US" w:eastAsia="zh-CN" w:bidi="ar-SA"/>
        </w:rPr>
        <w:t>2、服务地点</w:t>
      </w:r>
    </w:p>
    <w:p>
      <w:pPr>
        <w:widowControl w:val="0"/>
        <w:spacing w:line="257" w:lineRule="auto"/>
        <w:ind w:right="115" w:rightChars="55" w:firstLine="409" w:firstLineChars="195"/>
        <w:jc w:val="both"/>
        <w:rPr>
          <w:rFonts w:ascii="宋体" w:hAnsi="宋体" w:eastAsia="Microsoft YaHei UI" w:cs="宋体"/>
          <w:bCs/>
          <w:color w:val="auto"/>
          <w:kern w:val="0"/>
          <w:sz w:val="21"/>
          <w:szCs w:val="21"/>
          <w:lang w:val="en-US" w:eastAsia="zh-CN" w:bidi="ar-SA"/>
        </w:rPr>
      </w:pPr>
      <w:r>
        <w:rPr>
          <w:rFonts w:hint="eastAsia" w:ascii="微软雅黑" w:hAnsi="微软雅黑" w:eastAsia="微软雅黑" w:cs="微软雅黑"/>
          <w:color w:val="auto"/>
          <w:kern w:val="0"/>
          <w:sz w:val="21"/>
          <w:szCs w:val="21"/>
          <w:lang w:val="en-US" w:eastAsia="zh-CN" w:bidi="ar-SA"/>
        </w:rPr>
        <w:t>乙方</w:t>
      </w:r>
      <w:r>
        <w:rPr>
          <w:rFonts w:hint="eastAsia" w:ascii="宋体" w:hAnsi="宋体" w:eastAsia="Microsoft YaHei UI" w:cs="宋体"/>
          <w:bCs/>
          <w:color w:val="auto"/>
          <w:kern w:val="0"/>
          <w:sz w:val="21"/>
          <w:szCs w:val="21"/>
          <w:lang w:val="en-US" w:eastAsia="zh-CN" w:bidi="ar-SA"/>
        </w:rPr>
        <w:t>加工厂。</w:t>
      </w:r>
    </w:p>
    <w:p>
      <w:pPr>
        <w:widowControl w:val="0"/>
        <w:adjustRightInd w:val="0"/>
        <w:snapToGrid w:val="0"/>
        <w:spacing w:line="312" w:lineRule="auto"/>
        <w:ind w:firstLine="220" w:firstLineChars="100"/>
        <w:rPr>
          <w:rFonts w:hint="eastAsia" w:ascii="微软雅黑" w:hAnsi="微软雅黑" w:eastAsia="微软雅黑" w:cs="微软雅黑"/>
          <w:color w:val="auto"/>
          <w:kern w:val="0"/>
          <w:sz w:val="22"/>
          <w:szCs w:val="22"/>
          <w:lang w:val="en-US" w:eastAsia="zh-CN" w:bidi="ar-SA"/>
        </w:rPr>
      </w:pPr>
      <w:r>
        <w:rPr>
          <w:rFonts w:hint="eastAsia" w:ascii="微软雅黑" w:hAnsi="微软雅黑" w:eastAsia="微软雅黑" w:cs="微软雅黑"/>
          <w:color w:val="auto"/>
          <w:kern w:val="0"/>
          <w:sz w:val="22"/>
          <w:szCs w:val="22"/>
          <w:lang w:val="en-US" w:eastAsia="zh-CN" w:bidi="ar-SA"/>
        </w:rPr>
        <w:t>3、服务期限</w:t>
      </w:r>
    </w:p>
    <w:p>
      <w:pPr>
        <w:widowControl w:val="0"/>
        <w:spacing w:line="257" w:lineRule="auto"/>
        <w:ind w:right="115" w:rightChars="55" w:firstLine="420" w:firstLineChars="200"/>
        <w:jc w:val="both"/>
        <w:rPr>
          <w:rFonts w:ascii="宋体" w:hAnsi="宋体" w:eastAsia="Microsoft YaHei UI" w:cs="宋体"/>
          <w:bCs/>
          <w:color w:val="auto"/>
          <w:kern w:val="0"/>
          <w:sz w:val="21"/>
          <w:szCs w:val="21"/>
          <w:lang w:val="en-US" w:eastAsia="zh-CN" w:bidi="ar-SA"/>
        </w:rPr>
      </w:pPr>
      <w:r>
        <w:rPr>
          <w:rFonts w:hint="eastAsia" w:ascii="Times New Roman" w:hAnsi="Times New Roman" w:eastAsia="微软雅黑" w:cs="Times New Roman"/>
          <w:color w:val="auto"/>
          <w:kern w:val="0"/>
          <w:sz w:val="21"/>
          <w:szCs w:val="21"/>
          <w:lang w:val="en-US" w:eastAsia="zh-CN" w:bidi="ar-SA"/>
        </w:rPr>
        <w:t>服务期限为自合同签订之日起3年，签订模式采用1+1+1。</w:t>
      </w:r>
    </w:p>
    <w:p>
      <w:pPr>
        <w:pStyle w:val="33"/>
        <w:numPr>
          <w:ilvl w:val="0"/>
          <w:numId w:val="0"/>
        </w:numPr>
        <w:spacing w:before="120" w:after="120"/>
        <w:outlineLvl w:val="0"/>
        <w:rPr>
          <w:rFonts w:ascii="微软雅黑" w:hAnsi="微软雅黑" w:eastAsia="微软雅黑" w:cs="Times New Roman"/>
          <w:bCs/>
          <w:color w:val="auto"/>
          <w:sz w:val="32"/>
          <w:szCs w:val="32"/>
        </w:rPr>
      </w:pPr>
      <w:r>
        <w:rPr>
          <w:rFonts w:hint="eastAsia" w:ascii="微软雅黑" w:hAnsi="微软雅黑" w:eastAsia="微软雅黑" w:cs="Times New Roman"/>
          <w:bCs/>
          <w:color w:val="auto"/>
          <w:sz w:val="24"/>
          <w:szCs w:val="24"/>
          <w:lang w:val="en-US" w:eastAsia="zh-CN"/>
        </w:rPr>
        <w:t>二</w:t>
      </w:r>
      <w:r>
        <w:rPr>
          <w:rFonts w:hint="eastAsia" w:ascii="微软雅黑" w:hAnsi="微软雅黑" w:eastAsia="微软雅黑" w:cs="Times New Roman"/>
          <w:bCs/>
          <w:color w:val="auto"/>
          <w:sz w:val="24"/>
          <w:szCs w:val="24"/>
        </w:rPr>
        <w:t>、执行标准/规范</w:t>
      </w:r>
    </w:p>
    <w:p>
      <w:pPr>
        <w:pStyle w:val="3"/>
        <w:spacing w:line="360" w:lineRule="auto"/>
        <w:ind w:right="115" w:rightChars="55" w:firstLine="619" w:firstLineChars="295"/>
        <w:rPr>
          <w:rFonts w:hint="eastAsia" w:ascii="Microsoft YaHei UI" w:hAnsi="Microsoft YaHei UI" w:eastAsia="Microsoft YaHei UI" w:cs="Times New Roman"/>
          <w:b w:val="0"/>
          <w:bCs w:val="0"/>
          <w:kern w:val="0"/>
          <w:sz w:val="21"/>
          <w:szCs w:val="21"/>
          <w:lang w:val="en-US" w:eastAsia="zh-CN"/>
        </w:rPr>
      </w:pPr>
      <w:r>
        <w:rPr>
          <w:rFonts w:hint="eastAsia" w:ascii="Microsoft YaHei UI" w:hAnsi="Microsoft YaHei UI" w:eastAsia="Microsoft YaHei UI" w:cs="Times New Roman"/>
          <w:b w:val="0"/>
          <w:bCs w:val="0"/>
          <w:kern w:val="0"/>
          <w:sz w:val="21"/>
          <w:szCs w:val="21"/>
          <w:lang w:val="en-US" w:eastAsia="zh-CN"/>
        </w:rPr>
        <w:t>《CGBZ018-TY-2024 采购技术标准-汽柴油精制剂加工》</w:t>
      </w:r>
    </w:p>
    <w:p>
      <w:pPr>
        <w:pStyle w:val="3"/>
        <w:spacing w:line="360" w:lineRule="auto"/>
        <w:ind w:right="115" w:rightChars="55" w:firstLine="619" w:firstLineChars="295"/>
        <w:rPr>
          <w:rFonts w:hint="eastAsia" w:ascii="微软雅黑" w:hAnsi="微软雅黑" w:eastAsia="微软雅黑" w:cs="微软雅黑"/>
          <w:b w:val="0"/>
          <w:bCs w:val="0"/>
          <w:color w:val="auto"/>
          <w:kern w:val="0"/>
          <w:sz w:val="21"/>
          <w:szCs w:val="21"/>
          <w:highlight w:val="none"/>
          <w:lang w:val="en-US" w:eastAsia="zh-CN"/>
        </w:rPr>
      </w:pPr>
      <w:r>
        <w:rPr>
          <w:rFonts w:hint="eastAsia" w:ascii="微软雅黑" w:hAnsi="微软雅黑" w:eastAsia="微软雅黑" w:cs="微软雅黑"/>
          <w:b w:val="0"/>
          <w:bCs w:val="0"/>
          <w:color w:val="auto"/>
          <w:kern w:val="0"/>
          <w:sz w:val="21"/>
          <w:szCs w:val="21"/>
          <w:highlight w:val="none"/>
          <w:lang w:val="en-US" w:eastAsia="zh-CN"/>
        </w:rPr>
        <w:t>《CGBZ-ⅡHF0332-2025 采购标准-球形钼催化剂加工服务》</w:t>
      </w:r>
    </w:p>
    <w:p>
      <w:pPr>
        <w:pStyle w:val="33"/>
        <w:numPr>
          <w:numId w:val="0"/>
        </w:numPr>
        <w:spacing w:before="120" w:after="120"/>
        <w:ind w:leftChars="0"/>
        <w:outlineLvl w:val="0"/>
        <w:rPr>
          <w:rFonts w:hint="eastAsia" w:ascii="微软雅黑" w:hAnsi="微软雅黑" w:eastAsia="微软雅黑" w:cs="Times New Roman"/>
          <w:bCs/>
          <w:color w:val="auto"/>
          <w:sz w:val="24"/>
          <w:szCs w:val="24"/>
          <w:lang w:eastAsia="zh-CN"/>
        </w:rPr>
      </w:pPr>
      <w:r>
        <w:rPr>
          <w:rFonts w:hint="eastAsia" w:ascii="微软雅黑" w:hAnsi="微软雅黑" w:eastAsia="微软雅黑" w:cs="Times New Roman"/>
          <w:bCs/>
          <w:color w:val="auto"/>
          <w:sz w:val="24"/>
          <w:szCs w:val="24"/>
          <w:lang w:val="en-US" w:eastAsia="zh-CN"/>
        </w:rPr>
        <w:t>三、服务</w:t>
      </w:r>
      <w:r>
        <w:rPr>
          <w:rFonts w:hint="eastAsia" w:ascii="微软雅黑" w:hAnsi="微软雅黑" w:eastAsia="微软雅黑" w:cs="Times New Roman"/>
          <w:bCs/>
          <w:color w:val="auto"/>
          <w:sz w:val="24"/>
          <w:szCs w:val="24"/>
          <w:lang w:eastAsia="zh-CN"/>
        </w:rPr>
        <w:t>要求</w:t>
      </w:r>
    </w:p>
    <w:p>
      <w:pPr>
        <w:widowControl w:val="0"/>
        <w:adjustRightInd w:val="0"/>
        <w:snapToGrid w:val="0"/>
        <w:spacing w:line="312" w:lineRule="auto"/>
        <w:ind w:firstLine="220" w:firstLineChars="100"/>
        <w:rPr>
          <w:rFonts w:ascii="微软雅黑" w:hAnsi="微软雅黑" w:eastAsia="微软雅黑" w:cs="微软雅黑"/>
          <w:b/>
          <w:bCs/>
          <w:color w:val="auto"/>
          <w:kern w:val="0"/>
          <w:sz w:val="22"/>
          <w:szCs w:val="22"/>
          <w:lang w:val="en-US" w:eastAsia="zh-CN" w:bidi="ar-SA"/>
        </w:rPr>
      </w:pPr>
      <w:r>
        <w:rPr>
          <w:rFonts w:hint="eastAsia" w:ascii="微软雅黑" w:hAnsi="微软雅黑" w:eastAsia="微软雅黑" w:cs="微软雅黑"/>
          <w:b/>
          <w:bCs/>
          <w:color w:val="auto"/>
          <w:kern w:val="0"/>
          <w:sz w:val="22"/>
          <w:szCs w:val="22"/>
          <w:lang w:val="en-US" w:eastAsia="zh-CN" w:bidi="ar-SA"/>
        </w:rPr>
        <w:t>1、设计/施工方案要求：</w:t>
      </w:r>
    </w:p>
    <w:p>
      <w:pPr>
        <w:widowControl w:val="0"/>
        <w:adjustRightInd w:val="0"/>
        <w:snapToGrid w:val="0"/>
        <w:spacing w:line="312" w:lineRule="auto"/>
        <w:ind w:firstLine="420" w:firstLineChars="200"/>
        <w:rPr>
          <w:rFonts w:hint="eastAsia" w:ascii="微软雅黑" w:hAnsi="微软雅黑" w:eastAsia="微软雅黑" w:cs="微软雅黑"/>
          <w:color w:val="auto"/>
          <w:highlight w:val="none"/>
          <w:lang w:eastAsia="zh-CN"/>
        </w:rPr>
      </w:pPr>
      <w:r>
        <w:rPr>
          <w:rFonts w:hint="eastAsia" w:ascii="微软雅黑" w:hAnsi="微软雅黑" w:eastAsia="微软雅黑" w:cs="Times New Roman"/>
          <w:color w:val="auto"/>
          <w:kern w:val="0"/>
          <w:sz w:val="21"/>
          <w:szCs w:val="21"/>
          <w:lang w:val="en-US" w:eastAsia="zh-CN" w:bidi="ar-SA"/>
        </w:rPr>
        <w:t>甲方负责提供主原料，乙方提供六水合硝酸镍和辅料，乙方</w:t>
      </w:r>
      <w:r>
        <w:rPr>
          <w:rFonts w:hint="eastAsia" w:ascii="微软雅黑" w:hAnsi="微软雅黑" w:eastAsia="微软雅黑" w:cs="微软雅黑"/>
          <w:color w:val="auto"/>
          <w:highlight w:val="none"/>
          <w:lang w:val="en-US" w:eastAsia="zh-CN"/>
        </w:rPr>
        <w:t>按照甲方工艺流程执行催化剂</w:t>
      </w:r>
      <w:r>
        <w:rPr>
          <w:rFonts w:hint="eastAsia" w:ascii="微软雅黑" w:hAnsi="微软雅黑" w:eastAsia="微软雅黑" w:cs="微软雅黑"/>
          <w:color w:val="auto"/>
          <w:highlight w:val="none"/>
          <w:lang w:eastAsia="zh-CN"/>
        </w:rPr>
        <w:t>加工。</w:t>
      </w:r>
    </w:p>
    <w:p>
      <w:pPr>
        <w:widowControl w:val="0"/>
        <w:adjustRightInd w:val="0"/>
        <w:snapToGrid w:val="0"/>
        <w:spacing w:line="312" w:lineRule="auto"/>
        <w:ind w:firstLine="420" w:firstLineChars="200"/>
        <w:rPr>
          <w:rFonts w:hint="eastAsia" w:ascii="微软雅黑" w:hAnsi="微软雅黑" w:eastAsia="微软雅黑" w:cs="Times New Roman"/>
          <w:color w:val="auto"/>
          <w:kern w:val="0"/>
          <w:sz w:val="21"/>
          <w:szCs w:val="21"/>
          <w:lang w:val="en-US" w:eastAsia="zh-CN" w:bidi="ar-SA"/>
        </w:rPr>
      </w:pPr>
      <w:r>
        <w:rPr>
          <w:rFonts w:hint="eastAsia" w:ascii="微软雅黑" w:hAnsi="微软雅黑" w:eastAsia="微软雅黑" w:cs="Times New Roman"/>
          <w:color w:val="auto"/>
          <w:kern w:val="0"/>
          <w:sz w:val="21"/>
          <w:szCs w:val="21"/>
          <w:lang w:val="en-US" w:eastAsia="zh-CN" w:bidi="ar-SA"/>
        </w:rPr>
        <w:t>报价形式：加工费（包含六水合硝酸镍费用、加工费用、包装费用和辅材等）</w:t>
      </w:r>
    </w:p>
    <w:p>
      <w:pPr>
        <w:widowControl w:val="0"/>
        <w:adjustRightInd w:val="0"/>
        <w:snapToGrid w:val="0"/>
        <w:spacing w:line="312" w:lineRule="auto"/>
        <w:ind w:firstLine="209" w:firstLineChars="95"/>
        <w:jc w:val="both"/>
        <w:rPr>
          <w:rFonts w:hint="eastAsia" w:ascii="微软雅黑" w:hAnsi="微软雅黑" w:eastAsia="微软雅黑" w:cs="微软雅黑"/>
          <w:b/>
          <w:bCs/>
          <w:color w:val="auto"/>
          <w:kern w:val="0"/>
          <w:sz w:val="22"/>
          <w:szCs w:val="22"/>
          <w:lang w:val="en-US" w:eastAsia="zh-CN" w:bidi="ar-SA"/>
        </w:rPr>
      </w:pPr>
      <w:r>
        <w:rPr>
          <w:rFonts w:hint="eastAsia" w:ascii="微软雅黑" w:hAnsi="微软雅黑" w:eastAsia="微软雅黑" w:cs="微软雅黑"/>
          <w:b/>
          <w:bCs/>
          <w:color w:val="auto"/>
          <w:kern w:val="0"/>
          <w:sz w:val="22"/>
          <w:szCs w:val="22"/>
          <w:lang w:val="en-US" w:eastAsia="zh-CN" w:bidi="ar-SA"/>
        </w:rPr>
        <w:t>2、服务具体要求：</w:t>
      </w:r>
    </w:p>
    <w:p>
      <w:pPr>
        <w:widowControl w:val="0"/>
        <w:adjustRightInd w:val="0"/>
        <w:snapToGrid w:val="0"/>
        <w:spacing w:line="312" w:lineRule="auto"/>
        <w:ind w:firstLine="630" w:firstLineChars="300"/>
        <w:jc w:val="both"/>
        <w:rPr>
          <w:rFonts w:hint="eastAsia" w:ascii="Times New Roman" w:hAnsi="Times New Roman" w:eastAsia="微软雅黑" w:cs="Times New Roman"/>
          <w:color w:val="auto"/>
          <w:kern w:val="0"/>
          <w:sz w:val="21"/>
          <w:szCs w:val="21"/>
          <w:lang w:val="en-US" w:eastAsia="zh-CN" w:bidi="ar-SA"/>
        </w:rPr>
      </w:pPr>
      <w:r>
        <w:rPr>
          <w:rFonts w:hint="eastAsia" w:ascii="Times New Roman" w:hAnsi="Times New Roman" w:eastAsia="微软雅黑" w:cs="Times New Roman"/>
          <w:color w:val="auto"/>
          <w:kern w:val="0"/>
          <w:sz w:val="21"/>
          <w:szCs w:val="21"/>
          <w:lang w:val="en-US" w:eastAsia="zh-CN" w:bidi="ar-SA"/>
        </w:rPr>
        <w:t>催化剂加工服务</w:t>
      </w:r>
    </w:p>
    <w:p>
      <w:pPr>
        <w:widowControl w:val="0"/>
        <w:numPr>
          <w:ilvl w:val="0"/>
          <w:numId w:val="2"/>
        </w:numPr>
        <w:spacing w:line="257" w:lineRule="auto"/>
        <w:ind w:right="115" w:rightChars="55" w:firstLine="438" w:firstLineChars="209"/>
        <w:jc w:val="both"/>
        <w:rPr>
          <w:rFonts w:hint="eastAsia" w:ascii="Times New Roman" w:hAnsi="Times New Roman" w:eastAsia="微软雅黑" w:cs="Times New Roman"/>
          <w:color w:val="auto"/>
          <w:kern w:val="0"/>
          <w:sz w:val="21"/>
          <w:szCs w:val="21"/>
          <w:lang w:val="en-US" w:eastAsia="zh-CN" w:bidi="ar-SA"/>
        </w:rPr>
      </w:pPr>
      <w:r>
        <w:rPr>
          <w:rFonts w:hint="eastAsia" w:ascii="Microsoft YaHei UI" w:hAnsi="Microsoft YaHei UI" w:eastAsia="Microsoft YaHei UI" w:cs="Microsoft YaHei UI"/>
          <w:sz w:val="21"/>
          <w:szCs w:val="21"/>
          <w:vertAlign w:val="baseline"/>
          <w:lang w:val="en-US" w:eastAsia="zh-CN" w:bidi="ar-SA"/>
        </w:rPr>
        <w:t>粉体捏合：</w:t>
      </w:r>
      <w:r>
        <w:rPr>
          <w:rFonts w:hint="eastAsia" w:ascii="Microsoft YaHei UI" w:hAnsi="Microsoft YaHei UI" w:eastAsia="Microsoft YaHei UI" w:cs="Microsoft YaHei UI"/>
          <w:sz w:val="21"/>
          <w:szCs w:val="21"/>
          <w:lang w:val="en-US" w:eastAsia="en-US" w:bidi="ar-SA"/>
        </w:rPr>
        <w:t>将</w:t>
      </w:r>
      <w:r>
        <w:rPr>
          <w:rFonts w:hint="eastAsia" w:ascii="Microsoft YaHei UI" w:hAnsi="Microsoft YaHei UI" w:eastAsia="Microsoft YaHei UI" w:cs="Microsoft YaHei UI"/>
          <w:sz w:val="21"/>
          <w:szCs w:val="21"/>
          <w:lang w:val="en-US" w:eastAsia="zh-CN" w:bidi="ar-SA"/>
        </w:rPr>
        <w:t>各种粉体</w:t>
      </w:r>
      <w:r>
        <w:rPr>
          <w:rFonts w:hint="eastAsia" w:ascii="Microsoft YaHei UI" w:hAnsi="Microsoft YaHei UI" w:eastAsia="Microsoft YaHei UI" w:cs="Microsoft YaHei UI"/>
          <w:sz w:val="21"/>
          <w:szCs w:val="21"/>
          <w:lang w:val="en-US" w:eastAsia="en-US" w:bidi="ar-SA"/>
        </w:rPr>
        <w:t>加入</w:t>
      </w:r>
      <w:r>
        <w:rPr>
          <w:rFonts w:hint="eastAsia" w:ascii="Microsoft YaHei UI" w:hAnsi="Microsoft YaHei UI" w:eastAsia="Microsoft YaHei UI" w:cs="Microsoft YaHei UI"/>
          <w:sz w:val="21"/>
          <w:szCs w:val="21"/>
          <w:lang w:val="en-US" w:eastAsia="zh-CN" w:bidi="ar-SA"/>
        </w:rPr>
        <w:t>到</w:t>
      </w:r>
      <w:r>
        <w:rPr>
          <w:rFonts w:hint="eastAsia" w:ascii="Microsoft YaHei UI" w:hAnsi="Microsoft YaHei UI" w:eastAsia="Microsoft YaHei UI" w:cs="Microsoft YaHei UI"/>
          <w:sz w:val="21"/>
          <w:szCs w:val="21"/>
          <w:lang w:val="en-US" w:eastAsia="en-US" w:bidi="ar-SA"/>
        </w:rPr>
        <w:t>捏合机中，</w:t>
      </w:r>
      <w:r>
        <w:rPr>
          <w:rFonts w:hint="eastAsia" w:ascii="Microsoft YaHei UI" w:hAnsi="Microsoft YaHei UI" w:eastAsia="Microsoft YaHei UI" w:cs="Microsoft YaHei UI"/>
          <w:sz w:val="21"/>
          <w:szCs w:val="21"/>
          <w:lang w:val="en-US" w:eastAsia="zh-CN" w:bidi="ar-SA"/>
        </w:rPr>
        <w:t>干混不低于0.5小时，成型助剂捏合不低于1小时；</w:t>
      </w:r>
    </w:p>
    <w:p>
      <w:pPr>
        <w:widowControl w:val="0"/>
        <w:numPr>
          <w:ilvl w:val="0"/>
          <w:numId w:val="2"/>
        </w:numPr>
        <w:spacing w:line="257" w:lineRule="auto"/>
        <w:ind w:right="115" w:rightChars="55" w:firstLine="438" w:firstLineChars="209"/>
        <w:jc w:val="both"/>
        <w:rPr>
          <w:rFonts w:hint="eastAsia" w:ascii="Microsoft YaHei UI" w:hAnsi="Microsoft YaHei UI" w:eastAsia="Microsoft YaHei UI" w:cs="Microsoft YaHei UI"/>
          <w:sz w:val="21"/>
          <w:szCs w:val="21"/>
          <w:vertAlign w:val="baseline"/>
          <w:lang w:val="en-US" w:eastAsia="zh-CN" w:bidi="ar-SA"/>
        </w:rPr>
      </w:pPr>
      <w:r>
        <w:rPr>
          <w:rFonts w:hint="eastAsia" w:ascii="Microsoft YaHei UI" w:hAnsi="Microsoft YaHei UI" w:eastAsia="Microsoft YaHei UI" w:cs="Microsoft YaHei UI"/>
          <w:sz w:val="21"/>
          <w:szCs w:val="21"/>
          <w:vertAlign w:val="baseline"/>
          <w:lang w:val="en-US" w:eastAsia="zh-CN" w:bidi="ar-SA"/>
        </w:rPr>
        <w:t>挤条成型：将捏合后的可塑体通过挤条机进行挤条成型，孔板选择三叶草/圆柱类型；</w:t>
      </w:r>
    </w:p>
    <w:p>
      <w:pPr>
        <w:widowControl w:val="0"/>
        <w:numPr>
          <w:ilvl w:val="0"/>
          <w:numId w:val="2"/>
        </w:numPr>
        <w:spacing w:line="257" w:lineRule="auto"/>
        <w:ind w:right="115" w:rightChars="55" w:firstLine="438" w:firstLineChars="209"/>
        <w:jc w:val="both"/>
        <w:rPr>
          <w:rFonts w:hint="eastAsia" w:ascii="Microsoft YaHei UI" w:hAnsi="Microsoft YaHei UI" w:eastAsia="Microsoft YaHei UI" w:cs="Microsoft YaHei UI"/>
          <w:sz w:val="21"/>
          <w:szCs w:val="21"/>
          <w:vertAlign w:val="baseline"/>
          <w:lang w:val="en-US" w:eastAsia="zh-CN" w:bidi="ar-SA"/>
        </w:rPr>
      </w:pPr>
      <w:r>
        <w:rPr>
          <w:rFonts w:hint="eastAsia" w:ascii="Microsoft YaHei UI" w:hAnsi="Microsoft YaHei UI" w:eastAsia="Microsoft YaHei UI" w:cs="Microsoft YaHei UI"/>
          <w:sz w:val="21"/>
          <w:szCs w:val="21"/>
          <w:vertAlign w:val="baseline"/>
          <w:lang w:val="en-US" w:eastAsia="zh-CN" w:bidi="ar-SA"/>
        </w:rPr>
        <w:t>干燥：120~130℃干燥至含水量10%以内，料层厚度不超过3cm；</w:t>
      </w:r>
    </w:p>
    <w:p>
      <w:pPr>
        <w:widowControl w:val="0"/>
        <w:numPr>
          <w:ilvl w:val="0"/>
          <w:numId w:val="2"/>
        </w:numPr>
        <w:spacing w:line="257" w:lineRule="auto"/>
        <w:ind w:left="2" w:leftChars="0" w:right="115" w:rightChars="55" w:firstLine="438" w:firstLineChars="0"/>
        <w:jc w:val="both"/>
        <w:rPr>
          <w:rFonts w:hint="default" w:ascii="Microsoft YaHei UI" w:hAnsi="Microsoft YaHei UI" w:eastAsia="Microsoft YaHei UI" w:cs="Microsoft YaHei UI"/>
          <w:sz w:val="21"/>
          <w:szCs w:val="21"/>
          <w:vertAlign w:val="baseline"/>
          <w:lang w:val="en-US" w:eastAsia="zh-CN" w:bidi="ar-SA"/>
        </w:rPr>
      </w:pPr>
      <w:r>
        <w:rPr>
          <w:rFonts w:hint="eastAsia" w:ascii="Microsoft YaHei UI" w:hAnsi="Microsoft YaHei UI" w:eastAsia="Microsoft YaHei UI" w:cs="Microsoft YaHei UI"/>
          <w:sz w:val="21"/>
          <w:szCs w:val="21"/>
          <w:lang w:val="en-US" w:eastAsia="zh-CN" w:bidi="ar-SA"/>
        </w:rPr>
        <w:t>载体整形：干燥后的载体进行断条筛分，长度2.0-8.0mm的颗粒占比大于85%；（载体整形损失的干载体需要研磨至＜200目，再次进行粉体捏合）</w:t>
      </w:r>
    </w:p>
    <w:p>
      <w:pPr>
        <w:widowControl w:val="0"/>
        <w:numPr>
          <w:ilvl w:val="0"/>
          <w:numId w:val="2"/>
        </w:numPr>
        <w:spacing w:line="257" w:lineRule="auto"/>
        <w:ind w:left="2" w:leftChars="0" w:right="115" w:rightChars="55" w:firstLine="438" w:firstLineChars="0"/>
        <w:jc w:val="both"/>
        <w:rPr>
          <w:rFonts w:hint="default" w:ascii="Microsoft YaHei UI" w:hAnsi="Microsoft YaHei UI" w:eastAsia="Microsoft YaHei UI" w:cs="Microsoft YaHei UI"/>
          <w:sz w:val="21"/>
          <w:szCs w:val="21"/>
          <w:lang w:val="en-US" w:eastAsia="zh-CN" w:bidi="ar-SA"/>
        </w:rPr>
      </w:pPr>
      <w:r>
        <w:rPr>
          <w:rFonts w:hint="eastAsia" w:ascii="Microsoft YaHei UI" w:hAnsi="Microsoft YaHei UI" w:eastAsia="Microsoft YaHei UI" w:cs="Microsoft YaHei UI"/>
          <w:sz w:val="21"/>
          <w:szCs w:val="21"/>
          <w:lang w:val="en-US" w:eastAsia="zh-CN" w:bidi="ar-SA"/>
        </w:rPr>
        <w:t>载体焙烧：在550±5℃下，恒温时间不低于3小时；升温速率不超过3℃/min，料层厚度不超3cm；</w:t>
      </w:r>
    </w:p>
    <w:p>
      <w:pPr>
        <w:widowControl w:val="0"/>
        <w:numPr>
          <w:ilvl w:val="0"/>
          <w:numId w:val="2"/>
        </w:numPr>
        <w:spacing w:line="257" w:lineRule="auto"/>
        <w:ind w:left="2" w:leftChars="0" w:right="115" w:rightChars="55" w:firstLine="438" w:firstLineChars="0"/>
        <w:jc w:val="both"/>
        <w:rPr>
          <w:rFonts w:hint="eastAsia" w:ascii="Microsoft YaHei UI" w:hAnsi="Microsoft YaHei UI" w:eastAsia="Microsoft YaHei UI" w:cs="Microsoft YaHei UI"/>
          <w:sz w:val="21"/>
          <w:szCs w:val="21"/>
          <w:lang w:val="en-US" w:eastAsia="zh-CN" w:bidi="ar-SA"/>
        </w:rPr>
      </w:pPr>
      <w:r>
        <w:rPr>
          <w:rFonts w:hint="eastAsia" w:ascii="Microsoft YaHei UI" w:hAnsi="Microsoft YaHei UI" w:eastAsia="Microsoft YaHei UI" w:cs="Microsoft YaHei UI"/>
          <w:sz w:val="21"/>
          <w:szCs w:val="21"/>
          <w:lang w:val="en-US" w:eastAsia="zh-CN" w:bidi="ar-SA"/>
        </w:rPr>
        <w:t>一次包装：带塑料袋内衬中转桶或吨袋包装；</w:t>
      </w:r>
    </w:p>
    <w:p>
      <w:pPr>
        <w:widowControl w:val="0"/>
        <w:numPr>
          <w:ilvl w:val="0"/>
          <w:numId w:val="2"/>
        </w:numPr>
        <w:spacing w:line="257" w:lineRule="auto"/>
        <w:ind w:right="115" w:rightChars="55" w:firstLine="438" w:firstLineChars="209"/>
        <w:jc w:val="both"/>
        <w:rPr>
          <w:rFonts w:hint="eastAsia" w:ascii="Microsoft YaHei UI" w:hAnsi="Microsoft YaHei UI" w:eastAsia="Microsoft YaHei UI" w:cs="Microsoft YaHei UI"/>
          <w:sz w:val="21"/>
          <w:szCs w:val="21"/>
          <w:vertAlign w:val="baseline"/>
          <w:lang w:val="en-US" w:eastAsia="zh-CN" w:bidi="ar-SA"/>
        </w:rPr>
      </w:pPr>
      <w:r>
        <w:rPr>
          <w:rFonts w:hint="eastAsia" w:ascii="宋体" w:hAnsi="宋体" w:eastAsia="Microsoft YaHei UI" w:cs="宋体"/>
          <w:b w:val="0"/>
          <w:bCs w:val="0"/>
          <w:sz w:val="21"/>
          <w:szCs w:val="21"/>
          <w:u w:val="none"/>
          <w:lang w:val="en-US" w:eastAsia="zh-CN" w:bidi="ar-SA"/>
        </w:rPr>
        <w:t>浸渍液配置：取定量去离子水、金属盐1（六水合硝酸镍）、金属盐2、活性助剂加入到</w:t>
      </w:r>
      <w:r>
        <w:rPr>
          <w:rFonts w:hint="eastAsia" w:ascii="Microsoft YaHei UI" w:hAnsi="Microsoft YaHei UI" w:eastAsia="Microsoft YaHei UI" w:cs="Microsoft YaHei UI"/>
          <w:sz w:val="21"/>
          <w:szCs w:val="21"/>
          <w:lang w:val="en-US" w:eastAsia="zh-CN" w:bidi="ar-SA"/>
        </w:rPr>
        <w:t>1~4m</w:t>
      </w:r>
      <w:r>
        <w:rPr>
          <w:rFonts w:hint="eastAsia" w:ascii="Microsoft YaHei UI" w:hAnsi="Microsoft YaHei UI" w:eastAsia="Microsoft YaHei UI" w:cs="Microsoft YaHei UI"/>
          <w:sz w:val="21"/>
          <w:szCs w:val="21"/>
          <w:vertAlign w:val="superscript"/>
          <w:lang w:val="en-US" w:eastAsia="zh-CN" w:bidi="ar-SA"/>
        </w:rPr>
        <w:t>3</w:t>
      </w:r>
      <w:r>
        <w:rPr>
          <w:rFonts w:hint="eastAsia" w:ascii="Microsoft YaHei UI" w:hAnsi="Microsoft YaHei UI" w:eastAsia="Microsoft YaHei UI" w:cs="Microsoft YaHei UI"/>
          <w:sz w:val="21"/>
          <w:szCs w:val="21"/>
          <w:vertAlign w:val="baseline"/>
          <w:lang w:val="en-US" w:eastAsia="zh-CN" w:bidi="ar-SA"/>
        </w:rPr>
        <w:t>反应釜（要求釜材质耐酸）中，在一定温度下30-60</w:t>
      </w:r>
      <w:r>
        <w:rPr>
          <w:rFonts w:hint="eastAsia" w:ascii="宋体" w:hAnsi="宋体" w:eastAsia="宋体" w:cs="宋体"/>
          <w:sz w:val="21"/>
          <w:szCs w:val="21"/>
          <w:vertAlign w:val="baseline"/>
          <w:lang w:val="en-US" w:eastAsia="zh-CN" w:bidi="ar-SA"/>
        </w:rPr>
        <w:t>℃</w:t>
      </w:r>
      <w:r>
        <w:rPr>
          <w:rFonts w:hint="eastAsia" w:ascii="Microsoft YaHei UI" w:hAnsi="Microsoft YaHei UI" w:eastAsia="Microsoft YaHei UI" w:cs="Microsoft YaHei UI"/>
          <w:sz w:val="21"/>
          <w:szCs w:val="21"/>
          <w:vertAlign w:val="baseline"/>
          <w:lang w:val="en-US" w:eastAsia="zh-CN" w:bidi="ar-SA"/>
        </w:rPr>
        <w:t>进行反应，反应时间不低于1小时，反应结束后去离子水定容备用；</w:t>
      </w:r>
    </w:p>
    <w:p>
      <w:pPr>
        <w:widowControl w:val="0"/>
        <w:numPr>
          <w:ilvl w:val="0"/>
          <w:numId w:val="2"/>
        </w:numPr>
        <w:spacing w:line="257" w:lineRule="auto"/>
        <w:ind w:right="115" w:rightChars="55" w:firstLine="438" w:firstLineChars="209"/>
        <w:jc w:val="both"/>
        <w:rPr>
          <w:rFonts w:hint="eastAsia" w:ascii="宋体" w:hAnsi="宋体" w:eastAsia="Microsoft YaHei UI" w:cs="宋体"/>
          <w:b w:val="0"/>
          <w:bCs w:val="0"/>
          <w:sz w:val="21"/>
          <w:szCs w:val="21"/>
          <w:u w:val="none"/>
          <w:lang w:val="en-US" w:eastAsia="zh-CN" w:bidi="ar-SA"/>
        </w:rPr>
      </w:pPr>
      <w:r>
        <w:rPr>
          <w:rFonts w:hint="eastAsia" w:ascii="Microsoft YaHei UI" w:hAnsi="Microsoft YaHei UI" w:eastAsia="Microsoft YaHei UI" w:cs="Microsoft YaHei UI"/>
          <w:sz w:val="21"/>
          <w:szCs w:val="21"/>
          <w:lang w:val="en-US" w:eastAsia="zh-CN" w:bidi="ar-SA"/>
        </w:rPr>
        <w:t>催化剂浸渍：</w:t>
      </w:r>
      <w:r>
        <w:rPr>
          <w:rFonts w:hint="eastAsia" w:ascii="宋体" w:hAnsi="宋体" w:eastAsia="Microsoft YaHei UI" w:cs="宋体"/>
          <w:b w:val="0"/>
          <w:bCs w:val="0"/>
          <w:sz w:val="21"/>
          <w:szCs w:val="21"/>
          <w:u w:val="none"/>
          <w:lang w:val="en-US" w:eastAsia="zh-CN" w:bidi="ar-SA"/>
        </w:rPr>
        <w:t>将适量一次包装后的载体加入糖衣机或转鼓或双锥内（要求材质耐酸），然后将浸渍液按照载体吸水率喷浸至罐内，喷浸均匀，喷浸时间不低于0.5小时，匀化时间不低于1小时；</w:t>
      </w:r>
    </w:p>
    <w:p>
      <w:pPr>
        <w:widowControl w:val="0"/>
        <w:numPr>
          <w:ilvl w:val="0"/>
          <w:numId w:val="2"/>
        </w:numPr>
        <w:spacing w:line="257" w:lineRule="auto"/>
        <w:ind w:right="115" w:rightChars="55" w:firstLine="438" w:firstLineChars="209"/>
        <w:jc w:val="both"/>
        <w:rPr>
          <w:rFonts w:hint="eastAsia"/>
          <w:lang w:val="en-US" w:eastAsia="zh-CN"/>
        </w:rPr>
      </w:pPr>
      <w:r>
        <w:rPr>
          <w:rFonts w:hint="eastAsia" w:ascii="Microsoft YaHei UI" w:hAnsi="Microsoft YaHei UI" w:eastAsia="Microsoft YaHei UI" w:cs="Microsoft YaHei UI"/>
          <w:sz w:val="21"/>
          <w:szCs w:val="21"/>
          <w:lang w:val="en-US" w:eastAsia="zh-CN" w:bidi="ar-SA"/>
        </w:rPr>
        <w:t>密封静置：将浸渍后的催化剂常温下密封静置4~12小时；</w:t>
      </w:r>
    </w:p>
    <w:p>
      <w:pPr>
        <w:widowControl w:val="0"/>
        <w:numPr>
          <w:ilvl w:val="0"/>
          <w:numId w:val="2"/>
        </w:numPr>
        <w:spacing w:line="257" w:lineRule="auto"/>
        <w:ind w:right="115" w:rightChars="55" w:firstLine="438" w:firstLineChars="209"/>
        <w:jc w:val="both"/>
        <w:rPr>
          <w:rFonts w:hint="eastAsia" w:ascii="Microsoft YaHei UI" w:hAnsi="Microsoft YaHei UI" w:eastAsia="Microsoft YaHei UI" w:cs="Microsoft YaHei UI"/>
          <w:sz w:val="21"/>
          <w:szCs w:val="21"/>
          <w:lang w:val="en-US" w:eastAsia="zh-CN" w:bidi="ar-SA"/>
        </w:rPr>
      </w:pPr>
      <w:r>
        <w:rPr>
          <w:rFonts w:hint="eastAsia" w:ascii="Microsoft YaHei UI" w:hAnsi="Microsoft YaHei UI" w:eastAsia="Microsoft YaHei UI" w:cs="Microsoft YaHei UI"/>
          <w:sz w:val="21"/>
          <w:szCs w:val="21"/>
          <w:lang w:val="en-US" w:eastAsia="zh-CN" w:bidi="ar-SA"/>
        </w:rPr>
        <w:t>催化剂干燥：密封静置后的催化剂进回转炉干燥，升温速率不超过2℃/min，120~150℃干燥至含水量10%以内，干燥后装袋备用（加内衬塑料袋）；</w:t>
      </w:r>
    </w:p>
    <w:p>
      <w:pPr>
        <w:widowControl w:val="0"/>
        <w:numPr>
          <w:ilvl w:val="0"/>
          <w:numId w:val="2"/>
        </w:numPr>
        <w:spacing w:line="257" w:lineRule="auto"/>
        <w:ind w:right="115" w:rightChars="55" w:firstLine="438" w:firstLineChars="209"/>
        <w:jc w:val="both"/>
        <w:rPr>
          <w:rFonts w:hint="eastAsia" w:ascii="Microsoft YaHei UI" w:hAnsi="Microsoft YaHei UI" w:eastAsia="Microsoft YaHei UI" w:cs="Microsoft YaHei UI"/>
          <w:b/>
          <w:bCs/>
          <w:sz w:val="21"/>
          <w:szCs w:val="21"/>
          <w:lang w:val="en-US" w:eastAsia="zh-CN" w:bidi="ar-SA"/>
        </w:rPr>
      </w:pPr>
      <w:r>
        <w:rPr>
          <w:rFonts w:hint="eastAsia" w:ascii="Microsoft YaHei UI" w:hAnsi="Microsoft YaHei UI" w:eastAsia="Microsoft YaHei UI" w:cs="Microsoft YaHei UI"/>
          <w:sz w:val="21"/>
          <w:szCs w:val="21"/>
          <w:lang w:val="en-US" w:eastAsia="zh-CN" w:bidi="ar-SA"/>
        </w:rPr>
        <w:t>焙烧：在460±5℃下恒温时间不低于3小时，升温速率不超过2℃/min，料层厚度不超过2cm；</w:t>
      </w:r>
      <w:r>
        <w:rPr>
          <w:rFonts w:hint="eastAsia" w:ascii="Microsoft YaHei UI" w:hAnsi="Microsoft YaHei UI" w:eastAsia="Microsoft YaHei UI" w:cs="Microsoft YaHei UI"/>
          <w:b/>
          <w:bCs/>
          <w:sz w:val="21"/>
          <w:szCs w:val="21"/>
          <w:lang w:val="en-US" w:eastAsia="zh-CN" w:bidi="ar-SA"/>
        </w:rPr>
        <w:t>（催化剂干燥焙烧过程有氮氧化物释放，要求乙方具备相应的吸收装置）</w:t>
      </w:r>
    </w:p>
    <w:p>
      <w:pPr>
        <w:widowControl w:val="0"/>
        <w:numPr>
          <w:ilvl w:val="0"/>
          <w:numId w:val="2"/>
        </w:numPr>
        <w:spacing w:line="257" w:lineRule="auto"/>
        <w:ind w:right="115" w:rightChars="55" w:firstLine="438" w:firstLineChars="209"/>
        <w:jc w:val="both"/>
        <w:rPr>
          <w:rFonts w:hint="default"/>
          <w:lang w:val="en-US" w:eastAsia="zh-CN"/>
        </w:rPr>
      </w:pPr>
      <w:r>
        <w:rPr>
          <w:rFonts w:hint="eastAsia" w:ascii="Microsoft YaHei UI" w:hAnsi="Microsoft YaHei UI" w:eastAsia="Microsoft YaHei UI" w:cs="Microsoft YaHei UI"/>
          <w:bCs/>
          <w:sz w:val="21"/>
          <w:szCs w:val="21"/>
          <w:u w:val="none"/>
          <w:lang w:val="en-US" w:eastAsia="zh-CN" w:bidi="ar-SA"/>
        </w:rPr>
        <w:t>包装要求：吨袋或200L铁桶，需</w:t>
      </w:r>
      <w:r>
        <w:rPr>
          <w:rFonts w:hint="eastAsia" w:ascii="微软雅黑" w:hAnsi="微软雅黑" w:eastAsia="微软雅黑" w:cs="Times New Roman"/>
          <w:kern w:val="0"/>
          <w:sz w:val="21"/>
          <w:szCs w:val="21"/>
          <w:lang w:val="en-US" w:eastAsia="zh-CN" w:bidi="ar-SA"/>
        </w:rPr>
        <w:t>附带托盘便于装卸，</w:t>
      </w:r>
      <w:r>
        <w:rPr>
          <w:rFonts w:hint="eastAsia" w:ascii="Microsoft YaHei UI" w:hAnsi="Microsoft YaHei UI" w:eastAsia="Microsoft YaHei UI" w:cs="Microsoft YaHei UI"/>
          <w:bCs/>
          <w:sz w:val="21"/>
          <w:szCs w:val="21"/>
          <w:u w:val="none"/>
          <w:lang w:val="en-US" w:eastAsia="zh-CN" w:bidi="ar-SA"/>
        </w:rPr>
        <w:t>或按甲方要求进行包装。</w:t>
      </w:r>
    </w:p>
    <w:p>
      <w:pPr>
        <w:pStyle w:val="3"/>
        <w:spacing w:line="360" w:lineRule="auto"/>
        <w:ind w:right="115" w:rightChars="55" w:firstLine="410" w:firstLineChars="195"/>
        <w:rPr>
          <w:rFonts w:hint="eastAsia" w:ascii="微软雅黑" w:hAnsi="微软雅黑" w:eastAsia="微软雅黑" w:cs="微软雅黑"/>
          <w:highlight w:val="none"/>
          <w:lang w:eastAsia="zh-CN"/>
        </w:rPr>
      </w:pPr>
      <w:r>
        <w:rPr>
          <w:rFonts w:hint="eastAsia" w:ascii="微软雅黑" w:hAnsi="微软雅黑" w:eastAsia="微软雅黑" w:cs="微软雅黑"/>
          <w:b/>
          <w:bCs/>
          <w:highlight w:val="none"/>
          <w:lang w:val="en-US" w:eastAsia="zh-CN"/>
        </w:rPr>
        <w:t>3.其他</w:t>
      </w:r>
      <w:r>
        <w:rPr>
          <w:rFonts w:hint="eastAsia" w:ascii="微软雅黑" w:hAnsi="微软雅黑" w:eastAsia="微软雅黑" w:cs="微软雅黑"/>
          <w:b/>
          <w:bCs/>
          <w:highlight w:val="none"/>
          <w:lang w:eastAsia="zh-CN"/>
        </w:rPr>
        <w:t>技术要求</w:t>
      </w:r>
      <w:r>
        <w:rPr>
          <w:rFonts w:hint="eastAsia" w:ascii="微软雅黑" w:hAnsi="微软雅黑" w:eastAsia="微软雅黑" w:cs="微软雅黑"/>
          <w:highlight w:val="none"/>
          <w:lang w:eastAsia="zh-CN"/>
        </w:rPr>
        <w:t>：符合双方商定的技术方案要求，每批产品取样送化验室分析，样品留存。加工完成后，分析报告与产品一同交付甲方。生产车间整洁、地面无尘土，生产过程中人员需穿工作服、佩戴口罩，符合安全和环保标准要求。</w:t>
      </w:r>
    </w:p>
    <w:p>
      <w:pPr>
        <w:pStyle w:val="3"/>
        <w:spacing w:line="257" w:lineRule="auto"/>
        <w:ind w:right="115" w:rightChars="55" w:firstLine="420"/>
        <w:rPr>
          <w:rFonts w:hint="eastAsia" w:ascii="微软雅黑" w:hAnsi="微软雅黑" w:eastAsia="微软雅黑" w:cs="微软雅黑"/>
          <w:highlight w:val="none"/>
          <w:lang w:eastAsia="zh-CN"/>
        </w:rPr>
      </w:pPr>
      <w:r>
        <w:rPr>
          <w:rFonts w:hint="eastAsia" w:ascii="微软雅黑" w:hAnsi="微软雅黑" w:eastAsia="微软雅黑" w:cs="微软雅黑"/>
          <w:b/>
          <w:bCs/>
          <w:highlight w:val="none"/>
          <w:lang w:val="en-US" w:eastAsia="zh-CN"/>
        </w:rPr>
        <w:t>4.</w:t>
      </w:r>
      <w:r>
        <w:rPr>
          <w:rFonts w:hint="eastAsia" w:ascii="微软雅黑" w:hAnsi="微软雅黑" w:eastAsia="微软雅黑" w:cs="微软雅黑"/>
          <w:b/>
          <w:bCs/>
          <w:highlight w:val="none"/>
          <w:lang w:eastAsia="zh-CN"/>
        </w:rPr>
        <w:t>工作界面要求：</w:t>
      </w:r>
      <w:r>
        <w:rPr>
          <w:rFonts w:hint="eastAsia" w:ascii="微软雅黑" w:hAnsi="微软雅黑" w:eastAsia="微软雅黑" w:cs="微软雅黑"/>
          <w:bCs/>
          <w:highlight w:val="none"/>
          <w:lang w:eastAsia="zh-CN"/>
        </w:rPr>
        <w:t>由乙方提供的内容：提供加工设备、</w:t>
      </w:r>
      <w:r>
        <w:rPr>
          <w:rFonts w:hint="eastAsia" w:ascii="微软雅黑" w:hAnsi="微软雅黑" w:eastAsia="微软雅黑" w:cs="微软雅黑"/>
          <w:bCs/>
          <w:highlight w:val="none"/>
          <w:lang w:val="en-US" w:eastAsia="zh-CN"/>
        </w:rPr>
        <w:t>六水合硝酸镍、</w:t>
      </w:r>
      <w:r>
        <w:rPr>
          <w:rFonts w:hint="eastAsia" w:ascii="微软雅黑" w:hAnsi="微软雅黑" w:eastAsia="微软雅黑" w:cs="微软雅黑"/>
          <w:bCs/>
          <w:highlight w:val="none"/>
          <w:lang w:eastAsia="zh-CN"/>
        </w:rPr>
        <w:t>加工辅料、操作人员、公用工程配套、现场管理等；由甲方提供的内容：提供催化剂加工</w:t>
      </w:r>
      <w:r>
        <w:rPr>
          <w:rFonts w:hint="eastAsia" w:ascii="微软雅黑" w:hAnsi="微软雅黑" w:eastAsia="微软雅黑" w:cs="微软雅黑"/>
          <w:highlight w:val="none"/>
          <w:lang w:eastAsia="zh-CN"/>
        </w:rPr>
        <w:t>专用粉体、金属盐及必要的助剂，</w:t>
      </w:r>
      <w:r>
        <w:rPr>
          <w:rFonts w:hint="eastAsia" w:ascii="微软雅黑" w:hAnsi="微软雅黑" w:eastAsia="微软雅黑" w:cs="微软雅黑"/>
          <w:bCs/>
          <w:highlight w:val="none"/>
          <w:lang w:eastAsia="zh-CN"/>
        </w:rPr>
        <w:t>制定技术方案、现场指导。</w:t>
      </w:r>
    </w:p>
    <w:p>
      <w:pPr>
        <w:pStyle w:val="3"/>
        <w:spacing w:line="360" w:lineRule="auto"/>
        <w:ind w:right="115" w:rightChars="55" w:firstLine="420"/>
        <w:rPr>
          <w:rFonts w:hint="eastAsia" w:ascii="微软雅黑" w:hAnsi="微软雅黑" w:eastAsia="微软雅黑" w:cs="微软雅黑"/>
          <w:highlight w:val="none"/>
          <w:lang w:eastAsia="zh-CN"/>
        </w:rPr>
      </w:pPr>
      <w:r>
        <w:rPr>
          <w:rFonts w:hint="eastAsia" w:ascii="微软雅黑" w:hAnsi="微软雅黑" w:eastAsia="微软雅黑" w:cs="微软雅黑"/>
          <w:b/>
          <w:bCs/>
          <w:highlight w:val="none"/>
          <w:lang w:val="en-US" w:eastAsia="zh-CN"/>
        </w:rPr>
        <w:t>5.</w:t>
      </w:r>
      <w:r>
        <w:rPr>
          <w:rFonts w:hint="eastAsia" w:ascii="微软雅黑" w:hAnsi="微软雅黑" w:eastAsia="微软雅黑" w:cs="微软雅黑"/>
          <w:b/>
          <w:bCs/>
          <w:highlight w:val="none"/>
          <w:lang w:eastAsia="zh-CN"/>
        </w:rPr>
        <w:t>保密要求：</w:t>
      </w:r>
      <w:r>
        <w:rPr>
          <w:rFonts w:hint="eastAsia" w:ascii="微软雅黑" w:hAnsi="微软雅黑" w:eastAsia="微软雅黑" w:cs="微软雅黑"/>
          <w:color w:val="auto"/>
          <w:highlight w:val="none"/>
          <w:lang w:eastAsia="zh-CN"/>
        </w:rPr>
        <w:t>乙方需遵守合同保密条款，不得将</w:t>
      </w:r>
      <w:r>
        <w:rPr>
          <w:rFonts w:hint="eastAsia" w:ascii="微软雅黑" w:hAnsi="微软雅黑" w:eastAsia="微软雅黑" w:cs="微软雅黑"/>
          <w:color w:val="auto"/>
          <w:highlight w:val="none"/>
          <w:lang w:val="en-US" w:eastAsia="zh-CN"/>
        </w:rPr>
        <w:t>甲方</w:t>
      </w:r>
      <w:r>
        <w:rPr>
          <w:rFonts w:hint="eastAsia" w:ascii="微软雅黑" w:hAnsi="微软雅黑" w:eastAsia="微软雅黑" w:cs="微软雅黑"/>
          <w:color w:val="auto"/>
          <w:highlight w:val="none"/>
          <w:lang w:eastAsia="zh-CN"/>
        </w:rPr>
        <w:t>生产参数等信息泄露给第三方企业或个人，对其行为造成的后果承担全部责任。</w:t>
      </w:r>
    </w:p>
    <w:p>
      <w:pPr>
        <w:pStyle w:val="3"/>
        <w:spacing w:line="257" w:lineRule="auto"/>
        <w:ind w:right="115" w:rightChars="55" w:firstLine="420"/>
        <w:rPr>
          <w:rFonts w:hint="eastAsia" w:ascii="微软雅黑" w:hAnsi="微软雅黑" w:eastAsia="微软雅黑" w:cs="Times New Roman"/>
          <w:bCs/>
          <w:color w:val="auto"/>
          <w:sz w:val="24"/>
          <w:szCs w:val="24"/>
          <w:lang w:eastAsia="zh-CN"/>
        </w:rPr>
      </w:pPr>
      <w:r>
        <w:rPr>
          <w:rFonts w:hint="eastAsia" w:ascii="微软雅黑" w:hAnsi="微软雅黑" w:eastAsia="微软雅黑" w:cs="微软雅黑"/>
          <w:b/>
          <w:bCs/>
          <w:highlight w:val="none"/>
          <w:lang w:val="en-US" w:eastAsia="zh-CN"/>
        </w:rPr>
        <w:t>6.</w:t>
      </w:r>
      <w:r>
        <w:rPr>
          <w:rFonts w:hint="eastAsia" w:ascii="微软雅黑" w:hAnsi="微软雅黑" w:eastAsia="微软雅黑" w:cs="微软雅黑"/>
          <w:b/>
          <w:bCs/>
          <w:highlight w:val="none"/>
          <w:lang w:eastAsia="zh-CN"/>
        </w:rPr>
        <w:t>培训要求：</w:t>
      </w:r>
      <w:r>
        <w:rPr>
          <w:rFonts w:hint="eastAsia" w:ascii="微软雅黑" w:hAnsi="微软雅黑" w:eastAsia="微软雅黑" w:cs="微软雅黑"/>
          <w:bCs/>
          <w:highlight w:val="none"/>
          <w:lang w:eastAsia="zh-CN"/>
        </w:rPr>
        <w:t>由甲方技术人员进行现场监督指导。</w:t>
      </w:r>
    </w:p>
    <w:bookmarkEnd w:id="3"/>
    <w:bookmarkEnd w:id="4"/>
    <w:p>
      <w:pPr>
        <w:pStyle w:val="33"/>
        <w:numPr>
          <w:ilvl w:val="0"/>
          <w:numId w:val="3"/>
        </w:numPr>
        <w:spacing w:before="120" w:after="120"/>
        <w:ind w:left="0" w:leftChars="0" w:firstLine="0" w:firstLineChars="0"/>
        <w:outlineLvl w:val="0"/>
        <w:rPr>
          <w:rFonts w:hint="eastAsia" w:ascii="微软雅黑" w:hAnsi="微软雅黑" w:eastAsia="微软雅黑" w:cs="Times New Roman"/>
          <w:bCs/>
          <w:color w:val="auto"/>
          <w:sz w:val="24"/>
          <w:szCs w:val="24"/>
          <w:lang w:val="en-US" w:eastAsia="zh-CN"/>
        </w:rPr>
      </w:pPr>
      <w:r>
        <w:rPr>
          <w:rFonts w:hint="eastAsia" w:ascii="微软雅黑" w:hAnsi="微软雅黑" w:eastAsia="微软雅黑" w:cs="Times New Roman"/>
          <w:bCs/>
          <w:color w:val="auto"/>
          <w:sz w:val="24"/>
          <w:szCs w:val="24"/>
          <w:lang w:val="en-US" w:eastAsia="zh-CN"/>
        </w:rPr>
        <w:t>配备资源要求</w:t>
      </w:r>
    </w:p>
    <w:p>
      <w:pPr>
        <w:widowControl w:val="0"/>
        <w:spacing w:line="257" w:lineRule="auto"/>
        <w:ind w:right="115" w:rightChars="55" w:firstLine="283" w:firstLineChars="135"/>
        <w:jc w:val="both"/>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1、 机具要求</w:t>
      </w:r>
    </w:p>
    <w:p>
      <w:pPr>
        <w:keepNext w:val="0"/>
        <w:keepLines w:val="0"/>
        <w:pageBreakBefore w:val="0"/>
        <w:widowControl w:val="0"/>
        <w:kinsoku/>
        <w:wordWrap/>
        <w:overflowPunct/>
        <w:topLinePunct w:val="0"/>
        <w:bidi w:val="0"/>
        <w:adjustRightInd w:val="0"/>
        <w:snapToGrid w:val="0"/>
        <w:spacing w:line="360" w:lineRule="auto"/>
        <w:ind w:right="115" w:rightChars="55" w:firstLine="491" w:firstLineChars="234"/>
        <w:jc w:val="both"/>
        <w:rPr>
          <w:rFonts w:hint="eastAsia" w:ascii="微软雅黑" w:hAnsi="微软雅黑" w:eastAsia="微软雅黑" w:cs="微软雅黑"/>
          <w:color w:val="auto"/>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bidi="ar-SA"/>
        </w:rPr>
        <w:t>乙方投标时按照如下要求提供材料：</w:t>
      </w:r>
    </w:p>
    <w:p>
      <w:pPr>
        <w:adjustRightInd w:val="0"/>
        <w:snapToGrid w:val="0"/>
        <w:spacing w:line="336" w:lineRule="auto"/>
        <w:jc w:val="both"/>
        <w:rPr>
          <w:rFonts w:hint="eastAsia" w:ascii="微软雅黑" w:hAnsi="微软雅黑" w:eastAsia="微软雅黑" w:cs="Times New Roman"/>
          <w:b/>
          <w:bCs/>
          <w:color w:val="auto"/>
          <w:kern w:val="0"/>
          <w:sz w:val="21"/>
          <w:szCs w:val="21"/>
          <w:highlight w:val="none"/>
          <w:lang w:val="en-US" w:eastAsia="zh-CN"/>
        </w:rPr>
      </w:pPr>
      <w:r>
        <w:rPr>
          <w:rFonts w:hint="eastAsia" w:ascii="微软雅黑" w:hAnsi="微软雅黑" w:eastAsia="微软雅黑" w:cs="微软雅黑"/>
          <w:color w:val="auto"/>
          <w:highlight w:val="none"/>
          <w:lang w:eastAsia="zh-CN"/>
        </w:rPr>
        <w:t>★</w:t>
      </w:r>
      <w:r>
        <w:rPr>
          <w:rFonts w:hint="eastAsia" w:ascii="微软雅黑" w:hAnsi="微软雅黑" w:eastAsia="微软雅黑" w:cs="Times New Roman"/>
          <w:b/>
          <w:bCs/>
          <w:color w:val="auto"/>
          <w:sz w:val="21"/>
          <w:szCs w:val="21"/>
          <w:highlight w:val="none"/>
          <w:lang w:eastAsia="zh-CN"/>
        </w:rPr>
        <w:t>以下设备为★项设备，</w:t>
      </w:r>
      <w:r>
        <w:rPr>
          <w:rFonts w:hint="eastAsia" w:ascii="微软雅黑" w:hAnsi="微软雅黑" w:eastAsia="微软雅黑" w:cs="Times New Roman"/>
          <w:b/>
          <w:bCs/>
          <w:color w:val="auto"/>
          <w:kern w:val="0"/>
          <w:sz w:val="21"/>
          <w:szCs w:val="21"/>
          <w:highlight w:val="none"/>
          <w:lang w:val="en-US" w:eastAsia="zh-CN"/>
        </w:rPr>
        <w:t>需提供如下设备（至少1台）的照片，同时提供设备采购合同或发票，如设备照片或证明材料中无法体现所要求的参数，则需另附设备技术参数说明文件</w:t>
      </w:r>
    </w:p>
    <w:p>
      <w:pPr>
        <w:pStyle w:val="13"/>
        <w:rPr>
          <w:rFonts w:hint="default"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b w:val="0"/>
          <w:bCs w:val="0"/>
          <w:color w:val="auto"/>
          <w:kern w:val="0"/>
          <w:sz w:val="21"/>
          <w:szCs w:val="21"/>
          <w:highlight w:val="none"/>
          <w:lang w:val="en-US" w:eastAsia="zh-CN"/>
        </w:rPr>
        <w:t>挤条机规格要求完全引用《CGBZ018-TY-2024 采购技术标准-汽柴油精制剂加工》中的要求；</w:t>
      </w:r>
      <w:r>
        <w:rPr>
          <w:rFonts w:hint="eastAsia" w:ascii="微软雅黑" w:hAnsi="微软雅黑" w:eastAsia="微软雅黑" w:cs="微软雅黑"/>
          <w:color w:val="auto"/>
          <w:sz w:val="21"/>
          <w:szCs w:val="21"/>
          <w:highlight w:val="none"/>
          <w:lang w:val="en-US" w:eastAsia="zh-CN" w:bidi="ar-SA"/>
        </w:rPr>
        <w:t>网带窑、</w:t>
      </w:r>
      <w:r>
        <w:rPr>
          <w:rFonts w:hint="eastAsia" w:ascii="微软雅黑" w:hAnsi="微软雅黑" w:eastAsia="微软雅黑" w:cs="微软雅黑"/>
          <w:color w:val="auto"/>
          <w:sz w:val="21"/>
          <w:szCs w:val="21"/>
          <w:highlight w:val="none"/>
          <w:lang w:val="en-US" w:eastAsia="zh-CN"/>
        </w:rPr>
        <w:t>转炉或回转炉或回转窑规格要求</w:t>
      </w:r>
      <w:r>
        <w:rPr>
          <w:rFonts w:hint="eastAsia" w:ascii="微软雅黑" w:hAnsi="微软雅黑" w:eastAsia="微软雅黑" w:cs="微软雅黑"/>
          <w:b w:val="0"/>
          <w:bCs w:val="0"/>
          <w:color w:val="auto"/>
          <w:kern w:val="0"/>
          <w:sz w:val="21"/>
          <w:szCs w:val="21"/>
          <w:highlight w:val="none"/>
          <w:lang w:val="en-US" w:eastAsia="zh-CN"/>
        </w:rPr>
        <w:t>完全引用《CGBZ-ⅡHF0332-2025 采购标准-球形钼催化剂加工服务》中规格要求。</w:t>
      </w:r>
    </w:p>
    <w:p>
      <w:pPr>
        <w:pStyle w:val="13"/>
        <w:rPr>
          <w:rFonts w:hint="eastAsia"/>
          <w:lang w:val="en-US" w:eastAsia="zh-CN"/>
        </w:rPr>
      </w:pP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9"/>
        <w:gridCol w:w="1326"/>
        <w:gridCol w:w="3583"/>
        <w:gridCol w:w="1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pct"/>
            <w:noWrap w:val="0"/>
            <w:vAlign w:val="center"/>
          </w:tcPr>
          <w:p>
            <w:pPr>
              <w:widowControl w:val="0"/>
              <w:adjustRightInd w:val="0"/>
              <w:snapToGrid w:val="0"/>
              <w:spacing w:line="360" w:lineRule="auto"/>
              <w:ind w:right="115" w:rightChars="55" w:firstLine="420" w:firstLineChars="200"/>
              <w:jc w:val="left"/>
              <w:rPr>
                <w:rFonts w:hint="eastAsia" w:ascii="微软雅黑" w:hAnsi="微软雅黑" w:eastAsia="微软雅黑" w:cs="微软雅黑"/>
                <w:b/>
                <w:sz w:val="21"/>
                <w:szCs w:val="21"/>
                <w:highlight w:val="none"/>
                <w:lang w:val="en-US" w:eastAsia="zh-CN" w:bidi="ar-SA"/>
              </w:rPr>
            </w:pPr>
            <w:r>
              <w:rPr>
                <w:rFonts w:hint="eastAsia" w:ascii="微软雅黑" w:hAnsi="微软雅黑" w:eastAsia="微软雅黑" w:cs="微软雅黑"/>
                <w:b/>
                <w:sz w:val="21"/>
                <w:szCs w:val="21"/>
                <w:highlight w:val="none"/>
                <w:lang w:val="en-US" w:eastAsia="zh-CN" w:bidi="ar-SA"/>
              </w:rPr>
              <w:t>是否星号项</w:t>
            </w:r>
          </w:p>
        </w:tc>
        <w:tc>
          <w:tcPr>
            <w:tcW w:w="778" w:type="pct"/>
            <w:noWrap w:val="0"/>
            <w:vAlign w:val="center"/>
          </w:tcPr>
          <w:p>
            <w:pPr>
              <w:widowControl w:val="0"/>
              <w:adjustRightInd w:val="0"/>
              <w:snapToGrid w:val="0"/>
              <w:ind w:right="115" w:rightChars="55" w:firstLine="0" w:firstLineChars="0"/>
              <w:jc w:val="center"/>
              <w:rPr>
                <w:rFonts w:hint="eastAsia" w:ascii="微软雅黑" w:hAnsi="微软雅黑" w:eastAsia="微软雅黑" w:cs="微软雅黑"/>
                <w:b/>
                <w:sz w:val="21"/>
                <w:szCs w:val="21"/>
                <w:highlight w:val="none"/>
                <w:lang w:val="en-US" w:eastAsia="zh-CN" w:bidi="ar-SA"/>
              </w:rPr>
            </w:pPr>
            <w:r>
              <w:rPr>
                <w:rFonts w:hint="eastAsia" w:ascii="微软雅黑" w:hAnsi="微软雅黑" w:eastAsia="微软雅黑" w:cs="微软雅黑"/>
                <w:b/>
                <w:sz w:val="21"/>
                <w:szCs w:val="21"/>
                <w:highlight w:val="none"/>
                <w:lang w:val="en-US" w:eastAsia="zh-CN" w:bidi="ar-SA"/>
              </w:rPr>
              <w:t>名称</w:t>
            </w:r>
          </w:p>
        </w:tc>
        <w:tc>
          <w:tcPr>
            <w:tcW w:w="2102" w:type="pct"/>
            <w:noWrap w:val="0"/>
            <w:vAlign w:val="center"/>
          </w:tcPr>
          <w:p>
            <w:pPr>
              <w:widowControl w:val="0"/>
              <w:adjustRightInd w:val="0"/>
              <w:snapToGrid w:val="0"/>
              <w:ind w:right="115" w:rightChars="55" w:firstLine="0" w:firstLineChars="0"/>
              <w:jc w:val="center"/>
              <w:rPr>
                <w:rFonts w:hint="eastAsia" w:ascii="微软雅黑" w:hAnsi="微软雅黑" w:eastAsia="微软雅黑" w:cs="微软雅黑"/>
                <w:b/>
                <w:sz w:val="21"/>
                <w:szCs w:val="21"/>
                <w:highlight w:val="none"/>
                <w:lang w:val="en-US" w:eastAsia="zh-CN" w:bidi="ar-SA"/>
              </w:rPr>
            </w:pPr>
            <w:r>
              <w:rPr>
                <w:rFonts w:hint="eastAsia" w:ascii="微软雅黑" w:hAnsi="微软雅黑" w:eastAsia="微软雅黑" w:cs="微软雅黑"/>
                <w:b/>
                <w:sz w:val="21"/>
                <w:szCs w:val="21"/>
                <w:highlight w:val="none"/>
                <w:lang w:val="en-US" w:eastAsia="zh-CN" w:bidi="ar-SA"/>
              </w:rPr>
              <w:t>规格</w:t>
            </w:r>
          </w:p>
        </w:tc>
        <w:tc>
          <w:tcPr>
            <w:tcW w:w="963" w:type="pct"/>
            <w:noWrap w:val="0"/>
            <w:vAlign w:val="center"/>
          </w:tcPr>
          <w:p>
            <w:pPr>
              <w:widowControl w:val="0"/>
              <w:adjustRightInd w:val="0"/>
              <w:snapToGrid w:val="0"/>
              <w:ind w:right="115" w:rightChars="55" w:firstLine="0" w:firstLineChars="0"/>
              <w:jc w:val="center"/>
              <w:rPr>
                <w:rFonts w:hint="eastAsia" w:ascii="微软雅黑" w:hAnsi="微软雅黑" w:eastAsia="微软雅黑" w:cs="微软雅黑"/>
                <w:b/>
                <w:sz w:val="21"/>
                <w:szCs w:val="21"/>
                <w:highlight w:val="none"/>
                <w:lang w:val="en-US" w:eastAsia="zh-CN" w:bidi="ar-SA"/>
              </w:rPr>
            </w:pPr>
            <w:r>
              <w:rPr>
                <w:rFonts w:hint="eastAsia" w:ascii="微软雅黑" w:hAnsi="微软雅黑" w:eastAsia="微软雅黑" w:cs="微软雅黑"/>
                <w:b/>
                <w:sz w:val="21"/>
                <w:szCs w:val="21"/>
                <w:highlight w:val="none"/>
                <w:lang w:val="en-US" w:eastAsia="zh-CN" w:bidi="ar-SA"/>
              </w:rPr>
              <w:t>预估数量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pct"/>
            <w:noWrap w:val="0"/>
            <w:vAlign w:val="center"/>
          </w:tcPr>
          <w:p>
            <w:pPr>
              <w:pStyle w:val="6"/>
              <w:widowControl/>
              <w:pBdr>
                <w:top w:val="none" w:color="auto" w:sz="0" w:space="0"/>
                <w:left w:val="none" w:color="auto" w:sz="0" w:space="0"/>
                <w:bottom w:val="none" w:color="auto" w:sz="0" w:space="0"/>
                <w:right w:val="none" w:color="auto" w:sz="0" w:space="0"/>
              </w:pBdr>
              <w:shd w:val="clear" w:color="auto" w:fill="FFFFFF"/>
              <w:adjustRightInd w:val="0"/>
              <w:snapToGrid w:val="0"/>
              <w:spacing w:after="60" w:line="330" w:lineRule="atLeast"/>
              <w:jc w:val="center"/>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caps w:val="0"/>
                <w:color w:val="2440B3"/>
                <w:spacing w:val="0"/>
                <w:sz w:val="24"/>
                <w:szCs w:val="24"/>
                <w:highlight w:val="none"/>
                <w:u w:val="single"/>
                <w:shd w:val="clear" w:color="auto" w:fill="FFFFFF"/>
              </w:rPr>
              <w:fldChar w:fldCharType="begin"/>
            </w:r>
            <w:r>
              <w:rPr>
                <w:rFonts w:hint="eastAsia" w:ascii="微软雅黑" w:hAnsi="微软雅黑" w:eastAsia="微软雅黑" w:cs="微软雅黑"/>
                <w:caps w:val="0"/>
                <w:color w:val="2440B3"/>
                <w:spacing w:val="0"/>
                <w:sz w:val="24"/>
                <w:szCs w:val="24"/>
                <w:highlight w:val="none"/>
                <w:u w:val="single"/>
                <w:shd w:val="clear" w:color="auto" w:fill="FFFFFF"/>
              </w:rPr>
              <w:instrText xml:space="preserve"> HYPERLINK "https://www.baidu.com/link?url=znZZgorSrtlaiR0f-n2wff7zUfVfyWCOI3yQYQPAmQJoTM6mCMndY0bzGZYsGBDU&amp;wd=&amp;eqid=f6bf79560000ec990000000267a32dc3" \t "https://www.baidu.com/_blank" </w:instrText>
            </w:r>
            <w:r>
              <w:rPr>
                <w:rFonts w:hint="eastAsia" w:ascii="微软雅黑" w:hAnsi="微软雅黑" w:eastAsia="微软雅黑" w:cs="微软雅黑"/>
                <w:caps w:val="0"/>
                <w:color w:val="2440B3"/>
                <w:spacing w:val="0"/>
                <w:sz w:val="24"/>
                <w:szCs w:val="24"/>
                <w:highlight w:val="none"/>
                <w:u w:val="single"/>
                <w:shd w:val="clear" w:color="auto" w:fill="FFFFFF"/>
              </w:rPr>
              <w:fldChar w:fldCharType="separate"/>
            </w:r>
            <w:r>
              <w:rPr>
                <w:rStyle w:val="26"/>
                <w:rFonts w:hint="eastAsia" w:ascii="微软雅黑" w:hAnsi="微软雅黑" w:eastAsia="微软雅黑" w:cs="微软雅黑"/>
                <w:caps w:val="0"/>
                <w:color w:val="2440B3"/>
                <w:spacing w:val="0"/>
                <w:sz w:val="24"/>
                <w:szCs w:val="24"/>
                <w:highlight w:val="none"/>
                <w:u w:val="single"/>
                <w:shd w:val="clear" w:color="auto" w:fill="FFFFFF"/>
                <w:lang w:eastAsia="en-US" w:bidi="ar-SA"/>
              </w:rPr>
              <w:t>★</w:t>
            </w:r>
            <w:r>
              <w:rPr>
                <w:rFonts w:hint="eastAsia" w:ascii="微软雅黑" w:hAnsi="微软雅黑" w:eastAsia="微软雅黑" w:cs="微软雅黑"/>
                <w:caps w:val="0"/>
                <w:color w:val="2440B3"/>
                <w:spacing w:val="0"/>
                <w:sz w:val="24"/>
                <w:szCs w:val="24"/>
                <w:highlight w:val="none"/>
                <w:u w:val="single"/>
                <w:shd w:val="clear" w:color="auto" w:fill="FFFFFF"/>
              </w:rPr>
              <w:fldChar w:fldCharType="end"/>
            </w:r>
          </w:p>
        </w:tc>
        <w:tc>
          <w:tcPr>
            <w:tcW w:w="778" w:type="pct"/>
            <w:noWrap w:val="0"/>
            <w:vAlign w:val="center"/>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挤条机</w:t>
            </w:r>
          </w:p>
        </w:tc>
        <w:tc>
          <w:tcPr>
            <w:tcW w:w="2102" w:type="pct"/>
            <w:noWrap w:val="0"/>
            <w:vAlign w:val="center"/>
          </w:tcPr>
          <w:p>
            <w:pPr>
              <w:widowControl/>
              <w:adjustRightInd w:val="0"/>
              <w:snapToGrid w:val="0"/>
              <w:jc w:val="center"/>
              <w:rPr>
                <w:rFonts w:hint="eastAsia" w:ascii="微软雅黑" w:hAnsi="微软雅黑" w:eastAsia="微软雅黑" w:cs="微软雅黑"/>
                <w:sz w:val="21"/>
                <w:szCs w:val="21"/>
                <w:highlight w:val="none"/>
                <w:lang w:eastAsia="zh-CN"/>
              </w:rPr>
            </w:pPr>
            <w:r>
              <w:rPr>
                <w:rFonts w:hint="eastAsia" w:ascii="微软雅黑" w:hAnsi="微软雅黑" w:eastAsia="微软雅黑" w:cs="微软雅黑"/>
                <w:sz w:val="21"/>
                <w:szCs w:val="21"/>
                <w:highlight w:val="none"/>
                <w:lang w:eastAsia="zh-CN"/>
              </w:rPr>
              <w:t>单台挤条机功率不低于</w:t>
            </w:r>
            <w:r>
              <w:rPr>
                <w:rFonts w:hint="eastAsia" w:ascii="微软雅黑" w:hAnsi="微软雅黑" w:eastAsia="微软雅黑" w:cs="微软雅黑"/>
                <w:sz w:val="21"/>
                <w:szCs w:val="21"/>
                <w:highlight w:val="none"/>
                <w:lang w:val="en-US" w:eastAsia="zh-CN"/>
              </w:rPr>
              <w:t>37</w:t>
            </w:r>
            <w:r>
              <w:rPr>
                <w:rFonts w:hint="eastAsia" w:ascii="微软雅黑" w:hAnsi="微软雅黑" w:eastAsia="微软雅黑" w:cs="微软雅黑"/>
                <w:sz w:val="21"/>
                <w:szCs w:val="21"/>
                <w:highlight w:val="none"/>
                <w:lang w:eastAsia="zh-CN"/>
              </w:rPr>
              <w:t>kw</w:t>
            </w:r>
          </w:p>
        </w:tc>
        <w:tc>
          <w:tcPr>
            <w:tcW w:w="963"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不低于2台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55" w:type="pct"/>
            <w:noWrap w:val="0"/>
            <w:vAlign w:val="center"/>
          </w:tcPr>
          <w:p>
            <w:pPr>
              <w:pStyle w:val="6"/>
              <w:widowControl/>
              <w:pBdr>
                <w:top w:val="none" w:color="auto" w:sz="0" w:space="0"/>
                <w:left w:val="none" w:color="auto" w:sz="0" w:space="0"/>
                <w:bottom w:val="none" w:color="auto" w:sz="0" w:space="0"/>
                <w:right w:val="none" w:color="auto" w:sz="0" w:space="0"/>
              </w:pBdr>
              <w:shd w:val="clear" w:color="auto" w:fill="FFFFFF"/>
              <w:adjustRightInd w:val="0"/>
              <w:snapToGrid w:val="0"/>
              <w:spacing w:after="60" w:line="330" w:lineRule="atLeast"/>
              <w:jc w:val="center"/>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caps w:val="0"/>
                <w:color w:val="2440B3"/>
                <w:spacing w:val="0"/>
                <w:sz w:val="24"/>
                <w:szCs w:val="24"/>
                <w:highlight w:val="none"/>
                <w:u w:val="single"/>
                <w:shd w:val="clear" w:color="auto" w:fill="FFFFFF"/>
              </w:rPr>
              <w:fldChar w:fldCharType="begin"/>
            </w:r>
            <w:r>
              <w:rPr>
                <w:rFonts w:hint="eastAsia" w:ascii="微软雅黑" w:hAnsi="微软雅黑" w:eastAsia="微软雅黑" w:cs="微软雅黑"/>
                <w:caps w:val="0"/>
                <w:color w:val="2440B3"/>
                <w:spacing w:val="0"/>
                <w:sz w:val="24"/>
                <w:szCs w:val="24"/>
                <w:highlight w:val="none"/>
                <w:u w:val="single"/>
                <w:shd w:val="clear" w:color="auto" w:fill="FFFFFF"/>
              </w:rPr>
              <w:instrText xml:space="preserve"> HYPERLINK "https://www.baidu.com/link?url=znZZgorSrtlaiR0f-n2wff7zUfVfyWCOI3yQYQPAmQJoTM6mCMndY0bzGZYsGBDU&amp;wd=&amp;eqid=f6bf79560000ec990000000267a32dc3" \t "https://www.baidu.com/_blank" </w:instrText>
            </w:r>
            <w:r>
              <w:rPr>
                <w:rFonts w:hint="eastAsia" w:ascii="微软雅黑" w:hAnsi="微软雅黑" w:eastAsia="微软雅黑" w:cs="微软雅黑"/>
                <w:caps w:val="0"/>
                <w:color w:val="2440B3"/>
                <w:spacing w:val="0"/>
                <w:sz w:val="24"/>
                <w:szCs w:val="24"/>
                <w:highlight w:val="none"/>
                <w:u w:val="single"/>
                <w:shd w:val="clear" w:color="auto" w:fill="FFFFFF"/>
              </w:rPr>
              <w:fldChar w:fldCharType="separate"/>
            </w:r>
            <w:r>
              <w:rPr>
                <w:rStyle w:val="26"/>
                <w:rFonts w:hint="eastAsia" w:ascii="微软雅黑" w:hAnsi="微软雅黑" w:eastAsia="微软雅黑" w:cs="微软雅黑"/>
                <w:caps w:val="0"/>
                <w:color w:val="2440B3"/>
                <w:spacing w:val="0"/>
                <w:sz w:val="24"/>
                <w:szCs w:val="24"/>
                <w:highlight w:val="none"/>
                <w:u w:val="single"/>
                <w:shd w:val="clear" w:color="auto" w:fill="FFFFFF"/>
                <w:lang w:eastAsia="en-US" w:bidi="ar-SA"/>
              </w:rPr>
              <w:t>★</w:t>
            </w:r>
            <w:r>
              <w:rPr>
                <w:rFonts w:hint="eastAsia" w:ascii="微软雅黑" w:hAnsi="微软雅黑" w:eastAsia="微软雅黑" w:cs="微软雅黑"/>
                <w:caps w:val="0"/>
                <w:color w:val="2440B3"/>
                <w:spacing w:val="0"/>
                <w:sz w:val="24"/>
                <w:szCs w:val="24"/>
                <w:highlight w:val="none"/>
                <w:u w:val="single"/>
                <w:shd w:val="clear" w:color="auto" w:fill="FFFFFF"/>
              </w:rPr>
              <w:fldChar w:fldCharType="end"/>
            </w:r>
          </w:p>
        </w:tc>
        <w:tc>
          <w:tcPr>
            <w:tcW w:w="778" w:type="pct"/>
            <w:noWrap w:val="0"/>
            <w:vAlign w:val="center"/>
          </w:tcPr>
          <w:p>
            <w:pPr>
              <w:widowControl w:val="0"/>
              <w:adjustRightInd w:val="0"/>
              <w:snapToGrid w:val="0"/>
              <w:ind w:firstLine="0" w:firstLineChars="0"/>
              <w:jc w:val="left"/>
              <w:rPr>
                <w:rFonts w:hint="default"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网带窑</w:t>
            </w:r>
          </w:p>
        </w:tc>
        <w:tc>
          <w:tcPr>
            <w:tcW w:w="2102" w:type="pct"/>
            <w:noWrap w:val="0"/>
            <w:vAlign w:val="center"/>
          </w:tcPr>
          <w:p>
            <w:pPr>
              <w:widowControl w:val="0"/>
              <w:adjustRightInd w:val="0"/>
              <w:snapToGrid w:val="0"/>
              <w:ind w:firstLine="0" w:firstLineChars="0"/>
              <w:jc w:val="center"/>
              <w:rPr>
                <w:rFonts w:hint="default"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用于焙烧，最高温度不低于550℃，总面积不低于40m</w:t>
            </w:r>
            <w:r>
              <w:rPr>
                <w:rFonts w:hint="eastAsia" w:ascii="微软雅黑" w:hAnsi="微软雅黑" w:eastAsia="微软雅黑" w:cs="微软雅黑"/>
                <w:sz w:val="21"/>
                <w:szCs w:val="21"/>
                <w:highlight w:val="none"/>
                <w:vertAlign w:val="superscript"/>
                <w:lang w:val="en-US" w:eastAsia="zh-CN" w:bidi="ar-SA"/>
              </w:rPr>
              <w:t>2</w:t>
            </w:r>
          </w:p>
        </w:tc>
        <w:tc>
          <w:tcPr>
            <w:tcW w:w="963"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不低于1台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55" w:type="pct"/>
            <w:noWrap w:val="0"/>
            <w:vAlign w:val="center"/>
          </w:tcPr>
          <w:p>
            <w:pPr>
              <w:pStyle w:val="6"/>
              <w:widowControl/>
              <w:pBdr>
                <w:top w:val="none" w:color="auto" w:sz="0" w:space="0"/>
                <w:left w:val="none" w:color="auto" w:sz="0" w:space="0"/>
                <w:bottom w:val="none" w:color="auto" w:sz="0" w:space="0"/>
                <w:right w:val="none" w:color="auto" w:sz="0" w:space="0"/>
              </w:pBdr>
              <w:shd w:val="clear" w:color="auto" w:fill="FFFFFF"/>
              <w:adjustRightInd w:val="0"/>
              <w:snapToGrid w:val="0"/>
              <w:spacing w:after="60" w:line="330" w:lineRule="atLeast"/>
              <w:jc w:val="center"/>
              <w:rPr>
                <w:rFonts w:hint="eastAsia" w:ascii="微软雅黑" w:hAnsi="微软雅黑" w:eastAsia="微软雅黑" w:cs="微软雅黑"/>
                <w:caps w:val="0"/>
                <w:color w:val="2440B3"/>
                <w:spacing w:val="0"/>
                <w:sz w:val="24"/>
                <w:szCs w:val="24"/>
                <w:highlight w:val="none"/>
                <w:u w:val="single"/>
                <w:shd w:val="clear" w:color="auto" w:fill="FFFFFF"/>
              </w:rPr>
            </w:pPr>
            <w:r>
              <w:rPr>
                <w:rFonts w:hint="eastAsia" w:ascii="微软雅黑" w:hAnsi="微软雅黑" w:eastAsia="微软雅黑" w:cs="微软雅黑"/>
                <w:caps w:val="0"/>
                <w:color w:val="2440B3"/>
                <w:spacing w:val="0"/>
                <w:sz w:val="24"/>
                <w:szCs w:val="24"/>
                <w:highlight w:val="none"/>
                <w:u w:val="single"/>
                <w:shd w:val="clear" w:color="auto" w:fill="FFFFFF"/>
              </w:rPr>
              <w:fldChar w:fldCharType="begin"/>
            </w:r>
            <w:r>
              <w:rPr>
                <w:rFonts w:hint="eastAsia" w:ascii="微软雅黑" w:hAnsi="微软雅黑" w:eastAsia="微软雅黑" w:cs="微软雅黑"/>
                <w:caps w:val="0"/>
                <w:color w:val="2440B3"/>
                <w:spacing w:val="0"/>
                <w:sz w:val="24"/>
                <w:szCs w:val="24"/>
                <w:highlight w:val="none"/>
                <w:u w:val="single"/>
                <w:shd w:val="clear" w:color="auto" w:fill="FFFFFF"/>
              </w:rPr>
              <w:instrText xml:space="preserve"> HYPERLINK "https://www.baidu.com/link?url=znZZgorSrtlaiR0f-n2wff7zUfVfyWCOI3yQYQPAmQJoTM6mCMndY0bzGZYsGBDU&amp;wd=&amp;eqid=f6bf79560000ec990000000267a32dc3" \t "https://www.baidu.com/_blank" </w:instrText>
            </w:r>
            <w:r>
              <w:rPr>
                <w:rFonts w:hint="eastAsia" w:ascii="微软雅黑" w:hAnsi="微软雅黑" w:eastAsia="微软雅黑" w:cs="微软雅黑"/>
                <w:caps w:val="0"/>
                <w:color w:val="2440B3"/>
                <w:spacing w:val="0"/>
                <w:sz w:val="24"/>
                <w:szCs w:val="24"/>
                <w:highlight w:val="none"/>
                <w:u w:val="single"/>
                <w:shd w:val="clear" w:color="auto" w:fill="FFFFFF"/>
              </w:rPr>
              <w:fldChar w:fldCharType="separate"/>
            </w:r>
            <w:r>
              <w:rPr>
                <w:rStyle w:val="26"/>
                <w:rFonts w:hint="eastAsia" w:ascii="微软雅黑" w:hAnsi="微软雅黑" w:eastAsia="微软雅黑" w:cs="微软雅黑"/>
                <w:caps w:val="0"/>
                <w:color w:val="2440B3"/>
                <w:spacing w:val="0"/>
                <w:sz w:val="24"/>
                <w:szCs w:val="24"/>
                <w:highlight w:val="none"/>
                <w:u w:val="single"/>
                <w:shd w:val="clear" w:color="auto" w:fill="FFFFFF"/>
                <w:lang w:eastAsia="en-US" w:bidi="ar-SA"/>
              </w:rPr>
              <w:t>★</w:t>
            </w:r>
            <w:r>
              <w:rPr>
                <w:rFonts w:hint="eastAsia" w:ascii="微软雅黑" w:hAnsi="微软雅黑" w:eastAsia="微软雅黑" w:cs="微软雅黑"/>
                <w:caps w:val="0"/>
                <w:color w:val="2440B3"/>
                <w:spacing w:val="0"/>
                <w:sz w:val="24"/>
                <w:szCs w:val="24"/>
                <w:highlight w:val="none"/>
                <w:u w:val="single"/>
                <w:shd w:val="clear" w:color="auto" w:fill="FFFFFF"/>
              </w:rPr>
              <w:fldChar w:fldCharType="end"/>
            </w:r>
          </w:p>
        </w:tc>
        <w:tc>
          <w:tcPr>
            <w:tcW w:w="1326" w:type="dxa"/>
            <w:noWrap w:val="0"/>
            <w:vAlign w:val="center"/>
          </w:tcPr>
          <w:p>
            <w:pPr>
              <w:pStyle w:val="3"/>
              <w:adjustRightInd w:val="0"/>
              <w:snapToGrid w:val="0"/>
              <w:ind w:firstLine="0" w:firstLineChars="0"/>
              <w:jc w:val="center"/>
              <w:rPr>
                <w:rFonts w:hint="default" w:ascii="微软雅黑" w:hAnsi="微软雅黑" w:eastAsia="微软雅黑" w:cs="微软雅黑"/>
                <w:sz w:val="21"/>
                <w:szCs w:val="21"/>
                <w:highlight w:val="none"/>
                <w:lang w:val="en-US" w:eastAsia="zh-CN" w:bidi="ar-SA"/>
              </w:rPr>
            </w:pPr>
            <w:r>
              <w:rPr>
                <w:rFonts w:hint="eastAsia" w:ascii="微软雅黑" w:hAnsi="微软雅黑" w:eastAsia="微软雅黑" w:cs="微软雅黑"/>
                <w:highlight w:val="none"/>
                <w:lang w:val="en-US" w:eastAsia="zh-CN"/>
              </w:rPr>
              <w:t>转炉或回转炉或回转窑</w:t>
            </w:r>
          </w:p>
        </w:tc>
        <w:tc>
          <w:tcPr>
            <w:tcW w:w="3583" w:type="dxa"/>
            <w:noWrap w:val="0"/>
            <w:vAlign w:val="center"/>
          </w:tcPr>
          <w:p>
            <w:pPr>
              <w:pStyle w:val="3"/>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highlight w:val="none"/>
                <w:lang w:val="en-US" w:eastAsia="zh-CN"/>
              </w:rPr>
              <w:t>温度≥550℃，单台长度不低于12m</w:t>
            </w:r>
          </w:p>
        </w:tc>
        <w:tc>
          <w:tcPr>
            <w:tcW w:w="963"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不低于1台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55" w:type="pct"/>
            <w:noWrap w:val="0"/>
            <w:vAlign w:val="center"/>
          </w:tcPr>
          <w:p>
            <w:pPr>
              <w:pStyle w:val="6"/>
              <w:widowControl/>
              <w:pBdr>
                <w:top w:val="none" w:color="auto" w:sz="0" w:space="0"/>
                <w:left w:val="none" w:color="auto" w:sz="0" w:space="0"/>
                <w:bottom w:val="none" w:color="auto" w:sz="0" w:space="0"/>
                <w:right w:val="none" w:color="auto" w:sz="0" w:space="0"/>
              </w:pBdr>
              <w:shd w:val="clear" w:color="auto" w:fill="FFFFFF"/>
              <w:adjustRightInd w:val="0"/>
              <w:snapToGrid w:val="0"/>
              <w:spacing w:after="60" w:line="330" w:lineRule="atLeast"/>
              <w:jc w:val="center"/>
              <w:rPr>
                <w:rFonts w:hint="eastAsia" w:ascii="微软雅黑" w:hAnsi="微软雅黑" w:eastAsia="微软雅黑" w:cs="微软雅黑"/>
                <w:caps w:val="0"/>
                <w:color w:val="2440B3"/>
                <w:spacing w:val="0"/>
                <w:sz w:val="24"/>
                <w:szCs w:val="24"/>
                <w:highlight w:val="none"/>
                <w:u w:val="single"/>
                <w:shd w:val="clear" w:color="auto" w:fill="FFFFFF"/>
              </w:rPr>
            </w:pPr>
            <w:r>
              <w:rPr>
                <w:rFonts w:hint="eastAsia" w:ascii="微软雅黑" w:hAnsi="微软雅黑" w:eastAsia="微软雅黑" w:cs="微软雅黑"/>
                <w:caps w:val="0"/>
                <w:color w:val="2440B3"/>
                <w:spacing w:val="0"/>
                <w:sz w:val="24"/>
                <w:szCs w:val="24"/>
                <w:highlight w:val="none"/>
                <w:u w:val="single"/>
                <w:shd w:val="clear" w:color="auto" w:fill="FFFFFF"/>
              </w:rPr>
              <w:fldChar w:fldCharType="begin"/>
            </w:r>
            <w:r>
              <w:rPr>
                <w:rFonts w:hint="eastAsia" w:ascii="微软雅黑" w:hAnsi="微软雅黑" w:eastAsia="微软雅黑" w:cs="微软雅黑"/>
                <w:caps w:val="0"/>
                <w:color w:val="2440B3"/>
                <w:spacing w:val="0"/>
                <w:sz w:val="24"/>
                <w:szCs w:val="24"/>
                <w:highlight w:val="none"/>
                <w:u w:val="single"/>
                <w:shd w:val="clear" w:color="auto" w:fill="FFFFFF"/>
              </w:rPr>
              <w:instrText xml:space="preserve"> HYPERLINK "https://www.baidu.com/link?url=znZZgorSrtlaiR0f-n2wff7zUfVfyWCOI3yQYQPAmQJoTM6mCMndY0bzGZYsGBDU&amp;wd=&amp;eqid=f6bf79560000ec990000000267a32dc3" \t "https://www.baidu.com/_blank" </w:instrText>
            </w:r>
            <w:r>
              <w:rPr>
                <w:rFonts w:hint="eastAsia" w:ascii="微软雅黑" w:hAnsi="微软雅黑" w:eastAsia="微软雅黑" w:cs="微软雅黑"/>
                <w:caps w:val="0"/>
                <w:color w:val="2440B3"/>
                <w:spacing w:val="0"/>
                <w:sz w:val="24"/>
                <w:szCs w:val="24"/>
                <w:highlight w:val="none"/>
                <w:u w:val="single"/>
                <w:shd w:val="clear" w:color="auto" w:fill="FFFFFF"/>
              </w:rPr>
              <w:fldChar w:fldCharType="separate"/>
            </w:r>
            <w:r>
              <w:rPr>
                <w:rStyle w:val="26"/>
                <w:rFonts w:hint="eastAsia" w:ascii="微软雅黑" w:hAnsi="微软雅黑" w:eastAsia="微软雅黑" w:cs="微软雅黑"/>
                <w:caps w:val="0"/>
                <w:color w:val="2440B3"/>
                <w:spacing w:val="0"/>
                <w:sz w:val="24"/>
                <w:szCs w:val="24"/>
                <w:highlight w:val="none"/>
                <w:u w:val="single"/>
                <w:shd w:val="clear" w:color="auto" w:fill="FFFFFF"/>
                <w:lang w:eastAsia="en-US" w:bidi="ar-SA"/>
              </w:rPr>
              <w:t>★</w:t>
            </w:r>
            <w:r>
              <w:rPr>
                <w:rFonts w:hint="eastAsia" w:ascii="微软雅黑" w:hAnsi="微软雅黑" w:eastAsia="微软雅黑" w:cs="微软雅黑"/>
                <w:caps w:val="0"/>
                <w:color w:val="2440B3"/>
                <w:spacing w:val="0"/>
                <w:sz w:val="24"/>
                <w:szCs w:val="24"/>
                <w:highlight w:val="none"/>
                <w:u w:val="single"/>
                <w:shd w:val="clear" w:color="auto" w:fill="FFFFFF"/>
              </w:rPr>
              <w:fldChar w:fldCharType="end"/>
            </w:r>
          </w:p>
        </w:tc>
        <w:tc>
          <w:tcPr>
            <w:tcW w:w="1326" w:type="dxa"/>
            <w:noWrap w:val="0"/>
            <w:vAlign w:val="center"/>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釜</w:t>
            </w:r>
          </w:p>
        </w:tc>
        <w:tc>
          <w:tcPr>
            <w:tcW w:w="3583" w:type="dxa"/>
            <w:noWrap w:val="0"/>
            <w:vAlign w:val="center"/>
          </w:tcPr>
          <w:p>
            <w:pPr>
              <w:widowControl w:val="0"/>
              <w:adjustRightInd w:val="0"/>
              <w:snapToGrid w:val="0"/>
              <w:ind w:firstLine="0" w:firstLineChars="0"/>
              <w:jc w:val="center"/>
              <w:rPr>
                <w:rFonts w:hint="eastAsia" w:ascii="微软雅黑" w:hAnsi="微软雅黑" w:eastAsia="微软雅黑" w:cs="微软雅黑"/>
                <w:color w:val="auto"/>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bidi="ar-SA"/>
              </w:rPr>
              <w:t>单台体积1~5m</w:t>
            </w:r>
            <w:r>
              <w:rPr>
                <w:rFonts w:hint="eastAsia" w:ascii="微软雅黑" w:hAnsi="微软雅黑" w:eastAsia="微软雅黑" w:cs="微软雅黑"/>
                <w:color w:val="auto"/>
                <w:sz w:val="21"/>
                <w:szCs w:val="21"/>
                <w:highlight w:val="none"/>
                <w:vertAlign w:val="superscript"/>
                <w:lang w:val="en-US" w:eastAsia="zh-CN" w:bidi="ar-SA"/>
              </w:rPr>
              <w:t>3</w:t>
            </w:r>
            <w:r>
              <w:rPr>
                <w:rFonts w:hint="eastAsia" w:ascii="微软雅黑" w:hAnsi="微软雅黑" w:eastAsia="微软雅黑" w:cs="微软雅黑"/>
                <w:color w:val="auto"/>
                <w:sz w:val="21"/>
                <w:szCs w:val="21"/>
                <w:highlight w:val="none"/>
                <w:lang w:val="en-US" w:eastAsia="zh-CN" w:bidi="ar-SA"/>
              </w:rPr>
              <w:t>，带加热和循环水冷却</w:t>
            </w:r>
          </w:p>
        </w:tc>
        <w:tc>
          <w:tcPr>
            <w:tcW w:w="1641" w:type="dxa"/>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bidi="ar-SA"/>
              </w:rPr>
              <w:t>不低于2台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155" w:type="pct"/>
            <w:noWrap w:val="0"/>
            <w:vAlign w:val="center"/>
          </w:tcPr>
          <w:p>
            <w:pPr>
              <w:pStyle w:val="6"/>
              <w:widowControl/>
              <w:pBdr>
                <w:top w:val="none" w:color="auto" w:sz="0" w:space="0"/>
                <w:left w:val="none" w:color="auto" w:sz="0" w:space="0"/>
                <w:bottom w:val="none" w:color="auto" w:sz="0" w:space="0"/>
                <w:right w:val="none" w:color="auto" w:sz="0" w:space="0"/>
              </w:pBdr>
              <w:shd w:val="clear" w:color="auto" w:fill="FFFFFF"/>
              <w:adjustRightInd w:val="0"/>
              <w:snapToGrid w:val="0"/>
              <w:spacing w:after="60" w:line="330" w:lineRule="atLeast"/>
              <w:jc w:val="center"/>
              <w:rPr>
                <w:rFonts w:hint="eastAsia" w:ascii="微软雅黑" w:hAnsi="微软雅黑" w:eastAsia="微软雅黑" w:cs="微软雅黑"/>
                <w:caps w:val="0"/>
                <w:color w:val="2440B3"/>
                <w:spacing w:val="0"/>
                <w:sz w:val="24"/>
                <w:szCs w:val="24"/>
                <w:highlight w:val="none"/>
                <w:u w:val="single"/>
                <w:shd w:val="clear" w:color="auto" w:fill="FFFFFF"/>
              </w:rPr>
            </w:pPr>
            <w:r>
              <w:rPr>
                <w:rFonts w:hint="eastAsia" w:ascii="微软雅黑" w:hAnsi="微软雅黑" w:eastAsia="微软雅黑" w:cs="微软雅黑"/>
                <w:caps w:val="0"/>
                <w:color w:val="2440B3"/>
                <w:spacing w:val="0"/>
                <w:sz w:val="24"/>
                <w:szCs w:val="24"/>
                <w:highlight w:val="none"/>
                <w:u w:val="single"/>
                <w:shd w:val="clear" w:color="auto" w:fill="FFFFFF"/>
              </w:rPr>
              <w:fldChar w:fldCharType="begin"/>
            </w:r>
            <w:r>
              <w:rPr>
                <w:rFonts w:hint="eastAsia" w:ascii="微软雅黑" w:hAnsi="微软雅黑" w:eastAsia="微软雅黑" w:cs="微软雅黑"/>
                <w:caps w:val="0"/>
                <w:color w:val="2440B3"/>
                <w:spacing w:val="0"/>
                <w:sz w:val="24"/>
                <w:szCs w:val="24"/>
                <w:highlight w:val="none"/>
                <w:u w:val="single"/>
                <w:shd w:val="clear" w:color="auto" w:fill="FFFFFF"/>
              </w:rPr>
              <w:instrText xml:space="preserve"> HYPERLINK "https://www.baidu.com/link?url=znZZgorSrtlaiR0f-n2wff7zUfVfyWCOI3yQYQPAmQJoTM6mCMndY0bzGZYsGBDU&amp;wd=&amp;eqid=f6bf79560000ec990000000267a32dc3" \t "https://www.baidu.com/_blank" </w:instrText>
            </w:r>
            <w:r>
              <w:rPr>
                <w:rFonts w:hint="eastAsia" w:ascii="微软雅黑" w:hAnsi="微软雅黑" w:eastAsia="微软雅黑" w:cs="微软雅黑"/>
                <w:caps w:val="0"/>
                <w:color w:val="2440B3"/>
                <w:spacing w:val="0"/>
                <w:sz w:val="24"/>
                <w:szCs w:val="24"/>
                <w:highlight w:val="none"/>
                <w:u w:val="single"/>
                <w:shd w:val="clear" w:color="auto" w:fill="FFFFFF"/>
              </w:rPr>
              <w:fldChar w:fldCharType="separate"/>
            </w:r>
            <w:r>
              <w:rPr>
                <w:rStyle w:val="26"/>
                <w:rFonts w:hint="eastAsia" w:ascii="微软雅黑" w:hAnsi="微软雅黑" w:eastAsia="微软雅黑" w:cs="微软雅黑"/>
                <w:caps w:val="0"/>
                <w:color w:val="2440B3"/>
                <w:spacing w:val="0"/>
                <w:sz w:val="24"/>
                <w:szCs w:val="24"/>
                <w:highlight w:val="none"/>
                <w:u w:val="single"/>
                <w:shd w:val="clear" w:color="auto" w:fill="FFFFFF"/>
                <w:lang w:eastAsia="en-US" w:bidi="ar-SA"/>
              </w:rPr>
              <w:t>★</w:t>
            </w:r>
            <w:r>
              <w:rPr>
                <w:rFonts w:hint="eastAsia" w:ascii="微软雅黑" w:hAnsi="微软雅黑" w:eastAsia="微软雅黑" w:cs="微软雅黑"/>
                <w:caps w:val="0"/>
                <w:color w:val="2440B3"/>
                <w:spacing w:val="0"/>
                <w:sz w:val="24"/>
                <w:szCs w:val="24"/>
                <w:highlight w:val="none"/>
                <w:u w:val="single"/>
                <w:shd w:val="clear" w:color="auto" w:fill="FFFFFF"/>
              </w:rPr>
              <w:fldChar w:fldCharType="end"/>
            </w:r>
          </w:p>
        </w:tc>
        <w:tc>
          <w:tcPr>
            <w:tcW w:w="1326" w:type="dxa"/>
            <w:noWrap w:val="0"/>
            <w:vAlign w:val="center"/>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糖衣机或转鼓或双锥</w:t>
            </w:r>
          </w:p>
        </w:tc>
        <w:tc>
          <w:tcPr>
            <w:tcW w:w="3583" w:type="dxa"/>
            <w:noWrap w:val="0"/>
            <w:vAlign w:val="center"/>
          </w:tcPr>
          <w:p>
            <w:pPr>
              <w:widowControl w:val="0"/>
              <w:adjustRightInd w:val="0"/>
              <w:snapToGrid w:val="0"/>
              <w:ind w:firstLine="0" w:firstLineChars="0"/>
              <w:jc w:val="center"/>
              <w:rPr>
                <w:rFonts w:hint="eastAsia" w:ascii="微软雅黑" w:hAnsi="微软雅黑" w:eastAsia="微软雅黑" w:cs="微软雅黑"/>
                <w:color w:val="auto"/>
                <w:sz w:val="21"/>
                <w:szCs w:val="21"/>
                <w:highlight w:val="none"/>
                <w:lang w:val="en-US" w:eastAsia="zh-CN" w:bidi="ar-SA"/>
              </w:rPr>
            </w:pPr>
            <w:r>
              <w:rPr>
                <w:rFonts w:hint="eastAsia" w:ascii="微软雅黑" w:hAnsi="微软雅黑" w:eastAsia="微软雅黑" w:cs="微软雅黑"/>
                <w:color w:val="auto"/>
                <w:sz w:val="21"/>
                <w:szCs w:val="21"/>
                <w:highlight w:val="none"/>
                <w:shd w:val="clear" w:color="auto" w:fill="auto"/>
                <w:lang w:val="en-US" w:eastAsia="zh-CN" w:bidi="ar-SA"/>
              </w:rPr>
              <w:t>单批次浸渍载体大于100kg，</w:t>
            </w:r>
            <w:r>
              <w:rPr>
                <w:rFonts w:hint="eastAsia" w:ascii="微软雅黑" w:hAnsi="微软雅黑" w:eastAsia="微软雅黑" w:cs="微软雅黑"/>
                <w:color w:val="auto"/>
                <w:sz w:val="21"/>
                <w:szCs w:val="21"/>
                <w:highlight w:val="none"/>
                <w:lang w:val="en-US" w:eastAsia="zh-CN" w:bidi="ar-SA"/>
              </w:rPr>
              <w:t>具有雾化喷头</w:t>
            </w:r>
          </w:p>
        </w:tc>
        <w:tc>
          <w:tcPr>
            <w:tcW w:w="1641" w:type="dxa"/>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不低于1台</w:t>
            </w:r>
          </w:p>
        </w:tc>
      </w:tr>
    </w:tbl>
    <w:p>
      <w:pPr>
        <w:keepNext w:val="0"/>
        <w:keepLines w:val="0"/>
        <w:pageBreakBefore w:val="0"/>
        <w:widowControl w:val="0"/>
        <w:numPr>
          <w:ilvl w:val="0"/>
          <w:numId w:val="0"/>
        </w:numPr>
        <w:kinsoku/>
        <w:wordWrap/>
        <w:overflowPunct/>
        <w:topLinePunct w:val="0"/>
        <w:bidi w:val="0"/>
        <w:adjustRightInd w:val="0"/>
        <w:snapToGrid w:val="0"/>
        <w:spacing w:line="336" w:lineRule="auto"/>
        <w:ind w:left="0" w:leftChars="0" w:right="115" w:rightChars="55" w:firstLine="400" w:firstLineChars="200"/>
        <w:jc w:val="both"/>
        <w:rPr>
          <w:rFonts w:hint="eastAsia" w:ascii="Microsoft YaHei UI" w:hAnsi="Microsoft YaHei UI" w:eastAsia="Microsoft YaHei UI" w:cs="Times New Roman"/>
          <w:b/>
          <w:bCs/>
          <w:color w:val="auto"/>
          <w:sz w:val="20"/>
          <w:szCs w:val="20"/>
          <w:highlight w:val="none"/>
          <w:lang w:val="en-US" w:eastAsia="zh-CN" w:bidi="ar-SA"/>
        </w:rPr>
      </w:pPr>
    </w:p>
    <w:p>
      <w:pPr>
        <w:keepNext w:val="0"/>
        <w:keepLines w:val="0"/>
        <w:pageBreakBefore w:val="0"/>
        <w:widowControl w:val="0"/>
        <w:numPr>
          <w:ilvl w:val="0"/>
          <w:numId w:val="0"/>
        </w:numPr>
        <w:kinsoku/>
        <w:wordWrap/>
        <w:overflowPunct/>
        <w:topLinePunct w:val="0"/>
        <w:bidi w:val="0"/>
        <w:adjustRightInd w:val="0"/>
        <w:snapToGrid w:val="0"/>
        <w:spacing w:line="336" w:lineRule="auto"/>
        <w:ind w:left="0" w:leftChars="0" w:right="115" w:rightChars="55" w:firstLine="400" w:firstLineChars="200"/>
        <w:jc w:val="both"/>
        <w:rPr>
          <w:rFonts w:hint="eastAsia" w:ascii="Microsoft YaHei UI" w:hAnsi="Microsoft YaHei UI" w:eastAsia="Microsoft YaHei UI" w:cs="Times New Roman"/>
          <w:b/>
          <w:bCs/>
          <w:color w:val="auto"/>
          <w:sz w:val="20"/>
          <w:szCs w:val="20"/>
          <w:highlight w:val="none"/>
          <w:lang w:val="en-US" w:eastAsia="zh-CN" w:bidi="ar-SA"/>
        </w:rPr>
      </w:pPr>
      <w:r>
        <w:rPr>
          <w:rFonts w:hint="eastAsia" w:ascii="Microsoft YaHei UI" w:hAnsi="Microsoft YaHei UI" w:eastAsia="Microsoft YaHei UI" w:cs="Times New Roman"/>
          <w:b/>
          <w:bCs/>
          <w:color w:val="auto"/>
          <w:sz w:val="20"/>
          <w:szCs w:val="20"/>
          <w:highlight w:val="none"/>
          <w:lang w:val="en-US" w:eastAsia="zh-CN" w:bidi="ar-SA"/>
        </w:rPr>
        <w:t>非★星号项设备：</w:t>
      </w:r>
      <w:r>
        <w:rPr>
          <w:rFonts w:hint="eastAsia" w:ascii="Microsoft YaHei UI" w:hAnsi="Microsoft YaHei UI" w:eastAsia="Microsoft YaHei UI" w:cs="Times New Roman"/>
          <w:b/>
          <w:bCs/>
          <w:color w:val="auto"/>
          <w:sz w:val="21"/>
          <w:szCs w:val="21"/>
          <w:highlight w:val="none"/>
          <w:lang w:val="en-US" w:eastAsia="zh-CN" w:bidi="ar-SA"/>
        </w:rPr>
        <w:t>承诺设备满足规格要求及数量要求。</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413"/>
        <w:gridCol w:w="4051"/>
        <w:gridCol w:w="1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pct"/>
            <w:noWrap w:val="0"/>
            <w:vAlign w:val="center"/>
          </w:tcPr>
          <w:p>
            <w:pPr>
              <w:widowControl w:val="0"/>
              <w:adjustRightInd w:val="0"/>
              <w:snapToGrid w:val="0"/>
              <w:spacing w:line="360" w:lineRule="auto"/>
              <w:ind w:right="115" w:rightChars="55" w:firstLine="0" w:firstLineChars="0"/>
              <w:jc w:val="left"/>
              <w:rPr>
                <w:rFonts w:hint="eastAsia" w:ascii="微软雅黑" w:hAnsi="微软雅黑" w:eastAsia="微软雅黑" w:cs="微软雅黑"/>
                <w:b/>
                <w:sz w:val="21"/>
                <w:szCs w:val="21"/>
                <w:highlight w:val="none"/>
                <w:lang w:val="en-US" w:eastAsia="zh-CN" w:bidi="ar-SA"/>
              </w:rPr>
            </w:pPr>
            <w:r>
              <w:rPr>
                <w:rFonts w:hint="eastAsia" w:ascii="微软雅黑" w:hAnsi="微软雅黑" w:eastAsia="微软雅黑" w:cs="微软雅黑"/>
                <w:b/>
                <w:sz w:val="21"/>
                <w:szCs w:val="21"/>
                <w:highlight w:val="none"/>
                <w:lang w:val="en-US" w:eastAsia="zh-CN" w:bidi="ar-SA"/>
              </w:rPr>
              <w:t>是否星号项</w:t>
            </w:r>
          </w:p>
        </w:tc>
        <w:tc>
          <w:tcPr>
            <w:tcW w:w="829" w:type="pct"/>
            <w:noWrap w:val="0"/>
            <w:vAlign w:val="center"/>
          </w:tcPr>
          <w:p>
            <w:pPr>
              <w:widowControl w:val="0"/>
              <w:adjustRightInd w:val="0"/>
              <w:snapToGrid w:val="0"/>
              <w:spacing w:line="360" w:lineRule="auto"/>
              <w:ind w:right="115" w:rightChars="55" w:firstLine="420" w:firstLineChars="200"/>
              <w:jc w:val="left"/>
              <w:rPr>
                <w:rFonts w:hint="eastAsia" w:ascii="微软雅黑" w:hAnsi="微软雅黑" w:eastAsia="微软雅黑" w:cs="微软雅黑"/>
                <w:b/>
                <w:sz w:val="21"/>
                <w:szCs w:val="21"/>
                <w:highlight w:val="none"/>
                <w:lang w:val="en-US" w:eastAsia="zh-CN" w:bidi="ar-SA"/>
              </w:rPr>
            </w:pPr>
            <w:r>
              <w:rPr>
                <w:rFonts w:hint="eastAsia" w:ascii="微软雅黑" w:hAnsi="微软雅黑" w:eastAsia="微软雅黑" w:cs="微软雅黑"/>
                <w:b/>
                <w:sz w:val="21"/>
                <w:szCs w:val="21"/>
                <w:highlight w:val="none"/>
                <w:lang w:val="en-US" w:eastAsia="zh-CN" w:bidi="ar-SA"/>
              </w:rPr>
              <w:t>名称</w:t>
            </w:r>
          </w:p>
        </w:tc>
        <w:tc>
          <w:tcPr>
            <w:tcW w:w="2377" w:type="pct"/>
            <w:noWrap w:val="0"/>
            <w:vAlign w:val="center"/>
          </w:tcPr>
          <w:p>
            <w:pPr>
              <w:widowControl w:val="0"/>
              <w:adjustRightInd w:val="0"/>
              <w:snapToGrid w:val="0"/>
              <w:spacing w:line="360" w:lineRule="auto"/>
              <w:ind w:right="115" w:rightChars="55" w:firstLine="420" w:firstLineChars="200"/>
              <w:jc w:val="left"/>
              <w:rPr>
                <w:rFonts w:hint="eastAsia" w:ascii="微软雅黑" w:hAnsi="微软雅黑" w:eastAsia="微软雅黑" w:cs="微软雅黑"/>
                <w:b/>
                <w:sz w:val="21"/>
                <w:szCs w:val="21"/>
                <w:highlight w:val="none"/>
                <w:lang w:val="en-US" w:eastAsia="zh-CN" w:bidi="ar-SA"/>
              </w:rPr>
            </w:pPr>
            <w:r>
              <w:rPr>
                <w:rFonts w:hint="eastAsia" w:ascii="微软雅黑" w:hAnsi="微软雅黑" w:eastAsia="微软雅黑" w:cs="微软雅黑"/>
                <w:b/>
                <w:sz w:val="21"/>
                <w:szCs w:val="21"/>
                <w:highlight w:val="none"/>
                <w:lang w:val="en-US" w:eastAsia="zh-CN" w:bidi="ar-SA"/>
              </w:rPr>
              <w:t>规格</w:t>
            </w:r>
          </w:p>
        </w:tc>
        <w:tc>
          <w:tcPr>
            <w:tcW w:w="963" w:type="pct"/>
            <w:noWrap w:val="0"/>
            <w:vAlign w:val="center"/>
          </w:tcPr>
          <w:p>
            <w:pPr>
              <w:widowControl w:val="0"/>
              <w:adjustRightInd w:val="0"/>
              <w:snapToGrid w:val="0"/>
              <w:spacing w:line="360" w:lineRule="auto"/>
              <w:ind w:right="115" w:rightChars="55" w:firstLine="420" w:firstLineChars="200"/>
              <w:jc w:val="left"/>
              <w:rPr>
                <w:rFonts w:hint="eastAsia" w:ascii="微软雅黑" w:hAnsi="微软雅黑" w:eastAsia="微软雅黑" w:cs="微软雅黑"/>
                <w:b/>
                <w:sz w:val="21"/>
                <w:szCs w:val="21"/>
                <w:highlight w:val="none"/>
                <w:lang w:val="en-US" w:eastAsia="zh-CN" w:bidi="ar-SA"/>
              </w:rPr>
            </w:pPr>
            <w:r>
              <w:rPr>
                <w:rFonts w:hint="eastAsia" w:ascii="微软雅黑" w:hAnsi="微软雅黑" w:eastAsia="微软雅黑" w:cs="微软雅黑"/>
                <w:b/>
                <w:sz w:val="21"/>
                <w:szCs w:val="21"/>
                <w:highlight w:val="none"/>
                <w:lang w:val="en-US" w:eastAsia="zh-CN" w:bidi="ar-SA"/>
              </w:rPr>
              <w:t>预估数量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pct"/>
            <w:noWrap w:val="0"/>
            <w:vAlign w:val="center"/>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p>
        </w:tc>
        <w:tc>
          <w:tcPr>
            <w:tcW w:w="829" w:type="pct"/>
            <w:noWrap w:val="0"/>
            <w:vAlign w:val="center"/>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捏合机</w:t>
            </w:r>
          </w:p>
        </w:tc>
        <w:tc>
          <w:tcPr>
            <w:tcW w:w="2377"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不锈钢材质，单台体积≥0.5m</w:t>
            </w:r>
            <w:r>
              <w:rPr>
                <w:rFonts w:hint="eastAsia" w:ascii="微软雅黑" w:hAnsi="微软雅黑" w:eastAsia="微软雅黑" w:cs="微软雅黑"/>
                <w:sz w:val="21"/>
                <w:szCs w:val="21"/>
                <w:highlight w:val="none"/>
                <w:vertAlign w:val="superscript"/>
                <w:lang w:val="en-US" w:eastAsia="zh-CN" w:bidi="ar-SA"/>
              </w:rPr>
              <w:t>3</w:t>
            </w:r>
            <w:r>
              <w:rPr>
                <w:rFonts w:hint="eastAsia" w:ascii="微软雅黑" w:hAnsi="微软雅黑" w:eastAsia="微软雅黑" w:cs="微软雅黑"/>
                <w:sz w:val="21"/>
                <w:szCs w:val="21"/>
                <w:highlight w:val="none"/>
                <w:lang w:val="en-US" w:eastAsia="zh-CN" w:bidi="ar-SA"/>
              </w:rPr>
              <w:t>，电机功率不低于20kw</w:t>
            </w:r>
          </w:p>
        </w:tc>
        <w:tc>
          <w:tcPr>
            <w:tcW w:w="963"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不低于2台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pct"/>
            <w:noWrap w:val="0"/>
            <w:vAlign w:val="center"/>
          </w:tcPr>
          <w:p>
            <w:pPr>
              <w:widowControl w:val="0"/>
              <w:adjustRightInd w:val="0"/>
              <w:snapToGrid w:val="0"/>
              <w:ind w:firstLine="0" w:firstLineChars="0"/>
              <w:jc w:val="center"/>
              <w:rPr>
                <w:rFonts w:hint="eastAsia" w:ascii="微软雅黑" w:hAnsi="微软雅黑" w:eastAsia="微软雅黑" w:cs="微软雅黑"/>
                <w:sz w:val="20"/>
                <w:szCs w:val="20"/>
                <w:highlight w:val="none"/>
                <w:lang w:val="en-US" w:eastAsia="zh-CN" w:bidi="ar-SA"/>
              </w:rPr>
            </w:pPr>
          </w:p>
        </w:tc>
        <w:tc>
          <w:tcPr>
            <w:tcW w:w="829" w:type="pct"/>
            <w:noWrap w:val="0"/>
            <w:vAlign w:val="center"/>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切条机</w:t>
            </w:r>
          </w:p>
        </w:tc>
        <w:tc>
          <w:tcPr>
            <w:tcW w:w="2377"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单台断条机功率不低于2kw</w:t>
            </w:r>
          </w:p>
        </w:tc>
        <w:tc>
          <w:tcPr>
            <w:tcW w:w="963"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不低于1台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pct"/>
            <w:noWrap w:val="0"/>
            <w:vAlign w:val="center"/>
          </w:tcPr>
          <w:p>
            <w:pPr>
              <w:widowControl w:val="0"/>
              <w:adjustRightInd w:val="0"/>
              <w:snapToGrid w:val="0"/>
              <w:ind w:firstLine="0" w:firstLineChars="0"/>
              <w:jc w:val="center"/>
              <w:rPr>
                <w:rFonts w:hint="eastAsia" w:ascii="微软雅黑" w:hAnsi="微软雅黑" w:eastAsia="微软雅黑" w:cs="微软雅黑"/>
                <w:sz w:val="20"/>
                <w:szCs w:val="20"/>
                <w:highlight w:val="none"/>
                <w:lang w:val="en-US" w:eastAsia="zh-CN" w:bidi="ar-SA"/>
              </w:rPr>
            </w:pPr>
          </w:p>
        </w:tc>
        <w:tc>
          <w:tcPr>
            <w:tcW w:w="829" w:type="pct"/>
            <w:noWrap w:val="0"/>
            <w:vAlign w:val="center"/>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粉碎混料机</w:t>
            </w:r>
          </w:p>
        </w:tc>
        <w:tc>
          <w:tcPr>
            <w:tcW w:w="2377"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用于粉碎固体、混匀固体</w:t>
            </w:r>
          </w:p>
        </w:tc>
        <w:tc>
          <w:tcPr>
            <w:tcW w:w="963"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不低于1台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pct"/>
            <w:noWrap w:val="0"/>
            <w:vAlign w:val="center"/>
          </w:tcPr>
          <w:p>
            <w:pPr>
              <w:widowControl w:val="0"/>
              <w:adjustRightInd w:val="0"/>
              <w:snapToGrid w:val="0"/>
              <w:ind w:firstLine="0" w:firstLineChars="0"/>
              <w:jc w:val="center"/>
              <w:rPr>
                <w:rFonts w:hint="eastAsia" w:ascii="微软雅黑" w:hAnsi="微软雅黑" w:eastAsia="微软雅黑" w:cs="微软雅黑"/>
                <w:sz w:val="20"/>
                <w:szCs w:val="20"/>
                <w:highlight w:val="none"/>
                <w:lang w:val="en-US" w:eastAsia="zh-CN" w:bidi="ar-SA"/>
              </w:rPr>
            </w:pPr>
          </w:p>
        </w:tc>
        <w:tc>
          <w:tcPr>
            <w:tcW w:w="829" w:type="pct"/>
            <w:noWrap w:val="0"/>
            <w:vAlign w:val="center"/>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电动筛分器</w:t>
            </w:r>
          </w:p>
        </w:tc>
        <w:tc>
          <w:tcPr>
            <w:tcW w:w="2377"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用于筛分催化剂颗粒</w:t>
            </w:r>
          </w:p>
        </w:tc>
        <w:tc>
          <w:tcPr>
            <w:tcW w:w="963"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不低于1台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pct"/>
            <w:noWrap w:val="0"/>
            <w:vAlign w:val="center"/>
          </w:tcPr>
          <w:p>
            <w:pPr>
              <w:widowControl w:val="0"/>
              <w:adjustRightInd w:val="0"/>
              <w:snapToGrid w:val="0"/>
              <w:ind w:firstLine="0" w:firstLineChars="0"/>
              <w:jc w:val="center"/>
              <w:rPr>
                <w:rFonts w:hint="eastAsia" w:ascii="微软雅黑" w:hAnsi="微软雅黑" w:eastAsia="微软雅黑" w:cs="微软雅黑"/>
                <w:sz w:val="20"/>
                <w:szCs w:val="20"/>
                <w:highlight w:val="none"/>
                <w:lang w:val="en-US" w:eastAsia="zh-CN" w:bidi="ar-SA"/>
              </w:rPr>
            </w:pPr>
          </w:p>
        </w:tc>
        <w:tc>
          <w:tcPr>
            <w:tcW w:w="829" w:type="pct"/>
            <w:noWrap w:val="0"/>
            <w:vAlign w:val="center"/>
          </w:tcPr>
          <w:p>
            <w:pPr>
              <w:widowControl w:val="0"/>
              <w:adjustRightInd w:val="0"/>
              <w:snapToGrid w:val="0"/>
              <w:ind w:firstLine="0" w:firstLineChars="0"/>
              <w:jc w:val="left"/>
              <w:rPr>
                <w:rFonts w:hint="default"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网带干燥机或烘房</w:t>
            </w:r>
          </w:p>
        </w:tc>
        <w:tc>
          <w:tcPr>
            <w:tcW w:w="2377"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用于干燥，150℃恒温时间不低于4h，总网带面积不低于20m</w:t>
            </w:r>
            <w:r>
              <w:rPr>
                <w:rFonts w:hint="eastAsia" w:ascii="微软雅黑" w:hAnsi="微软雅黑" w:eastAsia="微软雅黑" w:cs="微软雅黑"/>
                <w:sz w:val="21"/>
                <w:szCs w:val="21"/>
                <w:highlight w:val="none"/>
                <w:vertAlign w:val="superscript"/>
                <w:lang w:val="en-US" w:eastAsia="zh-CN" w:bidi="ar-SA"/>
              </w:rPr>
              <w:t>2</w:t>
            </w:r>
          </w:p>
        </w:tc>
        <w:tc>
          <w:tcPr>
            <w:tcW w:w="963" w:type="pct"/>
            <w:noWrap w:val="0"/>
            <w:vAlign w:val="center"/>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不低于1台</w:t>
            </w:r>
          </w:p>
        </w:tc>
      </w:tr>
    </w:tbl>
    <w:p>
      <w:pPr>
        <w:widowControl w:val="0"/>
        <w:spacing w:line="257" w:lineRule="auto"/>
        <w:ind w:right="115" w:rightChars="55" w:firstLine="283" w:firstLineChars="135"/>
        <w:jc w:val="both"/>
        <w:rPr>
          <w:rFonts w:hint="eastAsia" w:ascii="Microsoft YaHei UI" w:hAnsi="Microsoft YaHei UI" w:eastAsia="Microsoft YaHei UI" w:cs="Times New Roman"/>
          <w:sz w:val="21"/>
          <w:szCs w:val="21"/>
          <w:lang w:val="en-US" w:eastAsia="zh-CN" w:bidi="ar-SA"/>
        </w:rPr>
      </w:pPr>
      <w:r>
        <w:rPr>
          <w:rFonts w:hint="eastAsia" w:ascii="Microsoft YaHei UI" w:hAnsi="Microsoft YaHei UI" w:eastAsia="Microsoft YaHei UI" w:cs="Times New Roman"/>
          <w:sz w:val="21"/>
          <w:szCs w:val="21"/>
          <w:lang w:val="en-US" w:eastAsia="zh-CN" w:bidi="ar-SA"/>
        </w:rPr>
        <w:t>2、</w:t>
      </w:r>
      <w:r>
        <w:rPr>
          <w:rFonts w:ascii="Microsoft YaHei UI" w:hAnsi="Microsoft YaHei UI" w:eastAsia="Microsoft YaHei UI" w:cs="Times New Roman"/>
          <w:sz w:val="21"/>
          <w:szCs w:val="21"/>
          <w:lang w:val="en-US" w:eastAsia="zh-CN" w:bidi="ar-SA"/>
        </w:rPr>
        <w:t xml:space="preserve"> </w:t>
      </w:r>
      <w:r>
        <w:rPr>
          <w:rFonts w:hint="eastAsia" w:ascii="Microsoft YaHei UI" w:hAnsi="Microsoft YaHei UI" w:eastAsia="Microsoft YaHei UI" w:cs="Times New Roman"/>
          <w:sz w:val="21"/>
          <w:szCs w:val="21"/>
          <w:lang w:val="en-US" w:eastAsia="zh-CN" w:bidi="ar-SA"/>
        </w:rPr>
        <w:t>材料要求：以下原料由乙方提供，其余原料由甲方提供。</w:t>
      </w:r>
    </w:p>
    <w:tbl>
      <w:tblPr>
        <w:tblStyle w:val="18"/>
        <w:tblpPr w:leftFromText="180" w:rightFromText="180" w:vertAnchor="text" w:horzAnchor="page" w:tblpX="1890" w:tblpY="88"/>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3"/>
        <w:gridCol w:w="2833"/>
        <w:gridCol w:w="2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4" w:type="pct"/>
            <w:tcBorders>
              <w:tl2br w:val="nil"/>
              <w:tr2bl w:val="nil"/>
            </w:tcBorders>
            <w:noWrap w:val="0"/>
            <w:vAlign w:val="top"/>
          </w:tcPr>
          <w:p>
            <w:pPr>
              <w:ind w:firstLine="0" w:firstLineChars="0"/>
              <w:jc w:val="left"/>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原料名称</w:t>
            </w:r>
          </w:p>
        </w:tc>
        <w:tc>
          <w:tcPr>
            <w:tcW w:w="1662" w:type="pct"/>
            <w:tcBorders>
              <w:tl2br w:val="nil"/>
              <w:tr2bl w:val="nil"/>
            </w:tcBorders>
            <w:noWrap w:val="0"/>
            <w:vAlign w:val="top"/>
          </w:tcPr>
          <w:p>
            <w:pPr>
              <w:ind w:firstLine="0" w:firstLineChars="0"/>
              <w:jc w:val="center"/>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规格</w:t>
            </w:r>
          </w:p>
        </w:tc>
        <w:tc>
          <w:tcPr>
            <w:tcW w:w="1662" w:type="pct"/>
            <w:tcBorders>
              <w:tl2br w:val="nil"/>
              <w:tr2bl w:val="nil"/>
            </w:tcBorders>
            <w:noWrap w:val="0"/>
            <w:vAlign w:val="top"/>
          </w:tcPr>
          <w:p>
            <w:pPr>
              <w:ind w:firstLine="0" w:firstLineChars="0"/>
              <w:jc w:val="center"/>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吨催化剂用量，kg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4" w:type="pct"/>
            <w:tcBorders>
              <w:tl2br w:val="nil"/>
              <w:tr2bl w:val="nil"/>
            </w:tcBorders>
            <w:noWrap w:val="0"/>
            <w:vAlign w:val="top"/>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六水合硝酸镍</w:t>
            </w:r>
          </w:p>
        </w:tc>
        <w:tc>
          <w:tcPr>
            <w:tcW w:w="1662" w:type="pct"/>
            <w:tcBorders>
              <w:tl2br w:val="nil"/>
              <w:tr2bl w:val="nil"/>
            </w:tcBorders>
            <w:noWrap w:val="0"/>
            <w:vAlign w:val="top"/>
          </w:tcPr>
          <w:p>
            <w:pPr>
              <w:widowControl w:val="0"/>
              <w:adjustRightInd w:val="0"/>
              <w:snapToGrid w:val="0"/>
              <w:ind w:firstLine="0" w:firstLineChars="0"/>
              <w:jc w:val="left"/>
              <w:rPr>
                <w:rFonts w:hint="default"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满足HG/T 3448-2003中化学纯的要求</w:t>
            </w:r>
          </w:p>
        </w:tc>
        <w:tc>
          <w:tcPr>
            <w:tcW w:w="1662" w:type="pct"/>
            <w:tcBorders>
              <w:tl2br w:val="nil"/>
              <w:tr2bl w:val="nil"/>
            </w:tcBorders>
            <w:noWrap w:val="0"/>
            <w:vAlign w:val="top"/>
          </w:tcPr>
          <w:p>
            <w:pPr>
              <w:widowControl w:val="0"/>
              <w:adjustRightInd w:val="0"/>
              <w:snapToGrid w:val="0"/>
              <w:ind w:firstLine="0" w:firstLineChars="0"/>
              <w:jc w:val="center"/>
              <w:rPr>
                <w:rFonts w:hint="default"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3" w:type="dxa"/>
            <w:tcBorders>
              <w:tl2br w:val="nil"/>
              <w:tr2bl w:val="nil"/>
            </w:tcBorders>
            <w:noWrap w:val="0"/>
            <w:vAlign w:val="top"/>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柠檬酸</w:t>
            </w:r>
          </w:p>
        </w:tc>
        <w:tc>
          <w:tcPr>
            <w:tcW w:w="2833" w:type="dxa"/>
            <w:tcBorders>
              <w:tl2br w:val="nil"/>
              <w:tr2bl w:val="nil"/>
            </w:tcBorders>
            <w:noWrap w:val="0"/>
            <w:vAlign w:val="top"/>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工业级</w:t>
            </w:r>
          </w:p>
        </w:tc>
        <w:tc>
          <w:tcPr>
            <w:tcW w:w="2833" w:type="dxa"/>
            <w:tcBorders>
              <w:tl2br w:val="nil"/>
              <w:tr2bl w:val="nil"/>
            </w:tcBorders>
            <w:noWrap w:val="0"/>
            <w:vAlign w:val="top"/>
          </w:tcPr>
          <w:p>
            <w:pPr>
              <w:widowControl w:val="0"/>
              <w:adjustRightInd w:val="0"/>
              <w:snapToGrid w:val="0"/>
              <w:ind w:firstLine="0" w:firstLineChars="0"/>
              <w:jc w:val="center"/>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3" w:type="dxa"/>
            <w:tcBorders>
              <w:tl2br w:val="nil"/>
              <w:tr2bl w:val="nil"/>
            </w:tcBorders>
            <w:noWrap w:val="0"/>
            <w:vAlign w:val="top"/>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田菁粉</w:t>
            </w:r>
          </w:p>
        </w:tc>
        <w:tc>
          <w:tcPr>
            <w:tcW w:w="2833" w:type="dxa"/>
            <w:tcBorders>
              <w:tl2br w:val="nil"/>
              <w:tr2bl w:val="nil"/>
            </w:tcBorders>
            <w:noWrap w:val="0"/>
            <w:vAlign w:val="top"/>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工业级</w:t>
            </w:r>
          </w:p>
        </w:tc>
        <w:tc>
          <w:tcPr>
            <w:tcW w:w="2833" w:type="dxa"/>
            <w:tcBorders>
              <w:tl2br w:val="nil"/>
              <w:tr2bl w:val="nil"/>
            </w:tcBorders>
            <w:noWrap w:val="0"/>
            <w:vAlign w:val="top"/>
          </w:tcPr>
          <w:p>
            <w:pPr>
              <w:widowControl w:val="0"/>
              <w:adjustRightInd w:val="0"/>
              <w:snapToGrid w:val="0"/>
              <w:ind w:firstLine="0" w:firstLineChars="0"/>
              <w:jc w:val="center"/>
              <w:rPr>
                <w:rFonts w:hint="default"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3" w:type="dxa"/>
            <w:tcBorders>
              <w:tl2br w:val="nil"/>
              <w:tr2bl w:val="nil"/>
            </w:tcBorders>
            <w:noWrap w:val="0"/>
            <w:vAlign w:val="top"/>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yellow"/>
                <w:lang w:val="en-US" w:eastAsia="zh-CN" w:bidi="ar-SA"/>
              </w:rPr>
              <w:t>硝酸</w:t>
            </w:r>
          </w:p>
        </w:tc>
        <w:tc>
          <w:tcPr>
            <w:tcW w:w="2833" w:type="dxa"/>
            <w:tcBorders>
              <w:tl2br w:val="nil"/>
              <w:tr2bl w:val="nil"/>
            </w:tcBorders>
            <w:noWrap w:val="0"/>
            <w:vAlign w:val="top"/>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浓度65～68wt%，工业级</w:t>
            </w:r>
          </w:p>
        </w:tc>
        <w:tc>
          <w:tcPr>
            <w:tcW w:w="2833" w:type="dxa"/>
            <w:tcBorders>
              <w:tl2br w:val="nil"/>
              <w:tr2bl w:val="nil"/>
            </w:tcBorders>
            <w:noWrap w:val="0"/>
            <w:vAlign w:val="top"/>
          </w:tcPr>
          <w:p>
            <w:pPr>
              <w:widowControl w:val="0"/>
              <w:adjustRightInd w:val="0"/>
              <w:snapToGrid w:val="0"/>
              <w:ind w:firstLine="0" w:firstLineChars="0"/>
              <w:jc w:val="center"/>
              <w:rPr>
                <w:rFonts w:hint="default"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3" w:type="dxa"/>
            <w:tcBorders>
              <w:tl2br w:val="nil"/>
              <w:tr2bl w:val="nil"/>
            </w:tcBorders>
            <w:noWrap w:val="0"/>
            <w:vAlign w:val="top"/>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去离子水</w:t>
            </w:r>
          </w:p>
        </w:tc>
        <w:tc>
          <w:tcPr>
            <w:tcW w:w="2833" w:type="dxa"/>
            <w:tcBorders>
              <w:tl2br w:val="nil"/>
              <w:tr2bl w:val="nil"/>
            </w:tcBorders>
            <w:noWrap w:val="0"/>
            <w:vAlign w:val="top"/>
          </w:tcPr>
          <w:p>
            <w:pPr>
              <w:widowControl w:val="0"/>
              <w:adjustRightInd w:val="0"/>
              <w:snapToGrid w:val="0"/>
              <w:ind w:firstLine="0" w:firstLineChars="0"/>
              <w:jc w:val="left"/>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电导率≤20 μS/cm</w:t>
            </w:r>
          </w:p>
        </w:tc>
        <w:tc>
          <w:tcPr>
            <w:tcW w:w="2833" w:type="dxa"/>
            <w:tcBorders>
              <w:tl2br w:val="nil"/>
              <w:tr2bl w:val="nil"/>
            </w:tcBorders>
            <w:noWrap w:val="0"/>
            <w:vAlign w:val="top"/>
          </w:tcPr>
          <w:p>
            <w:pPr>
              <w:widowControl w:val="0"/>
              <w:adjustRightInd w:val="0"/>
              <w:snapToGrid w:val="0"/>
              <w:ind w:firstLine="0" w:firstLineChars="0"/>
              <w:jc w:val="center"/>
              <w:rPr>
                <w:rFonts w:hint="default"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2000</w:t>
            </w:r>
          </w:p>
        </w:tc>
      </w:tr>
    </w:tbl>
    <w:p>
      <w:pPr>
        <w:widowControl w:val="0"/>
        <w:spacing w:line="257" w:lineRule="auto"/>
        <w:ind w:right="115" w:rightChars="55" w:firstLine="283" w:firstLineChars="135"/>
        <w:jc w:val="both"/>
        <w:rPr>
          <w:rFonts w:hint="eastAsia" w:ascii="Microsoft YaHei UI" w:hAnsi="Microsoft YaHei UI" w:eastAsia="Microsoft YaHei UI" w:cs="Times New Roman"/>
          <w:sz w:val="21"/>
          <w:szCs w:val="21"/>
          <w:lang w:val="en-US" w:eastAsia="zh-CN" w:bidi="ar-SA"/>
        </w:rPr>
      </w:pPr>
      <w:r>
        <w:rPr>
          <w:rFonts w:hint="eastAsia" w:ascii="Microsoft YaHei UI" w:hAnsi="Microsoft YaHei UI" w:eastAsia="Microsoft YaHei UI" w:cs="Times New Roman"/>
          <w:sz w:val="21"/>
          <w:szCs w:val="21"/>
          <w:lang w:val="en-US" w:eastAsia="zh-CN" w:bidi="ar-SA"/>
        </w:rPr>
        <w:t>3、场地要求</w:t>
      </w:r>
    </w:p>
    <w:p>
      <w:pPr>
        <w:widowControl w:val="0"/>
        <w:spacing w:line="257" w:lineRule="auto"/>
        <w:ind w:right="115" w:rightChars="55" w:firstLine="283" w:firstLineChars="135"/>
        <w:jc w:val="both"/>
        <w:rPr>
          <w:rFonts w:hint="eastAsia" w:ascii="微软雅黑" w:hAnsi="微软雅黑" w:eastAsia="微软雅黑" w:cs="Times New Roman"/>
          <w:bCs/>
          <w:color w:val="auto"/>
          <w:sz w:val="24"/>
          <w:szCs w:val="24"/>
          <w:lang w:val="en-US" w:eastAsia="zh-CN"/>
        </w:rPr>
      </w:pPr>
      <w:r>
        <w:rPr>
          <w:rFonts w:hint="default" w:ascii="Microsoft YaHei UI" w:hAnsi="Microsoft YaHei UI" w:eastAsia="Microsoft YaHei UI" w:cs="Times New Roman"/>
          <w:sz w:val="21"/>
          <w:szCs w:val="21"/>
          <w:lang w:val="en-US" w:eastAsia="zh-CN" w:bidi="ar-SA"/>
        </w:rPr>
        <w:t>乙方</w:t>
      </w:r>
      <w:r>
        <w:rPr>
          <w:rFonts w:hint="eastAsia" w:ascii="Microsoft YaHei UI" w:hAnsi="Microsoft YaHei UI" w:eastAsia="Microsoft YaHei UI" w:cs="Times New Roman"/>
          <w:sz w:val="21"/>
          <w:szCs w:val="21"/>
          <w:lang w:val="en-US" w:eastAsia="zh-CN" w:bidi="ar-SA"/>
        </w:rPr>
        <w:t>需承诺符合国家安全环保相关法律法规要求</w:t>
      </w:r>
      <w:r>
        <w:rPr>
          <w:rFonts w:hint="default" w:ascii="Microsoft YaHei UI" w:hAnsi="Microsoft YaHei UI" w:eastAsia="Microsoft YaHei UI" w:cs="Times New Roman"/>
          <w:sz w:val="21"/>
          <w:szCs w:val="21"/>
          <w:lang w:val="en-US" w:eastAsia="zh-CN" w:bidi="ar-SA"/>
        </w:rPr>
        <w:t>，</w:t>
      </w:r>
      <w:r>
        <w:rPr>
          <w:rFonts w:hint="eastAsia" w:ascii="Microsoft YaHei UI" w:hAnsi="Microsoft YaHei UI" w:eastAsia="Microsoft YaHei UI" w:cs="Times New Roman"/>
          <w:sz w:val="21"/>
          <w:szCs w:val="21"/>
          <w:lang w:val="en-US" w:eastAsia="zh-CN" w:bidi="ar-SA"/>
        </w:rPr>
        <w:t>货物存放量不低于50吨，存放货物的场地需能防雨、阴凉、干燥、通风。</w:t>
      </w:r>
    </w:p>
    <w:p>
      <w:pPr>
        <w:pStyle w:val="33"/>
        <w:numPr>
          <w:ilvl w:val="0"/>
          <w:numId w:val="3"/>
        </w:numPr>
        <w:spacing w:before="120" w:after="120"/>
        <w:ind w:left="0" w:leftChars="0" w:firstLine="0" w:firstLineChars="0"/>
        <w:outlineLvl w:val="0"/>
        <w:rPr>
          <w:rFonts w:hint="eastAsia" w:ascii="微软雅黑" w:hAnsi="微软雅黑" w:eastAsia="微软雅黑" w:cs="Times New Roman"/>
          <w:bCs/>
          <w:color w:val="auto"/>
          <w:sz w:val="24"/>
          <w:szCs w:val="24"/>
          <w:lang w:val="en-US" w:eastAsia="zh-CN"/>
        </w:rPr>
      </w:pPr>
      <w:r>
        <w:rPr>
          <w:rFonts w:hint="eastAsia" w:ascii="微软雅黑" w:hAnsi="微软雅黑" w:eastAsia="微软雅黑" w:cs="Times New Roman"/>
          <w:bCs/>
          <w:color w:val="auto"/>
          <w:sz w:val="24"/>
          <w:szCs w:val="24"/>
          <w:lang w:val="en-US" w:eastAsia="zh-CN"/>
        </w:rPr>
        <w:t>服务进度跟踪</w:t>
      </w:r>
    </w:p>
    <w:p>
      <w:pPr>
        <w:adjustRightInd w:val="0"/>
        <w:snapToGrid w:val="0"/>
        <w:spacing w:line="312" w:lineRule="auto"/>
        <w:ind w:firstLine="420"/>
        <w:rPr>
          <w:rFonts w:ascii="微软雅黑" w:hAnsi="微软雅黑" w:eastAsia="微软雅黑" w:cs="微软雅黑"/>
          <w:color w:val="auto"/>
          <w:sz w:val="21"/>
          <w:szCs w:val="21"/>
          <w:lang w:eastAsia="zh-CN"/>
        </w:rPr>
      </w:pPr>
      <w:r>
        <w:rPr>
          <w:rFonts w:hint="eastAsia" w:ascii="微软雅黑" w:hAnsi="微软雅黑" w:eastAsia="微软雅黑" w:cs="微软雅黑"/>
          <w:color w:val="auto"/>
          <w:sz w:val="21"/>
          <w:szCs w:val="21"/>
          <w:lang w:eastAsia="zh-CN"/>
        </w:rPr>
        <w:t>加工服务需对</w:t>
      </w:r>
      <w:r>
        <w:rPr>
          <w:rFonts w:hint="eastAsia" w:ascii="Times New Roman" w:hAnsi="Times New Roman" w:eastAsia="微软雅黑" w:cs="Times New Roman"/>
          <w:color w:val="auto"/>
          <w:spacing w:val="0"/>
          <w:sz w:val="21"/>
          <w:szCs w:val="21"/>
          <w:lang w:val="en-US" w:eastAsia="zh-CN"/>
        </w:rPr>
        <w:t>镍基条形催化剂</w:t>
      </w:r>
      <w:r>
        <w:rPr>
          <w:rFonts w:hint="eastAsia" w:ascii="微软雅黑" w:hAnsi="微软雅黑" w:eastAsia="微软雅黑" w:cs="微软雅黑"/>
          <w:color w:val="auto"/>
          <w:sz w:val="21"/>
          <w:szCs w:val="21"/>
          <w:lang w:eastAsia="zh-CN"/>
        </w:rPr>
        <w:t>进行及时加工，</w:t>
      </w:r>
      <w:r>
        <w:rPr>
          <w:rFonts w:hint="eastAsia" w:ascii="微软雅黑" w:hAnsi="微软雅黑" w:eastAsia="微软雅黑" w:cs="微软雅黑"/>
          <w:color w:val="auto"/>
          <w:sz w:val="21"/>
          <w:szCs w:val="21"/>
          <w:lang w:val="en-US" w:eastAsia="zh-CN"/>
        </w:rPr>
        <w:t>甲方</w:t>
      </w:r>
      <w:r>
        <w:rPr>
          <w:rFonts w:hint="eastAsia" w:ascii="微软雅黑" w:hAnsi="微软雅黑" w:eastAsia="微软雅黑" w:cs="微软雅黑"/>
          <w:color w:val="auto"/>
          <w:sz w:val="21"/>
          <w:szCs w:val="21"/>
          <w:lang w:eastAsia="zh-CN"/>
        </w:rPr>
        <w:t>生产人员将随时跟踪生产情况并对产品进行抽样检查，并对已完成工作量进行验收评估。</w:t>
      </w:r>
    </w:p>
    <w:p>
      <w:pPr>
        <w:pStyle w:val="33"/>
        <w:numPr>
          <w:ilvl w:val="0"/>
          <w:numId w:val="3"/>
        </w:numPr>
        <w:spacing w:before="120" w:after="120"/>
        <w:ind w:left="0" w:leftChars="0" w:firstLine="0" w:firstLineChars="0"/>
        <w:outlineLvl w:val="0"/>
        <w:rPr>
          <w:rFonts w:hint="eastAsia" w:ascii="微软雅黑" w:hAnsi="微软雅黑" w:eastAsia="微软雅黑" w:cs="Times New Roman"/>
          <w:bCs/>
          <w:color w:val="auto"/>
          <w:sz w:val="24"/>
          <w:szCs w:val="24"/>
          <w:lang w:val="en-US" w:eastAsia="zh-CN"/>
        </w:rPr>
      </w:pPr>
      <w:r>
        <w:rPr>
          <w:rFonts w:hint="eastAsia" w:ascii="微软雅黑" w:hAnsi="微软雅黑" w:eastAsia="微软雅黑" w:cs="Times New Roman"/>
          <w:bCs/>
          <w:color w:val="auto"/>
          <w:sz w:val="24"/>
          <w:szCs w:val="24"/>
          <w:lang w:val="en-US" w:eastAsia="zh-CN"/>
        </w:rPr>
        <w:t>服务及验收标准</w:t>
      </w:r>
    </w:p>
    <w:p>
      <w:pPr>
        <w:widowControl w:val="0"/>
        <w:adjustRightInd w:val="0"/>
        <w:snapToGrid w:val="0"/>
        <w:spacing w:line="312" w:lineRule="auto"/>
        <w:ind w:right="115" w:rightChars="55" w:firstLine="283" w:firstLineChars="135"/>
        <w:jc w:val="both"/>
        <w:rPr>
          <w:rFonts w:hint="eastAsia" w:ascii="微软雅黑" w:hAnsi="微软雅黑" w:eastAsia="微软雅黑" w:cs="微软雅黑"/>
          <w:sz w:val="21"/>
          <w:szCs w:val="21"/>
          <w:highlight w:val="none"/>
          <w:lang w:val="en-US" w:eastAsia="en-US" w:bidi="ar-SA"/>
        </w:rPr>
      </w:pPr>
      <w:r>
        <w:rPr>
          <w:rFonts w:hint="eastAsia" w:ascii="微软雅黑" w:hAnsi="微软雅黑" w:eastAsia="微软雅黑" w:cs="微软雅黑"/>
          <w:spacing w:val="0"/>
          <w:sz w:val="21"/>
          <w:szCs w:val="21"/>
          <w:highlight w:val="none"/>
          <w:lang w:val="en-US" w:eastAsia="en-US" w:bidi="ar-SA"/>
        </w:rPr>
        <w:t>1、验收形式：</w:t>
      </w:r>
      <w:r>
        <w:rPr>
          <w:rFonts w:hint="eastAsia" w:ascii="微软雅黑" w:hAnsi="微软雅黑" w:eastAsia="微软雅黑" w:cs="微软雅黑"/>
          <w:sz w:val="21"/>
          <w:szCs w:val="21"/>
          <w:highlight w:val="none"/>
          <w:lang w:val="en-US" w:eastAsia="en-US" w:bidi="ar-SA"/>
        </w:rPr>
        <w:t>每批次生产后</w:t>
      </w:r>
      <w:r>
        <w:rPr>
          <w:rFonts w:hint="eastAsia" w:ascii="微软雅黑" w:hAnsi="微软雅黑" w:eastAsia="微软雅黑" w:cs="微软雅黑"/>
          <w:sz w:val="21"/>
          <w:szCs w:val="21"/>
          <w:highlight w:val="none"/>
          <w:lang w:val="en-US" w:eastAsia="zh-CN" w:bidi="ar-SA"/>
        </w:rPr>
        <w:t>执行</w:t>
      </w:r>
      <w:r>
        <w:rPr>
          <w:rFonts w:hint="eastAsia" w:ascii="微软雅黑" w:hAnsi="微软雅黑" w:eastAsia="微软雅黑" w:cs="微软雅黑"/>
          <w:sz w:val="21"/>
          <w:szCs w:val="21"/>
          <w:highlight w:val="none"/>
          <w:lang w:val="en-US" w:eastAsia="en-US" w:bidi="ar-SA"/>
        </w:rPr>
        <w:t>检验，</w:t>
      </w:r>
      <w:r>
        <w:rPr>
          <w:rFonts w:hint="eastAsia" w:ascii="微软雅黑" w:hAnsi="微软雅黑" w:eastAsia="微软雅黑" w:cs="微软雅黑"/>
          <w:color w:val="auto"/>
          <w:sz w:val="21"/>
          <w:szCs w:val="21"/>
          <w:highlight w:val="none"/>
          <w:lang w:val="en-US" w:eastAsia="zh-CN" w:bidi="ar-SA"/>
        </w:rPr>
        <w:t>满足下述验收要求，出具检验报告，</w:t>
      </w:r>
      <w:r>
        <w:rPr>
          <w:rFonts w:hint="eastAsia" w:ascii="微软雅黑" w:hAnsi="微软雅黑" w:eastAsia="微软雅黑" w:cs="微软雅黑"/>
          <w:color w:val="auto"/>
          <w:sz w:val="21"/>
          <w:szCs w:val="21"/>
          <w:highlight w:val="none"/>
          <w:lang w:val="en-US" w:eastAsia="en-US" w:bidi="ar-SA"/>
        </w:rPr>
        <w:t>合格后入库。</w:t>
      </w:r>
    </w:p>
    <w:p>
      <w:pPr>
        <w:widowControl w:val="0"/>
        <w:spacing w:line="257" w:lineRule="auto"/>
        <w:ind w:right="115" w:rightChars="55" w:firstLine="200" w:firstLineChars="0"/>
        <w:jc w:val="both"/>
        <w:rPr>
          <w:rFonts w:hint="eastAsia" w:ascii="微软雅黑" w:hAnsi="微软雅黑" w:eastAsia="微软雅黑" w:cs="微软雅黑"/>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2、验收标准：</w:t>
      </w:r>
    </w:p>
    <w:p>
      <w:pPr>
        <w:widowControl w:val="0"/>
        <w:spacing w:line="360" w:lineRule="auto"/>
        <w:ind w:right="115" w:rightChars="55" w:firstLine="0" w:firstLineChars="0"/>
        <w:jc w:val="center"/>
        <w:rPr>
          <w:rFonts w:hint="eastAsia" w:ascii="微软雅黑" w:hAnsi="微软雅黑" w:eastAsia="微软雅黑" w:cs="微软雅黑"/>
          <w:sz w:val="21"/>
          <w:szCs w:val="21"/>
          <w:highlight w:val="none"/>
          <w:lang w:val="en-US" w:eastAsia="zh-CN" w:bidi="ar-SA"/>
        </w:rPr>
      </w:pPr>
    </w:p>
    <w:p>
      <w:pPr>
        <w:widowControl w:val="0"/>
        <w:spacing w:line="360" w:lineRule="auto"/>
        <w:ind w:right="115" w:rightChars="55" w:firstLine="0" w:firstLineChars="0"/>
        <w:jc w:val="center"/>
        <w:rPr>
          <w:rFonts w:hint="eastAsia" w:ascii="微软雅黑" w:hAnsi="微软雅黑" w:eastAsia="微软雅黑" w:cs="微软雅黑"/>
          <w:sz w:val="21"/>
          <w:szCs w:val="21"/>
          <w:highlight w:val="none"/>
          <w:lang w:val="en-US" w:eastAsia="zh-CN" w:bidi="ar-SA"/>
        </w:rPr>
      </w:pPr>
    </w:p>
    <w:p>
      <w:pPr>
        <w:widowControl w:val="0"/>
        <w:spacing w:line="36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催化剂1</w:t>
      </w:r>
      <w:r>
        <w:rPr>
          <w:rFonts w:hint="eastAsia" w:ascii="微软雅黑" w:hAnsi="微软雅黑" w:eastAsia="微软雅黑" w:cs="微软雅黑"/>
          <w:kern w:val="2"/>
          <w:sz w:val="21"/>
          <w:szCs w:val="21"/>
          <w:highlight w:val="none"/>
          <w:lang w:val="en-US" w:eastAsia="zh-CN" w:bidi="ar-SA"/>
        </w:rPr>
        <w:t>指标要求</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项目</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指标</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分析方法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催化剂形状</w:t>
            </w:r>
          </w:p>
        </w:tc>
        <w:tc>
          <w:tcPr>
            <w:tcW w:w="2841" w:type="dxa"/>
            <w:noWrap w:val="0"/>
            <w:vAlign w:val="top"/>
          </w:tcPr>
          <w:p>
            <w:pPr>
              <w:widowControl w:val="0"/>
              <w:adjustRightInd w:val="0"/>
              <w:snapToGrid w:val="0"/>
              <w:spacing w:line="240" w:lineRule="auto"/>
              <w:ind w:right="115" w:rightChars="55" w:firstLine="0" w:firstLineChars="0"/>
              <w:jc w:val="center"/>
              <w:rPr>
                <w:rFonts w:hint="default"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三叶草/圆柱</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目测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催化剂尺寸，mm</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Φ1.1~1.8mm占比≥98%</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游标卡尺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堆密度，g/ml</w:t>
            </w:r>
          </w:p>
        </w:tc>
        <w:tc>
          <w:tcPr>
            <w:tcW w:w="2841" w:type="dxa"/>
            <w:noWrap w:val="0"/>
            <w:vAlign w:val="top"/>
          </w:tcPr>
          <w:p>
            <w:pPr>
              <w:widowControl w:val="0"/>
              <w:adjustRightInd w:val="0"/>
              <w:snapToGrid w:val="0"/>
              <w:spacing w:line="240" w:lineRule="auto"/>
              <w:ind w:right="115" w:rightChars="55" w:firstLine="0" w:firstLineChars="0"/>
              <w:jc w:val="center"/>
              <w:rPr>
                <w:rFonts w:hint="default"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0.70~0.85</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GB/T6286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压碎强度，N/cm</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bCs/>
                <w:color w:val="auto"/>
                <w:sz w:val="21"/>
                <w:szCs w:val="21"/>
              </w:rPr>
              <w:t>≥</w:t>
            </w:r>
            <w:r>
              <w:rPr>
                <w:rFonts w:hint="eastAsia" w:ascii="微软雅黑" w:hAnsi="微软雅黑" w:eastAsia="微软雅黑" w:cs="微软雅黑"/>
                <w:kern w:val="2"/>
                <w:sz w:val="21"/>
                <w:szCs w:val="21"/>
                <w:highlight w:val="none"/>
                <w:lang w:val="en-US" w:eastAsia="zh-CN" w:bidi="ar-SA"/>
              </w:rPr>
              <w:t>150</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HG/T 2782-2024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比表面积，m</w:t>
            </w:r>
            <w:r>
              <w:rPr>
                <w:rFonts w:hint="eastAsia" w:ascii="微软雅黑" w:hAnsi="微软雅黑" w:eastAsia="微软雅黑" w:cs="微软雅黑"/>
                <w:kern w:val="2"/>
                <w:sz w:val="21"/>
                <w:szCs w:val="21"/>
                <w:highlight w:val="none"/>
                <w:vertAlign w:val="superscript"/>
                <w:lang w:val="en-US" w:eastAsia="zh-CN" w:bidi="ar-SA"/>
              </w:rPr>
              <w:t>2</w:t>
            </w:r>
            <w:r>
              <w:rPr>
                <w:rFonts w:hint="eastAsia" w:ascii="微软雅黑" w:hAnsi="微软雅黑" w:eastAsia="微软雅黑" w:cs="微软雅黑"/>
                <w:kern w:val="2"/>
                <w:sz w:val="21"/>
                <w:szCs w:val="21"/>
                <w:highlight w:val="none"/>
                <w:lang w:val="en-US" w:eastAsia="zh-CN" w:bidi="ar-SA"/>
              </w:rPr>
              <w:t>/g</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bCs/>
                <w:color w:val="auto"/>
                <w:sz w:val="21"/>
                <w:szCs w:val="21"/>
              </w:rPr>
              <w:t>≥</w:t>
            </w:r>
            <w:r>
              <w:rPr>
                <w:rFonts w:hint="eastAsia" w:ascii="微软雅黑" w:hAnsi="微软雅黑" w:eastAsia="微软雅黑" w:cs="微软雅黑"/>
                <w:kern w:val="2"/>
                <w:sz w:val="21"/>
                <w:szCs w:val="21"/>
                <w:highlight w:val="none"/>
                <w:lang w:val="en-US" w:eastAsia="zh-CN" w:bidi="ar-SA"/>
              </w:rPr>
              <w:t>150</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氮气吸附法/BET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color w:val="auto"/>
                <w:sz w:val="21"/>
                <w:szCs w:val="21"/>
              </w:rPr>
              <w:t>孔容</w:t>
            </w:r>
            <w:r>
              <w:rPr>
                <w:rFonts w:hint="eastAsia" w:ascii="微软雅黑" w:hAnsi="微软雅黑" w:eastAsia="微软雅黑" w:cs="微软雅黑"/>
                <w:color w:val="auto"/>
                <w:sz w:val="21"/>
                <w:szCs w:val="21"/>
                <w:lang w:eastAsia="zh-CN"/>
              </w:rPr>
              <w:t>，</w:t>
            </w:r>
            <w:r>
              <w:rPr>
                <w:rFonts w:hint="eastAsia" w:ascii="微软雅黑" w:hAnsi="微软雅黑" w:eastAsia="微软雅黑" w:cs="微软雅黑"/>
                <w:color w:val="auto"/>
                <w:sz w:val="21"/>
                <w:szCs w:val="21"/>
              </w:rPr>
              <w:t>cm</w:t>
            </w:r>
            <w:r>
              <w:rPr>
                <w:rFonts w:hint="eastAsia" w:ascii="微软雅黑" w:hAnsi="微软雅黑" w:eastAsia="微软雅黑" w:cs="微软雅黑"/>
                <w:color w:val="auto"/>
                <w:sz w:val="21"/>
                <w:szCs w:val="21"/>
                <w:vertAlign w:val="superscript"/>
              </w:rPr>
              <w:t>3</w:t>
            </w:r>
            <w:r>
              <w:rPr>
                <w:rFonts w:hint="eastAsia" w:ascii="微软雅黑" w:hAnsi="微软雅黑" w:eastAsia="微软雅黑" w:cs="微软雅黑"/>
                <w:color w:val="auto"/>
                <w:sz w:val="21"/>
                <w:szCs w:val="21"/>
              </w:rPr>
              <w:t>·g</w:t>
            </w:r>
            <w:r>
              <w:rPr>
                <w:rFonts w:hint="eastAsia" w:ascii="微软雅黑" w:hAnsi="微软雅黑" w:eastAsia="微软雅黑" w:cs="微软雅黑"/>
                <w:color w:val="auto"/>
                <w:sz w:val="21"/>
                <w:szCs w:val="21"/>
                <w:vertAlign w:val="superscript"/>
              </w:rPr>
              <w:t>-1</w:t>
            </w:r>
          </w:p>
        </w:tc>
        <w:tc>
          <w:tcPr>
            <w:tcW w:w="2841" w:type="dxa"/>
            <w:noWrap w:val="0"/>
            <w:vAlign w:val="top"/>
          </w:tcPr>
          <w:p>
            <w:pPr>
              <w:widowControl w:val="0"/>
              <w:adjustRightInd w:val="0"/>
              <w:snapToGrid w:val="0"/>
              <w:spacing w:line="240" w:lineRule="auto"/>
              <w:ind w:right="115" w:rightChars="55" w:firstLine="0" w:firstLineChars="0"/>
              <w:jc w:val="center"/>
              <w:rPr>
                <w:rFonts w:hint="default"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bCs/>
                <w:color w:val="auto"/>
                <w:sz w:val="21"/>
                <w:szCs w:val="21"/>
              </w:rPr>
              <w:t>≥0.</w:t>
            </w:r>
            <w:r>
              <w:rPr>
                <w:rFonts w:hint="eastAsia" w:ascii="微软雅黑" w:hAnsi="微软雅黑" w:eastAsia="微软雅黑" w:cs="微软雅黑"/>
                <w:bCs/>
                <w:color w:val="auto"/>
                <w:sz w:val="21"/>
                <w:szCs w:val="21"/>
                <w:lang w:val="en-US" w:eastAsia="zh-CN"/>
              </w:rPr>
              <w:t>34</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氮气吸附法/BET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auto"/>
                <w:sz w:val="21"/>
                <w:szCs w:val="21"/>
                <w:lang w:val="en-US" w:eastAsia="zh-CN"/>
              </w:rPr>
              <w:t>金属含量，</w:t>
            </w:r>
            <w:r>
              <w:rPr>
                <w:rFonts w:hint="eastAsia" w:ascii="微软雅黑" w:hAnsi="微软雅黑" w:eastAsia="微软雅黑" w:cs="微软雅黑"/>
                <w:bCs/>
                <w:sz w:val="21"/>
                <w:szCs w:val="21"/>
              </w:rPr>
              <w:t>wt%</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bCs/>
                <w:color w:val="auto"/>
                <w:sz w:val="21"/>
                <w:szCs w:val="21"/>
              </w:rPr>
            </w:pPr>
            <w:r>
              <w:rPr>
                <w:rFonts w:hint="eastAsia" w:ascii="微软雅黑" w:hAnsi="微软雅黑" w:eastAsia="微软雅黑" w:cs="微软雅黑"/>
                <w:bCs/>
                <w:sz w:val="21"/>
                <w:szCs w:val="21"/>
                <w:lang w:val="en-US" w:eastAsia="zh-CN"/>
              </w:rPr>
              <w:t>NiO%≥5.0</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highlight w:val="none"/>
                <w:lang w:val="en-US" w:eastAsia="zh-CN"/>
              </w:rPr>
              <w:t>可见分光光度法</w:t>
            </w:r>
            <w:r>
              <w:rPr>
                <w:rFonts w:hint="eastAsia" w:ascii="微软雅黑" w:hAnsi="微软雅黑" w:eastAsia="微软雅黑" w:cs="微软雅黑"/>
                <w:kern w:val="2"/>
                <w:sz w:val="21"/>
                <w:szCs w:val="21"/>
                <w:highlight w:val="none"/>
                <w:lang w:val="en-US" w:eastAsia="zh-CN" w:bidi="ar-SA"/>
              </w:rPr>
              <w:t>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长度要求</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2~8mm占比＞85%</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游标卡尺</w:t>
            </w:r>
          </w:p>
        </w:tc>
      </w:tr>
    </w:tbl>
    <w:p>
      <w:pPr>
        <w:pStyle w:val="3"/>
        <w:spacing w:line="257" w:lineRule="auto"/>
        <w:ind w:right="115" w:rightChars="55" w:firstLine="204" w:firstLineChars="95"/>
        <w:rPr>
          <w:rFonts w:hint="default" w:ascii="Times New Roman" w:hAnsi="Times New Roman" w:eastAsia="宋体" w:cs="Times New Roman"/>
          <w:b/>
          <w:bCs/>
          <w:lang w:val="en-US" w:eastAsia="zh-CN"/>
        </w:rPr>
      </w:pPr>
      <w:r>
        <w:rPr>
          <w:rFonts w:hint="eastAsia" w:ascii="宋体" w:hAnsi="宋体" w:eastAsia="宋体" w:cs="宋体"/>
          <w:b/>
          <w:bCs/>
          <w:spacing w:val="2"/>
          <w:sz w:val="21"/>
          <w:szCs w:val="21"/>
          <w:lang w:val="en-US" w:eastAsia="zh-CN" w:bidi="ar-SA"/>
        </w:rPr>
        <w:t>注：提供粉体比表</w:t>
      </w:r>
      <w:r>
        <w:rPr>
          <w:rFonts w:hint="default" w:ascii="Times New Roman" w:hAnsi="Times New Roman" w:eastAsia="宋体" w:cs="Times New Roman"/>
          <w:b/>
          <w:bCs/>
          <w:spacing w:val="2"/>
          <w:sz w:val="21"/>
          <w:szCs w:val="21"/>
          <w:lang w:val="en-US" w:eastAsia="zh-CN" w:bidi="ar-SA"/>
        </w:rPr>
        <w:t>面积</w:t>
      </w:r>
      <w:r>
        <w:rPr>
          <w:rFonts w:hint="default" w:ascii="Times New Roman" w:hAnsi="Times New Roman" w:eastAsia="宋体" w:cs="Times New Roman"/>
          <w:b/>
          <w:bCs w:val="0"/>
          <w:color w:val="auto"/>
          <w:sz w:val="21"/>
          <w:szCs w:val="21"/>
        </w:rPr>
        <w:t>≥</w:t>
      </w:r>
      <w:r>
        <w:rPr>
          <w:rFonts w:hint="default" w:ascii="Times New Roman" w:hAnsi="Times New Roman" w:eastAsia="宋体" w:cs="Times New Roman"/>
          <w:b/>
          <w:bCs w:val="0"/>
          <w:color w:val="auto"/>
          <w:sz w:val="21"/>
          <w:szCs w:val="21"/>
          <w:lang w:val="en-US" w:eastAsia="zh-CN"/>
        </w:rPr>
        <w:t>290</w:t>
      </w:r>
      <w:r>
        <w:rPr>
          <w:rFonts w:hint="default" w:ascii="Times New Roman" w:hAnsi="Times New Roman" w:eastAsia="宋体" w:cs="Times New Roman"/>
          <w:b/>
          <w:kern w:val="2"/>
          <w:sz w:val="21"/>
          <w:szCs w:val="21"/>
          <w:highlight w:val="none"/>
          <w:lang w:val="en-US" w:eastAsia="zh-CN" w:bidi="ar-SA"/>
        </w:rPr>
        <w:t>m</w:t>
      </w:r>
      <w:r>
        <w:rPr>
          <w:rFonts w:hint="default" w:ascii="Times New Roman" w:hAnsi="Times New Roman" w:eastAsia="宋体" w:cs="Times New Roman"/>
          <w:b/>
          <w:kern w:val="2"/>
          <w:sz w:val="21"/>
          <w:szCs w:val="21"/>
          <w:highlight w:val="none"/>
          <w:vertAlign w:val="superscript"/>
          <w:lang w:val="en-US" w:eastAsia="zh-CN" w:bidi="ar-SA"/>
        </w:rPr>
        <w:t>2</w:t>
      </w:r>
      <w:r>
        <w:rPr>
          <w:rFonts w:hint="default" w:ascii="Times New Roman" w:hAnsi="Times New Roman" w:eastAsia="宋体" w:cs="Times New Roman"/>
          <w:b/>
          <w:kern w:val="2"/>
          <w:sz w:val="21"/>
          <w:szCs w:val="21"/>
          <w:highlight w:val="none"/>
          <w:lang w:val="en-US" w:eastAsia="zh-CN" w:bidi="ar-SA"/>
        </w:rPr>
        <w:t>/g。孔容</w:t>
      </w:r>
      <w:r>
        <w:rPr>
          <w:rFonts w:hint="default" w:ascii="Times New Roman" w:hAnsi="Times New Roman" w:eastAsia="宋体" w:cs="Times New Roman"/>
          <w:b/>
          <w:bCs w:val="0"/>
          <w:color w:val="auto"/>
          <w:sz w:val="21"/>
          <w:szCs w:val="21"/>
        </w:rPr>
        <w:t>≥</w:t>
      </w:r>
      <w:r>
        <w:rPr>
          <w:rFonts w:hint="default" w:ascii="Times New Roman" w:hAnsi="Times New Roman" w:eastAsia="宋体" w:cs="Times New Roman"/>
          <w:b/>
          <w:bCs w:val="0"/>
          <w:color w:val="auto"/>
          <w:sz w:val="21"/>
          <w:szCs w:val="21"/>
          <w:lang w:val="en-US" w:eastAsia="zh-CN"/>
        </w:rPr>
        <w:t>1.0</w:t>
      </w:r>
      <w:r>
        <w:rPr>
          <w:rFonts w:hint="default" w:ascii="Times New Roman" w:hAnsi="Times New Roman" w:eastAsia="宋体" w:cs="Times New Roman"/>
          <w:b/>
          <w:color w:val="auto"/>
          <w:sz w:val="21"/>
          <w:szCs w:val="21"/>
        </w:rPr>
        <w:t>cm</w:t>
      </w:r>
      <w:r>
        <w:rPr>
          <w:rFonts w:hint="default" w:ascii="Times New Roman" w:hAnsi="Times New Roman" w:eastAsia="宋体" w:cs="Times New Roman"/>
          <w:b/>
          <w:color w:val="auto"/>
          <w:sz w:val="21"/>
          <w:szCs w:val="21"/>
          <w:vertAlign w:val="superscript"/>
        </w:rPr>
        <w:t>3</w:t>
      </w:r>
      <w:r>
        <w:rPr>
          <w:rFonts w:hint="default" w:ascii="Times New Roman" w:hAnsi="Times New Roman" w:eastAsia="宋体" w:cs="Times New Roman"/>
          <w:b/>
          <w:color w:val="auto"/>
          <w:sz w:val="21"/>
          <w:szCs w:val="21"/>
        </w:rPr>
        <w:t>·g</w:t>
      </w:r>
      <w:r>
        <w:rPr>
          <w:rFonts w:hint="default" w:ascii="Times New Roman" w:hAnsi="Times New Roman" w:eastAsia="宋体" w:cs="Times New Roman"/>
          <w:b/>
          <w:color w:val="auto"/>
          <w:sz w:val="21"/>
          <w:szCs w:val="21"/>
          <w:vertAlign w:val="superscript"/>
        </w:rPr>
        <w:t>-1</w:t>
      </w:r>
      <w:r>
        <w:rPr>
          <w:rFonts w:hint="default" w:ascii="Times New Roman" w:hAnsi="Times New Roman" w:eastAsia="宋体" w:cs="Times New Roman"/>
          <w:b/>
          <w:color w:val="auto"/>
          <w:sz w:val="21"/>
          <w:szCs w:val="21"/>
          <w:vertAlign w:val="baseline"/>
          <w:lang w:eastAsia="zh-CN"/>
        </w:rPr>
        <w:t>。</w:t>
      </w:r>
      <w:r>
        <w:rPr>
          <w:rFonts w:hint="default" w:ascii="Times New Roman" w:hAnsi="Times New Roman" w:eastAsia="宋体" w:cs="Times New Roman"/>
          <w:b/>
          <w:bCs/>
          <w:lang w:val="en-US" w:eastAsia="zh-CN"/>
        </w:rPr>
        <w:t>生产一吨成品催化剂</w:t>
      </w:r>
      <w:r>
        <w:rPr>
          <w:rFonts w:hint="eastAsia" w:ascii="Times New Roman" w:hAnsi="Times New Roman" w:eastAsia="宋体" w:cs="Times New Roman"/>
          <w:b/>
          <w:bCs/>
          <w:lang w:val="en-US" w:eastAsia="zh-CN"/>
        </w:rPr>
        <w:t>，六水合</w:t>
      </w:r>
      <w:r>
        <w:rPr>
          <w:rFonts w:hint="default" w:ascii="Times New Roman" w:hAnsi="Times New Roman" w:eastAsia="宋体" w:cs="Times New Roman"/>
          <w:b/>
          <w:bCs/>
          <w:lang w:val="en-US" w:eastAsia="zh-CN"/>
        </w:rPr>
        <w:t>硝酸镍消耗量不低于0.2吨</w:t>
      </w:r>
      <w:r>
        <w:rPr>
          <w:rFonts w:hint="eastAsia" w:ascii="Times New Roman" w:hAnsi="Times New Roman" w:eastAsia="宋体" w:cs="Times New Roman"/>
          <w:b/>
          <w:bCs/>
          <w:lang w:val="en-US" w:eastAsia="zh-CN"/>
        </w:rPr>
        <w:t>，金属</w:t>
      </w:r>
      <w:r>
        <w:rPr>
          <w:rFonts w:hint="default" w:ascii="Times New Roman" w:hAnsi="Times New Roman" w:eastAsia="宋体" w:cs="Times New Roman"/>
          <w:b/>
          <w:bCs/>
          <w:lang w:val="en-US" w:eastAsia="zh-CN"/>
        </w:rPr>
        <w:t>含量</w:t>
      </w:r>
      <w:r>
        <w:rPr>
          <w:rFonts w:hint="eastAsia" w:ascii="Times New Roman" w:hAnsi="Times New Roman" w:eastAsia="宋体" w:cs="Times New Roman"/>
          <w:b/>
          <w:bCs/>
          <w:lang w:val="en-US" w:eastAsia="zh-CN"/>
        </w:rPr>
        <w:t>按照</w:t>
      </w:r>
      <w:r>
        <w:rPr>
          <w:rFonts w:hint="default" w:ascii="Times New Roman" w:hAnsi="Times New Roman" w:eastAsia="宋体" w:cs="Times New Roman"/>
          <w:b/>
          <w:bCs/>
          <w:lang w:val="en-US" w:eastAsia="zh-CN"/>
        </w:rPr>
        <w:t>焙烧后的催化剂</w:t>
      </w:r>
      <w:r>
        <w:rPr>
          <w:rFonts w:hint="eastAsia" w:ascii="Times New Roman" w:hAnsi="Times New Roman" w:eastAsia="宋体" w:cs="Times New Roman"/>
          <w:b/>
          <w:bCs/>
          <w:lang w:val="en-US" w:eastAsia="zh-CN"/>
        </w:rPr>
        <w:t>测试</w:t>
      </w:r>
      <w:r>
        <w:rPr>
          <w:rFonts w:hint="default" w:ascii="Times New Roman" w:hAnsi="Times New Roman" w:eastAsia="宋体" w:cs="Times New Roman"/>
          <w:b/>
          <w:bCs/>
          <w:lang w:val="en-US" w:eastAsia="zh-CN"/>
        </w:rPr>
        <w:t>。</w:t>
      </w:r>
    </w:p>
    <w:p>
      <w:pPr>
        <w:pStyle w:val="3"/>
        <w:spacing w:line="257" w:lineRule="auto"/>
        <w:ind w:right="115" w:rightChars="55" w:firstLine="200" w:firstLineChars="95"/>
        <w:rPr>
          <w:rFonts w:hint="default" w:ascii="Times New Roman" w:hAnsi="Times New Roman" w:eastAsia="宋体" w:cs="Times New Roman"/>
          <w:b/>
          <w:bCs/>
          <w:lang w:val="en-US" w:eastAsia="zh-CN"/>
        </w:rPr>
      </w:pPr>
    </w:p>
    <w:p>
      <w:pPr>
        <w:widowControl w:val="0"/>
        <w:spacing w:line="36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 w:val="21"/>
          <w:szCs w:val="21"/>
          <w:highlight w:val="none"/>
          <w:lang w:val="en-US" w:eastAsia="zh-CN" w:bidi="ar-SA"/>
        </w:rPr>
        <w:t>催化剂2</w:t>
      </w:r>
      <w:r>
        <w:rPr>
          <w:rFonts w:hint="eastAsia" w:ascii="微软雅黑" w:hAnsi="微软雅黑" w:eastAsia="微软雅黑" w:cs="微软雅黑"/>
          <w:kern w:val="2"/>
          <w:sz w:val="21"/>
          <w:szCs w:val="21"/>
          <w:highlight w:val="none"/>
          <w:lang w:val="en-US" w:eastAsia="zh-CN" w:bidi="ar-SA"/>
        </w:rPr>
        <w:t>指标要求</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项目</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指标</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分析方法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催化剂形状</w:t>
            </w:r>
          </w:p>
        </w:tc>
        <w:tc>
          <w:tcPr>
            <w:tcW w:w="2841" w:type="dxa"/>
            <w:noWrap w:val="0"/>
            <w:vAlign w:val="top"/>
          </w:tcPr>
          <w:p>
            <w:pPr>
              <w:widowControl w:val="0"/>
              <w:adjustRightInd w:val="0"/>
              <w:snapToGrid w:val="0"/>
              <w:spacing w:line="240" w:lineRule="auto"/>
              <w:ind w:right="115" w:rightChars="55" w:firstLine="0" w:firstLineChars="0"/>
              <w:jc w:val="center"/>
              <w:rPr>
                <w:rFonts w:hint="default"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三叶草/圆柱</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目测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催化剂尺寸，mm</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Φ1.1~1.8mm占比≥98%</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游标卡尺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堆密度，g/ml</w:t>
            </w:r>
          </w:p>
        </w:tc>
        <w:tc>
          <w:tcPr>
            <w:tcW w:w="2841" w:type="dxa"/>
            <w:noWrap w:val="0"/>
            <w:vAlign w:val="top"/>
          </w:tcPr>
          <w:p>
            <w:pPr>
              <w:widowControl w:val="0"/>
              <w:adjustRightInd w:val="0"/>
              <w:snapToGrid w:val="0"/>
              <w:spacing w:line="240" w:lineRule="auto"/>
              <w:ind w:right="115" w:rightChars="55" w:firstLine="0" w:firstLineChars="0"/>
              <w:jc w:val="center"/>
              <w:rPr>
                <w:rFonts w:hint="default"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0.65~0.80</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GB/T6286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压碎强度，N/cm</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bCs/>
                <w:color w:val="auto"/>
                <w:sz w:val="21"/>
                <w:szCs w:val="21"/>
              </w:rPr>
              <w:t>≥</w:t>
            </w:r>
            <w:r>
              <w:rPr>
                <w:rFonts w:hint="eastAsia" w:ascii="微软雅黑" w:hAnsi="微软雅黑" w:eastAsia="微软雅黑" w:cs="微软雅黑"/>
                <w:kern w:val="2"/>
                <w:sz w:val="21"/>
                <w:szCs w:val="21"/>
                <w:highlight w:val="none"/>
                <w:lang w:val="en-US" w:eastAsia="zh-CN" w:bidi="ar-SA"/>
              </w:rPr>
              <w:t>150</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HG/T 2782-2024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比表面积，m</w:t>
            </w:r>
            <w:r>
              <w:rPr>
                <w:rFonts w:hint="eastAsia" w:ascii="微软雅黑" w:hAnsi="微软雅黑" w:eastAsia="微软雅黑" w:cs="微软雅黑"/>
                <w:kern w:val="2"/>
                <w:sz w:val="21"/>
                <w:szCs w:val="21"/>
                <w:highlight w:val="none"/>
                <w:vertAlign w:val="superscript"/>
                <w:lang w:val="en-US" w:eastAsia="zh-CN" w:bidi="ar-SA"/>
              </w:rPr>
              <w:t>2</w:t>
            </w:r>
            <w:r>
              <w:rPr>
                <w:rFonts w:hint="eastAsia" w:ascii="微软雅黑" w:hAnsi="微软雅黑" w:eastAsia="微软雅黑" w:cs="微软雅黑"/>
                <w:kern w:val="2"/>
                <w:sz w:val="21"/>
                <w:szCs w:val="21"/>
                <w:highlight w:val="none"/>
                <w:lang w:val="en-US" w:eastAsia="zh-CN" w:bidi="ar-SA"/>
              </w:rPr>
              <w:t>/g</w:t>
            </w:r>
          </w:p>
        </w:tc>
        <w:tc>
          <w:tcPr>
            <w:tcW w:w="2841" w:type="dxa"/>
            <w:noWrap w:val="0"/>
            <w:vAlign w:val="top"/>
          </w:tcPr>
          <w:p>
            <w:pPr>
              <w:widowControl w:val="0"/>
              <w:adjustRightInd w:val="0"/>
              <w:snapToGrid w:val="0"/>
              <w:spacing w:line="240" w:lineRule="auto"/>
              <w:ind w:right="115" w:rightChars="55" w:firstLine="0" w:firstLineChars="0"/>
              <w:jc w:val="center"/>
              <w:rPr>
                <w:rFonts w:hint="default"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bCs/>
                <w:color w:val="auto"/>
                <w:sz w:val="21"/>
                <w:szCs w:val="21"/>
              </w:rPr>
              <w:t>≥</w:t>
            </w:r>
            <w:r>
              <w:rPr>
                <w:rFonts w:hint="eastAsia" w:ascii="微软雅黑" w:hAnsi="微软雅黑" w:eastAsia="微软雅黑" w:cs="微软雅黑"/>
                <w:kern w:val="2"/>
                <w:sz w:val="21"/>
                <w:szCs w:val="21"/>
                <w:highlight w:val="none"/>
                <w:lang w:val="en-US" w:eastAsia="zh-CN" w:bidi="ar-SA"/>
              </w:rPr>
              <w:t>220</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氮气吸附法/BET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color w:val="auto"/>
                <w:sz w:val="21"/>
                <w:szCs w:val="21"/>
              </w:rPr>
              <w:t>孔容</w:t>
            </w:r>
            <w:r>
              <w:rPr>
                <w:rFonts w:hint="eastAsia" w:ascii="微软雅黑" w:hAnsi="微软雅黑" w:eastAsia="微软雅黑" w:cs="微软雅黑"/>
                <w:color w:val="auto"/>
                <w:sz w:val="21"/>
                <w:szCs w:val="21"/>
                <w:lang w:eastAsia="zh-CN"/>
              </w:rPr>
              <w:t>，</w:t>
            </w:r>
            <w:r>
              <w:rPr>
                <w:rFonts w:hint="eastAsia" w:ascii="微软雅黑" w:hAnsi="微软雅黑" w:eastAsia="微软雅黑" w:cs="微软雅黑"/>
                <w:color w:val="auto"/>
                <w:sz w:val="21"/>
                <w:szCs w:val="21"/>
              </w:rPr>
              <w:t>cm</w:t>
            </w:r>
            <w:r>
              <w:rPr>
                <w:rFonts w:hint="eastAsia" w:ascii="微软雅黑" w:hAnsi="微软雅黑" w:eastAsia="微软雅黑" w:cs="微软雅黑"/>
                <w:color w:val="auto"/>
                <w:sz w:val="21"/>
                <w:szCs w:val="21"/>
                <w:vertAlign w:val="superscript"/>
              </w:rPr>
              <w:t>3</w:t>
            </w:r>
            <w:r>
              <w:rPr>
                <w:rFonts w:hint="eastAsia" w:ascii="微软雅黑" w:hAnsi="微软雅黑" w:eastAsia="微软雅黑" w:cs="微软雅黑"/>
                <w:color w:val="auto"/>
                <w:sz w:val="21"/>
                <w:szCs w:val="21"/>
              </w:rPr>
              <w:t>·g</w:t>
            </w:r>
            <w:r>
              <w:rPr>
                <w:rFonts w:hint="eastAsia" w:ascii="微软雅黑" w:hAnsi="微软雅黑" w:eastAsia="微软雅黑" w:cs="微软雅黑"/>
                <w:color w:val="auto"/>
                <w:sz w:val="21"/>
                <w:szCs w:val="21"/>
                <w:vertAlign w:val="superscript"/>
              </w:rPr>
              <w:t>-1</w:t>
            </w:r>
          </w:p>
        </w:tc>
        <w:tc>
          <w:tcPr>
            <w:tcW w:w="2841" w:type="dxa"/>
            <w:noWrap w:val="0"/>
            <w:vAlign w:val="top"/>
          </w:tcPr>
          <w:p>
            <w:pPr>
              <w:widowControl w:val="0"/>
              <w:adjustRightInd w:val="0"/>
              <w:snapToGrid w:val="0"/>
              <w:spacing w:line="240" w:lineRule="auto"/>
              <w:ind w:right="115" w:rightChars="55" w:firstLine="0" w:firstLineChars="0"/>
              <w:jc w:val="center"/>
              <w:rPr>
                <w:rFonts w:hint="default"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bCs/>
                <w:color w:val="auto"/>
                <w:sz w:val="21"/>
                <w:szCs w:val="21"/>
              </w:rPr>
              <w:t>≥0.</w:t>
            </w:r>
            <w:r>
              <w:rPr>
                <w:rFonts w:hint="eastAsia" w:ascii="微软雅黑" w:hAnsi="微软雅黑" w:eastAsia="微软雅黑" w:cs="微软雅黑"/>
                <w:bCs/>
                <w:color w:val="auto"/>
                <w:sz w:val="21"/>
                <w:szCs w:val="21"/>
                <w:lang w:val="en-US" w:eastAsia="zh-CN"/>
              </w:rPr>
              <w:t>32</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氮气吸附法/BET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color w:val="auto"/>
                <w:sz w:val="21"/>
                <w:szCs w:val="21"/>
                <w:lang w:val="en-US" w:eastAsia="zh-CN"/>
              </w:rPr>
              <w:t>金属含量，</w:t>
            </w:r>
            <w:r>
              <w:rPr>
                <w:rFonts w:hint="eastAsia" w:ascii="微软雅黑" w:hAnsi="微软雅黑" w:eastAsia="微软雅黑" w:cs="微软雅黑"/>
                <w:bCs/>
                <w:sz w:val="21"/>
                <w:szCs w:val="21"/>
              </w:rPr>
              <w:t>wt%</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bCs/>
                <w:color w:val="auto"/>
                <w:sz w:val="21"/>
                <w:szCs w:val="21"/>
              </w:rPr>
            </w:pPr>
            <w:r>
              <w:rPr>
                <w:rFonts w:hint="eastAsia" w:ascii="微软雅黑" w:hAnsi="微软雅黑" w:eastAsia="微软雅黑" w:cs="微软雅黑"/>
                <w:bCs/>
                <w:sz w:val="21"/>
                <w:szCs w:val="21"/>
                <w:lang w:val="en-US" w:eastAsia="zh-CN"/>
              </w:rPr>
              <w:t>NiO%≥5.0</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highlight w:val="none"/>
                <w:lang w:val="en-US" w:eastAsia="zh-CN"/>
              </w:rPr>
              <w:t>可见分光光度法</w:t>
            </w:r>
            <w:r>
              <w:rPr>
                <w:rFonts w:hint="eastAsia" w:ascii="微软雅黑" w:hAnsi="微软雅黑" w:eastAsia="微软雅黑" w:cs="微软雅黑"/>
                <w:kern w:val="2"/>
                <w:sz w:val="21"/>
                <w:szCs w:val="21"/>
                <w:highlight w:val="none"/>
                <w:lang w:val="en-US" w:eastAsia="zh-CN" w:bidi="ar-SA"/>
              </w:rPr>
              <w:t>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pPr>
              <w:widowControl w:val="0"/>
              <w:adjustRightInd w:val="0"/>
              <w:snapToGrid w:val="0"/>
              <w:spacing w:line="240" w:lineRule="auto"/>
              <w:ind w:right="115" w:rightChars="55" w:firstLine="420" w:firstLineChars="20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长度要求</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2~8mm占比＞85%</w:t>
            </w:r>
          </w:p>
        </w:tc>
        <w:tc>
          <w:tcPr>
            <w:tcW w:w="2841" w:type="dxa"/>
            <w:noWrap w:val="0"/>
            <w:vAlign w:val="top"/>
          </w:tcPr>
          <w:p>
            <w:pPr>
              <w:widowControl w:val="0"/>
              <w:adjustRightInd w:val="0"/>
              <w:snapToGrid w:val="0"/>
              <w:spacing w:line="240" w:lineRule="auto"/>
              <w:ind w:right="115" w:rightChars="55" w:firstLine="0" w:firstLineChars="0"/>
              <w:jc w:val="center"/>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kern w:val="2"/>
                <w:sz w:val="21"/>
                <w:szCs w:val="21"/>
                <w:highlight w:val="none"/>
                <w:lang w:val="en-US" w:eastAsia="zh-CN" w:bidi="ar-SA"/>
              </w:rPr>
              <w:t>游标卡尺</w:t>
            </w:r>
          </w:p>
        </w:tc>
      </w:tr>
    </w:tbl>
    <w:p>
      <w:pPr>
        <w:pStyle w:val="3"/>
        <w:spacing w:line="257" w:lineRule="auto"/>
        <w:ind w:right="115" w:rightChars="55" w:firstLine="204" w:firstLineChars="95"/>
        <w:rPr>
          <w:rFonts w:hint="eastAsia" w:ascii="微软雅黑" w:hAnsi="微软雅黑" w:eastAsia="微软雅黑" w:cs="Times New Roman"/>
          <w:bCs/>
          <w:color w:val="auto"/>
          <w:sz w:val="24"/>
          <w:szCs w:val="24"/>
          <w:lang w:val="en-US" w:eastAsia="zh-CN"/>
        </w:rPr>
      </w:pPr>
      <w:r>
        <w:rPr>
          <w:rFonts w:hint="eastAsia" w:ascii="宋体" w:hAnsi="宋体" w:eastAsia="宋体" w:cs="宋体"/>
          <w:b/>
          <w:bCs/>
          <w:spacing w:val="2"/>
          <w:sz w:val="21"/>
          <w:szCs w:val="21"/>
          <w:lang w:val="en-US" w:eastAsia="zh-CN" w:bidi="ar-SA"/>
        </w:rPr>
        <w:t>注：提供粉体1（比例不低于30%）比表</w:t>
      </w:r>
      <w:r>
        <w:rPr>
          <w:rFonts w:hint="default" w:ascii="Times New Roman" w:hAnsi="Times New Roman" w:eastAsia="宋体" w:cs="Times New Roman"/>
          <w:b/>
          <w:bCs/>
          <w:spacing w:val="2"/>
          <w:sz w:val="21"/>
          <w:szCs w:val="21"/>
          <w:lang w:val="en-US" w:eastAsia="zh-CN" w:bidi="ar-SA"/>
        </w:rPr>
        <w:t>面积</w:t>
      </w:r>
      <w:r>
        <w:rPr>
          <w:rFonts w:hint="default" w:ascii="Times New Roman" w:hAnsi="Times New Roman" w:eastAsia="宋体" w:cs="Times New Roman"/>
          <w:b/>
          <w:bCs w:val="0"/>
          <w:color w:val="auto"/>
          <w:sz w:val="21"/>
          <w:szCs w:val="21"/>
        </w:rPr>
        <w:t>≥</w:t>
      </w:r>
      <w:r>
        <w:rPr>
          <w:rFonts w:hint="eastAsia" w:ascii="Times New Roman" w:hAnsi="Times New Roman" w:eastAsia="宋体" w:cs="Times New Roman"/>
          <w:b/>
          <w:bCs w:val="0"/>
          <w:color w:val="auto"/>
          <w:sz w:val="21"/>
          <w:szCs w:val="21"/>
          <w:lang w:val="en-US" w:eastAsia="zh-CN"/>
        </w:rPr>
        <w:t>500</w:t>
      </w:r>
      <w:r>
        <w:rPr>
          <w:rFonts w:hint="default" w:ascii="Times New Roman" w:hAnsi="Times New Roman" w:eastAsia="宋体" w:cs="Times New Roman"/>
          <w:b/>
          <w:kern w:val="2"/>
          <w:sz w:val="21"/>
          <w:szCs w:val="21"/>
          <w:highlight w:val="none"/>
          <w:lang w:val="en-US" w:eastAsia="zh-CN" w:bidi="ar-SA"/>
        </w:rPr>
        <w:t>m</w:t>
      </w:r>
      <w:r>
        <w:rPr>
          <w:rFonts w:hint="default" w:ascii="Times New Roman" w:hAnsi="Times New Roman" w:eastAsia="宋体" w:cs="Times New Roman"/>
          <w:b/>
          <w:kern w:val="2"/>
          <w:sz w:val="21"/>
          <w:szCs w:val="21"/>
          <w:highlight w:val="none"/>
          <w:vertAlign w:val="superscript"/>
          <w:lang w:val="en-US" w:eastAsia="zh-CN" w:bidi="ar-SA"/>
        </w:rPr>
        <w:t>2</w:t>
      </w:r>
      <w:r>
        <w:rPr>
          <w:rFonts w:hint="default" w:ascii="Times New Roman" w:hAnsi="Times New Roman" w:eastAsia="宋体" w:cs="Times New Roman"/>
          <w:b/>
          <w:kern w:val="2"/>
          <w:sz w:val="21"/>
          <w:szCs w:val="21"/>
          <w:highlight w:val="none"/>
          <w:lang w:val="en-US" w:eastAsia="zh-CN" w:bidi="ar-SA"/>
        </w:rPr>
        <w:t>/g</w:t>
      </w:r>
      <w:r>
        <w:rPr>
          <w:rFonts w:hint="eastAsia" w:ascii="Times New Roman" w:hAnsi="Times New Roman" w:eastAsia="宋体" w:cs="Times New Roman"/>
          <w:b/>
          <w:kern w:val="2"/>
          <w:sz w:val="21"/>
          <w:szCs w:val="21"/>
          <w:highlight w:val="none"/>
          <w:lang w:val="en-US" w:eastAsia="zh-CN" w:bidi="ar-SA"/>
        </w:rPr>
        <w:t>，</w:t>
      </w:r>
      <w:r>
        <w:rPr>
          <w:rFonts w:hint="default" w:ascii="Times New Roman" w:hAnsi="Times New Roman" w:eastAsia="宋体" w:cs="Times New Roman"/>
          <w:b/>
          <w:kern w:val="2"/>
          <w:sz w:val="21"/>
          <w:szCs w:val="21"/>
          <w:highlight w:val="none"/>
          <w:lang w:val="en-US" w:eastAsia="zh-CN" w:bidi="ar-SA"/>
        </w:rPr>
        <w:t>孔容</w:t>
      </w:r>
      <w:r>
        <w:rPr>
          <w:rFonts w:hint="default" w:ascii="Times New Roman" w:hAnsi="Times New Roman" w:eastAsia="宋体" w:cs="Times New Roman"/>
          <w:b/>
          <w:bCs w:val="0"/>
          <w:color w:val="auto"/>
          <w:sz w:val="21"/>
          <w:szCs w:val="21"/>
        </w:rPr>
        <w:t>≥</w:t>
      </w:r>
      <w:r>
        <w:rPr>
          <w:rFonts w:hint="eastAsia" w:ascii="Times New Roman" w:hAnsi="Times New Roman" w:eastAsia="宋体" w:cs="Times New Roman"/>
          <w:b/>
          <w:bCs w:val="0"/>
          <w:color w:val="auto"/>
          <w:sz w:val="21"/>
          <w:szCs w:val="21"/>
          <w:lang w:val="en-US" w:eastAsia="zh-CN"/>
        </w:rPr>
        <w:t>0.4</w:t>
      </w:r>
      <w:r>
        <w:rPr>
          <w:rFonts w:hint="default" w:ascii="Times New Roman" w:hAnsi="Times New Roman" w:eastAsia="宋体" w:cs="Times New Roman"/>
          <w:b/>
          <w:color w:val="auto"/>
          <w:sz w:val="21"/>
          <w:szCs w:val="21"/>
        </w:rPr>
        <w:t>cm</w:t>
      </w:r>
      <w:r>
        <w:rPr>
          <w:rFonts w:hint="default" w:ascii="Times New Roman" w:hAnsi="Times New Roman" w:eastAsia="宋体" w:cs="Times New Roman"/>
          <w:b/>
          <w:color w:val="auto"/>
          <w:sz w:val="21"/>
          <w:szCs w:val="21"/>
          <w:vertAlign w:val="superscript"/>
        </w:rPr>
        <w:t>3</w:t>
      </w:r>
      <w:r>
        <w:rPr>
          <w:rFonts w:hint="default" w:ascii="Times New Roman" w:hAnsi="Times New Roman" w:eastAsia="宋体" w:cs="Times New Roman"/>
          <w:b/>
          <w:color w:val="auto"/>
          <w:sz w:val="21"/>
          <w:szCs w:val="21"/>
        </w:rPr>
        <w:t>·g</w:t>
      </w:r>
      <w:r>
        <w:rPr>
          <w:rFonts w:hint="default" w:ascii="Times New Roman" w:hAnsi="Times New Roman" w:eastAsia="宋体" w:cs="Times New Roman"/>
          <w:b/>
          <w:color w:val="auto"/>
          <w:sz w:val="21"/>
          <w:szCs w:val="21"/>
          <w:vertAlign w:val="superscript"/>
        </w:rPr>
        <w:t>-1</w:t>
      </w:r>
      <w:r>
        <w:rPr>
          <w:rFonts w:hint="eastAsia" w:ascii="Times New Roman" w:hAnsi="Times New Roman" w:eastAsia="宋体" w:cs="Times New Roman"/>
          <w:b/>
          <w:color w:val="auto"/>
          <w:sz w:val="21"/>
          <w:szCs w:val="21"/>
          <w:vertAlign w:val="baseline"/>
          <w:lang w:eastAsia="zh-CN"/>
        </w:rPr>
        <w:t>；</w:t>
      </w:r>
      <w:r>
        <w:rPr>
          <w:rFonts w:hint="eastAsia" w:ascii="宋体" w:hAnsi="宋体" w:eastAsia="宋体" w:cs="宋体"/>
          <w:b/>
          <w:bCs/>
          <w:spacing w:val="2"/>
          <w:sz w:val="21"/>
          <w:szCs w:val="21"/>
          <w:lang w:val="en-US" w:eastAsia="zh-CN" w:bidi="ar-SA"/>
        </w:rPr>
        <w:t>粉体2（比例不低于50%）比表</w:t>
      </w:r>
      <w:r>
        <w:rPr>
          <w:rFonts w:hint="default" w:ascii="Times New Roman" w:hAnsi="Times New Roman" w:eastAsia="宋体" w:cs="Times New Roman"/>
          <w:b/>
          <w:bCs/>
          <w:spacing w:val="2"/>
          <w:sz w:val="21"/>
          <w:szCs w:val="21"/>
          <w:lang w:val="en-US" w:eastAsia="zh-CN" w:bidi="ar-SA"/>
        </w:rPr>
        <w:t>面积</w:t>
      </w:r>
      <w:r>
        <w:rPr>
          <w:rFonts w:hint="default" w:ascii="Times New Roman" w:hAnsi="Times New Roman" w:eastAsia="宋体" w:cs="Times New Roman"/>
          <w:b/>
          <w:bCs w:val="0"/>
          <w:color w:val="auto"/>
          <w:sz w:val="21"/>
          <w:szCs w:val="21"/>
        </w:rPr>
        <w:t>≥</w:t>
      </w:r>
      <w:r>
        <w:rPr>
          <w:rFonts w:hint="default" w:ascii="Times New Roman" w:hAnsi="Times New Roman" w:eastAsia="宋体" w:cs="Times New Roman"/>
          <w:b/>
          <w:bCs w:val="0"/>
          <w:color w:val="auto"/>
          <w:sz w:val="21"/>
          <w:szCs w:val="21"/>
          <w:lang w:val="en-US" w:eastAsia="zh-CN"/>
        </w:rPr>
        <w:t>290</w:t>
      </w:r>
      <w:r>
        <w:rPr>
          <w:rFonts w:hint="default" w:ascii="Times New Roman" w:hAnsi="Times New Roman" w:eastAsia="宋体" w:cs="Times New Roman"/>
          <w:b/>
          <w:kern w:val="2"/>
          <w:sz w:val="21"/>
          <w:szCs w:val="21"/>
          <w:highlight w:val="none"/>
          <w:lang w:val="en-US" w:eastAsia="zh-CN" w:bidi="ar-SA"/>
        </w:rPr>
        <w:t>m</w:t>
      </w:r>
      <w:r>
        <w:rPr>
          <w:rFonts w:hint="default" w:ascii="Times New Roman" w:hAnsi="Times New Roman" w:eastAsia="宋体" w:cs="Times New Roman"/>
          <w:b/>
          <w:kern w:val="2"/>
          <w:sz w:val="21"/>
          <w:szCs w:val="21"/>
          <w:highlight w:val="none"/>
          <w:vertAlign w:val="superscript"/>
          <w:lang w:val="en-US" w:eastAsia="zh-CN" w:bidi="ar-SA"/>
        </w:rPr>
        <w:t>2</w:t>
      </w:r>
      <w:r>
        <w:rPr>
          <w:rFonts w:hint="default" w:ascii="Times New Roman" w:hAnsi="Times New Roman" w:eastAsia="宋体" w:cs="Times New Roman"/>
          <w:b/>
          <w:kern w:val="2"/>
          <w:sz w:val="21"/>
          <w:szCs w:val="21"/>
          <w:highlight w:val="none"/>
          <w:lang w:val="en-US" w:eastAsia="zh-CN" w:bidi="ar-SA"/>
        </w:rPr>
        <w:t>/g</w:t>
      </w:r>
      <w:r>
        <w:rPr>
          <w:rFonts w:hint="eastAsia" w:ascii="Times New Roman" w:hAnsi="Times New Roman" w:eastAsia="宋体" w:cs="Times New Roman"/>
          <w:b/>
          <w:kern w:val="2"/>
          <w:sz w:val="21"/>
          <w:szCs w:val="21"/>
          <w:highlight w:val="none"/>
          <w:lang w:val="en-US" w:eastAsia="zh-CN" w:bidi="ar-SA"/>
        </w:rPr>
        <w:t>，</w:t>
      </w:r>
      <w:r>
        <w:rPr>
          <w:rFonts w:hint="default" w:ascii="Times New Roman" w:hAnsi="Times New Roman" w:eastAsia="宋体" w:cs="Times New Roman"/>
          <w:b/>
          <w:kern w:val="2"/>
          <w:sz w:val="21"/>
          <w:szCs w:val="21"/>
          <w:highlight w:val="none"/>
          <w:lang w:val="en-US" w:eastAsia="zh-CN" w:bidi="ar-SA"/>
        </w:rPr>
        <w:t>孔容</w:t>
      </w:r>
      <w:r>
        <w:rPr>
          <w:rFonts w:hint="default" w:ascii="Times New Roman" w:hAnsi="Times New Roman" w:eastAsia="宋体" w:cs="Times New Roman"/>
          <w:b/>
          <w:bCs w:val="0"/>
          <w:color w:val="auto"/>
          <w:sz w:val="21"/>
          <w:szCs w:val="21"/>
        </w:rPr>
        <w:t>≥</w:t>
      </w:r>
      <w:r>
        <w:rPr>
          <w:rFonts w:hint="default" w:ascii="Times New Roman" w:hAnsi="Times New Roman" w:eastAsia="宋体" w:cs="Times New Roman"/>
          <w:b/>
          <w:bCs w:val="0"/>
          <w:color w:val="auto"/>
          <w:sz w:val="21"/>
          <w:szCs w:val="21"/>
          <w:lang w:val="en-US" w:eastAsia="zh-CN"/>
        </w:rPr>
        <w:t>1.0</w:t>
      </w:r>
      <w:r>
        <w:rPr>
          <w:rFonts w:hint="default" w:ascii="Times New Roman" w:hAnsi="Times New Roman" w:eastAsia="宋体" w:cs="Times New Roman"/>
          <w:b/>
          <w:color w:val="auto"/>
          <w:sz w:val="21"/>
          <w:szCs w:val="21"/>
        </w:rPr>
        <w:t>cm</w:t>
      </w:r>
      <w:r>
        <w:rPr>
          <w:rFonts w:hint="default" w:ascii="Times New Roman" w:hAnsi="Times New Roman" w:eastAsia="宋体" w:cs="Times New Roman"/>
          <w:b/>
          <w:color w:val="auto"/>
          <w:sz w:val="21"/>
          <w:szCs w:val="21"/>
          <w:vertAlign w:val="superscript"/>
        </w:rPr>
        <w:t>3</w:t>
      </w:r>
      <w:r>
        <w:rPr>
          <w:rFonts w:hint="default" w:ascii="Times New Roman" w:hAnsi="Times New Roman" w:eastAsia="宋体" w:cs="Times New Roman"/>
          <w:b/>
          <w:color w:val="auto"/>
          <w:sz w:val="21"/>
          <w:szCs w:val="21"/>
        </w:rPr>
        <w:t>·g</w:t>
      </w:r>
      <w:r>
        <w:rPr>
          <w:rFonts w:hint="default" w:ascii="Times New Roman" w:hAnsi="Times New Roman" w:eastAsia="宋体" w:cs="Times New Roman"/>
          <w:b/>
          <w:color w:val="auto"/>
          <w:sz w:val="21"/>
          <w:szCs w:val="21"/>
          <w:vertAlign w:val="superscript"/>
        </w:rPr>
        <w:t>-1</w:t>
      </w:r>
      <w:r>
        <w:rPr>
          <w:rFonts w:hint="eastAsia" w:ascii="Times New Roman" w:hAnsi="Times New Roman" w:eastAsia="宋体" w:cs="Times New Roman"/>
          <w:b/>
          <w:color w:val="auto"/>
          <w:sz w:val="21"/>
          <w:szCs w:val="21"/>
          <w:vertAlign w:val="baseline"/>
          <w:lang w:eastAsia="zh-CN"/>
        </w:rPr>
        <w:t>；</w:t>
      </w:r>
      <w:r>
        <w:rPr>
          <w:rFonts w:hint="eastAsia" w:ascii="宋体" w:hAnsi="宋体" w:eastAsia="宋体" w:cs="宋体"/>
          <w:b/>
          <w:bCs/>
          <w:spacing w:val="2"/>
          <w:sz w:val="21"/>
          <w:szCs w:val="21"/>
          <w:lang w:val="en-US" w:eastAsia="zh-CN" w:bidi="ar-SA"/>
        </w:rPr>
        <w:t>粉体3比表</w:t>
      </w:r>
      <w:r>
        <w:rPr>
          <w:rFonts w:hint="default" w:ascii="Times New Roman" w:hAnsi="Times New Roman" w:eastAsia="宋体" w:cs="Times New Roman"/>
          <w:b/>
          <w:bCs/>
          <w:spacing w:val="2"/>
          <w:sz w:val="21"/>
          <w:szCs w:val="21"/>
          <w:lang w:val="en-US" w:eastAsia="zh-CN" w:bidi="ar-SA"/>
        </w:rPr>
        <w:t>面积</w:t>
      </w:r>
      <w:r>
        <w:rPr>
          <w:rFonts w:hint="default" w:ascii="Times New Roman" w:hAnsi="Times New Roman" w:eastAsia="宋体" w:cs="Times New Roman"/>
          <w:b/>
          <w:bCs w:val="0"/>
          <w:color w:val="auto"/>
          <w:sz w:val="21"/>
          <w:szCs w:val="21"/>
        </w:rPr>
        <w:t>≥</w:t>
      </w:r>
      <w:r>
        <w:rPr>
          <w:rFonts w:hint="eastAsia" w:ascii="Times New Roman" w:hAnsi="Times New Roman" w:eastAsia="宋体" w:cs="Times New Roman"/>
          <w:b/>
          <w:bCs w:val="0"/>
          <w:color w:val="auto"/>
          <w:sz w:val="21"/>
          <w:szCs w:val="21"/>
          <w:lang w:val="en-US" w:eastAsia="zh-CN"/>
        </w:rPr>
        <w:t>15</w:t>
      </w:r>
      <w:r>
        <w:rPr>
          <w:rFonts w:hint="default" w:ascii="Times New Roman" w:hAnsi="Times New Roman" w:eastAsia="宋体" w:cs="Times New Roman"/>
          <w:b/>
          <w:bCs w:val="0"/>
          <w:color w:val="auto"/>
          <w:sz w:val="21"/>
          <w:szCs w:val="21"/>
          <w:lang w:val="en-US" w:eastAsia="zh-CN"/>
        </w:rPr>
        <w:t>0</w:t>
      </w:r>
      <w:r>
        <w:rPr>
          <w:rFonts w:hint="default" w:ascii="Times New Roman" w:hAnsi="Times New Roman" w:eastAsia="宋体" w:cs="Times New Roman"/>
          <w:b/>
          <w:kern w:val="2"/>
          <w:sz w:val="21"/>
          <w:szCs w:val="21"/>
          <w:highlight w:val="none"/>
          <w:lang w:val="en-US" w:eastAsia="zh-CN" w:bidi="ar-SA"/>
        </w:rPr>
        <w:t>m</w:t>
      </w:r>
      <w:r>
        <w:rPr>
          <w:rFonts w:hint="default" w:ascii="Times New Roman" w:hAnsi="Times New Roman" w:eastAsia="宋体" w:cs="Times New Roman"/>
          <w:b/>
          <w:kern w:val="2"/>
          <w:sz w:val="21"/>
          <w:szCs w:val="21"/>
          <w:highlight w:val="none"/>
          <w:vertAlign w:val="superscript"/>
          <w:lang w:val="en-US" w:eastAsia="zh-CN" w:bidi="ar-SA"/>
        </w:rPr>
        <w:t>2</w:t>
      </w:r>
      <w:r>
        <w:rPr>
          <w:rFonts w:hint="default" w:ascii="Times New Roman" w:hAnsi="Times New Roman" w:eastAsia="宋体" w:cs="Times New Roman"/>
          <w:b/>
          <w:kern w:val="2"/>
          <w:sz w:val="21"/>
          <w:szCs w:val="21"/>
          <w:highlight w:val="none"/>
          <w:lang w:val="en-US" w:eastAsia="zh-CN" w:bidi="ar-SA"/>
        </w:rPr>
        <w:t>/g</w:t>
      </w:r>
      <w:r>
        <w:rPr>
          <w:rFonts w:hint="eastAsia" w:ascii="Times New Roman" w:hAnsi="Times New Roman" w:eastAsia="宋体" w:cs="Times New Roman"/>
          <w:b/>
          <w:kern w:val="2"/>
          <w:sz w:val="21"/>
          <w:szCs w:val="21"/>
          <w:highlight w:val="none"/>
          <w:lang w:val="en-US" w:eastAsia="zh-CN" w:bidi="ar-SA"/>
        </w:rPr>
        <w:t>，</w:t>
      </w:r>
      <w:r>
        <w:rPr>
          <w:rFonts w:hint="default" w:ascii="Times New Roman" w:hAnsi="Times New Roman" w:eastAsia="宋体" w:cs="Times New Roman"/>
          <w:b/>
          <w:kern w:val="2"/>
          <w:sz w:val="21"/>
          <w:szCs w:val="21"/>
          <w:highlight w:val="none"/>
          <w:lang w:val="en-US" w:eastAsia="zh-CN" w:bidi="ar-SA"/>
        </w:rPr>
        <w:t>孔容</w:t>
      </w:r>
      <w:r>
        <w:rPr>
          <w:rFonts w:hint="default" w:ascii="Times New Roman" w:hAnsi="Times New Roman" w:eastAsia="宋体" w:cs="Times New Roman"/>
          <w:b/>
          <w:bCs w:val="0"/>
          <w:color w:val="auto"/>
          <w:sz w:val="21"/>
          <w:szCs w:val="21"/>
        </w:rPr>
        <w:t>≥</w:t>
      </w:r>
      <w:r>
        <w:rPr>
          <w:rFonts w:hint="eastAsia" w:ascii="Times New Roman" w:hAnsi="Times New Roman" w:eastAsia="宋体" w:cs="Times New Roman"/>
          <w:b/>
          <w:bCs w:val="0"/>
          <w:color w:val="auto"/>
          <w:sz w:val="21"/>
          <w:szCs w:val="21"/>
          <w:lang w:val="en-US" w:eastAsia="zh-CN"/>
        </w:rPr>
        <w:t>0.3</w:t>
      </w:r>
      <w:r>
        <w:rPr>
          <w:rFonts w:hint="default" w:ascii="Times New Roman" w:hAnsi="Times New Roman" w:eastAsia="宋体" w:cs="Times New Roman"/>
          <w:b/>
          <w:bCs w:val="0"/>
          <w:color w:val="auto"/>
          <w:sz w:val="21"/>
          <w:szCs w:val="21"/>
          <w:lang w:val="en-US" w:eastAsia="zh-CN"/>
        </w:rPr>
        <w:t>0</w:t>
      </w:r>
      <w:r>
        <w:rPr>
          <w:rFonts w:hint="default" w:ascii="Times New Roman" w:hAnsi="Times New Roman" w:eastAsia="宋体" w:cs="Times New Roman"/>
          <w:b/>
          <w:color w:val="auto"/>
          <w:sz w:val="21"/>
          <w:szCs w:val="21"/>
        </w:rPr>
        <w:t>cm</w:t>
      </w:r>
      <w:r>
        <w:rPr>
          <w:rFonts w:hint="default" w:ascii="Times New Roman" w:hAnsi="Times New Roman" w:eastAsia="宋体" w:cs="Times New Roman"/>
          <w:b/>
          <w:color w:val="auto"/>
          <w:sz w:val="21"/>
          <w:szCs w:val="21"/>
          <w:vertAlign w:val="superscript"/>
        </w:rPr>
        <w:t>3</w:t>
      </w:r>
      <w:r>
        <w:rPr>
          <w:rFonts w:hint="default" w:ascii="Times New Roman" w:hAnsi="Times New Roman" w:eastAsia="宋体" w:cs="Times New Roman"/>
          <w:b/>
          <w:color w:val="auto"/>
          <w:sz w:val="21"/>
          <w:szCs w:val="21"/>
        </w:rPr>
        <w:t>·g</w:t>
      </w:r>
      <w:r>
        <w:rPr>
          <w:rFonts w:hint="default" w:ascii="Times New Roman" w:hAnsi="Times New Roman" w:eastAsia="宋体" w:cs="Times New Roman"/>
          <w:b/>
          <w:color w:val="auto"/>
          <w:sz w:val="21"/>
          <w:szCs w:val="21"/>
          <w:vertAlign w:val="superscript"/>
        </w:rPr>
        <w:t>-1</w:t>
      </w:r>
      <w:r>
        <w:rPr>
          <w:rFonts w:hint="eastAsia" w:ascii="Times New Roman" w:hAnsi="Times New Roman" w:eastAsia="宋体" w:cs="Times New Roman"/>
          <w:b/>
          <w:color w:val="auto"/>
          <w:sz w:val="21"/>
          <w:szCs w:val="21"/>
          <w:vertAlign w:val="baseline"/>
          <w:lang w:eastAsia="zh-CN"/>
        </w:rPr>
        <w:t>。</w:t>
      </w:r>
      <w:r>
        <w:rPr>
          <w:rFonts w:hint="default" w:ascii="Times New Roman" w:hAnsi="Times New Roman" w:eastAsia="宋体" w:cs="Times New Roman"/>
          <w:b/>
          <w:bCs/>
          <w:lang w:val="en-US" w:eastAsia="zh-CN"/>
        </w:rPr>
        <w:t>生产一吨成品催化剂</w:t>
      </w:r>
      <w:r>
        <w:rPr>
          <w:rFonts w:hint="eastAsia" w:ascii="Times New Roman" w:hAnsi="Times New Roman" w:eastAsia="宋体" w:cs="Times New Roman"/>
          <w:b/>
          <w:bCs/>
          <w:lang w:val="en-US" w:eastAsia="zh-CN"/>
        </w:rPr>
        <w:t>，六水合</w:t>
      </w:r>
      <w:r>
        <w:rPr>
          <w:rFonts w:hint="default" w:ascii="Times New Roman" w:hAnsi="Times New Roman" w:eastAsia="宋体" w:cs="Times New Roman"/>
          <w:b/>
          <w:bCs/>
          <w:lang w:val="en-US" w:eastAsia="zh-CN"/>
        </w:rPr>
        <w:t>硝酸镍消耗量不低于0.2吨</w:t>
      </w:r>
      <w:r>
        <w:rPr>
          <w:rFonts w:hint="eastAsia" w:ascii="Times New Roman" w:hAnsi="Times New Roman" w:eastAsia="宋体" w:cs="Times New Roman"/>
          <w:b/>
          <w:bCs/>
          <w:lang w:val="en-US" w:eastAsia="zh-CN"/>
        </w:rPr>
        <w:t>，金属</w:t>
      </w:r>
      <w:r>
        <w:rPr>
          <w:rFonts w:hint="default" w:ascii="Times New Roman" w:hAnsi="Times New Roman" w:eastAsia="宋体" w:cs="Times New Roman"/>
          <w:b/>
          <w:bCs/>
          <w:lang w:val="en-US" w:eastAsia="zh-CN"/>
        </w:rPr>
        <w:t>含量</w:t>
      </w:r>
      <w:r>
        <w:rPr>
          <w:rFonts w:hint="eastAsia" w:ascii="Times New Roman" w:hAnsi="Times New Roman" w:eastAsia="宋体" w:cs="Times New Roman"/>
          <w:b/>
          <w:bCs/>
          <w:lang w:val="en-US" w:eastAsia="zh-CN"/>
        </w:rPr>
        <w:t>按照</w:t>
      </w:r>
      <w:r>
        <w:rPr>
          <w:rFonts w:hint="default" w:ascii="Times New Roman" w:hAnsi="Times New Roman" w:eastAsia="宋体" w:cs="Times New Roman"/>
          <w:b/>
          <w:bCs/>
          <w:lang w:val="en-US" w:eastAsia="zh-CN"/>
        </w:rPr>
        <w:t>焙烧后的催化剂</w:t>
      </w:r>
      <w:r>
        <w:rPr>
          <w:rFonts w:hint="eastAsia" w:ascii="Times New Roman" w:hAnsi="Times New Roman" w:eastAsia="宋体" w:cs="Times New Roman"/>
          <w:b/>
          <w:bCs/>
          <w:lang w:val="en-US" w:eastAsia="zh-CN"/>
        </w:rPr>
        <w:t>测试</w:t>
      </w:r>
      <w:r>
        <w:rPr>
          <w:rFonts w:hint="default" w:ascii="Times New Roman" w:hAnsi="Times New Roman" w:eastAsia="宋体" w:cs="Times New Roman"/>
          <w:b/>
          <w:bCs/>
          <w:lang w:val="en-US" w:eastAsia="zh-CN"/>
        </w:rPr>
        <w:t>。</w:t>
      </w:r>
    </w:p>
    <w:p>
      <w:pPr>
        <w:pStyle w:val="3"/>
        <w:numPr>
          <w:ilvl w:val="0"/>
          <w:numId w:val="3"/>
        </w:numPr>
        <w:spacing w:line="240" w:lineRule="auto"/>
        <w:ind w:left="0" w:leftChars="0" w:right="122" w:rightChars="0" w:firstLine="0" w:firstLineChars="0"/>
        <w:rPr>
          <w:rFonts w:hint="eastAsia" w:ascii="微软雅黑" w:hAnsi="微软雅黑" w:eastAsia="微软雅黑" w:cs="Times New Roman"/>
          <w:b/>
          <w:bCs/>
          <w:color w:val="auto"/>
          <w:sz w:val="24"/>
          <w:szCs w:val="24"/>
          <w:lang w:val="en-US" w:eastAsia="zh-CN" w:bidi="ar-SA"/>
        </w:rPr>
      </w:pPr>
      <w:r>
        <w:rPr>
          <w:rFonts w:hint="eastAsia" w:ascii="微软雅黑" w:hAnsi="微软雅黑" w:eastAsia="微软雅黑" w:cs="Times New Roman"/>
          <w:b/>
          <w:bCs/>
          <w:color w:val="auto"/>
          <w:sz w:val="24"/>
          <w:szCs w:val="24"/>
          <w:lang w:val="en-US" w:eastAsia="zh-CN" w:bidi="ar-SA"/>
        </w:rPr>
        <w:t>质量保证</w:t>
      </w:r>
    </w:p>
    <w:p>
      <w:pPr>
        <w:spacing w:line="360" w:lineRule="auto"/>
        <w:ind w:firstLine="420" w:firstLineChars="200"/>
        <w:rPr>
          <w:rFonts w:hint="eastAsia" w:ascii="微软雅黑" w:hAnsi="微软雅黑" w:eastAsia="微软雅黑" w:cs="微软雅黑"/>
          <w:sz w:val="21"/>
          <w:szCs w:val="21"/>
          <w:highlight w:val="none"/>
          <w:lang w:eastAsia="zh-CN"/>
        </w:rPr>
      </w:pPr>
      <w:r>
        <w:rPr>
          <w:rFonts w:hint="eastAsia" w:ascii="微软雅黑" w:hAnsi="微软雅黑" w:eastAsia="微软雅黑" w:cs="微软雅黑"/>
          <w:sz w:val="21"/>
          <w:szCs w:val="21"/>
          <w:highlight w:val="none"/>
          <w:lang w:eastAsia="zh-CN"/>
        </w:rPr>
        <w:t>1.质保期内甲乙方各自具体责任：甲方负责保证提供的材料和工艺流程能够稳定生产出产品；乙方需保证加工过程严格按照甲方提供的工艺参数，原料称量投放准确，生产过程安全稳定。</w:t>
      </w:r>
    </w:p>
    <w:p>
      <w:pPr>
        <w:spacing w:line="360" w:lineRule="auto"/>
        <w:ind w:firstLine="420" w:firstLineChars="200"/>
        <w:rPr>
          <w:rFonts w:hint="eastAsia"/>
          <w:lang w:val="en-US" w:eastAsia="zh-CN"/>
        </w:rPr>
      </w:pPr>
      <w:r>
        <w:rPr>
          <w:rFonts w:hint="eastAsia" w:ascii="微软雅黑" w:hAnsi="微软雅黑" w:eastAsia="微软雅黑" w:cs="微软雅黑"/>
          <w:sz w:val="21"/>
          <w:szCs w:val="21"/>
          <w:highlight w:val="none"/>
          <w:lang w:eastAsia="zh-CN"/>
        </w:rPr>
        <w:t>2、质保期内出现问题处理方案：如生产过程中由于乙方生产不合格造成产品质量问题，乙方需承担产品废弃或重新加工的经济损失。</w:t>
      </w:r>
    </w:p>
    <w:p>
      <w:pPr>
        <w:pStyle w:val="2"/>
        <w:rPr>
          <w:rFonts w:hint="eastAsia"/>
          <w:lang w:val="en-US" w:eastAsia="zh-CN"/>
        </w:rPr>
      </w:pPr>
    </w:p>
    <w:p>
      <w:pPr>
        <w:pStyle w:val="3"/>
        <w:numPr>
          <w:numId w:val="0"/>
        </w:numPr>
        <w:spacing w:line="240" w:lineRule="auto"/>
        <w:ind w:leftChars="0" w:right="122" w:rightChars="0"/>
        <w:rPr>
          <w:rFonts w:hint="eastAsia" w:ascii="微软雅黑" w:hAnsi="微软雅黑" w:eastAsia="微软雅黑" w:cs="Times New Roman"/>
          <w:b/>
          <w:bCs/>
          <w:color w:val="auto"/>
          <w:sz w:val="24"/>
          <w:szCs w:val="24"/>
          <w:lang w:val="en-US" w:eastAsia="zh-CN" w:bidi="ar-SA"/>
        </w:rPr>
      </w:pPr>
      <w:r>
        <w:rPr>
          <w:rFonts w:hint="eastAsia" w:ascii="微软雅黑" w:hAnsi="微软雅黑" w:eastAsia="微软雅黑" w:cs="Times New Roman"/>
          <w:b/>
          <w:bCs/>
          <w:color w:val="auto"/>
          <w:sz w:val="24"/>
          <w:szCs w:val="24"/>
          <w:lang w:val="en-US" w:eastAsia="zh-CN" w:bidi="ar-SA"/>
        </w:rPr>
        <w:t>八、其他要求</w:t>
      </w:r>
    </w:p>
    <w:p>
      <w:pPr>
        <w:pStyle w:val="3"/>
        <w:spacing w:line="257" w:lineRule="auto"/>
        <w:ind w:right="115" w:rightChars="55" w:firstLine="199" w:firstLineChars="95"/>
        <w:rPr>
          <w:rFonts w:ascii="Times New Roman" w:hAnsi="Times New Roman" w:eastAsia="微软雅黑" w:cs="Times New Roman"/>
          <w:lang w:eastAsia="zh-CN"/>
        </w:rPr>
      </w:pPr>
      <w:r>
        <w:rPr>
          <w:rFonts w:ascii="Times New Roman" w:hAnsi="Times New Roman" w:eastAsia="微软雅黑" w:cs="Times New Roman"/>
          <w:lang w:eastAsia="zh-CN"/>
        </w:rPr>
        <w:t>1、技术联系人：</w:t>
      </w:r>
      <w:r>
        <w:rPr>
          <w:rFonts w:hint="eastAsia" w:ascii="Times New Roman" w:hAnsi="Times New Roman" w:eastAsia="微软雅黑" w:cs="Times New Roman"/>
          <w:lang w:val="en-US" w:eastAsia="zh-CN"/>
        </w:rPr>
        <w:t>宋国良</w:t>
      </w:r>
      <w:r>
        <w:rPr>
          <w:rFonts w:hint="eastAsia" w:ascii="Times New Roman" w:hAnsi="Times New Roman" w:eastAsia="微软雅黑" w:cs="Times New Roman"/>
          <w:lang w:eastAsia="zh-CN"/>
        </w:rPr>
        <w:t>，</w:t>
      </w:r>
      <w:r>
        <w:rPr>
          <w:rFonts w:ascii="Times New Roman" w:hAnsi="Times New Roman" w:eastAsia="微软雅黑" w:cs="Times New Roman"/>
          <w:lang w:eastAsia="zh-CN"/>
        </w:rPr>
        <w:t>电话：</w:t>
      </w:r>
      <w:r>
        <w:rPr>
          <w:rFonts w:hint="eastAsia" w:ascii="Times New Roman" w:hAnsi="Times New Roman" w:eastAsia="微软雅黑" w:cs="Times New Roman"/>
          <w:lang w:val="en-US" w:eastAsia="zh-CN"/>
        </w:rPr>
        <w:t>15620379856</w:t>
      </w:r>
      <w:r>
        <w:rPr>
          <w:rFonts w:hint="eastAsia" w:ascii="Times New Roman" w:hAnsi="Times New Roman" w:eastAsia="微软雅黑" w:cs="Times New Roman"/>
          <w:lang w:eastAsia="zh-CN"/>
        </w:rPr>
        <w:t>。</w:t>
      </w:r>
    </w:p>
    <w:p>
      <w:pPr>
        <w:pStyle w:val="3"/>
        <w:spacing w:line="257" w:lineRule="auto"/>
        <w:ind w:right="115" w:rightChars="55" w:firstLine="199" w:firstLineChars="95"/>
        <w:rPr>
          <w:rFonts w:hint="eastAsia" w:ascii="Times New Roman" w:hAnsi="Times New Roman" w:eastAsia="微软雅黑" w:cs="Times New Roman"/>
          <w:lang w:eastAsia="zh-CN"/>
        </w:rPr>
      </w:pPr>
      <w:r>
        <w:rPr>
          <w:rFonts w:hint="eastAsia" w:ascii="Times New Roman" w:hAnsi="Times New Roman" w:eastAsia="微软雅黑" w:cs="Times New Roman"/>
          <w:lang w:eastAsia="zh-CN"/>
        </w:rPr>
        <w:t>2、付款方式：电汇、承兑或者以上两种方式的组合。</w:t>
      </w:r>
    </w:p>
    <w:p>
      <w:pPr>
        <w:pStyle w:val="3"/>
        <w:spacing w:line="257" w:lineRule="auto"/>
        <w:ind w:right="115" w:rightChars="55" w:firstLine="199" w:firstLineChars="95"/>
        <w:rPr>
          <w:rFonts w:hint="eastAsia" w:ascii="Times New Roman" w:hAnsi="Times New Roman" w:eastAsia="微软雅黑" w:cs="Times New Roman"/>
          <w:lang w:val="en-US" w:eastAsia="zh-CN"/>
        </w:rPr>
      </w:pPr>
      <w:r>
        <w:rPr>
          <w:rFonts w:hint="eastAsia" w:ascii="Times New Roman" w:hAnsi="Times New Roman" w:eastAsia="微软雅黑" w:cs="Times New Roman"/>
          <w:lang w:val="en-US" w:eastAsia="zh-CN"/>
        </w:rPr>
        <w:t>3、合同定价模式</w:t>
      </w:r>
    </w:p>
    <w:p>
      <w:pPr>
        <w:pStyle w:val="3"/>
        <w:keepLines w:val="0"/>
        <w:pageBreakBefore w:val="0"/>
        <w:numPr>
          <w:ilvl w:val="0"/>
          <w:numId w:val="0"/>
        </w:numPr>
        <w:kinsoku/>
        <w:wordWrap/>
        <w:overflowPunct/>
        <w:topLinePunct w:val="0"/>
        <w:bidi w:val="0"/>
        <w:adjustRightInd w:val="0"/>
        <w:snapToGrid w:val="0"/>
        <w:spacing w:line="360" w:lineRule="auto"/>
        <w:ind w:right="122" w:rightChars="0" w:firstLine="420" w:firstLineChars="200"/>
        <w:textAlignment w:val="auto"/>
        <w:rPr>
          <w:rFonts w:hint="eastAsia" w:ascii="微软雅黑" w:hAnsi="微软雅黑" w:eastAsia="微软雅黑" w:cs="Times New Roman"/>
          <w:i w:val="0"/>
          <w:iCs w:val="0"/>
          <w:color w:val="auto"/>
          <w:highlight w:val="none"/>
          <w:lang w:val="en-US" w:eastAsia="zh-CN"/>
        </w:rPr>
      </w:pPr>
      <w:r>
        <w:rPr>
          <w:rFonts w:hint="eastAsia" w:ascii="微软雅黑" w:hAnsi="微软雅黑" w:eastAsia="微软雅黑" w:cs="Times New Roman"/>
          <w:i w:val="0"/>
          <w:iCs w:val="0"/>
          <w:color w:val="auto"/>
          <w:highlight w:val="none"/>
          <w:lang w:val="en-US" w:eastAsia="zh-CN"/>
        </w:rPr>
        <w:t>固定单价/费率合同+浮动单价/费率合同</w:t>
      </w:r>
    </w:p>
    <w:p>
      <w:pPr>
        <w:pStyle w:val="3"/>
        <w:numPr>
          <w:ilvl w:val="0"/>
          <w:numId w:val="0"/>
        </w:numPr>
        <w:adjustRightInd w:val="0"/>
        <w:snapToGrid w:val="0"/>
        <w:spacing w:line="360" w:lineRule="auto"/>
        <w:ind w:right="122" w:rightChars="0" w:firstLine="420" w:firstLineChars="200"/>
        <w:rPr>
          <w:rFonts w:hint="eastAsia" w:ascii="微软雅黑" w:hAnsi="微软雅黑" w:eastAsia="微软雅黑" w:cs="Times New Roman"/>
          <w:color w:val="auto"/>
          <w:highlight w:val="none"/>
          <w:lang w:val="en-US" w:eastAsia="zh-CN"/>
        </w:rPr>
      </w:pPr>
      <w:r>
        <w:rPr>
          <w:rFonts w:hint="eastAsia" w:ascii="微软雅黑" w:hAnsi="微软雅黑" w:eastAsia="微软雅黑" w:cs="Times New Roman"/>
          <w:color w:val="auto"/>
          <w:highlight w:val="none"/>
          <w:lang w:val="en-US" w:eastAsia="zh-CN"/>
        </w:rPr>
        <w:t>镍基条形加氢催化剂加工服务=数量×六水合硝酸镍单价+加工费</w:t>
      </w:r>
    </w:p>
    <w:p>
      <w:pPr>
        <w:pStyle w:val="3"/>
        <w:keepLines w:val="0"/>
        <w:pageBreakBefore w:val="0"/>
        <w:numPr>
          <w:ilvl w:val="0"/>
          <w:numId w:val="0"/>
        </w:numPr>
        <w:kinsoku/>
        <w:wordWrap/>
        <w:overflowPunct/>
        <w:topLinePunct w:val="0"/>
        <w:bidi w:val="0"/>
        <w:adjustRightInd w:val="0"/>
        <w:snapToGrid w:val="0"/>
        <w:spacing w:line="360" w:lineRule="auto"/>
        <w:ind w:right="122" w:rightChars="0" w:firstLine="420" w:firstLineChars="200"/>
        <w:textAlignment w:val="auto"/>
        <w:rPr>
          <w:rFonts w:hint="eastAsia" w:ascii="微软雅黑" w:hAnsi="微软雅黑" w:eastAsia="微软雅黑" w:cs="Times New Roman"/>
          <w:i w:val="0"/>
          <w:iCs w:val="0"/>
          <w:color w:val="auto"/>
          <w:highlight w:val="none"/>
          <w:lang w:val="en-US" w:eastAsia="zh-CN"/>
        </w:rPr>
      </w:pPr>
      <w:r>
        <w:rPr>
          <w:rFonts w:hint="eastAsia" w:ascii="微软雅黑" w:hAnsi="微软雅黑" w:eastAsia="微软雅黑" w:cs="Times New Roman"/>
          <w:i w:val="0"/>
          <w:iCs w:val="0"/>
          <w:color w:val="auto"/>
          <w:highlight w:val="none"/>
          <w:lang w:val="en-US" w:eastAsia="zh-CN"/>
        </w:rPr>
        <w:t>加工费采取固定价格定价。</w:t>
      </w:r>
    </w:p>
    <w:p>
      <w:pPr>
        <w:pStyle w:val="3"/>
        <w:numPr>
          <w:ilvl w:val="0"/>
          <w:numId w:val="0"/>
        </w:numPr>
        <w:adjustRightInd w:val="0"/>
        <w:snapToGrid w:val="0"/>
        <w:spacing w:line="360" w:lineRule="auto"/>
        <w:ind w:right="122" w:firstLine="420" w:firstLineChars="200"/>
        <w:rPr>
          <w:rFonts w:hint="eastAsia"/>
          <w:highlight w:val="yellow"/>
          <w:lang w:val="en-US" w:eastAsia="zh-CN"/>
        </w:rPr>
      </w:pPr>
      <w:r>
        <w:rPr>
          <w:rFonts w:hint="eastAsia" w:ascii="微软雅黑" w:hAnsi="微软雅黑" w:eastAsia="微软雅黑" w:cs="Times New Roman"/>
          <w:i w:val="0"/>
          <w:iCs w:val="0"/>
          <w:color w:val="auto"/>
          <w:highlight w:val="none"/>
          <w:lang w:val="en-US" w:eastAsia="zh-CN"/>
        </w:rPr>
        <w:t>原材料六水硝酸镍</w:t>
      </w:r>
      <w:r>
        <w:rPr>
          <w:rFonts w:hint="eastAsia"/>
          <w:color w:val="auto"/>
          <w:highlight w:val="none"/>
          <w:lang w:val="en-US" w:eastAsia="zh-CN"/>
        </w:rPr>
        <w:t>的价格需要按照公式进行核算</w:t>
      </w:r>
      <w:r>
        <w:rPr>
          <w:rFonts w:hint="eastAsia" w:ascii="微软雅黑" w:hAnsi="微软雅黑" w:eastAsia="微软雅黑" w:cs="Times New Roman"/>
          <w:i w:val="0"/>
          <w:iCs w:val="0"/>
          <w:color w:val="auto"/>
          <w:highlight w:val="none"/>
          <w:lang w:val="en-US" w:eastAsia="zh-CN"/>
        </w:rPr>
        <w:t>，其他固定成本包含乙方提供的原料、生产费用、损耗、管理费、利润、运输、包装、税费等。</w:t>
      </w:r>
    </w:p>
    <w:p>
      <w:pPr>
        <w:pStyle w:val="3"/>
        <w:keepLines w:val="0"/>
        <w:pageBreakBefore w:val="0"/>
        <w:numPr>
          <w:ilvl w:val="0"/>
          <w:numId w:val="0"/>
        </w:numPr>
        <w:kinsoku/>
        <w:wordWrap/>
        <w:overflowPunct/>
        <w:topLinePunct w:val="0"/>
        <w:bidi w:val="0"/>
        <w:adjustRightInd w:val="0"/>
        <w:snapToGrid w:val="0"/>
        <w:spacing w:line="360" w:lineRule="auto"/>
        <w:ind w:right="122" w:rightChars="0" w:firstLine="420" w:firstLineChars="200"/>
        <w:textAlignment w:val="auto"/>
        <w:rPr>
          <w:rFonts w:hint="eastAsia" w:ascii="微软雅黑" w:hAnsi="微软雅黑" w:eastAsia="微软雅黑" w:cs="Times New Roman"/>
          <w:i w:val="0"/>
          <w:iCs w:val="0"/>
          <w:color w:val="auto"/>
          <w:highlight w:val="none"/>
          <w:lang w:val="en-US" w:eastAsia="zh-CN"/>
        </w:rPr>
      </w:pPr>
      <w:r>
        <w:rPr>
          <w:rFonts w:hint="eastAsia" w:ascii="微软雅黑" w:hAnsi="微软雅黑" w:eastAsia="微软雅黑" w:cs="Times New Roman"/>
          <w:i w:val="0"/>
          <w:iCs w:val="0"/>
          <w:color w:val="auto"/>
          <w:highlight w:val="none"/>
          <w:lang w:val="en-US" w:eastAsia="zh-CN"/>
        </w:rPr>
        <w:t>六水硝酸镍价格公式：</w:t>
      </w:r>
    </w:p>
    <w:p>
      <w:pPr>
        <w:pStyle w:val="3"/>
        <w:keepLines w:val="0"/>
        <w:pageBreakBefore w:val="0"/>
        <w:numPr>
          <w:ilvl w:val="0"/>
          <w:numId w:val="0"/>
        </w:numPr>
        <w:kinsoku/>
        <w:wordWrap/>
        <w:overflowPunct/>
        <w:topLinePunct w:val="0"/>
        <w:bidi w:val="0"/>
        <w:adjustRightInd w:val="0"/>
        <w:snapToGrid w:val="0"/>
        <w:spacing w:line="360" w:lineRule="auto"/>
        <w:ind w:right="122" w:rightChars="0" w:firstLine="420" w:firstLineChars="200"/>
        <w:textAlignment w:val="auto"/>
        <w:rPr>
          <w:rFonts w:hint="eastAsia" w:ascii="微软雅黑" w:hAnsi="微软雅黑" w:eastAsia="微软雅黑" w:cs="Times New Roman"/>
          <w:i w:val="0"/>
          <w:iCs w:val="0"/>
          <w:color w:val="auto"/>
          <w:highlight w:val="none"/>
          <w:lang w:val="en-US" w:eastAsia="zh-CN"/>
        </w:rPr>
      </w:pPr>
      <w:r>
        <w:rPr>
          <w:rFonts w:hint="eastAsia" w:ascii="微软雅黑" w:hAnsi="微软雅黑" w:eastAsia="微软雅黑" w:cs="Times New Roman"/>
          <w:i w:val="0"/>
          <w:iCs w:val="0"/>
          <w:color w:val="auto"/>
          <w:highlight w:val="none"/>
          <w:lang w:val="en-US" w:eastAsia="zh-CN"/>
        </w:rPr>
        <w:t>六水硝酸镍含税单价=订货市场价×0.202+含税价格差</w:t>
      </w:r>
    </w:p>
    <w:p>
      <w:pPr>
        <w:pStyle w:val="3"/>
        <w:keepLines w:val="0"/>
        <w:pageBreakBefore w:val="0"/>
        <w:numPr>
          <w:ilvl w:val="0"/>
          <w:numId w:val="0"/>
        </w:numPr>
        <w:kinsoku/>
        <w:wordWrap/>
        <w:overflowPunct/>
        <w:topLinePunct w:val="0"/>
        <w:bidi w:val="0"/>
        <w:adjustRightInd w:val="0"/>
        <w:snapToGrid w:val="0"/>
        <w:spacing w:line="360" w:lineRule="auto"/>
        <w:ind w:right="122" w:rightChars="0" w:firstLine="420" w:firstLineChars="200"/>
        <w:textAlignment w:val="auto"/>
        <w:rPr>
          <w:rFonts w:hint="eastAsia" w:ascii="微软雅黑" w:hAnsi="微软雅黑" w:eastAsia="微软雅黑" w:cs="Times New Roman"/>
          <w:i w:val="0"/>
          <w:iCs w:val="0"/>
          <w:color w:val="auto"/>
          <w:highlight w:val="none"/>
          <w:lang w:val="en-US" w:eastAsia="zh-CN"/>
        </w:rPr>
      </w:pPr>
      <w:r>
        <w:rPr>
          <w:rFonts w:hint="eastAsia" w:ascii="微软雅黑" w:hAnsi="微软雅黑" w:eastAsia="微软雅黑" w:cs="Times New Roman"/>
          <w:i w:val="0"/>
          <w:iCs w:val="0"/>
          <w:color w:val="auto"/>
          <w:highlight w:val="none"/>
          <w:lang w:val="en-US" w:eastAsia="zh-CN"/>
        </w:rPr>
        <w:t>订货市场价：合同签订后，需求单位下达订单之日起所在周的前一周卓创资讯网站公布的电解镍1#上期所期货收盘价主力的周平均价</w:t>
      </w:r>
    </w:p>
    <w:p>
      <w:pPr>
        <w:pStyle w:val="3"/>
        <w:keepLines w:val="0"/>
        <w:pageBreakBefore w:val="0"/>
        <w:numPr>
          <w:ilvl w:val="0"/>
          <w:numId w:val="0"/>
        </w:numPr>
        <w:kinsoku/>
        <w:wordWrap/>
        <w:overflowPunct/>
        <w:topLinePunct w:val="0"/>
        <w:bidi w:val="0"/>
        <w:adjustRightInd w:val="0"/>
        <w:snapToGrid w:val="0"/>
        <w:spacing w:line="360" w:lineRule="auto"/>
        <w:ind w:right="122" w:rightChars="0" w:firstLine="420" w:firstLineChars="200"/>
        <w:textAlignment w:val="auto"/>
        <w:rPr>
          <w:rFonts w:hint="eastAsia" w:ascii="微软雅黑" w:hAnsi="微软雅黑" w:eastAsia="微软雅黑" w:cs="Times New Roman"/>
          <w:i w:val="0"/>
          <w:iCs w:val="0"/>
          <w:color w:val="auto"/>
          <w:highlight w:val="none"/>
          <w:lang w:val="en-US" w:eastAsia="zh-CN"/>
        </w:rPr>
      </w:pPr>
      <w:r>
        <w:rPr>
          <w:rFonts w:hint="eastAsia" w:ascii="微软雅黑" w:hAnsi="微软雅黑" w:eastAsia="微软雅黑" w:cs="Times New Roman"/>
          <w:i w:val="0"/>
          <w:iCs w:val="0"/>
          <w:color w:val="auto"/>
          <w:highlight w:val="none"/>
          <w:lang w:val="en-US" w:eastAsia="zh-CN"/>
        </w:rPr>
        <w:t>(以上均为含税价格，税率13%，信息来源：卓创咨询http://www.sci99.com/)</w:t>
      </w:r>
    </w:p>
    <w:p>
      <w:pPr>
        <w:pStyle w:val="3"/>
        <w:numPr>
          <w:ilvl w:val="0"/>
          <w:numId w:val="0"/>
        </w:numPr>
        <w:adjustRightInd w:val="0"/>
        <w:snapToGrid w:val="0"/>
        <w:spacing w:line="360" w:lineRule="auto"/>
        <w:ind w:right="122" w:firstLine="420" w:firstLineChars="200"/>
        <w:rPr>
          <w:rFonts w:hint="eastAsia"/>
          <w:lang w:val="en-US" w:eastAsia="zh-CN"/>
        </w:rPr>
      </w:pPr>
      <w:r>
        <w:rPr>
          <w:rFonts w:hint="eastAsia" w:ascii="微软雅黑" w:hAnsi="微软雅黑" w:eastAsia="微软雅黑" w:cs="Times New Roman"/>
          <w:i w:val="0"/>
          <w:iCs w:val="0"/>
          <w:color w:val="auto"/>
          <w:highlight w:val="none"/>
          <w:lang w:val="en-US" w:eastAsia="zh-CN"/>
        </w:rPr>
        <w:t>通过以上公式可以在每次下订单时确定镍基条形加氢催化剂的价格，双方确认后执行。</w:t>
      </w:r>
    </w:p>
    <w:p>
      <w:pPr>
        <w:pStyle w:val="3"/>
        <w:spacing w:line="257" w:lineRule="auto"/>
        <w:ind w:right="115" w:rightChars="55" w:firstLine="199" w:firstLineChars="95"/>
        <w:rPr>
          <w:rFonts w:hint="eastAsia" w:ascii="Times New Roman" w:hAnsi="Times New Roman" w:eastAsia="微软雅黑" w:cs="Times New Roman"/>
          <w:lang w:eastAsia="zh-CN"/>
        </w:rPr>
      </w:pPr>
      <w:r>
        <w:rPr>
          <w:rFonts w:hint="eastAsia" w:ascii="Times New Roman" w:hAnsi="Times New Roman" w:eastAsia="微软雅黑" w:cs="Times New Roman"/>
          <w:lang w:eastAsia="zh-CN"/>
        </w:rPr>
        <w:t>4、结算方式：订单结算。</w:t>
      </w:r>
    </w:p>
    <w:p>
      <w:pPr>
        <w:pStyle w:val="3"/>
        <w:spacing w:line="257" w:lineRule="auto"/>
        <w:ind w:right="115" w:rightChars="55" w:firstLine="199" w:firstLineChars="95"/>
        <w:rPr>
          <w:rFonts w:ascii="Times New Roman" w:hAnsi="Times New Roman" w:eastAsia="微软雅黑" w:cs="Times New Roman"/>
          <w:lang w:eastAsia="zh-CN"/>
        </w:rPr>
      </w:pPr>
      <w:r>
        <w:rPr>
          <w:rFonts w:hint="eastAsia" w:ascii="Times New Roman" w:hAnsi="Times New Roman" w:eastAsia="微软雅黑" w:cs="Times New Roman"/>
          <w:lang w:val="en-US" w:eastAsia="zh-CN"/>
        </w:rPr>
        <w:t>5</w:t>
      </w:r>
      <w:r>
        <w:rPr>
          <w:rFonts w:hint="eastAsia" w:ascii="Times New Roman" w:hAnsi="Times New Roman" w:eastAsia="微软雅黑" w:cs="Times New Roman"/>
          <w:lang w:eastAsia="zh-CN"/>
        </w:rPr>
        <w:t>、付款周期要求：按照订单结算，验收合格办理结算，</w:t>
      </w:r>
      <w:r>
        <w:rPr>
          <w:rFonts w:hint="eastAsia" w:ascii="Times New Roman" w:hAnsi="Times New Roman" w:eastAsia="微软雅黑" w:cs="Times New Roman"/>
          <w:lang w:val="en-US" w:eastAsia="zh-CN"/>
        </w:rPr>
        <w:t>甲方通知乙方开具发票，</w:t>
      </w:r>
      <w:r>
        <w:rPr>
          <w:rFonts w:hint="eastAsia" w:ascii="Times New Roman" w:hAnsi="Times New Roman" w:eastAsia="微软雅黑" w:cs="Times New Roman"/>
          <w:lang w:eastAsia="zh-CN"/>
        </w:rPr>
        <w:t>甲方接到发票</w:t>
      </w:r>
      <w:r>
        <w:rPr>
          <w:rFonts w:hint="eastAsia" w:ascii="Times New Roman" w:hAnsi="Times New Roman" w:eastAsia="微软雅黑" w:cs="Times New Roman"/>
          <w:lang w:val="en-US" w:eastAsia="zh-CN"/>
        </w:rPr>
        <w:t>45日</w:t>
      </w:r>
      <w:r>
        <w:rPr>
          <w:rFonts w:hint="eastAsia" w:ascii="Times New Roman" w:hAnsi="Times New Roman" w:eastAsia="微软雅黑" w:cs="Times New Roman"/>
          <w:lang w:eastAsia="zh-CN"/>
        </w:rPr>
        <w:t>付款。</w:t>
      </w:r>
    </w:p>
    <w:p>
      <w:pPr>
        <w:pStyle w:val="3"/>
        <w:spacing w:line="360" w:lineRule="auto"/>
        <w:ind w:right="115" w:rightChars="55" w:firstLine="210" w:firstLineChars="100"/>
        <w:rPr>
          <w:rFonts w:ascii="Times New Roman" w:hAnsi="Times New Roman" w:cs="Times New Roman"/>
          <w:lang w:eastAsia="zh-CN"/>
        </w:rPr>
      </w:pPr>
      <w:r>
        <w:rPr>
          <w:rFonts w:hint="eastAsia" w:ascii="Times New Roman" w:hAnsi="Times New Roman" w:eastAsia="微软雅黑" w:cs="Times New Roman"/>
          <w:lang w:val="en-US" w:eastAsia="zh-CN"/>
        </w:rPr>
        <w:t>6</w:t>
      </w:r>
      <w:r>
        <w:rPr>
          <w:rFonts w:hint="eastAsia" w:ascii="Times New Roman" w:hAnsi="Times New Roman" w:eastAsia="微软雅黑" w:cs="Times New Roman"/>
          <w:lang w:eastAsia="zh-CN"/>
        </w:rPr>
        <w:t>、其他特殊要求：税费13%，产品运费和保险费用由</w:t>
      </w:r>
      <w:r>
        <w:rPr>
          <w:rFonts w:hint="eastAsia" w:ascii="Times New Roman" w:hAnsi="Times New Roman" w:eastAsia="微软雅黑" w:cs="Times New Roman"/>
          <w:lang w:val="en-US" w:eastAsia="zh-CN"/>
        </w:rPr>
        <w:t>甲</w:t>
      </w:r>
      <w:r>
        <w:rPr>
          <w:rFonts w:hint="eastAsia" w:ascii="Times New Roman" w:hAnsi="Times New Roman" w:eastAsia="微软雅黑" w:cs="Times New Roman"/>
          <w:lang w:eastAsia="zh-CN"/>
        </w:rPr>
        <w:t>方负责，乙方协助完成原料卸车、存放及产品的装车。</w:t>
      </w:r>
    </w:p>
    <w:p>
      <w:pPr>
        <w:numPr>
          <w:ilvl w:val="0"/>
          <w:numId w:val="0"/>
        </w:numPr>
        <w:ind w:leftChars="0"/>
        <w:rPr>
          <w:rFonts w:hint="eastAsia"/>
          <w:lang w:val="en-US" w:eastAsia="zh-CN"/>
        </w:rPr>
      </w:pPr>
    </w:p>
    <w:p>
      <w:pPr>
        <w:tabs>
          <w:tab w:val="left" w:pos="993"/>
          <w:tab w:val="left" w:pos="1134"/>
          <w:tab w:val="left" w:pos="1418"/>
        </w:tabs>
        <w:spacing w:line="560" w:lineRule="exact"/>
        <w:outlineLvl w:val="0"/>
        <w:rPr>
          <w:rFonts w:hint="eastAsia" w:ascii="Times New Roman" w:hAnsi="Times New Roman" w:eastAsia="仿宋_GB2312" w:cs="Times New Roman"/>
          <w:sz w:val="32"/>
          <w:szCs w:val="32"/>
        </w:rPr>
      </w:pPr>
    </w:p>
    <w:p>
      <w:pPr>
        <w:tabs>
          <w:tab w:val="left" w:pos="993"/>
          <w:tab w:val="left" w:pos="1134"/>
          <w:tab w:val="left" w:pos="1418"/>
        </w:tabs>
        <w:spacing w:line="560" w:lineRule="exact"/>
        <w:outlineLvl w:val="0"/>
        <w:rPr>
          <w:rFonts w:hint="eastAsia" w:ascii="Times New Roman" w:hAnsi="Times New Roman" w:eastAsia="仿宋_GB2312" w:cs="Times New Roman"/>
          <w:sz w:val="32"/>
          <w:szCs w:val="32"/>
        </w:rPr>
      </w:pPr>
    </w:p>
    <w:p>
      <w:pPr>
        <w:tabs>
          <w:tab w:val="left" w:pos="993"/>
          <w:tab w:val="left" w:pos="1134"/>
          <w:tab w:val="left" w:pos="1418"/>
        </w:tabs>
        <w:spacing w:line="560" w:lineRule="exact"/>
        <w:outlineLvl w:val="0"/>
        <w:rPr>
          <w:rFonts w:ascii="Times New Roman" w:hAnsi="Times New Roman" w:eastAsia="仿宋_GB2312" w:cs="Times New Roman"/>
          <w:sz w:val="32"/>
          <w:szCs w:val="32"/>
        </w:rPr>
      </w:pPr>
      <w:bookmarkStart w:id="5" w:name="_GoBack"/>
      <w:bookmarkEnd w:id="5"/>
      <w:r>
        <w:rPr>
          <w:rFonts w:hint="eastAsia" w:ascii="Times New Roman" w:hAnsi="Times New Roman" w:eastAsia="仿宋_GB2312" w:cs="Times New Roman"/>
          <w:sz w:val="32"/>
          <w:szCs w:val="32"/>
        </w:rPr>
        <w:t>附件2</w:t>
      </w:r>
      <w:r>
        <w:rPr>
          <w:rFonts w:hint="eastAsia" w:ascii="Times New Roman" w:hAnsi="Times New Roman" w:eastAsia="仿宋_GB2312" w:cs="Times New Roman"/>
          <w:sz w:val="32"/>
          <w:szCs w:val="32"/>
          <w:lang w:val="en-US" w:eastAsia="zh-CN"/>
        </w:rPr>
        <w:t>供应商</w:t>
      </w:r>
      <w:r>
        <w:rPr>
          <w:rFonts w:hint="eastAsia" w:ascii="Times New Roman" w:hAnsi="Times New Roman" w:eastAsia="仿宋_GB2312" w:cs="Times New Roman"/>
          <w:sz w:val="32"/>
          <w:szCs w:val="32"/>
        </w:rPr>
        <w:t xml:space="preserve">资质基本要求 </w:t>
      </w:r>
    </w:p>
    <w:tbl>
      <w:tblPr>
        <w:tblStyle w:val="18"/>
        <w:tblW w:w="5045" w:type="pct"/>
        <w:jc w:val="center"/>
        <w:tblLayout w:type="autofit"/>
        <w:tblCellMar>
          <w:top w:w="0" w:type="dxa"/>
          <w:left w:w="0" w:type="dxa"/>
          <w:bottom w:w="0" w:type="dxa"/>
          <w:right w:w="0" w:type="dxa"/>
        </w:tblCellMar>
      </w:tblPr>
      <w:tblGrid>
        <w:gridCol w:w="1318"/>
        <w:gridCol w:w="7076"/>
      </w:tblGrid>
      <w:tr>
        <w:tblPrEx>
          <w:tblCellMar>
            <w:top w:w="0" w:type="dxa"/>
            <w:left w:w="0" w:type="dxa"/>
            <w:bottom w:w="0" w:type="dxa"/>
            <w:right w:w="0" w:type="dxa"/>
          </w:tblCellMar>
        </w:tblPrEx>
        <w:trPr>
          <w:trHeight w:val="2895" w:hRule="atLeast"/>
          <w:jc w:val="center"/>
        </w:trPr>
        <w:tc>
          <w:tcPr>
            <w:tcW w:w="785" w:type="pct"/>
            <w:tcBorders>
              <w:top w:val="single" w:color="000000" w:sz="4" w:space="0"/>
              <w:left w:val="single" w:color="000000" w:sz="6" w:space="0"/>
              <w:bottom w:val="single" w:color="000000" w:sz="4" w:space="0"/>
              <w:right w:val="single" w:color="000000" w:sz="4" w:space="0"/>
            </w:tcBorders>
            <w:vAlign w:val="center"/>
          </w:tcPr>
          <w:p>
            <w:pPr>
              <w:pStyle w:val="49"/>
              <w:spacing w:line="300" w:lineRule="exact"/>
              <w:jc w:val="center"/>
              <w:rPr>
                <w:rFonts w:hint="eastAsia" w:ascii="仿宋" w:hAnsi="仿宋" w:eastAsia="仿宋" w:cs="Calibri"/>
                <w:b/>
                <w:bCs/>
                <w:color w:val="FF0000"/>
                <w:sz w:val="21"/>
                <w:szCs w:val="21"/>
                <w:highlight w:val="yellow"/>
                <w:lang w:eastAsia="zh-CN"/>
              </w:rPr>
            </w:pPr>
            <w:r>
              <w:rPr>
                <w:rFonts w:hint="eastAsia" w:ascii="仿宋" w:hAnsi="仿宋" w:eastAsia="仿宋" w:cs="Calibri"/>
                <w:b/>
                <w:bCs/>
                <w:sz w:val="28"/>
                <w:szCs w:val="28"/>
                <w:lang w:eastAsia="zh-CN"/>
              </w:rPr>
              <w:t>资质要求</w:t>
            </w:r>
          </w:p>
          <w:p>
            <w:pPr>
              <w:pStyle w:val="49"/>
              <w:spacing w:line="300" w:lineRule="exact"/>
              <w:jc w:val="center"/>
              <w:rPr>
                <w:rFonts w:hint="eastAsia" w:ascii="仿宋" w:hAnsi="仿宋" w:eastAsia="仿宋" w:cs="Calibri"/>
                <w:sz w:val="21"/>
                <w:szCs w:val="21"/>
                <w:lang w:eastAsia="zh-CN"/>
              </w:rPr>
            </w:pPr>
          </w:p>
        </w:tc>
        <w:tc>
          <w:tcPr>
            <w:tcW w:w="4214" w:type="pct"/>
            <w:tcBorders>
              <w:top w:val="single" w:color="000000" w:sz="4" w:space="0"/>
              <w:left w:val="nil"/>
              <w:bottom w:val="single" w:color="000000" w:sz="4" w:space="0"/>
              <w:right w:val="single" w:color="000000" w:sz="4" w:space="0"/>
            </w:tcBorders>
            <w:vAlign w:val="center"/>
          </w:tcPr>
          <w:p>
            <w:pPr>
              <w:pStyle w:val="49"/>
              <w:jc w:val="both"/>
              <w:rPr>
                <w:rFonts w:hint="eastAsia" w:ascii="仿宋" w:hAnsi="仿宋" w:eastAsia="仿宋" w:cs="仿宋"/>
                <w:sz w:val="28"/>
                <w:szCs w:val="28"/>
                <w:lang w:eastAsia="zh-CN"/>
              </w:rPr>
            </w:pPr>
            <w:r>
              <w:rPr>
                <w:rFonts w:hint="eastAsia" w:ascii="仿宋" w:hAnsi="仿宋" w:eastAsia="仿宋" w:cs="仿宋"/>
                <w:sz w:val="28"/>
                <w:szCs w:val="28"/>
                <w:lang w:eastAsia="zh-CN"/>
              </w:rPr>
              <w:t>1.申请人须是中华人民共和国境内注册的独立法人单位，具有合法有效的企业法人营业执照、税务登记证及组织机构代码证或证照合一的营业执照；</w:t>
            </w:r>
          </w:p>
          <w:p>
            <w:pPr>
              <w:pStyle w:val="49"/>
              <w:jc w:val="both"/>
              <w:rPr>
                <w:rFonts w:hint="eastAsia" w:ascii="仿宋" w:hAnsi="仿宋" w:eastAsia="仿宋" w:cs="仿宋"/>
                <w:sz w:val="28"/>
                <w:szCs w:val="28"/>
                <w:lang w:eastAsia="zh-CN"/>
              </w:rPr>
            </w:pPr>
            <w:r>
              <w:rPr>
                <w:rFonts w:hint="eastAsia" w:ascii="仿宋" w:hAnsi="仿宋" w:eastAsia="仿宋" w:cs="仿宋"/>
                <w:sz w:val="28"/>
                <w:szCs w:val="28"/>
                <w:lang w:eastAsia="zh-CN"/>
              </w:rPr>
              <w:t>2.申请人须是中华人民共和国境内具有独立承担民事责任能力的法人，或具备国家认可经营资格的其他组织。</w:t>
            </w:r>
          </w:p>
          <w:p>
            <w:pPr>
              <w:pStyle w:val="49"/>
              <w:jc w:val="both"/>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3.生产商要求：本项目仅限生产商参与，申请人须具有有效的质量管理体系认证证书以及厂房证明材料（自有房产证明或租赁合同）。</w:t>
            </w:r>
          </w:p>
        </w:tc>
      </w:tr>
    </w:tbl>
    <w:p>
      <w:pPr>
        <w:pStyle w:val="2"/>
        <w:ind w:firstLine="640"/>
        <w:rPr>
          <w:rFonts w:ascii="Times New Roman" w:hAnsi="Times New Roman" w:eastAsia="仿宋_GB2312" w:cs="Times New Roman"/>
          <w:sz w:val="32"/>
          <w:szCs w:val="32"/>
        </w:rPr>
      </w:pPr>
    </w:p>
    <w:p>
      <w:pPr>
        <w:tabs>
          <w:tab w:val="left" w:pos="993"/>
          <w:tab w:val="left" w:pos="1134"/>
          <w:tab w:val="left" w:pos="1418"/>
        </w:tabs>
        <w:spacing w:line="600" w:lineRule="exact"/>
        <w:ind w:firstLine="640" w:firstLineChars="200"/>
        <w:outlineLvl w:val="0"/>
        <w:rPr>
          <w:rFonts w:ascii="Times New Roman" w:hAnsi="Times New Roman" w:eastAsia="仿宋" w:cs="Times New Roman"/>
          <w:kern w:val="0"/>
          <w:sz w:val="24"/>
          <w:szCs w:val="24"/>
        </w:rPr>
      </w:pPr>
      <w:r>
        <w:rPr>
          <w:rFonts w:hint="eastAsia" w:ascii="Times New Roman" w:hAnsi="Times New Roman" w:eastAsia="仿宋_GB2312" w:cs="Times New Roman"/>
          <w:sz w:val="32"/>
          <w:szCs w:val="32"/>
        </w:rPr>
        <w:t xml:space="preserve"> </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CIDFont+F4">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F2889"/>
    <w:multiLevelType w:val="singleLevel"/>
    <w:tmpl w:val="8DFF2889"/>
    <w:lvl w:ilvl="0" w:tentative="0">
      <w:start w:val="1"/>
      <w:numFmt w:val="decimal"/>
      <w:suff w:val="nothing"/>
      <w:lvlText w:val="%1）"/>
      <w:lvlJc w:val="left"/>
    </w:lvl>
  </w:abstractNum>
  <w:abstractNum w:abstractNumId="1">
    <w:nsid w:val="0A08A898"/>
    <w:multiLevelType w:val="singleLevel"/>
    <w:tmpl w:val="0A08A898"/>
    <w:lvl w:ilvl="0" w:tentative="0">
      <w:start w:val="1"/>
      <w:numFmt w:val="chineseCounting"/>
      <w:suff w:val="nothing"/>
      <w:lvlText w:val="%1、"/>
      <w:lvlJc w:val="left"/>
      <w:rPr>
        <w:rFonts w:hint="eastAsia"/>
      </w:rPr>
    </w:lvl>
  </w:abstractNum>
  <w:abstractNum w:abstractNumId="2">
    <w:nsid w:val="0F4A7881"/>
    <w:multiLevelType w:val="singleLevel"/>
    <w:tmpl w:val="0F4A7881"/>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iMWM2NDRmNDE0OWFjOGY5MmVkZjRlNjA0NjMzMjcifQ=="/>
  </w:docVars>
  <w:rsids>
    <w:rsidRoot w:val="00AE20AB"/>
    <w:rsid w:val="00002844"/>
    <w:rsid w:val="0003340F"/>
    <w:rsid w:val="000B4759"/>
    <w:rsid w:val="002E3C4A"/>
    <w:rsid w:val="004029A6"/>
    <w:rsid w:val="00403A61"/>
    <w:rsid w:val="004C6673"/>
    <w:rsid w:val="00735DDB"/>
    <w:rsid w:val="00783190"/>
    <w:rsid w:val="00A04B47"/>
    <w:rsid w:val="00AE20AB"/>
    <w:rsid w:val="00BC0DA1"/>
    <w:rsid w:val="00C40453"/>
    <w:rsid w:val="00C43A69"/>
    <w:rsid w:val="00C56F07"/>
    <w:rsid w:val="00E22F8A"/>
    <w:rsid w:val="00EA647B"/>
    <w:rsid w:val="00ED277A"/>
    <w:rsid w:val="00F1618E"/>
    <w:rsid w:val="01D065EF"/>
    <w:rsid w:val="065D5161"/>
    <w:rsid w:val="08A55367"/>
    <w:rsid w:val="0ACC6D0D"/>
    <w:rsid w:val="0B8F0D48"/>
    <w:rsid w:val="0C291ADC"/>
    <w:rsid w:val="0D4D5B78"/>
    <w:rsid w:val="0D714A1C"/>
    <w:rsid w:val="0D7B19C1"/>
    <w:rsid w:val="0FC270C4"/>
    <w:rsid w:val="10697A6E"/>
    <w:rsid w:val="10C2608D"/>
    <w:rsid w:val="11EF2364"/>
    <w:rsid w:val="12784FB1"/>
    <w:rsid w:val="137C5044"/>
    <w:rsid w:val="13862438"/>
    <w:rsid w:val="14455E90"/>
    <w:rsid w:val="145E0C1D"/>
    <w:rsid w:val="16352055"/>
    <w:rsid w:val="163753A6"/>
    <w:rsid w:val="172E5757"/>
    <w:rsid w:val="17756E0B"/>
    <w:rsid w:val="191B615D"/>
    <w:rsid w:val="1A7667DD"/>
    <w:rsid w:val="1AA81F13"/>
    <w:rsid w:val="1D9C1407"/>
    <w:rsid w:val="1DDE0AE1"/>
    <w:rsid w:val="1FA612BC"/>
    <w:rsid w:val="22693D06"/>
    <w:rsid w:val="23124F2D"/>
    <w:rsid w:val="23173B06"/>
    <w:rsid w:val="233C56B5"/>
    <w:rsid w:val="257C3CBC"/>
    <w:rsid w:val="2610638F"/>
    <w:rsid w:val="28E120D3"/>
    <w:rsid w:val="296069B8"/>
    <w:rsid w:val="2AC563B9"/>
    <w:rsid w:val="2C1A7A08"/>
    <w:rsid w:val="2D7422D9"/>
    <w:rsid w:val="2DCC6724"/>
    <w:rsid w:val="2DD75885"/>
    <w:rsid w:val="2ED92B7B"/>
    <w:rsid w:val="2EFF5A33"/>
    <w:rsid w:val="31666CCD"/>
    <w:rsid w:val="327B35FC"/>
    <w:rsid w:val="33987048"/>
    <w:rsid w:val="34301D95"/>
    <w:rsid w:val="34632613"/>
    <w:rsid w:val="34B1595D"/>
    <w:rsid w:val="35A51331"/>
    <w:rsid w:val="362F1587"/>
    <w:rsid w:val="37386FD5"/>
    <w:rsid w:val="373C4C31"/>
    <w:rsid w:val="37CF3414"/>
    <w:rsid w:val="380E4447"/>
    <w:rsid w:val="38BC05E1"/>
    <w:rsid w:val="39F56CA1"/>
    <w:rsid w:val="3A9505F0"/>
    <w:rsid w:val="3B2138D9"/>
    <w:rsid w:val="3EF77D63"/>
    <w:rsid w:val="3F4C7B09"/>
    <w:rsid w:val="3FC25F00"/>
    <w:rsid w:val="425F4078"/>
    <w:rsid w:val="43336C6F"/>
    <w:rsid w:val="46011837"/>
    <w:rsid w:val="46037C0A"/>
    <w:rsid w:val="462D2326"/>
    <w:rsid w:val="470C631D"/>
    <w:rsid w:val="47DC1672"/>
    <w:rsid w:val="481C418E"/>
    <w:rsid w:val="4834297E"/>
    <w:rsid w:val="49A92821"/>
    <w:rsid w:val="4AD242A4"/>
    <w:rsid w:val="4C58511E"/>
    <w:rsid w:val="4C987581"/>
    <w:rsid w:val="4D46031B"/>
    <w:rsid w:val="4E292F25"/>
    <w:rsid w:val="4E726A98"/>
    <w:rsid w:val="4F126DCE"/>
    <w:rsid w:val="50411939"/>
    <w:rsid w:val="50FC6088"/>
    <w:rsid w:val="51E93FF6"/>
    <w:rsid w:val="52346892"/>
    <w:rsid w:val="52B65486"/>
    <w:rsid w:val="52E812BE"/>
    <w:rsid w:val="531910E2"/>
    <w:rsid w:val="531C1EB4"/>
    <w:rsid w:val="532037F5"/>
    <w:rsid w:val="53706A9F"/>
    <w:rsid w:val="55502006"/>
    <w:rsid w:val="56331F41"/>
    <w:rsid w:val="566B1387"/>
    <w:rsid w:val="566C5220"/>
    <w:rsid w:val="58383E5F"/>
    <w:rsid w:val="58A87AB7"/>
    <w:rsid w:val="598D6098"/>
    <w:rsid w:val="5A9F5FAD"/>
    <w:rsid w:val="5BB362A0"/>
    <w:rsid w:val="5BE8125C"/>
    <w:rsid w:val="5CD575BA"/>
    <w:rsid w:val="5FA80857"/>
    <w:rsid w:val="61E563A7"/>
    <w:rsid w:val="626052F2"/>
    <w:rsid w:val="635837C1"/>
    <w:rsid w:val="637C74FA"/>
    <w:rsid w:val="64E23E83"/>
    <w:rsid w:val="65122045"/>
    <w:rsid w:val="67056631"/>
    <w:rsid w:val="69634D35"/>
    <w:rsid w:val="6B1177E4"/>
    <w:rsid w:val="6BE765E4"/>
    <w:rsid w:val="6BEF3A36"/>
    <w:rsid w:val="6C062C2F"/>
    <w:rsid w:val="6C241C95"/>
    <w:rsid w:val="6C707288"/>
    <w:rsid w:val="70344EA3"/>
    <w:rsid w:val="71DD12CD"/>
    <w:rsid w:val="74386CEA"/>
    <w:rsid w:val="77F679AF"/>
    <w:rsid w:val="78BC0A04"/>
    <w:rsid w:val="79650947"/>
    <w:rsid w:val="7B4D258A"/>
    <w:rsid w:val="7EEC3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qFormat/>
    <w:uiPriority w:val="1"/>
    <w:pPr>
      <w:spacing w:line="479" w:lineRule="exact"/>
      <w:outlineLvl w:val="1"/>
    </w:pPr>
    <w:rPr>
      <w:rFonts w:ascii="Microsoft YaHei UI" w:hAnsi="Microsoft YaHei UI" w:eastAsia="Microsoft YaHei UI"/>
      <w:spacing w:val="2"/>
      <w:sz w:val="32"/>
      <w:szCs w:val="32"/>
    </w:rPr>
  </w:style>
  <w:style w:type="paragraph" w:styleId="6">
    <w:name w:val="heading 3"/>
    <w:next w:val="1"/>
    <w:unhideWhenUsed/>
    <w:qFormat/>
    <w:uiPriority w:val="9"/>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567"/>
    </w:pPr>
  </w:style>
  <w:style w:type="paragraph" w:styleId="3">
    <w:name w:val="Body Text"/>
    <w:basedOn w:val="1"/>
    <w:next w:val="1"/>
    <w:qFormat/>
    <w:uiPriority w:val="1"/>
    <w:pPr>
      <w:ind w:firstLine="200" w:firstLineChars="200"/>
    </w:pPr>
    <w:rPr>
      <w:rFonts w:ascii="Microsoft YaHei UI" w:hAnsi="Microsoft YaHei UI" w:eastAsia="Microsoft YaHei UI"/>
      <w:szCs w:val="21"/>
    </w:rPr>
  </w:style>
  <w:style w:type="paragraph" w:styleId="7">
    <w:name w:val="caption"/>
    <w:basedOn w:val="1"/>
    <w:next w:val="1"/>
    <w:qFormat/>
    <w:uiPriority w:val="0"/>
    <w:pPr>
      <w:widowControl/>
    </w:pPr>
    <w:rPr>
      <w:rFonts w:ascii="Calibri" w:hAnsi="Calibri" w:eastAsia="宋体" w:cs="Times New Roman"/>
      <w:b/>
      <w:bCs/>
      <w:color w:val="2DA2BF"/>
      <w:sz w:val="18"/>
      <w:szCs w:val="18"/>
    </w:rPr>
  </w:style>
  <w:style w:type="paragraph" w:styleId="8">
    <w:name w:val="annotation text"/>
    <w:basedOn w:val="1"/>
    <w:semiHidden/>
    <w:unhideWhenUsed/>
    <w:qFormat/>
    <w:uiPriority w:val="99"/>
  </w:style>
  <w:style w:type="paragraph" w:styleId="9">
    <w:name w:val="Body Text Indent"/>
    <w:basedOn w:val="1"/>
    <w:semiHidden/>
    <w:unhideWhenUsed/>
    <w:qFormat/>
    <w:uiPriority w:val="99"/>
    <w:pPr>
      <w:spacing w:after="120"/>
      <w:ind w:left="420" w:leftChars="200"/>
    </w:pPr>
  </w:style>
  <w:style w:type="paragraph" w:styleId="10">
    <w:name w:val="index 4"/>
    <w:basedOn w:val="1"/>
    <w:next w:val="1"/>
    <w:unhideWhenUsed/>
    <w:qFormat/>
    <w:uiPriority w:val="99"/>
    <w:pPr>
      <w:ind w:left="1260" w:leftChars="600"/>
      <w:jc w:val="left"/>
    </w:pPr>
  </w:style>
  <w:style w:type="paragraph" w:styleId="11">
    <w:name w:val="toc 3"/>
    <w:basedOn w:val="1"/>
    <w:next w:val="1"/>
    <w:unhideWhenUsed/>
    <w:qFormat/>
    <w:uiPriority w:val="39"/>
    <w:pPr>
      <w:widowControl/>
      <w:spacing w:after="100" w:line="259" w:lineRule="auto"/>
      <w:ind w:left="440"/>
    </w:pPr>
    <w:rPr>
      <w:rFonts w:cs="Times New Roman"/>
    </w:rPr>
  </w:style>
  <w:style w:type="paragraph" w:styleId="12">
    <w:name w:val="Plain Text"/>
    <w:basedOn w:val="1"/>
    <w:qFormat/>
    <w:uiPriority w:val="99"/>
    <w:rPr>
      <w:rFonts w:ascii="Times New Roman" w:hAnsi="Times New Roman" w:eastAsia="楷体_GB2312" w:cs="Times New Roman"/>
      <w:color w:val="002060"/>
      <w:szCs w:val="21"/>
      <w:lang w:val="zh-CN"/>
    </w:rPr>
  </w:style>
  <w:style w:type="paragraph" w:styleId="13">
    <w:name w:val="footer"/>
    <w:basedOn w:val="1"/>
    <w:link w:val="31"/>
    <w:unhideWhenUsed/>
    <w:qFormat/>
    <w:uiPriority w:val="99"/>
    <w:pPr>
      <w:tabs>
        <w:tab w:val="center" w:pos="4153"/>
        <w:tab w:val="right" w:pos="8306"/>
      </w:tabs>
      <w:snapToGrid w:val="0"/>
      <w:jc w:val="left"/>
    </w:pPr>
    <w:rPr>
      <w:sz w:val="18"/>
      <w:szCs w:val="18"/>
    </w:rPr>
  </w:style>
  <w:style w:type="paragraph" w:styleId="14">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Normal (Web)"/>
    <w:basedOn w:val="1"/>
    <w:unhideWhenUsed/>
    <w:qFormat/>
    <w:uiPriority w:val="99"/>
    <w:pPr>
      <w:spacing w:beforeAutospacing="1" w:afterAutospacing="1"/>
    </w:pPr>
    <w:rPr>
      <w:rFonts w:cs="Times New Roman"/>
      <w:sz w:val="24"/>
    </w:rPr>
  </w:style>
  <w:style w:type="paragraph" w:styleId="16">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paragraph" w:styleId="17">
    <w:name w:val="Body Text First Indent 2"/>
    <w:basedOn w:val="9"/>
    <w:semiHidden/>
    <w:unhideWhenUsed/>
    <w:qFormat/>
    <w:uiPriority w:val="99"/>
    <w:pPr>
      <w:ind w:firstLine="420" w:firstLineChars="200"/>
    </w:pPr>
  </w:style>
  <w:style w:type="table" w:styleId="19">
    <w:name w:val="Table Grid"/>
    <w:basedOn w:val="18"/>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Emphasis"/>
    <w:basedOn w:val="20"/>
    <w:qFormat/>
    <w:uiPriority w:val="20"/>
    <w:rPr>
      <w:i/>
    </w:rPr>
  </w:style>
  <w:style w:type="character" w:styleId="23">
    <w:name w:val="HTML Definition"/>
    <w:basedOn w:val="20"/>
    <w:semiHidden/>
    <w:unhideWhenUsed/>
    <w:qFormat/>
    <w:uiPriority w:val="99"/>
    <w:rPr>
      <w:i/>
    </w:rPr>
  </w:style>
  <w:style w:type="character" w:styleId="24">
    <w:name w:val="HTML Acronym"/>
    <w:basedOn w:val="20"/>
    <w:semiHidden/>
    <w:unhideWhenUsed/>
    <w:qFormat/>
    <w:uiPriority w:val="99"/>
  </w:style>
  <w:style w:type="character" w:styleId="25">
    <w:name w:val="HTML Variable"/>
    <w:basedOn w:val="20"/>
    <w:semiHidden/>
    <w:unhideWhenUsed/>
    <w:qFormat/>
    <w:uiPriority w:val="99"/>
    <w:rPr>
      <w:i/>
    </w:rPr>
  </w:style>
  <w:style w:type="character" w:styleId="26">
    <w:name w:val="Hyperlink"/>
    <w:basedOn w:val="20"/>
    <w:semiHidden/>
    <w:unhideWhenUsed/>
    <w:qFormat/>
    <w:uiPriority w:val="99"/>
    <w:rPr>
      <w:color w:val="005197"/>
      <w:u w:val="single"/>
    </w:rPr>
  </w:style>
  <w:style w:type="character" w:styleId="27">
    <w:name w:val="HTML Code"/>
    <w:basedOn w:val="20"/>
    <w:semiHidden/>
    <w:unhideWhenUsed/>
    <w:qFormat/>
    <w:uiPriority w:val="99"/>
    <w:rPr>
      <w:rFonts w:ascii="微软雅黑" w:hAnsi="微软雅黑" w:eastAsia="微软雅黑" w:cs="微软雅黑"/>
      <w:sz w:val="18"/>
      <w:szCs w:val="18"/>
    </w:rPr>
  </w:style>
  <w:style w:type="character" w:styleId="28">
    <w:name w:val="HTML Cite"/>
    <w:basedOn w:val="20"/>
    <w:semiHidden/>
    <w:unhideWhenUsed/>
    <w:qFormat/>
    <w:uiPriority w:val="99"/>
    <w:rPr>
      <w:i/>
    </w:rPr>
  </w:style>
  <w:style w:type="paragraph" w:customStyle="1" w:styleId="29">
    <w:name w:val="文档正文"/>
    <w:basedOn w:val="1"/>
    <w:qFormat/>
    <w:uiPriority w:val="0"/>
    <w:pPr>
      <w:adjustRightInd w:val="0"/>
      <w:spacing w:line="480" w:lineRule="atLeast"/>
      <w:ind w:firstLine="567" w:firstLineChars="200"/>
      <w:textAlignment w:val="baseline"/>
    </w:pPr>
    <w:rPr>
      <w:rFonts w:ascii="长城仿宋"/>
      <w:szCs w:val="20"/>
    </w:rPr>
  </w:style>
  <w:style w:type="character" w:customStyle="1" w:styleId="30">
    <w:name w:val="页眉 字符"/>
    <w:basedOn w:val="20"/>
    <w:link w:val="14"/>
    <w:qFormat/>
    <w:uiPriority w:val="99"/>
    <w:rPr>
      <w:sz w:val="18"/>
      <w:szCs w:val="18"/>
    </w:rPr>
  </w:style>
  <w:style w:type="character" w:customStyle="1" w:styleId="31">
    <w:name w:val="页脚 字符"/>
    <w:basedOn w:val="20"/>
    <w:link w:val="13"/>
    <w:qFormat/>
    <w:uiPriority w:val="99"/>
    <w:rPr>
      <w:sz w:val="18"/>
      <w:szCs w:val="18"/>
    </w:rPr>
  </w:style>
  <w:style w:type="character" w:customStyle="1" w:styleId="32">
    <w:name w:val="fontstyle01"/>
    <w:basedOn w:val="20"/>
    <w:qFormat/>
    <w:uiPriority w:val="0"/>
    <w:rPr>
      <w:rFonts w:hint="default" w:ascii="CIDFont+F4" w:hAnsi="CIDFont+F4"/>
      <w:color w:val="000000"/>
      <w:sz w:val="24"/>
      <w:szCs w:val="24"/>
    </w:rPr>
  </w:style>
  <w:style w:type="paragraph" w:customStyle="1" w:styleId="33">
    <w:name w:val="Default"/>
    <w:qFormat/>
    <w:uiPriority w:val="0"/>
    <w:pPr>
      <w:widowControl w:val="0"/>
      <w:autoSpaceDE w:val="0"/>
      <w:autoSpaceDN w:val="0"/>
      <w:adjustRightInd w:val="0"/>
      <w:spacing w:before="120" w:after="120" w:line="360" w:lineRule="auto"/>
      <w:outlineLvl w:val="0"/>
    </w:pPr>
    <w:rPr>
      <w:rFonts w:ascii="黑体" w:hAnsi="黑体" w:eastAsia="黑体" w:cs="仿宋"/>
      <w:b/>
      <w:bCs/>
      <w:color w:val="000000"/>
      <w:sz w:val="28"/>
      <w:szCs w:val="28"/>
      <w:lang w:val="en-US" w:eastAsia="zh-CN" w:bidi="ar-SA"/>
    </w:rPr>
  </w:style>
  <w:style w:type="paragraph" w:styleId="34">
    <w:name w:val="List Paragraph"/>
    <w:basedOn w:val="1"/>
    <w:qFormat/>
    <w:uiPriority w:val="34"/>
    <w:pPr>
      <w:ind w:firstLine="420" w:firstLineChars="200"/>
    </w:pPr>
  </w:style>
  <w:style w:type="paragraph" w:customStyle="1" w:styleId="35">
    <w:name w:val="设计正文2"/>
    <w:basedOn w:val="1"/>
    <w:qFormat/>
    <w:uiPriority w:val="0"/>
    <w:pPr>
      <w:snapToGrid w:val="0"/>
      <w:spacing w:before="160" w:line="320" w:lineRule="atLeast"/>
    </w:pPr>
    <w:rPr>
      <w:rFonts w:ascii="Times New Roman" w:hAnsi="Times New Roman" w:eastAsia="宋体" w:cs="Times New Roman"/>
      <w:sz w:val="24"/>
      <w:szCs w:val="20"/>
    </w:rPr>
  </w:style>
  <w:style w:type="paragraph" w:customStyle="1" w:styleId="36">
    <w:name w:val="正文文本1"/>
    <w:basedOn w:val="37"/>
    <w:next w:val="39"/>
    <w:qFormat/>
    <w:uiPriority w:val="0"/>
    <w:pPr>
      <w:ind w:firstLine="200" w:firstLineChars="200"/>
      <w:jc w:val="both"/>
    </w:pPr>
    <w:rPr>
      <w:rFonts w:ascii="Microsoft YaHei UI" w:hAnsi="Microsoft YaHei UI" w:eastAsia="Microsoft YaHei UI"/>
      <w:sz w:val="21"/>
      <w:szCs w:val="21"/>
    </w:rPr>
  </w:style>
  <w:style w:type="paragraph" w:customStyle="1" w:styleId="37">
    <w:name w:val="Normal_1"/>
    <w:next w:val="38"/>
    <w:qFormat/>
    <w:uiPriority w:val="0"/>
    <w:rPr>
      <w:rFonts w:ascii="Arial" w:hAnsi="Arial" w:eastAsia="微软雅黑" w:cs="Times New Roman"/>
      <w:sz w:val="24"/>
      <w:szCs w:val="24"/>
      <w:lang w:val="en-US" w:eastAsia="zh-CN" w:bidi="ar-SA"/>
    </w:rPr>
  </w:style>
  <w:style w:type="paragraph" w:customStyle="1" w:styleId="38">
    <w:name w:val="页脚1"/>
    <w:basedOn w:val="37"/>
    <w:unhideWhenUsed/>
    <w:qFormat/>
    <w:uiPriority w:val="99"/>
    <w:pPr>
      <w:tabs>
        <w:tab w:val="center" w:pos="4153"/>
        <w:tab w:val="right" w:pos="8306"/>
      </w:tabs>
      <w:snapToGrid w:val="0"/>
    </w:pPr>
    <w:rPr>
      <w:sz w:val="18"/>
      <w:szCs w:val="18"/>
    </w:rPr>
  </w:style>
  <w:style w:type="paragraph" w:customStyle="1" w:styleId="39">
    <w:name w:val="目录 21"/>
    <w:basedOn w:val="37"/>
    <w:next w:val="37"/>
    <w:unhideWhenUsed/>
    <w:qFormat/>
    <w:uiPriority w:val="39"/>
    <w:pPr>
      <w:tabs>
        <w:tab w:val="left" w:pos="730"/>
        <w:tab w:val="right" w:leader="dot" w:pos="9355"/>
      </w:tabs>
      <w:ind w:left="284" w:leftChars="129" w:firstLine="154" w:firstLineChars="70"/>
    </w:pPr>
  </w:style>
  <w:style w:type="character" w:customStyle="1" w:styleId="40">
    <w:name w:val="l-btn-text"/>
    <w:basedOn w:val="20"/>
    <w:qFormat/>
    <w:uiPriority w:val="0"/>
  </w:style>
  <w:style w:type="character" w:customStyle="1" w:styleId="41">
    <w:name w:val="checkbox"/>
    <w:basedOn w:val="20"/>
    <w:qFormat/>
    <w:uiPriority w:val="0"/>
  </w:style>
  <w:style w:type="character" w:customStyle="1" w:styleId="42">
    <w:name w:val="l-btn-left"/>
    <w:basedOn w:val="20"/>
    <w:qFormat/>
    <w:uiPriority w:val="0"/>
  </w:style>
  <w:style w:type="character" w:customStyle="1" w:styleId="43">
    <w:name w:val="l-btn-left1"/>
    <w:basedOn w:val="20"/>
    <w:qFormat/>
    <w:uiPriority w:val="0"/>
  </w:style>
  <w:style w:type="character" w:customStyle="1" w:styleId="44">
    <w:name w:val="l-btn-left2"/>
    <w:basedOn w:val="20"/>
    <w:qFormat/>
    <w:uiPriority w:val="0"/>
  </w:style>
  <w:style w:type="character" w:customStyle="1" w:styleId="45">
    <w:name w:val="l-btn-left3"/>
    <w:basedOn w:val="20"/>
    <w:qFormat/>
    <w:uiPriority w:val="0"/>
  </w:style>
  <w:style w:type="character" w:customStyle="1" w:styleId="46">
    <w:name w:val="l-btn-empty"/>
    <w:basedOn w:val="20"/>
    <w:qFormat/>
    <w:uiPriority w:val="0"/>
  </w:style>
  <w:style w:type="paragraph" w:customStyle="1" w:styleId="47">
    <w:name w:val="表格"/>
    <w:basedOn w:val="16"/>
    <w:next w:val="1"/>
    <w:qFormat/>
    <w:uiPriority w:val="0"/>
    <w:pPr>
      <w:spacing w:before="0" w:after="0" w:line="360" w:lineRule="auto"/>
      <w:outlineLvl w:val="9"/>
    </w:pPr>
    <w:rPr>
      <w:rFonts w:ascii="Times New Roman" w:hAnsi="Times New Roman" w:cs="Times New Roman"/>
      <w:b w:val="0"/>
      <w:bCs w:val="0"/>
      <w:sz w:val="21"/>
    </w:rPr>
  </w:style>
  <w:style w:type="paragraph" w:customStyle="1" w:styleId="48">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49">
    <w:name w:val="Table Paragraph"/>
    <w:basedOn w:val="1"/>
    <w:qFormat/>
    <w:uiPriority w:val="0"/>
    <w:pPr>
      <w:jc w:val="left"/>
    </w:pPr>
    <w:rPr>
      <w:kern w:val="0"/>
      <w:sz w:val="22"/>
      <w:lang w:eastAsia="en-US"/>
    </w:rPr>
  </w:style>
  <w:style w:type="table" w:customStyle="1" w:styleId="50">
    <w:name w:val="网格表 1 浅色1"/>
    <w:basedOn w:val="18"/>
    <w:qFormat/>
    <w:uiPriority w:val="46"/>
    <w:rPr>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1">
    <w:name w:val="Table Normal"/>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52">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53">
    <w:name w:val="网格型3"/>
    <w:basedOn w:val="18"/>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网格型1"/>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
    <w:name w:val="网格型2"/>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6">
    <w:name w:val="正文_1"/>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Default_0"/>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58">
    <w:name w:val="正文_0"/>
    <w:next w:val="17"/>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59">
    <w:name w:val="网格型4"/>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
    <w:name w:val="网格型5"/>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1">
    <w:name w:val="样式1"/>
    <w:basedOn w:val="1"/>
    <w:qFormat/>
    <w:uiPriority w:val="0"/>
    <w:pPr>
      <w:jc w:val="both"/>
    </w:pPr>
    <w:rPr>
      <w:rFonts w:hint="eastAsia" w:ascii="Microsoft YaHei UI" w:hAnsi="Microsoft YaHei UI" w:eastAsia="微软雅黑"/>
      <w:szCs w:val="21"/>
    </w:rPr>
  </w:style>
  <w:style w:type="paragraph" w:customStyle="1" w:styleId="62">
    <w:name w:val="第二"/>
    <w:basedOn w:val="1"/>
    <w:qFormat/>
    <w:uiPriority w:val="0"/>
    <w:pPr>
      <w:adjustRightInd w:val="0"/>
      <w:snapToGrid w:val="0"/>
    </w:pPr>
    <w:rPr>
      <w:rFonts w:hint="eastAsia" w:eastAsia="宋体" w:cs="Times New Roman"/>
      <w:b/>
      <w:color w:val="000000"/>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472</Words>
  <Characters>2692</Characters>
  <Lines>22</Lines>
  <Paragraphs>6</Paragraphs>
  <TotalTime>11</TotalTime>
  <ScaleCrop>false</ScaleCrop>
  <LinksUpToDate>false</LinksUpToDate>
  <CharactersWithSpaces>3158</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2021-05-19T09:26:00Z</dcterms:created>
  <dc:creator>季云峰/采办项目组/集团公司机关</dc:creator>
  <cp:lastModifiedBy>HUAWEI</cp:lastModifiedBy>
  <dcterms:modified xsi:type="dcterms:W3CDTF">2026-01-08T08:01:07Z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ECE656037CA6426BA50E95E35E37621F</vt:lpwstr>
  </property>
</Properties>
</file>