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4B483">
      <w:pPr>
        <w:pStyle w:val="103"/>
        <w:rPr>
          <w:rFonts w:hint="eastAsia"/>
          <w:color w:val="auto"/>
          <w:highlight w:val="none"/>
          <w:lang w:val="en-US" w:eastAsia="zh-CN"/>
        </w:rPr>
      </w:pPr>
    </w:p>
    <w:p w14:paraId="5517223B">
      <w:pPr>
        <w:pStyle w:val="103"/>
        <w:rPr>
          <w:rFonts w:hint="eastAsia"/>
          <w:color w:val="auto"/>
          <w:highlight w:val="none"/>
          <w:lang w:val="en-US" w:eastAsia="zh-CN"/>
        </w:rPr>
      </w:pPr>
    </w:p>
    <w:p w14:paraId="698AE80B">
      <w:pPr>
        <w:pStyle w:val="103"/>
        <w:rPr>
          <w:rFonts w:hint="eastAsia"/>
          <w:color w:val="auto"/>
          <w:highlight w:val="none"/>
          <w:lang w:val="en-US" w:eastAsia="zh-CN"/>
        </w:rPr>
      </w:pPr>
    </w:p>
    <w:p w14:paraId="6F9C38A4">
      <w:pPr>
        <w:pStyle w:val="103"/>
        <w:rPr>
          <w:rFonts w:hint="eastAsia"/>
          <w:color w:val="auto"/>
          <w:highlight w:val="none"/>
          <w:lang w:val="en-US" w:eastAsia="zh-CN"/>
        </w:rPr>
      </w:pPr>
    </w:p>
    <w:p w14:paraId="07070329">
      <w:pPr>
        <w:pStyle w:val="103"/>
        <w:jc w:val="center"/>
        <w:rPr>
          <w:rFonts w:hint="eastAsia" w:ascii="宋体" w:hAnsi="宋体" w:cs="宋体"/>
          <w:b/>
          <w:color w:val="auto"/>
          <w:sz w:val="36"/>
          <w:szCs w:val="36"/>
          <w:highlight w:val="none"/>
          <w:lang w:eastAsia="zh-CN"/>
        </w:rPr>
      </w:pPr>
      <w:r>
        <w:rPr>
          <w:rFonts w:hint="eastAsia" w:cs="宋体"/>
          <w:b/>
          <w:color w:val="auto"/>
          <w:sz w:val="40"/>
          <w:szCs w:val="40"/>
          <w:highlight w:val="none"/>
          <w:lang w:val="en-US" w:eastAsia="zh-CN"/>
        </w:rPr>
        <w:t>仓前实验中学西侧、北侧临河除险加固工程涉杭州地铁19号线安全预评估服务</w:t>
      </w:r>
    </w:p>
    <w:p w14:paraId="7C63A3EC">
      <w:pPr>
        <w:pStyle w:val="103"/>
        <w:rPr>
          <w:rFonts w:hint="eastAsia"/>
          <w:color w:val="auto"/>
          <w:highlight w:val="none"/>
          <w:lang w:val="en-US" w:eastAsia="zh-CN"/>
        </w:rPr>
      </w:pPr>
    </w:p>
    <w:p w14:paraId="36945DBB">
      <w:pPr>
        <w:pStyle w:val="103"/>
        <w:rPr>
          <w:rFonts w:hint="eastAsia"/>
          <w:color w:val="auto"/>
          <w:highlight w:val="none"/>
          <w:lang w:val="en-US" w:eastAsia="zh-CN"/>
        </w:rPr>
      </w:pPr>
    </w:p>
    <w:p w14:paraId="7746141C">
      <w:pPr>
        <w:pStyle w:val="103"/>
        <w:rPr>
          <w:rFonts w:hint="eastAsia"/>
          <w:color w:val="auto"/>
          <w:highlight w:val="none"/>
          <w:lang w:val="en-US" w:eastAsia="zh-CN"/>
        </w:rPr>
      </w:pPr>
    </w:p>
    <w:p w14:paraId="73A126F9">
      <w:pPr>
        <w:pStyle w:val="103"/>
        <w:rPr>
          <w:rFonts w:hint="eastAsia"/>
          <w:color w:val="auto"/>
          <w:highlight w:val="none"/>
          <w:lang w:val="en-US" w:eastAsia="zh-CN"/>
        </w:rPr>
      </w:pPr>
    </w:p>
    <w:p w14:paraId="3E4435A5">
      <w:pPr>
        <w:pStyle w:val="103"/>
        <w:rPr>
          <w:rFonts w:hint="eastAsia"/>
          <w:color w:val="auto"/>
          <w:highlight w:val="none"/>
          <w:lang w:val="en-US" w:eastAsia="zh-CN"/>
        </w:rPr>
      </w:pPr>
    </w:p>
    <w:p w14:paraId="782CBC50">
      <w:pPr>
        <w:pStyle w:val="103"/>
        <w:rPr>
          <w:rFonts w:hint="eastAsia"/>
          <w:color w:val="auto"/>
          <w:highlight w:val="none"/>
          <w:lang w:val="en-US" w:eastAsia="zh-CN"/>
        </w:rPr>
      </w:pPr>
    </w:p>
    <w:p w14:paraId="769EAD9B">
      <w:pPr>
        <w:jc w:val="center"/>
        <w:rPr>
          <w:rFonts w:ascii="宋体" w:hAnsi="宋体" w:cs="宋体"/>
          <w:b/>
          <w:color w:val="auto"/>
          <w:sz w:val="84"/>
          <w:szCs w:val="84"/>
          <w:highlight w:val="none"/>
        </w:rPr>
      </w:pPr>
      <w:r>
        <w:rPr>
          <w:rFonts w:hint="eastAsia" w:ascii="宋体" w:hAnsi="宋体" w:cs="宋体"/>
          <w:b/>
          <w:color w:val="auto"/>
          <w:sz w:val="84"/>
          <w:szCs w:val="84"/>
          <w:highlight w:val="none"/>
        </w:rPr>
        <w:t>招 标 文 件</w:t>
      </w:r>
    </w:p>
    <w:p w14:paraId="392649CB">
      <w:pPr>
        <w:jc w:val="center"/>
        <w:rPr>
          <w:rFonts w:ascii="宋体" w:hAnsi="宋体" w:cs="宋体"/>
          <w:b/>
          <w:color w:val="auto"/>
          <w:sz w:val="36"/>
          <w:szCs w:val="36"/>
          <w:highlight w:val="none"/>
        </w:rPr>
      </w:pP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招标</w:t>
      </w:r>
      <w:r>
        <w:rPr>
          <w:rFonts w:hint="eastAsia" w:ascii="宋体" w:hAnsi="宋体" w:cs="宋体"/>
          <w:b/>
          <w:color w:val="auto"/>
          <w:sz w:val="36"/>
          <w:szCs w:val="36"/>
          <w:highlight w:val="none"/>
        </w:rPr>
        <w:t>编号：</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w:t>
      </w:r>
    </w:p>
    <w:p w14:paraId="6B8A9FB8">
      <w:pPr>
        <w:jc w:val="center"/>
        <w:rPr>
          <w:rFonts w:ascii="宋体" w:hAnsi="宋体" w:cs="宋体"/>
          <w:b/>
          <w:color w:val="auto"/>
          <w:sz w:val="28"/>
          <w:szCs w:val="28"/>
          <w:highlight w:val="none"/>
        </w:rPr>
      </w:pPr>
    </w:p>
    <w:p w14:paraId="0AA7F4B3">
      <w:pPr>
        <w:jc w:val="center"/>
        <w:rPr>
          <w:rFonts w:ascii="宋体" w:hAnsi="宋体" w:cs="宋体"/>
          <w:b/>
          <w:color w:val="auto"/>
          <w:sz w:val="28"/>
          <w:szCs w:val="28"/>
          <w:highlight w:val="none"/>
        </w:rPr>
      </w:pPr>
    </w:p>
    <w:p w14:paraId="63D41D75">
      <w:pPr>
        <w:jc w:val="center"/>
        <w:rPr>
          <w:rFonts w:ascii="宋体" w:hAnsi="宋体" w:cs="宋体"/>
          <w:b/>
          <w:color w:val="auto"/>
          <w:sz w:val="28"/>
          <w:szCs w:val="28"/>
          <w:highlight w:val="none"/>
        </w:rPr>
      </w:pPr>
    </w:p>
    <w:p w14:paraId="52B7A3FA">
      <w:pPr>
        <w:jc w:val="center"/>
        <w:rPr>
          <w:rFonts w:ascii="宋体" w:hAnsi="宋体" w:cs="宋体"/>
          <w:b/>
          <w:color w:val="auto"/>
          <w:sz w:val="28"/>
          <w:szCs w:val="28"/>
          <w:highlight w:val="none"/>
        </w:rPr>
      </w:pPr>
    </w:p>
    <w:p w14:paraId="14E064B6">
      <w:pPr>
        <w:pStyle w:val="33"/>
        <w:rPr>
          <w:rFonts w:ascii="宋体" w:hAnsi="宋体" w:cs="宋体"/>
          <w:b/>
          <w:color w:val="auto"/>
          <w:sz w:val="28"/>
          <w:szCs w:val="28"/>
          <w:highlight w:val="none"/>
        </w:rPr>
      </w:pPr>
    </w:p>
    <w:p w14:paraId="315D9B04">
      <w:pPr>
        <w:pStyle w:val="33"/>
        <w:rPr>
          <w:rFonts w:ascii="宋体" w:hAnsi="宋体" w:cs="宋体"/>
          <w:b/>
          <w:color w:val="auto"/>
          <w:sz w:val="28"/>
          <w:szCs w:val="28"/>
          <w:highlight w:val="none"/>
        </w:rPr>
      </w:pPr>
    </w:p>
    <w:p w14:paraId="045B352D">
      <w:pPr>
        <w:pStyle w:val="33"/>
        <w:rPr>
          <w:rFonts w:ascii="宋体" w:hAnsi="宋体" w:cs="宋体"/>
          <w:b/>
          <w:color w:val="auto"/>
          <w:sz w:val="28"/>
          <w:szCs w:val="28"/>
          <w:highlight w:val="none"/>
        </w:rPr>
      </w:pPr>
    </w:p>
    <w:p w14:paraId="6FDED353">
      <w:pPr>
        <w:pStyle w:val="33"/>
        <w:rPr>
          <w:rFonts w:ascii="宋体" w:hAnsi="宋体" w:cs="宋体"/>
          <w:b/>
          <w:color w:val="auto"/>
          <w:sz w:val="28"/>
          <w:szCs w:val="28"/>
          <w:highlight w:val="none"/>
        </w:rPr>
      </w:pPr>
    </w:p>
    <w:p w14:paraId="51D3DD7B">
      <w:pPr>
        <w:pStyle w:val="33"/>
        <w:rPr>
          <w:rFonts w:ascii="宋体" w:hAnsi="宋体" w:cs="宋体"/>
          <w:b/>
          <w:color w:val="auto"/>
          <w:sz w:val="28"/>
          <w:szCs w:val="28"/>
          <w:highlight w:val="none"/>
        </w:rPr>
      </w:pPr>
    </w:p>
    <w:p w14:paraId="226FBAC4">
      <w:pPr>
        <w:jc w:val="center"/>
        <w:rPr>
          <w:rFonts w:ascii="宋体" w:hAnsi="宋体" w:cs="宋体"/>
          <w:b/>
          <w:color w:val="auto"/>
          <w:sz w:val="28"/>
          <w:szCs w:val="28"/>
          <w:highlight w:val="none"/>
        </w:rPr>
      </w:pPr>
    </w:p>
    <w:p w14:paraId="2D3679C6">
      <w:pPr>
        <w:jc w:val="center"/>
        <w:rPr>
          <w:rFonts w:ascii="宋体" w:hAnsi="宋体" w:cs="宋体"/>
          <w:b/>
          <w:color w:val="auto"/>
          <w:sz w:val="28"/>
          <w:szCs w:val="28"/>
          <w:highlight w:val="none"/>
        </w:rPr>
      </w:pPr>
    </w:p>
    <w:p w14:paraId="0EFAF6E4">
      <w:pPr>
        <w:jc w:val="center"/>
        <w:rPr>
          <w:rFonts w:ascii="宋体" w:hAnsi="宋体" w:cs="宋体"/>
          <w:b/>
          <w:color w:val="auto"/>
          <w:sz w:val="28"/>
          <w:szCs w:val="28"/>
          <w:highlight w:val="none"/>
        </w:rPr>
      </w:pPr>
    </w:p>
    <w:p w14:paraId="71FD6712">
      <w:pPr>
        <w:adjustRightInd w:val="0"/>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招标人：</w:t>
      </w:r>
      <w:r>
        <w:rPr>
          <w:rFonts w:hint="eastAsia" w:ascii="宋体" w:hAnsi="宋体" w:cs="宋体"/>
          <w:b/>
          <w:color w:val="auto"/>
          <w:sz w:val="36"/>
          <w:szCs w:val="36"/>
          <w:highlight w:val="none"/>
          <w:lang w:val="en-US" w:eastAsia="zh-CN"/>
        </w:rPr>
        <w:t xml:space="preserve">杭州市余杭区人民政府仓前街道办事处              </w:t>
      </w:r>
    </w:p>
    <w:p w14:paraId="178B71A4">
      <w:pPr>
        <w:adjustRightInd w:val="0"/>
        <w:snapToGrid w:val="0"/>
        <w:spacing w:line="360" w:lineRule="auto"/>
        <w:ind w:firstLine="361" w:firstLineChars="100"/>
        <w:jc w:val="both"/>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招标代理机构</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浙江宏顺建设管理有限公司</w:t>
      </w:r>
    </w:p>
    <w:p w14:paraId="0715EE1D">
      <w:pPr>
        <w:pStyle w:val="15"/>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备案机关：</w:t>
      </w:r>
    </w:p>
    <w:p w14:paraId="34198A7F">
      <w:pPr>
        <w:spacing w:line="6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lang w:eastAsia="zh-CN"/>
        </w:rPr>
        <w:t>20</w:t>
      </w:r>
      <w:r>
        <w:rPr>
          <w:rFonts w:hint="eastAsia" w:ascii="宋体" w:hAnsi="宋体" w:cs="宋体"/>
          <w:b/>
          <w:color w:val="auto"/>
          <w:sz w:val="36"/>
          <w:szCs w:val="36"/>
          <w:highlight w:val="none"/>
          <w:lang w:val="en-US" w:eastAsia="zh-CN"/>
        </w:rPr>
        <w:t>26</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月</w:t>
      </w:r>
    </w:p>
    <w:p w14:paraId="1E5A7B36">
      <w:pPr>
        <w:pStyle w:val="46"/>
        <w:shd w:val="clear" w:color="auto" w:fill="auto"/>
        <w:spacing w:line="600" w:lineRule="exact"/>
        <w:jc w:val="both"/>
        <w:rPr>
          <w:rFonts w:ascii="仿宋" w:hAnsi="仿宋" w:eastAsia="仿宋"/>
          <w:b/>
          <w:bCs/>
          <w:color w:val="auto"/>
          <w:sz w:val="52"/>
          <w:szCs w:val="52"/>
          <w:highlight w:val="none"/>
        </w:rPr>
      </w:pPr>
    </w:p>
    <w:p w14:paraId="58FE5CE8">
      <w:pPr>
        <w:pStyle w:val="46"/>
        <w:shd w:val="clear" w:color="auto" w:fill="auto"/>
        <w:spacing w:line="600" w:lineRule="exact"/>
        <w:ind w:firstLine="1044"/>
        <w:jc w:val="center"/>
        <w:rPr>
          <w:rFonts w:ascii="仿宋" w:hAnsi="仿宋" w:eastAsia="仿宋"/>
          <w:b/>
          <w:bCs/>
          <w:color w:val="auto"/>
          <w:sz w:val="52"/>
          <w:szCs w:val="52"/>
          <w:highlight w:val="none"/>
        </w:rPr>
      </w:pPr>
    </w:p>
    <w:p w14:paraId="37E74FF1">
      <w:pPr>
        <w:pStyle w:val="46"/>
        <w:shd w:val="clear" w:color="auto" w:fill="auto"/>
        <w:spacing w:line="600" w:lineRule="exact"/>
        <w:ind w:firstLine="1044"/>
        <w:jc w:val="center"/>
        <w:rPr>
          <w:rFonts w:ascii="仿宋" w:hAnsi="仿宋" w:eastAsia="仿宋"/>
          <w:b/>
          <w:bCs/>
          <w:color w:val="auto"/>
          <w:sz w:val="52"/>
          <w:szCs w:val="52"/>
          <w:highlight w:val="none"/>
        </w:rPr>
      </w:pPr>
      <w:r>
        <w:rPr>
          <w:rFonts w:ascii="仿宋" w:hAnsi="仿宋" w:eastAsia="仿宋"/>
          <w:b/>
          <w:bCs/>
          <w:color w:val="auto"/>
          <w:sz w:val="52"/>
          <w:szCs w:val="52"/>
          <w:highlight w:val="none"/>
        </w:rPr>
        <w:t>目     录</w:t>
      </w:r>
    </w:p>
    <w:p w14:paraId="20596017">
      <w:pPr>
        <w:pStyle w:val="64"/>
        <w:shd w:val="clear" w:color="auto" w:fill="auto"/>
        <w:tabs>
          <w:tab w:val="right" w:leader="dot" w:pos="8732"/>
        </w:tabs>
        <w:spacing w:after="0" w:line="48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TOC \o "1-1" \h \u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HYPERLINK \l _Toc22931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第一部分 招标公告</w:t>
      </w:r>
      <w:r>
        <w:rPr>
          <w:rFonts w:ascii="仿宋" w:hAnsi="仿宋" w:eastAsia="仿宋"/>
          <w:color w:val="auto"/>
          <w:sz w:val="24"/>
          <w:szCs w:val="24"/>
          <w:highlight w:val="none"/>
        </w:rPr>
        <w:tab/>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PAGEREF _Toc22931 \h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3</w:t>
      </w:r>
      <w:r>
        <w:rPr>
          <w:rFonts w:ascii="仿宋" w:hAnsi="仿宋" w:eastAsia="仿宋"/>
          <w:color w:val="auto"/>
          <w:sz w:val="24"/>
          <w:szCs w:val="24"/>
          <w:highlight w:val="none"/>
        </w:rPr>
        <w:fldChar w:fldCharType="end"/>
      </w:r>
      <w:r>
        <w:rPr>
          <w:rFonts w:ascii="仿宋" w:hAnsi="仿宋" w:eastAsia="仿宋"/>
          <w:color w:val="auto"/>
          <w:sz w:val="24"/>
          <w:szCs w:val="24"/>
          <w:highlight w:val="none"/>
        </w:rPr>
        <w:fldChar w:fldCharType="end"/>
      </w:r>
    </w:p>
    <w:p w14:paraId="6A1CBECE">
      <w:pPr>
        <w:pStyle w:val="64"/>
        <w:shd w:val="clear" w:color="auto" w:fill="auto"/>
        <w:tabs>
          <w:tab w:val="right" w:leader="dot" w:pos="8732"/>
        </w:tabs>
        <w:spacing w:after="0" w:line="48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HYPERLINK \l _Toc23782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第二部分 投标人须知</w:t>
      </w:r>
      <w:r>
        <w:rPr>
          <w:rFonts w:ascii="仿宋" w:hAnsi="仿宋" w:eastAsia="仿宋"/>
          <w:color w:val="auto"/>
          <w:sz w:val="24"/>
          <w:szCs w:val="24"/>
          <w:highlight w:val="none"/>
        </w:rPr>
        <w:tab/>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PAGEREF _Toc23782 \h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5</w:t>
      </w:r>
      <w:r>
        <w:rPr>
          <w:rFonts w:ascii="仿宋" w:hAnsi="仿宋" w:eastAsia="仿宋"/>
          <w:color w:val="auto"/>
          <w:sz w:val="24"/>
          <w:szCs w:val="24"/>
          <w:highlight w:val="none"/>
        </w:rPr>
        <w:fldChar w:fldCharType="end"/>
      </w:r>
      <w:r>
        <w:rPr>
          <w:rFonts w:ascii="仿宋" w:hAnsi="仿宋" w:eastAsia="仿宋"/>
          <w:color w:val="auto"/>
          <w:sz w:val="24"/>
          <w:szCs w:val="24"/>
          <w:highlight w:val="none"/>
        </w:rPr>
        <w:fldChar w:fldCharType="end"/>
      </w:r>
    </w:p>
    <w:p w14:paraId="7FCB239A">
      <w:pPr>
        <w:pStyle w:val="64"/>
        <w:shd w:val="clear" w:color="auto" w:fill="auto"/>
        <w:tabs>
          <w:tab w:val="right" w:leader="dot" w:pos="8732"/>
        </w:tabs>
        <w:spacing w:after="0" w:line="48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HYPERLINK \l _Toc31898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第三部分 招标需求</w:t>
      </w:r>
      <w:r>
        <w:rPr>
          <w:rFonts w:ascii="仿宋" w:hAnsi="仿宋" w:eastAsia="仿宋"/>
          <w:color w:val="auto"/>
          <w:sz w:val="24"/>
          <w:szCs w:val="24"/>
          <w:highlight w:val="none"/>
        </w:rPr>
        <w:tab/>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PAGEREF _Toc31898 \h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19</w:t>
      </w:r>
      <w:r>
        <w:rPr>
          <w:rFonts w:ascii="仿宋" w:hAnsi="仿宋" w:eastAsia="仿宋"/>
          <w:color w:val="auto"/>
          <w:sz w:val="24"/>
          <w:szCs w:val="24"/>
          <w:highlight w:val="none"/>
        </w:rPr>
        <w:fldChar w:fldCharType="end"/>
      </w:r>
      <w:r>
        <w:rPr>
          <w:rFonts w:ascii="仿宋" w:hAnsi="仿宋" w:eastAsia="仿宋"/>
          <w:color w:val="auto"/>
          <w:sz w:val="24"/>
          <w:szCs w:val="24"/>
          <w:highlight w:val="none"/>
        </w:rPr>
        <w:fldChar w:fldCharType="end"/>
      </w:r>
    </w:p>
    <w:p w14:paraId="4CC24C07">
      <w:pPr>
        <w:pStyle w:val="64"/>
        <w:shd w:val="clear" w:color="auto" w:fill="auto"/>
        <w:tabs>
          <w:tab w:val="right" w:leader="dot" w:pos="8732"/>
        </w:tabs>
        <w:spacing w:after="0" w:line="48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HYPERLINK \l _Toc17958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第四部分 合同样本</w:t>
      </w:r>
      <w:r>
        <w:rPr>
          <w:rFonts w:ascii="仿宋" w:hAnsi="仿宋" w:eastAsia="仿宋"/>
          <w:color w:val="auto"/>
          <w:sz w:val="24"/>
          <w:szCs w:val="24"/>
          <w:highlight w:val="none"/>
        </w:rPr>
        <w:tab/>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PAGEREF _Toc17958 \h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41</w:t>
      </w:r>
      <w:r>
        <w:rPr>
          <w:rFonts w:ascii="仿宋" w:hAnsi="仿宋" w:eastAsia="仿宋"/>
          <w:color w:val="auto"/>
          <w:sz w:val="24"/>
          <w:szCs w:val="24"/>
          <w:highlight w:val="none"/>
        </w:rPr>
        <w:fldChar w:fldCharType="end"/>
      </w:r>
      <w:r>
        <w:rPr>
          <w:rFonts w:ascii="仿宋" w:hAnsi="仿宋" w:eastAsia="仿宋"/>
          <w:color w:val="auto"/>
          <w:sz w:val="24"/>
          <w:szCs w:val="24"/>
          <w:highlight w:val="none"/>
        </w:rPr>
        <w:fldChar w:fldCharType="end"/>
      </w:r>
    </w:p>
    <w:p w14:paraId="40AF3498">
      <w:pPr>
        <w:pStyle w:val="64"/>
        <w:shd w:val="clear" w:color="auto" w:fill="auto"/>
        <w:tabs>
          <w:tab w:val="right" w:leader="dot" w:pos="8732"/>
        </w:tabs>
        <w:spacing w:after="0" w:line="48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HYPERLINK \l _Toc10679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第五部分 投标文件格式</w:t>
      </w:r>
      <w:r>
        <w:rPr>
          <w:rFonts w:ascii="仿宋" w:hAnsi="仿宋" w:eastAsia="仿宋"/>
          <w:color w:val="auto"/>
          <w:sz w:val="24"/>
          <w:szCs w:val="24"/>
          <w:highlight w:val="none"/>
        </w:rPr>
        <w:tab/>
      </w: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 PAGEREF _Toc10679 \h </w:instrText>
      </w:r>
      <w:r>
        <w:rPr>
          <w:rFonts w:ascii="仿宋" w:hAnsi="仿宋" w:eastAsia="仿宋"/>
          <w:color w:val="auto"/>
          <w:sz w:val="24"/>
          <w:szCs w:val="24"/>
          <w:highlight w:val="none"/>
        </w:rPr>
        <w:fldChar w:fldCharType="separate"/>
      </w:r>
      <w:r>
        <w:rPr>
          <w:rFonts w:ascii="仿宋" w:hAnsi="仿宋" w:eastAsia="仿宋"/>
          <w:color w:val="auto"/>
          <w:sz w:val="24"/>
          <w:szCs w:val="24"/>
          <w:highlight w:val="none"/>
        </w:rPr>
        <w:t>48</w:t>
      </w:r>
      <w:r>
        <w:rPr>
          <w:rFonts w:ascii="仿宋" w:hAnsi="仿宋" w:eastAsia="仿宋"/>
          <w:color w:val="auto"/>
          <w:sz w:val="24"/>
          <w:szCs w:val="24"/>
          <w:highlight w:val="none"/>
        </w:rPr>
        <w:fldChar w:fldCharType="end"/>
      </w:r>
      <w:r>
        <w:rPr>
          <w:rFonts w:ascii="仿宋" w:hAnsi="仿宋" w:eastAsia="仿宋"/>
          <w:color w:val="auto"/>
          <w:sz w:val="24"/>
          <w:szCs w:val="24"/>
          <w:highlight w:val="none"/>
        </w:rPr>
        <w:fldChar w:fldCharType="end"/>
      </w:r>
    </w:p>
    <w:p w14:paraId="08CCFD4C">
      <w:pPr>
        <w:pStyle w:val="46"/>
        <w:shd w:val="clear" w:color="auto" w:fill="auto"/>
        <w:spacing w:line="480" w:lineRule="auto"/>
        <w:ind w:firstLine="480"/>
        <w:rPr>
          <w:rFonts w:ascii="仿宋" w:hAnsi="仿宋" w:eastAsia="仿宋"/>
          <w:color w:val="auto"/>
          <w:highlight w:val="none"/>
        </w:rPr>
      </w:pPr>
      <w:r>
        <w:rPr>
          <w:rFonts w:ascii="仿宋" w:hAnsi="仿宋" w:eastAsia="仿宋"/>
          <w:color w:val="auto"/>
          <w:sz w:val="24"/>
          <w:szCs w:val="24"/>
          <w:highlight w:val="none"/>
        </w:rPr>
        <w:fldChar w:fldCharType="end"/>
      </w:r>
    </w:p>
    <w:p w14:paraId="20BC4BDE">
      <w:pPr>
        <w:pStyle w:val="86"/>
        <w:shd w:val="clear" w:color="auto" w:fill="auto"/>
        <w:tabs>
          <w:tab w:val="clear" w:pos="4153"/>
          <w:tab w:val="clear" w:pos="8306"/>
        </w:tabs>
        <w:spacing w:line="600" w:lineRule="exact"/>
        <w:jc w:val="center"/>
        <w:rPr>
          <w:rFonts w:ascii="仿宋" w:hAnsi="仿宋" w:eastAsia="仿宋"/>
          <w:color w:val="auto"/>
          <w:sz w:val="28"/>
          <w:szCs w:val="28"/>
          <w:highlight w:val="none"/>
        </w:rPr>
      </w:pPr>
      <w:bookmarkStart w:id="0" w:name="_Toc381361192"/>
      <w:r>
        <w:rPr>
          <w:rFonts w:ascii="仿宋" w:hAnsi="仿宋" w:eastAsia="仿宋"/>
          <w:color w:val="auto"/>
          <w:sz w:val="28"/>
          <w:szCs w:val="28"/>
          <w:highlight w:val="none"/>
        </w:rPr>
        <w:t>投标人注意事项</w:t>
      </w:r>
      <w:bookmarkEnd w:id="0"/>
    </w:p>
    <w:p w14:paraId="04E240E3">
      <w:pPr>
        <w:widowControl/>
        <w:wordWrap w:val="0"/>
        <w:adjustRightInd/>
        <w:snapToGrid/>
        <w:spacing w:line="600" w:lineRule="exact"/>
        <w:ind w:firstLine="480" w:firstLineChars="200"/>
        <w:textAlignment w:val="auto"/>
        <w:rPr>
          <w:rFonts w:hint="eastAsia" w:ascii="仿宋" w:hAnsi="仿宋" w:eastAsia="仿宋" w:cs="仿宋"/>
          <w:color w:val="auto"/>
          <w:sz w:val="24"/>
          <w:szCs w:val="24"/>
          <w:highlight w:val="none"/>
        </w:rPr>
      </w:pPr>
      <w:bookmarkStart w:id="1" w:name="_Toc381361193"/>
      <w:r>
        <w:rPr>
          <w:rFonts w:hint="eastAsia" w:ascii="仿宋" w:hAnsi="仿宋" w:eastAsia="仿宋" w:cs="仿宋"/>
          <w:color w:val="auto"/>
          <w:sz w:val="24"/>
          <w:szCs w:val="24"/>
          <w:highlight w:val="none"/>
        </w:rPr>
        <w:t>一、投标人如发现招标文件存在含糊不清、相互矛盾、多种含义条款或是歧视性、排他性等不公正条款或其它违法违规内容时，为保证招标文件的修改留出充足时间，请在2026年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17:00前向招标代理机构以电子邮件（</w:t>
      </w:r>
      <w:r>
        <w:rPr>
          <w:rFonts w:hint="eastAsia" w:ascii="仿宋" w:hAnsi="仿宋" w:eastAsia="仿宋" w:cs="仿宋"/>
          <w:color w:val="auto"/>
          <w:sz w:val="24"/>
          <w:szCs w:val="24"/>
          <w:highlight w:val="none"/>
          <w:lang w:val="en-US" w:eastAsia="zh-CN"/>
        </w:rPr>
        <w:t>hzhszbdl@163.com</w:t>
      </w:r>
      <w:r>
        <w:rPr>
          <w:rFonts w:hint="eastAsia" w:ascii="仿宋" w:hAnsi="仿宋" w:eastAsia="仿宋" w:cs="仿宋"/>
          <w:color w:val="auto"/>
          <w:sz w:val="24"/>
          <w:szCs w:val="24"/>
          <w:highlight w:val="none"/>
        </w:rPr>
        <w:t>）形式提交询问或质疑书。</w:t>
      </w:r>
    </w:p>
    <w:p w14:paraId="408C1922">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二、投标人在制作投标前务必仔细阅读“第二部分投标人须知”中的前附表、评标程序、被拒绝投标、无效投标、废标等条款及有关表格样张。</w:t>
      </w:r>
    </w:p>
    <w:p w14:paraId="628C6F19">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三、如遇投标截止时间推迟、招标需求变动等，招标代理机构将会发布补充（答疑、澄清）</w:t>
      </w:r>
      <w:r>
        <w:rPr>
          <w:rFonts w:hint="eastAsia" w:ascii="仿宋" w:hAnsi="仿宋" w:eastAsia="仿宋" w:cs="仿宋"/>
          <w:color w:val="auto"/>
          <w:sz w:val="24"/>
          <w:szCs w:val="24"/>
          <w:highlight w:val="none"/>
          <w:lang w:val="en-US" w:eastAsia="zh-CN"/>
        </w:rPr>
        <w:t>公告</w:t>
      </w:r>
      <w:r>
        <w:rPr>
          <w:rFonts w:hint="eastAsia" w:ascii="仿宋" w:hAnsi="仿宋" w:eastAsia="仿宋" w:cs="仿宋"/>
          <w:color w:val="auto"/>
          <w:sz w:val="24"/>
          <w:szCs w:val="24"/>
          <w:highlight w:val="none"/>
        </w:rPr>
        <w:t>，由投标人自行关注网站信息。</w:t>
      </w:r>
    </w:p>
    <w:p w14:paraId="2F29FB23">
      <w:pPr>
        <w:pStyle w:val="46"/>
        <w:widowControl w:val="0"/>
        <w:shd w:val="clear" w:color="auto" w:fill="auto"/>
        <w:wordWrap/>
        <w:adjustRightInd/>
        <w:snapToGrid/>
        <w:spacing w:line="360" w:lineRule="auto"/>
        <w:ind w:firstLine="884"/>
        <w:jc w:val="center"/>
        <w:textAlignment w:val="auto"/>
        <w:rPr>
          <w:rStyle w:val="125"/>
          <w:rFonts w:ascii="仿宋" w:hAnsi="仿宋" w:eastAsia="仿宋"/>
          <w:color w:val="auto"/>
          <w:highlight w:val="none"/>
        </w:rPr>
      </w:pPr>
      <w:r>
        <w:rPr>
          <w:rFonts w:ascii="仿宋" w:hAnsi="仿宋" w:eastAsia="仿宋"/>
          <w:b/>
          <w:color w:val="auto"/>
          <w:sz w:val="44"/>
          <w:szCs w:val="44"/>
          <w:highlight w:val="none"/>
        </w:rPr>
        <w:br w:type="page"/>
      </w:r>
      <w:bookmarkStart w:id="2" w:name="_Toc22931"/>
      <w:r>
        <w:rPr>
          <w:rStyle w:val="125"/>
          <w:rFonts w:ascii="仿宋" w:hAnsi="仿宋" w:eastAsia="仿宋"/>
          <w:color w:val="auto"/>
          <w:highlight w:val="none"/>
        </w:rPr>
        <w:t>第一部分 招标公告</w:t>
      </w:r>
      <w:bookmarkEnd w:id="1"/>
    </w:p>
    <w:bookmarkEnd w:id="2"/>
    <w:p w14:paraId="15C1AAE0">
      <w:pPr>
        <w:pStyle w:val="46"/>
        <w:spacing w:line="332" w:lineRule="auto"/>
        <w:ind w:firstLine="480"/>
        <w:rPr>
          <w:rFonts w:ascii="仿宋" w:hAnsi="仿宋" w:eastAsia="仿宋"/>
          <w:color w:val="auto"/>
          <w:sz w:val="24"/>
          <w:szCs w:val="24"/>
          <w:highlight w:val="none"/>
        </w:rPr>
      </w:pPr>
      <w:r>
        <w:rPr>
          <w:rFonts w:hint="eastAsia" w:ascii="仿宋" w:hAnsi="仿宋" w:eastAsia="仿宋"/>
          <w:color w:val="auto"/>
          <w:sz w:val="24"/>
          <w:szCs w:val="24"/>
          <w:highlight w:val="none"/>
        </w:rPr>
        <w:t>根据相关规定及精神</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rPr>
        <w:t>现就</w:t>
      </w:r>
      <w:r>
        <w:rPr>
          <w:rFonts w:hint="eastAsia" w:ascii="仿宋" w:hAnsi="仿宋" w:eastAsia="仿宋"/>
          <w:color w:val="auto"/>
          <w:sz w:val="24"/>
          <w:szCs w:val="24"/>
          <w:highlight w:val="none"/>
          <w:lang w:eastAsia="zh-CN"/>
        </w:rPr>
        <w:t>仓前实验中学西侧、北侧临河除险加固工程涉杭州地铁19号线安全预评估服务</w:t>
      </w:r>
      <w:r>
        <w:rPr>
          <w:rFonts w:ascii="仿宋" w:hAnsi="仿宋" w:eastAsia="仿宋"/>
          <w:color w:val="auto"/>
          <w:sz w:val="24"/>
          <w:szCs w:val="24"/>
          <w:highlight w:val="none"/>
        </w:rPr>
        <w:t>公开招标。欢迎符合要求并有能力完成本项目的投标人前来投标。</w:t>
      </w:r>
    </w:p>
    <w:p w14:paraId="131D3DC4">
      <w:pPr>
        <w:pStyle w:val="46"/>
        <w:widowControl/>
        <w:shd w:val="clear" w:color="auto" w:fill="auto"/>
        <w:spacing w:line="332" w:lineRule="auto"/>
        <w:ind w:firstLine="480"/>
        <w:jc w:val="left"/>
        <w:rPr>
          <w:rFonts w:ascii="仿宋" w:hAnsi="仿宋" w:eastAsia="仿宋"/>
          <w:color w:val="auto"/>
          <w:sz w:val="24"/>
          <w:szCs w:val="24"/>
          <w:highlight w:val="none"/>
          <w:shd w:val="clear" w:color="auto" w:fill="FFFFFF"/>
        </w:rPr>
      </w:pPr>
      <w:r>
        <w:rPr>
          <w:rFonts w:ascii="仿宋" w:hAnsi="仿宋" w:eastAsia="仿宋"/>
          <w:color w:val="auto"/>
          <w:sz w:val="24"/>
          <w:szCs w:val="24"/>
          <w:highlight w:val="none"/>
          <w:shd w:val="clear" w:color="auto" w:fill="FFFFFF"/>
          <w:lang w:bidi="en-US"/>
        </w:rPr>
        <w:t>一、项目名称及编号：</w:t>
      </w:r>
      <w:r>
        <w:rPr>
          <w:rFonts w:hint="eastAsia" w:ascii="仿宋" w:hAnsi="仿宋" w:eastAsia="仿宋"/>
          <w:color w:val="auto"/>
          <w:sz w:val="24"/>
          <w:szCs w:val="24"/>
          <w:highlight w:val="none"/>
          <w:shd w:val="clear" w:color="auto" w:fill="FFFFFF"/>
          <w:lang w:eastAsia="zh-CN" w:bidi="en-US"/>
        </w:rPr>
        <w:t>仓前实验中学西侧、北侧临河除险加固工程涉杭州地铁19号线安全预评估服务</w:t>
      </w:r>
      <w:r>
        <w:rPr>
          <w:rFonts w:ascii="仿宋" w:hAnsi="仿宋" w:eastAsia="仿宋"/>
          <w:color w:val="auto"/>
          <w:sz w:val="24"/>
          <w:szCs w:val="24"/>
          <w:highlight w:val="none"/>
          <w:shd w:val="clear" w:color="auto" w:fill="FFFFFF"/>
          <w:lang w:bidi="en-US"/>
        </w:rPr>
        <w:t>（</w:t>
      </w:r>
      <w:r>
        <w:rPr>
          <w:rFonts w:hint="eastAsia" w:ascii="仿宋" w:hAnsi="仿宋" w:eastAsia="仿宋"/>
          <w:color w:val="auto"/>
          <w:sz w:val="24"/>
          <w:szCs w:val="24"/>
          <w:highlight w:val="none"/>
          <w:shd w:val="clear" w:color="auto" w:fill="FFFFFF"/>
          <w:lang w:val="en-US" w:eastAsia="zh-CN" w:bidi="en-US"/>
        </w:rPr>
        <w:t>招标</w:t>
      </w:r>
      <w:r>
        <w:rPr>
          <w:rFonts w:ascii="仿宋" w:hAnsi="仿宋" w:eastAsia="仿宋"/>
          <w:color w:val="auto"/>
          <w:sz w:val="24"/>
          <w:szCs w:val="24"/>
          <w:highlight w:val="none"/>
          <w:shd w:val="clear" w:color="auto" w:fill="FFFFFF"/>
          <w:lang w:bidi="en-US"/>
        </w:rPr>
        <w:t>编号</w:t>
      </w:r>
      <w:r>
        <w:rPr>
          <w:rFonts w:ascii="仿宋" w:hAnsi="仿宋" w:eastAsia="仿宋"/>
          <w:color w:val="auto"/>
          <w:sz w:val="24"/>
          <w:szCs w:val="24"/>
          <w:highlight w:val="none"/>
          <w:shd w:val="clear" w:color="auto" w:fill="FFFFFF"/>
          <w:lang w:eastAsia="zh-CN" w:bidi="en-US"/>
        </w:rPr>
        <w:t>：</w:t>
      </w:r>
      <w:r>
        <w:rPr>
          <w:rFonts w:hint="eastAsia" w:ascii="仿宋" w:hAnsi="仿宋" w:eastAsia="仿宋"/>
          <w:color w:val="auto"/>
          <w:sz w:val="24"/>
          <w:szCs w:val="24"/>
          <w:highlight w:val="none"/>
          <w:shd w:val="clear" w:color="auto" w:fill="FFFFFF"/>
          <w:lang w:val="en-US" w:eastAsia="zh-CN" w:bidi="en-US"/>
        </w:rPr>
        <w:t xml:space="preserve">   </w:t>
      </w:r>
      <w:r>
        <w:rPr>
          <w:rFonts w:ascii="仿宋" w:hAnsi="仿宋" w:eastAsia="仿宋"/>
          <w:color w:val="auto"/>
          <w:sz w:val="24"/>
          <w:szCs w:val="24"/>
          <w:highlight w:val="none"/>
          <w:shd w:val="clear" w:color="auto" w:fill="FFFFFF"/>
          <w:lang w:eastAsia="zh-CN" w:bidi="en-US"/>
        </w:rPr>
        <w:t>）</w:t>
      </w:r>
    </w:p>
    <w:p w14:paraId="675D0B31">
      <w:pPr>
        <w:pStyle w:val="46"/>
        <w:shd w:val="clear" w:color="auto" w:fill="auto"/>
        <w:spacing w:line="332" w:lineRule="auto"/>
        <w:ind w:firstLine="480"/>
        <w:rPr>
          <w:rFonts w:hint="eastAsia" w:ascii="仿宋" w:hAnsi="仿宋" w:eastAsia="仿宋" w:cs="Times New Roman"/>
          <w:color w:val="auto"/>
          <w:sz w:val="24"/>
          <w:szCs w:val="24"/>
          <w:highlight w:val="none"/>
          <w:shd w:val="clear" w:color="auto" w:fill="FFFFFF"/>
          <w:lang w:val="en-US" w:eastAsia="zh-CN" w:bidi="en-US"/>
        </w:rPr>
      </w:pPr>
      <w:r>
        <w:rPr>
          <w:rFonts w:ascii="仿宋" w:hAnsi="仿宋" w:eastAsia="仿宋"/>
          <w:color w:val="auto"/>
          <w:sz w:val="24"/>
          <w:szCs w:val="24"/>
          <w:highlight w:val="none"/>
          <w:lang w:val="en-US" w:eastAsia="zh-CN"/>
        </w:rPr>
        <w:t>二、招标内容：</w:t>
      </w:r>
      <w:r>
        <w:rPr>
          <w:rFonts w:ascii="仿宋" w:hAnsi="仿宋" w:eastAsia="仿宋"/>
          <w:color w:val="auto"/>
          <w:sz w:val="24"/>
          <w:szCs w:val="24"/>
          <w:highlight w:val="none"/>
          <w:shd w:val="clear" w:color="auto" w:fill="FFFFFF"/>
          <w:lang w:val="en-US" w:eastAsia="zh-CN" w:bidi="en-US"/>
        </w:rPr>
        <w:t>本次招标工作内容为</w:t>
      </w:r>
      <w:r>
        <w:rPr>
          <w:rFonts w:hint="eastAsia" w:ascii="仿宋" w:hAnsi="仿宋" w:eastAsia="仿宋"/>
          <w:color w:val="auto"/>
          <w:sz w:val="24"/>
          <w:szCs w:val="24"/>
          <w:highlight w:val="none"/>
          <w:shd w:val="clear" w:color="auto" w:fill="FFFFFF"/>
          <w:lang w:val="en-US" w:eastAsia="zh-CN" w:bidi="en-US"/>
        </w:rPr>
        <w:t>仓前实验中学西侧、北侧临河除险加固工程涉杭州地铁19号线安全预评估服务</w:t>
      </w:r>
      <w:r>
        <w:rPr>
          <w:rFonts w:ascii="仿宋" w:hAnsi="仿宋" w:eastAsia="仿宋"/>
          <w:color w:val="auto"/>
          <w:sz w:val="24"/>
          <w:szCs w:val="24"/>
          <w:highlight w:val="none"/>
          <w:shd w:val="clear" w:color="auto" w:fill="FFFFFF"/>
          <w:lang w:val="en-US" w:eastAsia="zh-CN" w:bidi="en-US"/>
        </w:rPr>
        <w:t>，本项目采购预算</w:t>
      </w:r>
      <w:r>
        <w:rPr>
          <w:rFonts w:hint="eastAsia" w:ascii="仿宋" w:hAnsi="仿宋" w:eastAsia="仿宋" w:cs="Times New Roman"/>
          <w:color w:val="auto"/>
          <w:sz w:val="24"/>
          <w:szCs w:val="24"/>
          <w:highlight w:val="none"/>
          <w:shd w:val="clear" w:color="auto" w:fill="FFFFFF"/>
          <w:lang w:val="en-US" w:eastAsia="zh-CN" w:bidi="en-US"/>
        </w:rPr>
        <w:t>人民币27万元，具体采购内容详见招标文件“</w:t>
      </w:r>
      <w:r>
        <w:rPr>
          <w:rFonts w:hint="eastAsia" w:ascii="仿宋" w:hAnsi="仿宋" w:eastAsia="仿宋" w:cs="Times New Roman"/>
          <w:color w:val="auto"/>
          <w:sz w:val="24"/>
          <w:szCs w:val="24"/>
          <w:highlight w:val="none"/>
          <w:shd w:val="clear" w:color="auto" w:fill="FFFFFF"/>
          <w:lang w:eastAsia="zh-CN" w:bidi="en-US"/>
        </w:rPr>
        <w:t>第三部分 招标需求</w:t>
      </w:r>
      <w:r>
        <w:rPr>
          <w:rFonts w:hint="eastAsia" w:ascii="仿宋" w:hAnsi="仿宋" w:eastAsia="仿宋" w:cs="Times New Roman"/>
          <w:color w:val="auto"/>
          <w:sz w:val="24"/>
          <w:szCs w:val="24"/>
          <w:highlight w:val="none"/>
          <w:shd w:val="clear" w:color="auto" w:fill="FFFFFF"/>
          <w:lang w:val="en-US" w:eastAsia="zh-CN" w:bidi="en-US"/>
        </w:rPr>
        <w:t>”。</w:t>
      </w:r>
    </w:p>
    <w:p w14:paraId="14A29382">
      <w:pPr>
        <w:pStyle w:val="46"/>
        <w:widowControl/>
        <w:shd w:val="clear" w:color="auto" w:fill="auto"/>
        <w:spacing w:line="332" w:lineRule="auto"/>
        <w:ind w:firstLine="480"/>
        <w:jc w:val="left"/>
        <w:rPr>
          <w:rFonts w:ascii="仿宋" w:hAnsi="仿宋" w:eastAsia="仿宋"/>
          <w:color w:val="auto"/>
          <w:sz w:val="24"/>
          <w:szCs w:val="24"/>
          <w:highlight w:val="none"/>
          <w:shd w:val="clear" w:color="auto" w:fill="FFFFFF"/>
          <w:lang w:bidi="en-US"/>
        </w:rPr>
      </w:pPr>
      <w:r>
        <w:rPr>
          <w:rFonts w:ascii="仿宋" w:hAnsi="仿宋" w:eastAsia="仿宋"/>
          <w:color w:val="auto"/>
          <w:sz w:val="24"/>
          <w:szCs w:val="24"/>
          <w:highlight w:val="none"/>
          <w:shd w:val="clear" w:color="auto" w:fill="FFFFFF"/>
          <w:lang w:bidi="en-US"/>
        </w:rPr>
        <w:t>三、合格投标人的资格要求：</w:t>
      </w:r>
    </w:p>
    <w:p w14:paraId="44F79D60">
      <w:pPr>
        <w:pStyle w:val="46"/>
        <w:widowControl/>
        <w:shd w:val="clear" w:color="auto" w:fill="auto"/>
        <w:spacing w:line="240" w:lineRule="auto"/>
        <w:ind w:firstLine="480"/>
        <w:rPr>
          <w:rFonts w:hint="eastAsia" w:ascii="仿宋" w:hAnsi="仿宋" w:eastAsia="仿宋" w:cs="Times New Roman"/>
          <w:b w:val="0"/>
          <w:bCs w:val="0"/>
          <w:color w:val="auto"/>
          <w:spacing w:val="0"/>
          <w:position w:val="0"/>
          <w:sz w:val="24"/>
          <w:szCs w:val="24"/>
          <w:highlight w:val="none"/>
          <w:shd w:val="clear" w:color="auto" w:fill="FFFFFF"/>
          <w:lang w:val="en-US" w:eastAsia="zh-CN" w:bidi="en-US"/>
        </w:rPr>
      </w:pPr>
      <w:r>
        <w:rPr>
          <w:rFonts w:ascii="仿宋" w:hAnsi="仿宋" w:eastAsia="仿宋"/>
          <w:color w:val="auto"/>
          <w:sz w:val="24"/>
          <w:szCs w:val="24"/>
          <w:highlight w:val="none"/>
          <w:shd w:val="clear" w:color="auto" w:fill="FFFFFF"/>
          <w:lang w:bidi="en-US"/>
        </w:rPr>
        <w:t>1、</w:t>
      </w:r>
      <w:r>
        <w:rPr>
          <w:rFonts w:hint="eastAsia" w:ascii="仿宋" w:hAnsi="仿宋" w:eastAsia="仿宋" w:cs="Times New Roman"/>
          <w:b w:val="0"/>
          <w:bCs w:val="0"/>
          <w:color w:val="auto"/>
          <w:spacing w:val="0"/>
          <w:position w:val="0"/>
          <w:sz w:val="24"/>
          <w:szCs w:val="24"/>
          <w:highlight w:val="none"/>
          <w:shd w:val="clear" w:color="auto" w:fill="FFFFFF"/>
          <w:lang w:val="en-US" w:eastAsia="zh-CN" w:bidi="en-US"/>
        </w:rPr>
        <w:t>投标人应具有独立法人资格，为杭地铁安全【2020】96号文件内企业；</w:t>
      </w:r>
    </w:p>
    <w:p w14:paraId="1407E30A">
      <w:pPr>
        <w:pStyle w:val="47"/>
        <w:shd w:val="clear" w:color="auto" w:fill="FFFFFF"/>
        <w:spacing w:line="240" w:lineRule="auto"/>
        <w:ind w:firstLine="480" w:firstLineChars="200"/>
        <w:rPr>
          <w:rFonts w:hint="eastAsia" w:ascii="仿宋" w:hAnsi="仿宋" w:eastAsia="仿宋" w:cs="Times New Roman"/>
          <w:b w:val="0"/>
          <w:bCs w:val="0"/>
          <w:color w:val="auto"/>
          <w:spacing w:val="0"/>
          <w:position w:val="0"/>
          <w:sz w:val="24"/>
          <w:szCs w:val="24"/>
          <w:highlight w:val="none"/>
          <w:shd w:val="clear" w:color="auto" w:fill="FFFFFF"/>
          <w:lang w:val="en-US" w:eastAsia="zh-CN" w:bidi="en-US"/>
        </w:rPr>
      </w:pPr>
      <w:r>
        <w:rPr>
          <w:rFonts w:hint="eastAsia" w:ascii="仿宋" w:hAnsi="仿宋" w:eastAsia="仿宋" w:cs="Times New Roman"/>
          <w:b w:val="0"/>
          <w:bCs w:val="0"/>
          <w:color w:val="auto"/>
          <w:spacing w:val="0"/>
          <w:position w:val="0"/>
          <w:sz w:val="24"/>
          <w:szCs w:val="24"/>
          <w:highlight w:val="none"/>
          <w:shd w:val="clear" w:color="auto" w:fill="FFFFFF"/>
          <w:lang w:val="en-US" w:eastAsia="zh-CN" w:bidi="en-US"/>
        </w:rPr>
        <w:t>2、本次招标不接受联合体投标。</w:t>
      </w:r>
    </w:p>
    <w:p w14:paraId="2CE8D708">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四、本项目无需报名，但在开标时需提供但在开标时需单独提供以下资料（无需密封）：</w:t>
      </w:r>
    </w:p>
    <w:p w14:paraId="75229D13">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（1）企业营业执照副本（加盖单位公章的复印件）</w:t>
      </w:r>
    </w:p>
    <w:p w14:paraId="26385249">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（2）纳入杭地铁安全【2020】96号文件证明材料（加盖单位公章的复印件）</w:t>
      </w:r>
    </w:p>
    <w:p w14:paraId="188AF868">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（3）法定代表人授权委托书原件</w:t>
      </w:r>
    </w:p>
    <w:p w14:paraId="64DD4C1E">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（4）授权代表人有效二代身份证（加盖单位公章的复印件）</w:t>
      </w:r>
    </w:p>
    <w:p w14:paraId="7A969B00">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（5）提供的资料复印件与原件一致承诺书原件（格式自拟）</w:t>
      </w:r>
    </w:p>
    <w:p w14:paraId="7AFEFB54">
      <w:pPr>
        <w:widowControl w:val="0"/>
        <w:wordWrap/>
        <w:adjustRightInd/>
        <w:snapToGrid/>
        <w:spacing w:line="360" w:lineRule="auto"/>
        <w:ind w:left="0" w:leftChars="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shd w:val="clear" w:color="auto" w:fill="FFFFFF"/>
        </w:rPr>
        <w:t>投标人未按要求提供以上资料或资料不全的，其投标无效。</w:t>
      </w:r>
      <w:r>
        <w:rPr>
          <w:rFonts w:hint="eastAsia" w:ascii="仿宋" w:hAnsi="仿宋" w:eastAsia="仿宋" w:cs="仿宋"/>
          <w:color w:val="auto"/>
          <w:sz w:val="24"/>
          <w:szCs w:val="24"/>
          <w:highlight w:val="none"/>
          <w:lang w:val="en-US" w:eastAsia="zh-CN"/>
        </w:rPr>
        <w:t>投标人的资格</w:t>
      </w:r>
      <w:r>
        <w:rPr>
          <w:rFonts w:hint="eastAsia" w:ascii="仿宋" w:hAnsi="仿宋" w:eastAsia="仿宋" w:cs="仿宋"/>
          <w:color w:val="auto"/>
          <w:kern w:val="0"/>
          <w:sz w:val="24"/>
          <w:highlight w:val="none"/>
          <w:shd w:val="clear" w:color="auto" w:fill="FFFFFF"/>
        </w:rPr>
        <w:t>仍需接受</w:t>
      </w:r>
      <w:r>
        <w:rPr>
          <w:rFonts w:hint="eastAsia" w:ascii="仿宋" w:hAnsi="仿宋" w:eastAsia="仿宋" w:cs="仿宋"/>
          <w:color w:val="auto"/>
          <w:sz w:val="24"/>
          <w:szCs w:val="24"/>
          <w:highlight w:val="none"/>
          <w:lang w:val="en-US" w:eastAsia="zh-CN"/>
        </w:rPr>
        <w:t>评标委员会审查，并在必要时要求提供原件备查。</w:t>
      </w:r>
    </w:p>
    <w:p w14:paraId="1A723938">
      <w:pPr>
        <w:widowControl/>
        <w:wordWrap/>
        <w:autoSpaceDE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shd w:val="clear" w:color="auto" w:fill="FFFFFF"/>
        </w:rPr>
        <w:t>招标文件的获取：</w:t>
      </w:r>
    </w:p>
    <w:p w14:paraId="1F98FF8A">
      <w:pPr>
        <w:pStyle w:val="31"/>
        <w:widowControl/>
        <w:wordWrap/>
        <w:adjustRightInd/>
        <w:snapToGrid/>
        <w:spacing w:before="0" w:beforeAutospacing="0" w:after="0" w:afterAutospacing="0" w:line="360" w:lineRule="auto"/>
        <w:ind w:left="0" w:right="0" w:firstLine="480"/>
        <w:textAlignment w:val="auto"/>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lang w:val="en-US" w:eastAsia="zh-CN"/>
        </w:rPr>
        <w:t>1、</w:t>
      </w:r>
      <w:r>
        <w:rPr>
          <w:rFonts w:hint="eastAsia" w:ascii="仿宋" w:hAnsi="仿宋" w:eastAsia="仿宋" w:cs="仿宋"/>
          <w:i w:val="0"/>
          <w:caps w:val="0"/>
          <w:color w:val="auto"/>
          <w:spacing w:val="0"/>
          <w:sz w:val="24"/>
          <w:szCs w:val="24"/>
          <w:highlight w:val="none"/>
          <w:shd w:val="clear" w:color="auto" w:fill="FFFFFF"/>
        </w:rPr>
        <w:t>本项目招标文件（含图纸）和补充（答疑、澄清）、修改文件以网上http://www.yuhang.gov.cn/col/col1229373441/index.html</w:t>
      </w:r>
      <w:r>
        <w:rPr>
          <w:rFonts w:hint="eastAsia" w:ascii="仿宋" w:hAnsi="仿宋" w:eastAsia="仿宋" w:cs="仿宋"/>
          <w:i w:val="0"/>
          <w:caps w:val="0"/>
          <w:color w:val="auto"/>
          <w:spacing w:val="0"/>
          <w:sz w:val="24"/>
          <w:szCs w:val="24"/>
          <w:highlight w:val="none"/>
          <w:shd w:val="clear" w:color="auto" w:fill="FFFFFF"/>
          <w:lang w:eastAsia="zh-CN"/>
        </w:rPr>
        <w:t>自行</w:t>
      </w:r>
      <w:r>
        <w:rPr>
          <w:rFonts w:hint="eastAsia" w:ascii="仿宋" w:hAnsi="仿宋" w:eastAsia="仿宋" w:cs="仿宋"/>
          <w:i w:val="0"/>
          <w:caps w:val="0"/>
          <w:color w:val="auto"/>
          <w:spacing w:val="0"/>
          <w:sz w:val="24"/>
          <w:szCs w:val="24"/>
          <w:highlight w:val="none"/>
          <w:shd w:val="clear" w:color="auto" w:fill="FFFFFF"/>
        </w:rPr>
        <w:t>下载方式发放</w:t>
      </w:r>
      <w:r>
        <w:rPr>
          <w:rFonts w:hint="eastAsia" w:ascii="仿宋" w:hAnsi="仿宋" w:eastAsia="仿宋" w:cs="仿宋"/>
          <w:i w:val="0"/>
          <w:caps w:val="0"/>
          <w:color w:val="auto"/>
          <w:spacing w:val="0"/>
          <w:sz w:val="24"/>
          <w:szCs w:val="24"/>
          <w:highlight w:val="none"/>
          <w:shd w:val="clear" w:color="auto" w:fill="FFFFFF"/>
          <w:lang w:eastAsia="zh-CN"/>
        </w:rPr>
        <w:t>，由投标人自行关注以上网址</w:t>
      </w:r>
      <w:r>
        <w:rPr>
          <w:rFonts w:hint="eastAsia" w:ascii="仿宋" w:hAnsi="仿宋" w:eastAsia="仿宋" w:cs="仿宋"/>
          <w:i w:val="0"/>
          <w:caps w:val="0"/>
          <w:color w:val="auto"/>
          <w:spacing w:val="0"/>
          <w:sz w:val="24"/>
          <w:szCs w:val="24"/>
          <w:highlight w:val="none"/>
          <w:shd w:val="clear" w:color="auto" w:fill="FFFFFF"/>
        </w:rPr>
        <w:t>。</w:t>
      </w:r>
    </w:p>
    <w:p w14:paraId="57EAD913">
      <w:pPr>
        <w:pStyle w:val="46"/>
        <w:widowControl/>
        <w:shd w:val="clear" w:color="auto" w:fill="auto"/>
        <w:spacing w:line="332" w:lineRule="auto"/>
        <w:ind w:firstLine="480"/>
        <w:jc w:val="left"/>
        <w:rPr>
          <w:rFonts w:ascii="仿宋" w:hAnsi="仿宋" w:eastAsia="仿宋"/>
          <w:color w:val="auto"/>
          <w:sz w:val="24"/>
          <w:szCs w:val="24"/>
          <w:highlight w:val="none"/>
          <w:shd w:val="clear" w:color="auto" w:fill="FFFFFF"/>
        </w:rPr>
      </w:pPr>
      <w:r>
        <w:rPr>
          <w:rFonts w:ascii="仿宋" w:hAnsi="仿宋" w:eastAsia="仿宋"/>
          <w:color w:val="auto"/>
          <w:sz w:val="24"/>
          <w:szCs w:val="24"/>
          <w:highlight w:val="none"/>
          <w:shd w:val="clear" w:color="auto" w:fill="FFFFFF"/>
          <w:lang w:val="en-US" w:eastAsia="zh-CN" w:bidi="en-US"/>
        </w:rPr>
        <w:t>六</w:t>
      </w:r>
      <w:r>
        <w:rPr>
          <w:rFonts w:ascii="仿宋" w:hAnsi="仿宋" w:eastAsia="仿宋"/>
          <w:color w:val="auto"/>
          <w:sz w:val="24"/>
          <w:szCs w:val="24"/>
          <w:highlight w:val="none"/>
          <w:shd w:val="clear" w:color="auto" w:fill="FFFFFF"/>
          <w:lang w:bidi="en-US"/>
        </w:rPr>
        <w:t>、</w:t>
      </w:r>
      <w:r>
        <w:rPr>
          <w:rFonts w:ascii="仿宋" w:hAnsi="仿宋" w:eastAsia="仿宋"/>
          <w:color w:val="auto"/>
          <w:sz w:val="24"/>
          <w:szCs w:val="24"/>
          <w:highlight w:val="none"/>
          <w:shd w:val="clear" w:color="auto" w:fill="FFFFFF"/>
        </w:rPr>
        <w:t>投标截止时间与地点（逾期送达或未密封将予以拒收）：</w:t>
      </w:r>
    </w:p>
    <w:p w14:paraId="52476717">
      <w:pPr>
        <w:pStyle w:val="46"/>
        <w:shd w:val="clear" w:color="auto" w:fill="auto"/>
        <w:spacing w:line="332" w:lineRule="auto"/>
        <w:ind w:firstLine="480"/>
        <w:rPr>
          <w:rFonts w:ascii="仿宋" w:hAnsi="仿宋" w:eastAsia="仿宋"/>
          <w:color w:val="auto"/>
          <w:sz w:val="24"/>
          <w:szCs w:val="24"/>
          <w:highlight w:val="none"/>
          <w:shd w:val="clear" w:color="auto" w:fill="FFFFFF"/>
        </w:rPr>
      </w:pPr>
      <w:r>
        <w:rPr>
          <w:rFonts w:ascii="仿宋" w:hAnsi="仿宋" w:eastAsia="仿宋"/>
          <w:color w:val="auto"/>
          <w:sz w:val="24"/>
          <w:szCs w:val="24"/>
          <w:highlight w:val="none"/>
          <w:lang w:eastAsia="zh-CN"/>
        </w:rPr>
        <w:t>时间：</w:t>
      </w:r>
      <w:r>
        <w:rPr>
          <w:rFonts w:ascii="仿宋" w:hAnsi="仿宋" w:eastAsia="仿宋"/>
          <w:color w:val="auto"/>
          <w:sz w:val="24"/>
          <w:szCs w:val="24"/>
          <w:highlight w:val="none"/>
          <w:shd w:val="clear" w:color="auto" w:fill="FFFFFF"/>
        </w:rPr>
        <w:t>202</w:t>
      </w:r>
      <w:r>
        <w:rPr>
          <w:rFonts w:hint="eastAsia" w:ascii="仿宋" w:hAnsi="仿宋" w:eastAsia="仿宋"/>
          <w:color w:val="auto"/>
          <w:sz w:val="24"/>
          <w:szCs w:val="24"/>
          <w:highlight w:val="none"/>
          <w:shd w:val="clear" w:color="auto" w:fill="FFFFFF"/>
          <w:lang w:val="en-US" w:eastAsia="zh-CN"/>
        </w:rPr>
        <w:t xml:space="preserve">6 </w:t>
      </w:r>
      <w:r>
        <w:rPr>
          <w:rFonts w:ascii="仿宋" w:hAnsi="仿宋" w:eastAsia="仿宋"/>
          <w:color w:val="auto"/>
          <w:sz w:val="24"/>
          <w:szCs w:val="24"/>
          <w:highlight w:val="none"/>
          <w:shd w:val="clear" w:color="auto" w:fill="FFFFFF"/>
        </w:rPr>
        <w:t>年</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月</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日</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时</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分</w:t>
      </w:r>
      <w:r>
        <w:rPr>
          <w:rFonts w:hint="eastAsia" w:ascii="仿宋" w:hAnsi="仿宋" w:eastAsia="仿宋"/>
          <w:color w:val="auto"/>
          <w:sz w:val="24"/>
          <w:szCs w:val="24"/>
          <w:highlight w:val="none"/>
          <w:shd w:val="clear" w:color="auto" w:fill="FFFFFF"/>
          <w:lang w:val="en-US" w:eastAsia="zh-CN"/>
        </w:rPr>
        <w:t>00</w:t>
      </w:r>
      <w:r>
        <w:rPr>
          <w:rFonts w:hint="eastAsia" w:ascii="仿宋" w:hAnsi="仿宋" w:eastAsia="仿宋"/>
          <w:color w:val="auto"/>
          <w:sz w:val="24"/>
          <w:szCs w:val="24"/>
          <w:highlight w:val="none"/>
          <w:shd w:val="clear" w:color="auto" w:fill="FFFFFF"/>
          <w:lang w:val="zh-TW" w:eastAsia="zh-CN"/>
        </w:rPr>
        <w:t>秒</w:t>
      </w:r>
      <w:r>
        <w:rPr>
          <w:rFonts w:hint="eastAsia" w:ascii="仿宋" w:hAnsi="仿宋" w:eastAsia="仿宋"/>
          <w:color w:val="auto"/>
          <w:sz w:val="24"/>
          <w:szCs w:val="24"/>
          <w:highlight w:val="none"/>
          <w:shd w:val="clear" w:color="auto" w:fill="FFFFFF"/>
          <w:lang w:val="zh-TW" w:eastAsia="zh-CN"/>
        </w:rPr>
        <w:t>（</w:t>
      </w:r>
      <w:r>
        <w:rPr>
          <w:rFonts w:hint="eastAsia" w:ascii="仿宋" w:hAnsi="仿宋" w:eastAsia="仿宋"/>
          <w:color w:val="auto"/>
          <w:sz w:val="24"/>
          <w:szCs w:val="24"/>
          <w:highlight w:val="none"/>
          <w:shd w:val="clear" w:color="auto" w:fill="FFFFFF"/>
          <w:lang w:val="en-US" w:eastAsia="zh-CN"/>
        </w:rPr>
        <w:t>北京时间</w:t>
      </w:r>
      <w:r>
        <w:rPr>
          <w:rFonts w:hint="eastAsia" w:ascii="仿宋" w:hAnsi="仿宋" w:eastAsia="仿宋"/>
          <w:color w:val="auto"/>
          <w:sz w:val="24"/>
          <w:szCs w:val="24"/>
          <w:highlight w:val="none"/>
          <w:shd w:val="clear" w:color="auto" w:fill="FFFFFF"/>
          <w:lang w:val="zh-TW" w:eastAsia="zh-CN"/>
        </w:rPr>
        <w:t>）</w:t>
      </w:r>
      <w:r>
        <w:rPr>
          <w:rFonts w:ascii="仿宋" w:hAnsi="仿宋" w:eastAsia="仿宋"/>
          <w:color w:val="auto"/>
          <w:sz w:val="24"/>
          <w:szCs w:val="24"/>
          <w:highlight w:val="none"/>
          <w:shd w:val="clear" w:color="auto" w:fill="FFFFFF"/>
        </w:rPr>
        <w:t>；</w:t>
      </w:r>
    </w:p>
    <w:p w14:paraId="2A73E7AE">
      <w:pPr>
        <w:pStyle w:val="46"/>
        <w:shd w:val="clear" w:color="auto" w:fill="auto"/>
        <w:spacing w:line="332" w:lineRule="auto"/>
        <w:ind w:firstLine="480"/>
        <w:rPr>
          <w:rFonts w:hint="eastAsia" w:ascii="仿宋" w:hAnsi="仿宋" w:eastAsia="仿宋"/>
          <w:color w:val="auto"/>
          <w:sz w:val="24"/>
          <w:szCs w:val="24"/>
          <w:highlight w:val="none"/>
          <w:shd w:val="clear" w:color="auto" w:fill="FFFFFF"/>
          <w:lang w:val="en-US" w:eastAsia="zh-CN"/>
        </w:rPr>
      </w:pPr>
      <w:r>
        <w:rPr>
          <w:rFonts w:hint="eastAsia" w:ascii="仿宋" w:hAnsi="仿宋" w:eastAsia="仿宋"/>
          <w:color w:val="auto"/>
          <w:sz w:val="24"/>
          <w:szCs w:val="24"/>
          <w:highlight w:val="none"/>
          <w:shd w:val="clear" w:color="auto" w:fill="FFFFFF"/>
          <w:lang w:val="en-US" w:eastAsia="zh-CN"/>
        </w:rPr>
        <w:t>地点：</w:t>
      </w:r>
      <w:r>
        <w:rPr>
          <w:rFonts w:hint="eastAsia" w:ascii="仿宋" w:hAnsi="仿宋" w:eastAsia="仿宋"/>
          <w:color w:val="auto"/>
          <w:sz w:val="24"/>
          <w:szCs w:val="24"/>
          <w:highlight w:val="none"/>
          <w:shd w:val="clear" w:color="auto" w:fill="FFFFFF"/>
          <w:lang w:val="zh-TW" w:eastAsia="zh-CN"/>
        </w:rPr>
        <w:t>杭州市余杭区仓前</w:t>
      </w:r>
      <w:bookmarkStart w:id="32" w:name="_GoBack"/>
      <w:bookmarkEnd w:id="32"/>
      <w:r>
        <w:rPr>
          <w:rFonts w:hint="eastAsia" w:ascii="仿宋" w:hAnsi="仿宋" w:eastAsia="仿宋"/>
          <w:color w:val="auto"/>
          <w:sz w:val="24"/>
          <w:szCs w:val="24"/>
          <w:highlight w:val="none"/>
          <w:shd w:val="clear" w:color="auto" w:fill="FFFFFF"/>
          <w:lang w:val="zh-TW" w:eastAsia="zh-CN"/>
        </w:rPr>
        <w:t>街道乐富海邦园14幢104（仓前街道小额公共资源交易中心）</w:t>
      </w:r>
      <w:r>
        <w:rPr>
          <w:rFonts w:hint="eastAsia" w:ascii="仿宋" w:hAnsi="仿宋" w:eastAsia="仿宋"/>
          <w:color w:val="auto"/>
          <w:sz w:val="24"/>
          <w:szCs w:val="24"/>
          <w:highlight w:val="none"/>
          <w:shd w:val="clear" w:color="auto" w:fill="FFFFFF"/>
          <w:lang w:val="zh-TW" w:eastAsia="zh-TW"/>
        </w:rPr>
        <w:t>。</w:t>
      </w:r>
    </w:p>
    <w:p w14:paraId="6E87DE83">
      <w:pPr>
        <w:pStyle w:val="46"/>
        <w:shd w:val="clear" w:color="auto" w:fill="auto"/>
        <w:spacing w:line="332" w:lineRule="auto"/>
        <w:ind w:firstLine="480"/>
        <w:rPr>
          <w:rFonts w:hint="eastAsia" w:ascii="仿宋" w:hAnsi="仿宋" w:eastAsia="仿宋"/>
          <w:color w:val="auto"/>
          <w:sz w:val="24"/>
          <w:szCs w:val="24"/>
          <w:highlight w:val="none"/>
          <w:shd w:val="clear" w:color="auto" w:fill="FFFFFF"/>
          <w:lang w:val="en-US" w:eastAsia="zh-CN"/>
        </w:rPr>
      </w:pPr>
      <w:r>
        <w:rPr>
          <w:rFonts w:hint="eastAsia" w:ascii="仿宋" w:hAnsi="仿宋" w:eastAsia="仿宋"/>
          <w:color w:val="auto"/>
          <w:sz w:val="24"/>
          <w:szCs w:val="24"/>
          <w:highlight w:val="none"/>
          <w:shd w:val="clear" w:color="auto" w:fill="FFFFFF"/>
          <w:lang w:val="en-US" w:eastAsia="zh-CN"/>
        </w:rPr>
        <w:t>七</w:t>
      </w:r>
      <w:r>
        <w:rPr>
          <w:rFonts w:ascii="仿宋" w:hAnsi="仿宋" w:eastAsia="仿宋"/>
          <w:color w:val="auto"/>
          <w:sz w:val="24"/>
          <w:szCs w:val="24"/>
          <w:highlight w:val="none"/>
          <w:shd w:val="clear" w:color="auto" w:fill="FFFFFF"/>
        </w:rPr>
        <w:t>、开标时间与地点：</w:t>
      </w:r>
      <w:r>
        <w:rPr>
          <w:rFonts w:hint="eastAsia" w:ascii="仿宋" w:hAnsi="仿宋" w:eastAsia="仿宋"/>
          <w:color w:val="auto"/>
          <w:sz w:val="24"/>
          <w:szCs w:val="24"/>
          <w:highlight w:val="none"/>
          <w:shd w:val="clear" w:color="auto" w:fill="FFFFFF"/>
          <w:lang w:val="en-US" w:eastAsia="zh-CN"/>
        </w:rPr>
        <w:t xml:space="preserve"> </w:t>
      </w:r>
    </w:p>
    <w:p w14:paraId="29AC0135">
      <w:pPr>
        <w:pStyle w:val="46"/>
        <w:shd w:val="clear" w:color="auto" w:fill="auto"/>
        <w:spacing w:line="332" w:lineRule="auto"/>
        <w:ind w:firstLine="480"/>
        <w:rPr>
          <w:rFonts w:ascii="仿宋" w:hAnsi="仿宋" w:eastAsia="仿宋"/>
          <w:color w:val="auto"/>
          <w:sz w:val="24"/>
          <w:szCs w:val="24"/>
          <w:highlight w:val="none"/>
          <w:shd w:val="clear" w:color="auto" w:fill="FFFFFF"/>
        </w:rPr>
      </w:pPr>
      <w:r>
        <w:rPr>
          <w:rFonts w:ascii="仿宋" w:hAnsi="仿宋" w:eastAsia="仿宋"/>
          <w:color w:val="auto"/>
          <w:sz w:val="24"/>
          <w:szCs w:val="24"/>
          <w:highlight w:val="none"/>
          <w:lang w:eastAsia="zh-CN"/>
        </w:rPr>
        <w:t>时间：</w:t>
      </w:r>
      <w:r>
        <w:rPr>
          <w:rFonts w:ascii="仿宋" w:hAnsi="仿宋" w:eastAsia="仿宋"/>
          <w:color w:val="auto"/>
          <w:sz w:val="24"/>
          <w:szCs w:val="24"/>
          <w:highlight w:val="none"/>
          <w:shd w:val="clear" w:color="auto" w:fill="FFFFFF"/>
        </w:rPr>
        <w:t>202</w:t>
      </w:r>
      <w:r>
        <w:rPr>
          <w:rFonts w:hint="eastAsia" w:ascii="仿宋" w:hAnsi="仿宋" w:eastAsia="仿宋"/>
          <w:color w:val="auto"/>
          <w:sz w:val="24"/>
          <w:szCs w:val="24"/>
          <w:highlight w:val="none"/>
          <w:shd w:val="clear" w:color="auto" w:fill="FFFFFF"/>
          <w:lang w:val="en-US" w:eastAsia="zh-CN"/>
        </w:rPr>
        <w:t>6</w:t>
      </w:r>
      <w:r>
        <w:rPr>
          <w:rFonts w:ascii="仿宋" w:hAnsi="仿宋" w:eastAsia="仿宋"/>
          <w:color w:val="auto"/>
          <w:sz w:val="24"/>
          <w:szCs w:val="24"/>
          <w:highlight w:val="none"/>
          <w:shd w:val="clear" w:color="auto" w:fill="FFFFFF"/>
        </w:rPr>
        <w:t>年</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月</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日</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时</w:t>
      </w:r>
      <w:r>
        <w:rPr>
          <w:rFonts w:hint="eastAsia" w:ascii="仿宋" w:hAnsi="仿宋" w:eastAsia="仿宋"/>
          <w:color w:val="auto"/>
          <w:sz w:val="24"/>
          <w:szCs w:val="24"/>
          <w:highlight w:val="none"/>
          <w:shd w:val="clear" w:color="auto" w:fill="FFFFFF"/>
          <w:lang w:val="en-US" w:eastAsia="zh-CN"/>
        </w:rPr>
        <w:t xml:space="preserve">  </w:t>
      </w:r>
      <w:r>
        <w:rPr>
          <w:rFonts w:ascii="仿宋" w:hAnsi="仿宋" w:eastAsia="仿宋"/>
          <w:color w:val="auto"/>
          <w:sz w:val="24"/>
          <w:szCs w:val="24"/>
          <w:highlight w:val="none"/>
          <w:shd w:val="clear" w:color="auto" w:fill="FFFFFF"/>
        </w:rPr>
        <w:t>分</w:t>
      </w:r>
      <w:r>
        <w:rPr>
          <w:rFonts w:hint="eastAsia" w:ascii="仿宋" w:hAnsi="仿宋" w:eastAsia="仿宋"/>
          <w:color w:val="auto"/>
          <w:sz w:val="24"/>
          <w:szCs w:val="24"/>
          <w:highlight w:val="none"/>
          <w:shd w:val="clear" w:color="auto" w:fill="FFFFFF"/>
          <w:lang w:val="en-US" w:eastAsia="zh-CN"/>
        </w:rPr>
        <w:t>00</w:t>
      </w:r>
      <w:r>
        <w:rPr>
          <w:rFonts w:hint="eastAsia" w:ascii="仿宋" w:hAnsi="仿宋" w:eastAsia="仿宋"/>
          <w:color w:val="auto"/>
          <w:sz w:val="24"/>
          <w:szCs w:val="24"/>
          <w:highlight w:val="none"/>
          <w:shd w:val="clear" w:color="auto" w:fill="FFFFFF"/>
          <w:lang w:val="zh-TW" w:eastAsia="zh-CN"/>
        </w:rPr>
        <w:t>秒</w:t>
      </w:r>
      <w:r>
        <w:rPr>
          <w:rFonts w:hint="eastAsia" w:ascii="仿宋" w:hAnsi="仿宋" w:eastAsia="仿宋"/>
          <w:color w:val="auto"/>
          <w:sz w:val="24"/>
          <w:szCs w:val="24"/>
          <w:highlight w:val="none"/>
          <w:shd w:val="clear" w:color="auto" w:fill="FFFFFF"/>
          <w:lang w:val="zh-TW" w:eastAsia="zh-CN"/>
        </w:rPr>
        <w:t>（</w:t>
      </w:r>
      <w:r>
        <w:rPr>
          <w:rFonts w:hint="eastAsia" w:ascii="仿宋" w:hAnsi="仿宋" w:eastAsia="仿宋"/>
          <w:color w:val="auto"/>
          <w:sz w:val="24"/>
          <w:szCs w:val="24"/>
          <w:highlight w:val="none"/>
          <w:shd w:val="clear" w:color="auto" w:fill="FFFFFF"/>
          <w:lang w:val="en-US" w:eastAsia="zh-CN"/>
        </w:rPr>
        <w:t>北京时间</w:t>
      </w:r>
      <w:r>
        <w:rPr>
          <w:rFonts w:hint="eastAsia" w:ascii="仿宋" w:hAnsi="仿宋" w:eastAsia="仿宋"/>
          <w:color w:val="auto"/>
          <w:sz w:val="24"/>
          <w:szCs w:val="24"/>
          <w:highlight w:val="none"/>
          <w:shd w:val="clear" w:color="auto" w:fill="FFFFFF"/>
          <w:lang w:val="zh-TW" w:eastAsia="zh-CN"/>
        </w:rPr>
        <w:t>）</w:t>
      </w:r>
      <w:r>
        <w:rPr>
          <w:rFonts w:ascii="仿宋" w:hAnsi="仿宋" w:eastAsia="仿宋"/>
          <w:color w:val="auto"/>
          <w:sz w:val="24"/>
          <w:szCs w:val="24"/>
          <w:highlight w:val="none"/>
          <w:shd w:val="clear" w:color="auto" w:fill="FFFFFF"/>
        </w:rPr>
        <w:t>；</w:t>
      </w:r>
    </w:p>
    <w:p w14:paraId="4FD7A2D5">
      <w:pPr>
        <w:pStyle w:val="46"/>
        <w:shd w:val="clear" w:color="auto" w:fill="auto"/>
        <w:spacing w:line="332" w:lineRule="auto"/>
        <w:ind w:firstLine="480"/>
        <w:rPr>
          <w:rFonts w:hint="eastAsia" w:ascii="仿宋" w:hAnsi="仿宋" w:eastAsia="仿宋"/>
          <w:color w:val="auto"/>
          <w:sz w:val="24"/>
          <w:szCs w:val="24"/>
          <w:highlight w:val="none"/>
          <w:shd w:val="clear" w:color="auto" w:fill="FFFFFF"/>
          <w:lang w:val="en-US" w:eastAsia="zh-CN"/>
        </w:rPr>
      </w:pPr>
      <w:r>
        <w:rPr>
          <w:rFonts w:hint="eastAsia" w:ascii="仿宋" w:hAnsi="仿宋" w:eastAsia="仿宋"/>
          <w:color w:val="auto"/>
          <w:sz w:val="24"/>
          <w:szCs w:val="24"/>
          <w:highlight w:val="none"/>
          <w:shd w:val="clear" w:color="auto" w:fill="FFFFFF"/>
          <w:lang w:val="en-US" w:eastAsia="zh-CN"/>
        </w:rPr>
        <w:t>地点：</w:t>
      </w:r>
      <w:r>
        <w:rPr>
          <w:rFonts w:hint="eastAsia" w:ascii="仿宋" w:hAnsi="仿宋" w:eastAsia="仿宋"/>
          <w:color w:val="auto"/>
          <w:sz w:val="24"/>
          <w:szCs w:val="24"/>
          <w:highlight w:val="none"/>
          <w:shd w:val="clear" w:color="auto" w:fill="FFFFFF"/>
          <w:lang w:val="zh-TW" w:eastAsia="zh-CN"/>
        </w:rPr>
        <w:t>杭州市余杭区仓前街道乐富海邦园14幢104（仓前街道小额公共资源交易中心）</w:t>
      </w:r>
      <w:r>
        <w:rPr>
          <w:rFonts w:hint="eastAsia" w:ascii="仿宋" w:hAnsi="仿宋" w:eastAsia="仿宋"/>
          <w:color w:val="auto"/>
          <w:sz w:val="24"/>
          <w:szCs w:val="24"/>
          <w:highlight w:val="none"/>
          <w:shd w:val="clear" w:color="auto" w:fill="FFFFFF"/>
          <w:lang w:val="zh-TW" w:eastAsia="zh-TW"/>
        </w:rPr>
        <w:t>。</w:t>
      </w:r>
      <w:r>
        <w:rPr>
          <w:rFonts w:hint="eastAsia" w:ascii="仿宋" w:hAnsi="仿宋" w:eastAsia="仿宋"/>
          <w:color w:val="auto"/>
          <w:sz w:val="24"/>
          <w:szCs w:val="24"/>
          <w:highlight w:val="none"/>
          <w:shd w:val="clear" w:color="auto" w:fill="FFFFFF"/>
          <w:lang w:val="en-US" w:eastAsia="zh-CN"/>
        </w:rPr>
        <w:t xml:space="preserve">        </w:t>
      </w:r>
    </w:p>
    <w:p w14:paraId="55C57164">
      <w:pPr>
        <w:pStyle w:val="46"/>
        <w:shd w:val="clear" w:color="auto" w:fill="auto"/>
        <w:spacing w:line="332" w:lineRule="auto"/>
        <w:ind w:firstLine="480"/>
        <w:rPr>
          <w:rFonts w:ascii="仿宋" w:hAnsi="仿宋" w:eastAsia="仿宋"/>
          <w:color w:val="auto"/>
          <w:sz w:val="24"/>
          <w:szCs w:val="24"/>
          <w:highlight w:val="none"/>
          <w:shd w:val="clear" w:color="auto" w:fill="FFFFFF"/>
        </w:rPr>
      </w:pPr>
      <w:r>
        <w:rPr>
          <w:rFonts w:hint="eastAsia" w:ascii="仿宋" w:hAnsi="仿宋" w:eastAsia="仿宋"/>
          <w:color w:val="auto"/>
          <w:sz w:val="24"/>
          <w:szCs w:val="24"/>
          <w:highlight w:val="none"/>
          <w:shd w:val="clear" w:color="auto" w:fill="FFFFFF"/>
          <w:lang w:val="en-US" w:eastAsia="zh-CN"/>
        </w:rPr>
        <w:t>八、</w:t>
      </w:r>
      <w:r>
        <w:rPr>
          <w:rFonts w:ascii="仿宋" w:hAnsi="仿宋" w:eastAsia="仿宋"/>
          <w:color w:val="auto"/>
          <w:sz w:val="24"/>
          <w:szCs w:val="24"/>
          <w:highlight w:val="none"/>
          <w:shd w:val="clear" w:color="auto" w:fill="FFFFFF"/>
        </w:rPr>
        <w:t>投标保证金（元）：不采用。</w:t>
      </w:r>
    </w:p>
    <w:p w14:paraId="6A8EFE8B">
      <w:pPr>
        <w:pStyle w:val="46"/>
        <w:widowControl/>
        <w:shd w:val="clear" w:color="auto" w:fill="auto"/>
        <w:spacing w:line="360" w:lineRule="auto"/>
        <w:ind w:firstLine="480"/>
        <w:rPr>
          <w:rFonts w:ascii="仿宋" w:hAnsi="仿宋" w:eastAsia="仿宋"/>
          <w:color w:val="auto"/>
          <w:sz w:val="24"/>
          <w:szCs w:val="24"/>
          <w:highlight w:val="none"/>
        </w:rPr>
      </w:pPr>
      <w:r>
        <w:rPr>
          <w:rFonts w:hint="eastAsia" w:ascii="仿宋" w:hAnsi="仿宋" w:eastAsia="仿宋"/>
          <w:color w:val="auto"/>
          <w:sz w:val="24"/>
          <w:szCs w:val="24"/>
          <w:highlight w:val="none"/>
          <w:shd w:val="clear" w:color="auto" w:fill="FFFFFF"/>
          <w:lang w:val="en-US" w:eastAsia="zh-CN" w:bidi="en-US"/>
        </w:rPr>
        <w:t>九</w:t>
      </w:r>
      <w:r>
        <w:rPr>
          <w:rFonts w:ascii="仿宋" w:hAnsi="仿宋" w:eastAsia="仿宋"/>
          <w:color w:val="auto"/>
          <w:sz w:val="24"/>
          <w:szCs w:val="24"/>
          <w:highlight w:val="none"/>
          <w:shd w:val="clear" w:color="auto" w:fill="FFFFFF"/>
          <w:lang w:bidi="en-US"/>
        </w:rPr>
        <w:t>、联系方式</w:t>
      </w:r>
    </w:p>
    <w:p w14:paraId="24FE3B5A">
      <w:pPr>
        <w:pStyle w:val="46"/>
        <w:widowControl/>
        <w:shd w:val="clear" w:color="auto" w:fill="auto"/>
        <w:spacing w:line="360" w:lineRule="auto"/>
        <w:ind w:firstLine="480"/>
        <w:rPr>
          <w:rFonts w:ascii="仿宋" w:hAnsi="仿宋" w:eastAsia="仿宋"/>
          <w:color w:val="auto"/>
          <w:sz w:val="24"/>
          <w:szCs w:val="24"/>
          <w:highlight w:val="none"/>
          <w:lang w:eastAsia="zh-CN"/>
        </w:rPr>
      </w:pPr>
      <w:r>
        <w:rPr>
          <w:rFonts w:ascii="仿宋" w:hAnsi="仿宋" w:eastAsia="仿宋"/>
          <w:color w:val="auto"/>
          <w:sz w:val="24"/>
          <w:szCs w:val="24"/>
          <w:highlight w:val="none"/>
          <w:shd w:val="clear" w:color="auto" w:fill="FFFFFF"/>
          <w:lang w:bidi="en-US"/>
        </w:rPr>
        <w:t>招标人名称：</w:t>
      </w:r>
      <w:r>
        <w:rPr>
          <w:rFonts w:hint="eastAsia" w:ascii="仿宋" w:hAnsi="仿宋" w:eastAsia="仿宋"/>
          <w:color w:val="auto"/>
          <w:sz w:val="24"/>
          <w:szCs w:val="24"/>
          <w:highlight w:val="none"/>
          <w:shd w:val="clear" w:color="auto" w:fill="FFFFFF"/>
          <w:lang w:eastAsia="zh-CN" w:bidi="en-US"/>
        </w:rPr>
        <w:t>杭州市余杭区人民政府仓前街道办事处</w:t>
      </w:r>
      <w:r>
        <w:rPr>
          <w:rFonts w:hint="eastAsia" w:ascii="仿宋" w:hAnsi="仿宋" w:eastAsia="仿宋"/>
          <w:color w:val="auto"/>
          <w:sz w:val="24"/>
          <w:szCs w:val="24"/>
          <w:highlight w:val="none"/>
          <w:shd w:val="clear" w:color="auto" w:fill="FFFFFF"/>
          <w:lang w:bidi="en-US"/>
        </w:rPr>
        <w:t xml:space="preserve"> </w:t>
      </w:r>
    </w:p>
    <w:p w14:paraId="0E339E22">
      <w:pPr>
        <w:pStyle w:val="46"/>
        <w:widowControl/>
        <w:shd w:val="clear" w:color="auto" w:fill="auto"/>
        <w:spacing w:line="360" w:lineRule="auto"/>
        <w:ind w:firstLine="480"/>
        <w:rPr>
          <w:rFonts w:hint="eastAsia" w:ascii="仿宋" w:hAnsi="仿宋" w:eastAsia="仿宋"/>
          <w:color w:val="auto"/>
          <w:sz w:val="24"/>
          <w:szCs w:val="24"/>
          <w:highlight w:val="none"/>
          <w:shd w:val="clear" w:color="auto" w:fill="FFFFFF"/>
          <w:lang w:val="en-US" w:eastAsia="zh-CN" w:bidi="en-US"/>
        </w:rPr>
      </w:pPr>
      <w:r>
        <w:rPr>
          <w:rFonts w:ascii="仿宋" w:hAnsi="仿宋" w:eastAsia="仿宋"/>
          <w:color w:val="auto"/>
          <w:sz w:val="24"/>
          <w:szCs w:val="24"/>
          <w:highlight w:val="none"/>
          <w:shd w:val="clear" w:color="auto" w:fill="FFFFFF"/>
          <w:lang w:bidi="en-US"/>
        </w:rPr>
        <w:t>联系人：</w:t>
      </w:r>
      <w:r>
        <w:rPr>
          <w:rFonts w:hint="eastAsia" w:ascii="仿宋" w:hAnsi="仿宋" w:eastAsia="仿宋"/>
          <w:color w:val="auto"/>
          <w:sz w:val="24"/>
          <w:szCs w:val="24"/>
          <w:highlight w:val="none"/>
          <w:shd w:val="clear" w:color="auto" w:fill="FFFFFF"/>
          <w:lang w:val="en-US" w:eastAsia="zh-CN" w:bidi="en-US"/>
        </w:rPr>
        <w:t>夏天阳</w:t>
      </w:r>
      <w:r>
        <w:rPr>
          <w:rFonts w:ascii="仿宋" w:hAnsi="仿宋" w:eastAsia="仿宋"/>
          <w:color w:val="auto"/>
          <w:sz w:val="24"/>
          <w:szCs w:val="24"/>
          <w:highlight w:val="none"/>
          <w:shd w:val="clear" w:color="auto" w:fill="FFFFFF"/>
          <w:lang w:val="en-US" w:eastAsia="zh-CN" w:bidi="en-US"/>
        </w:rPr>
        <w:t xml:space="preserve">  </w:t>
      </w:r>
      <w:r>
        <w:rPr>
          <w:rFonts w:hint="eastAsia" w:ascii="仿宋" w:hAnsi="仿宋" w:eastAsia="仿宋"/>
          <w:color w:val="auto"/>
          <w:sz w:val="24"/>
          <w:szCs w:val="24"/>
          <w:highlight w:val="none"/>
          <w:shd w:val="clear" w:color="auto" w:fill="FFFFFF"/>
          <w:lang w:val="en-US" w:eastAsia="zh-CN" w:bidi="en-US"/>
        </w:rPr>
        <w:t xml:space="preserve">   </w:t>
      </w:r>
      <w:r>
        <w:rPr>
          <w:rFonts w:ascii="仿宋" w:hAnsi="仿宋" w:eastAsia="仿宋"/>
          <w:color w:val="auto"/>
          <w:sz w:val="24"/>
          <w:szCs w:val="24"/>
          <w:highlight w:val="none"/>
          <w:shd w:val="clear" w:color="auto" w:fill="FFFFFF"/>
          <w:lang w:bidi="en-US"/>
        </w:rPr>
        <w:t>联系电话：</w:t>
      </w:r>
      <w:r>
        <w:rPr>
          <w:rFonts w:hint="eastAsia" w:ascii="仿宋" w:hAnsi="仿宋" w:eastAsia="仿宋"/>
          <w:color w:val="auto"/>
          <w:sz w:val="24"/>
          <w:szCs w:val="24"/>
          <w:highlight w:val="none"/>
          <w:shd w:val="clear" w:color="auto" w:fill="FFFFFF"/>
          <w:lang w:bidi="en-US"/>
        </w:rPr>
        <w:t>18658103005</w:t>
      </w:r>
    </w:p>
    <w:p w14:paraId="77F1EBEE">
      <w:pPr>
        <w:pStyle w:val="46"/>
        <w:widowControl/>
        <w:shd w:val="clear" w:color="auto" w:fill="auto"/>
        <w:spacing w:line="360" w:lineRule="auto"/>
        <w:ind w:firstLine="480"/>
        <w:rPr>
          <w:rFonts w:ascii="仿宋" w:hAnsi="仿宋" w:eastAsia="仿宋"/>
          <w:color w:val="auto"/>
          <w:sz w:val="24"/>
          <w:szCs w:val="24"/>
          <w:highlight w:val="none"/>
          <w:shd w:val="clear" w:color="auto" w:fill="FFFFFF"/>
          <w:lang w:bidi="en-US"/>
        </w:rPr>
      </w:pPr>
      <w:r>
        <w:rPr>
          <w:rFonts w:ascii="仿宋" w:hAnsi="仿宋" w:eastAsia="仿宋"/>
          <w:color w:val="auto"/>
          <w:sz w:val="24"/>
          <w:szCs w:val="24"/>
          <w:highlight w:val="none"/>
          <w:shd w:val="clear" w:color="auto" w:fill="FFFFFF"/>
          <w:lang w:bidi="en-US"/>
        </w:rPr>
        <w:t>代理机构名称：</w:t>
      </w:r>
      <w:r>
        <w:rPr>
          <w:rFonts w:hint="eastAsia" w:ascii="仿宋" w:hAnsi="仿宋" w:eastAsia="仿宋"/>
          <w:color w:val="auto"/>
          <w:sz w:val="24"/>
          <w:szCs w:val="24"/>
          <w:highlight w:val="none"/>
          <w:shd w:val="clear" w:color="auto" w:fill="FFFFFF"/>
          <w:lang w:val="en-US" w:eastAsia="zh-CN" w:bidi="en-US"/>
        </w:rPr>
        <w:t>浙江宏顺建设管理有限公司</w:t>
      </w:r>
      <w:r>
        <w:rPr>
          <w:rFonts w:ascii="仿宋" w:hAnsi="仿宋" w:eastAsia="仿宋"/>
          <w:color w:val="auto"/>
          <w:sz w:val="24"/>
          <w:szCs w:val="24"/>
          <w:highlight w:val="none"/>
          <w:shd w:val="clear" w:color="auto" w:fill="FFFFFF"/>
          <w:lang w:bidi="en-US"/>
        </w:rPr>
        <w:t xml:space="preserve"> </w:t>
      </w:r>
    </w:p>
    <w:p w14:paraId="2B5203D0">
      <w:pPr>
        <w:pStyle w:val="46"/>
        <w:widowControl/>
        <w:shd w:val="clear" w:color="auto" w:fill="auto"/>
        <w:spacing w:line="360" w:lineRule="auto"/>
        <w:ind w:firstLine="480"/>
        <w:rPr>
          <w:rFonts w:hint="default" w:ascii="仿宋" w:hAnsi="仿宋" w:eastAsia="仿宋"/>
          <w:color w:val="auto"/>
          <w:sz w:val="24"/>
          <w:szCs w:val="24"/>
          <w:highlight w:val="none"/>
          <w:shd w:val="clear" w:color="auto" w:fill="FFFFFF"/>
          <w:lang w:val="en-US" w:eastAsia="zh-CN" w:bidi="en-US"/>
        </w:rPr>
      </w:pPr>
      <w:r>
        <w:rPr>
          <w:rFonts w:ascii="仿宋" w:hAnsi="仿宋" w:eastAsia="仿宋"/>
          <w:color w:val="auto"/>
          <w:sz w:val="24"/>
          <w:szCs w:val="24"/>
          <w:highlight w:val="none"/>
          <w:shd w:val="clear" w:color="auto" w:fill="FFFFFF"/>
          <w:lang w:bidi="en-US"/>
        </w:rPr>
        <w:t>联系人：</w:t>
      </w:r>
      <w:r>
        <w:rPr>
          <w:rFonts w:hint="eastAsia" w:ascii="仿宋" w:hAnsi="仿宋" w:eastAsia="仿宋"/>
          <w:color w:val="auto"/>
          <w:sz w:val="24"/>
          <w:szCs w:val="24"/>
          <w:highlight w:val="none"/>
          <w:shd w:val="clear" w:color="auto" w:fill="FFFFFF"/>
          <w:lang w:val="en-US" w:eastAsia="zh-CN" w:bidi="en-US"/>
        </w:rPr>
        <w:t>张工</w:t>
      </w:r>
      <w:r>
        <w:rPr>
          <w:rFonts w:ascii="仿宋" w:hAnsi="仿宋" w:eastAsia="仿宋"/>
          <w:color w:val="auto"/>
          <w:sz w:val="24"/>
          <w:szCs w:val="24"/>
          <w:highlight w:val="none"/>
          <w:shd w:val="clear" w:color="auto" w:fill="FFFFFF"/>
          <w:lang w:bidi="en-US"/>
        </w:rPr>
        <w:t xml:space="preserve">   联系电话：</w:t>
      </w:r>
      <w:r>
        <w:rPr>
          <w:rFonts w:hint="eastAsia" w:ascii="仿宋" w:hAnsi="仿宋" w:eastAsia="仿宋"/>
          <w:color w:val="auto"/>
          <w:sz w:val="24"/>
          <w:szCs w:val="24"/>
          <w:highlight w:val="none"/>
          <w:shd w:val="clear" w:color="auto" w:fill="FFFFFF"/>
          <w:lang w:val="en-US" w:eastAsia="zh-CN" w:bidi="en-US"/>
        </w:rPr>
        <w:t>0571-86228610</w:t>
      </w:r>
    </w:p>
    <w:p w14:paraId="08324E38">
      <w:pPr>
        <w:pStyle w:val="46"/>
        <w:widowControl/>
        <w:shd w:val="clear" w:color="auto" w:fill="auto"/>
        <w:spacing w:line="360" w:lineRule="auto"/>
        <w:ind w:firstLine="480"/>
        <w:rPr>
          <w:rFonts w:ascii="仿宋" w:hAnsi="仿宋" w:eastAsia="仿宋"/>
          <w:color w:val="auto"/>
          <w:sz w:val="24"/>
          <w:szCs w:val="24"/>
          <w:highlight w:val="none"/>
          <w:shd w:val="clear" w:color="auto" w:fill="FFFFFF"/>
          <w:lang w:bidi="en-US"/>
        </w:rPr>
      </w:pPr>
      <w:r>
        <w:rPr>
          <w:rFonts w:ascii="仿宋" w:hAnsi="仿宋" w:eastAsia="仿宋"/>
          <w:color w:val="auto"/>
          <w:sz w:val="24"/>
          <w:szCs w:val="24"/>
          <w:highlight w:val="none"/>
          <w:shd w:val="clear" w:color="auto" w:fill="FFFFFF"/>
          <w:lang w:bidi="en-US"/>
        </w:rPr>
        <w:t>地址：</w:t>
      </w:r>
      <w:r>
        <w:rPr>
          <w:rFonts w:hint="eastAsia" w:ascii="仿宋" w:hAnsi="仿宋" w:eastAsia="仿宋"/>
          <w:color w:val="auto"/>
          <w:sz w:val="24"/>
          <w:szCs w:val="24"/>
          <w:highlight w:val="none"/>
          <w:shd w:val="clear" w:color="auto" w:fill="FFFFFF"/>
          <w:lang w:val="en-US" w:eastAsia="zh-CN" w:bidi="en-US"/>
        </w:rPr>
        <w:t>杭州市临平区北沙西路18号经纬中耀大厦A座1501-2室</w:t>
      </w:r>
    </w:p>
    <w:p w14:paraId="1E3D4905">
      <w:pPr>
        <w:pStyle w:val="47"/>
        <w:shd w:val="clear" w:color="auto" w:fill="auto"/>
        <w:spacing w:before="0" w:after="0" w:line="360" w:lineRule="auto"/>
        <w:ind w:firstLine="480"/>
        <w:jc w:val="right"/>
        <w:rPr>
          <w:rFonts w:ascii="仿宋" w:hAnsi="仿宋" w:eastAsia="仿宋"/>
          <w:b w:val="0"/>
          <w:bCs w:val="0"/>
          <w:color w:val="auto"/>
          <w:sz w:val="24"/>
          <w:szCs w:val="24"/>
          <w:highlight w:val="none"/>
          <w:shd w:val="clear" w:color="auto" w:fill="FFFFFF"/>
          <w:lang w:bidi="en-US"/>
        </w:rPr>
      </w:pPr>
    </w:p>
    <w:p w14:paraId="488F3B15">
      <w:pPr>
        <w:pStyle w:val="47"/>
        <w:shd w:val="clear" w:color="auto" w:fill="auto"/>
        <w:spacing w:before="0" w:after="0" w:line="360" w:lineRule="auto"/>
        <w:ind w:firstLine="480"/>
        <w:jc w:val="right"/>
        <w:rPr>
          <w:rFonts w:ascii="仿宋" w:hAnsi="仿宋" w:eastAsia="仿宋"/>
          <w:b w:val="0"/>
          <w:bCs w:val="0"/>
          <w:color w:val="auto"/>
          <w:sz w:val="24"/>
          <w:szCs w:val="24"/>
          <w:highlight w:val="none"/>
          <w:shd w:val="clear" w:color="auto" w:fill="FFFFFF"/>
          <w:lang w:eastAsia="zh-CN" w:bidi="en-US"/>
        </w:rPr>
      </w:pPr>
      <w:r>
        <w:rPr>
          <w:rFonts w:ascii="仿宋" w:hAnsi="仿宋" w:eastAsia="仿宋"/>
          <w:b w:val="0"/>
          <w:bCs w:val="0"/>
          <w:color w:val="auto"/>
          <w:sz w:val="24"/>
          <w:szCs w:val="24"/>
          <w:highlight w:val="none"/>
          <w:shd w:val="clear" w:color="auto" w:fill="FFFFFF"/>
          <w:lang w:bidi="en-US"/>
        </w:rPr>
        <w:t>招标人：</w:t>
      </w:r>
      <w:r>
        <w:rPr>
          <w:rFonts w:hint="eastAsia" w:ascii="仿宋" w:hAnsi="仿宋" w:eastAsia="仿宋"/>
          <w:b w:val="0"/>
          <w:bCs w:val="0"/>
          <w:color w:val="auto"/>
          <w:sz w:val="24"/>
          <w:szCs w:val="24"/>
          <w:highlight w:val="none"/>
          <w:shd w:val="clear" w:color="auto" w:fill="FFFFFF"/>
          <w:lang w:eastAsia="zh-CN" w:bidi="en-US"/>
        </w:rPr>
        <w:t>杭州市余杭区人民政府仓前街道办事处</w:t>
      </w:r>
    </w:p>
    <w:p w14:paraId="02B386B0">
      <w:pPr>
        <w:pStyle w:val="46"/>
        <w:shd w:val="clear" w:color="auto" w:fill="auto"/>
        <w:spacing w:line="360" w:lineRule="auto"/>
        <w:ind w:firstLine="480"/>
        <w:jc w:val="right"/>
        <w:rPr>
          <w:rFonts w:ascii="仿宋" w:hAnsi="仿宋" w:eastAsia="仿宋"/>
          <w:color w:val="auto"/>
          <w:sz w:val="24"/>
          <w:szCs w:val="24"/>
          <w:highlight w:val="none"/>
          <w:shd w:val="clear" w:color="auto" w:fill="FFFFFF"/>
          <w:lang w:val="en-US" w:eastAsia="zh-CN" w:bidi="en-US"/>
        </w:rPr>
      </w:pPr>
      <w:r>
        <w:rPr>
          <w:rFonts w:ascii="仿宋" w:hAnsi="仿宋" w:eastAsia="仿宋"/>
          <w:color w:val="auto"/>
          <w:sz w:val="24"/>
          <w:szCs w:val="24"/>
          <w:highlight w:val="none"/>
          <w:shd w:val="clear" w:color="auto" w:fill="FFFFFF"/>
          <w:lang w:bidi="en-US"/>
        </w:rPr>
        <w:t>日     期：202</w:t>
      </w:r>
      <w:r>
        <w:rPr>
          <w:rFonts w:hint="eastAsia" w:ascii="仿宋" w:hAnsi="仿宋" w:eastAsia="仿宋"/>
          <w:color w:val="auto"/>
          <w:sz w:val="24"/>
          <w:szCs w:val="24"/>
          <w:highlight w:val="none"/>
          <w:shd w:val="clear" w:color="auto" w:fill="FFFFFF"/>
          <w:lang w:val="en-US" w:eastAsia="zh-CN" w:bidi="en-US"/>
        </w:rPr>
        <w:t>6</w:t>
      </w:r>
      <w:r>
        <w:rPr>
          <w:rFonts w:ascii="仿宋" w:hAnsi="仿宋" w:eastAsia="仿宋"/>
          <w:color w:val="auto"/>
          <w:sz w:val="24"/>
          <w:szCs w:val="24"/>
          <w:highlight w:val="none"/>
          <w:shd w:val="clear" w:color="auto" w:fill="FFFFFF"/>
          <w:lang w:bidi="en-US"/>
        </w:rPr>
        <w:t>年</w:t>
      </w:r>
      <w:r>
        <w:rPr>
          <w:rFonts w:hint="eastAsia" w:ascii="仿宋" w:hAnsi="仿宋" w:eastAsia="仿宋"/>
          <w:color w:val="auto"/>
          <w:sz w:val="24"/>
          <w:szCs w:val="24"/>
          <w:highlight w:val="none"/>
          <w:shd w:val="clear" w:color="auto" w:fill="FFFFFF"/>
          <w:lang w:val="en-US" w:eastAsia="zh-CN" w:bidi="en-US"/>
        </w:rPr>
        <w:t xml:space="preserve"> </w:t>
      </w:r>
      <w:r>
        <w:rPr>
          <w:rFonts w:ascii="仿宋" w:hAnsi="仿宋" w:eastAsia="仿宋"/>
          <w:color w:val="auto"/>
          <w:sz w:val="24"/>
          <w:szCs w:val="24"/>
          <w:highlight w:val="none"/>
          <w:shd w:val="clear" w:color="auto" w:fill="FFFFFF"/>
          <w:lang w:bidi="en-US"/>
        </w:rPr>
        <w:t>月</w:t>
      </w:r>
      <w:r>
        <w:rPr>
          <w:rFonts w:hint="eastAsia" w:ascii="仿宋" w:hAnsi="仿宋" w:eastAsia="仿宋"/>
          <w:color w:val="auto"/>
          <w:sz w:val="24"/>
          <w:szCs w:val="24"/>
          <w:highlight w:val="none"/>
          <w:shd w:val="clear" w:color="auto" w:fill="FFFFFF"/>
          <w:lang w:val="en-US" w:eastAsia="zh-CN" w:bidi="en-US"/>
        </w:rPr>
        <w:t xml:space="preserve"> </w:t>
      </w:r>
      <w:r>
        <w:rPr>
          <w:rFonts w:ascii="仿宋" w:hAnsi="仿宋" w:eastAsia="仿宋"/>
          <w:color w:val="auto"/>
          <w:sz w:val="24"/>
          <w:szCs w:val="24"/>
          <w:highlight w:val="none"/>
          <w:shd w:val="clear" w:color="auto" w:fill="FFFFFF"/>
          <w:lang w:val="en-US" w:eastAsia="zh-CN" w:bidi="en-US"/>
        </w:rPr>
        <w:t>日</w:t>
      </w:r>
    </w:p>
    <w:p w14:paraId="25FDFDC2">
      <w:pPr>
        <w:pStyle w:val="46"/>
        <w:shd w:val="clear" w:color="auto" w:fill="auto"/>
        <w:spacing w:line="500" w:lineRule="exact"/>
        <w:ind w:firstLine="883"/>
        <w:jc w:val="center"/>
        <w:rPr>
          <w:rFonts w:ascii="仿宋" w:hAnsi="仿宋" w:eastAsia="仿宋"/>
          <w:b/>
          <w:bCs/>
          <w:color w:val="auto"/>
          <w:sz w:val="44"/>
          <w:szCs w:val="44"/>
          <w:highlight w:val="none"/>
        </w:rPr>
      </w:pPr>
      <w:r>
        <w:rPr>
          <w:rFonts w:ascii="仿宋" w:hAnsi="仿宋" w:eastAsia="仿宋"/>
          <w:color w:val="auto"/>
          <w:sz w:val="28"/>
          <w:szCs w:val="21"/>
          <w:highlight w:val="none"/>
        </w:rPr>
        <w:br w:type="page"/>
      </w:r>
      <w:bookmarkStart w:id="3" w:name="_Toc23782"/>
      <w:bookmarkStart w:id="4" w:name="_Toc381361194"/>
      <w:r>
        <w:rPr>
          <w:rStyle w:val="125"/>
          <w:rFonts w:ascii="仿宋" w:hAnsi="仿宋" w:eastAsia="仿宋"/>
          <w:color w:val="auto"/>
          <w:highlight w:val="none"/>
        </w:rPr>
        <w:t>第二部分 投标人须知</w:t>
      </w:r>
      <w:bookmarkEnd w:id="3"/>
      <w:bookmarkEnd w:id="4"/>
    </w:p>
    <w:p w14:paraId="6B4027C6">
      <w:pPr>
        <w:pStyle w:val="46"/>
        <w:widowControl w:val="0"/>
        <w:shd w:val="clear" w:color="auto" w:fill="auto"/>
        <w:wordWrap/>
        <w:adjustRightInd/>
        <w:snapToGrid/>
        <w:spacing w:line="560" w:lineRule="exact"/>
        <w:ind w:firstLine="482"/>
        <w:jc w:val="center"/>
        <w:textAlignment w:val="auto"/>
        <w:rPr>
          <w:color w:val="auto"/>
          <w:highlight w:val="none"/>
          <w:lang w:eastAsia="zh-CN"/>
        </w:rPr>
      </w:pPr>
      <w:r>
        <w:rPr>
          <w:rFonts w:ascii="仿宋" w:hAnsi="仿宋" w:eastAsia="仿宋"/>
          <w:b/>
          <w:bCs/>
          <w:color w:val="auto"/>
          <w:sz w:val="24"/>
          <w:highlight w:val="none"/>
        </w:rPr>
        <w:t>前附表</w:t>
      </w:r>
    </w:p>
    <w:tbl>
      <w:tblPr>
        <w:tblStyle w:val="34"/>
        <w:tblW w:w="9019" w:type="dxa"/>
        <w:jc w:val="center"/>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1993"/>
        <w:gridCol w:w="6326"/>
      </w:tblGrid>
      <w:tr w14:paraId="799EE2C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97" w:hRule="atLeast"/>
          <w:tblHeader/>
          <w:jc w:val="center"/>
        </w:trPr>
        <w:tc>
          <w:tcPr>
            <w:tcW w:w="700" w:type="dxa"/>
            <w:vAlign w:val="center"/>
          </w:tcPr>
          <w:p w14:paraId="03745617">
            <w:pPr>
              <w:pStyle w:val="46"/>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序号</w:t>
            </w:r>
          </w:p>
        </w:tc>
        <w:tc>
          <w:tcPr>
            <w:tcW w:w="1993" w:type="dxa"/>
            <w:vAlign w:val="center"/>
          </w:tcPr>
          <w:p w14:paraId="5C3C86CE">
            <w:pPr>
              <w:pStyle w:val="46"/>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项      目</w:t>
            </w:r>
          </w:p>
        </w:tc>
        <w:tc>
          <w:tcPr>
            <w:tcW w:w="6326" w:type="dxa"/>
            <w:vAlign w:val="center"/>
          </w:tcPr>
          <w:p w14:paraId="6D01B844">
            <w:pPr>
              <w:pStyle w:val="46"/>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内       容</w:t>
            </w:r>
          </w:p>
        </w:tc>
      </w:tr>
      <w:tr w14:paraId="0DEE6557">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92" w:hRule="atLeast"/>
          <w:jc w:val="center"/>
        </w:trPr>
        <w:tc>
          <w:tcPr>
            <w:tcW w:w="700" w:type="dxa"/>
            <w:vAlign w:val="center"/>
          </w:tcPr>
          <w:p w14:paraId="5783E8C8">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1</w:t>
            </w:r>
          </w:p>
        </w:tc>
        <w:tc>
          <w:tcPr>
            <w:tcW w:w="1993" w:type="dxa"/>
            <w:vAlign w:val="center"/>
          </w:tcPr>
          <w:p w14:paraId="744E3C30">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项目名称</w:t>
            </w:r>
          </w:p>
        </w:tc>
        <w:tc>
          <w:tcPr>
            <w:tcW w:w="6326" w:type="dxa"/>
            <w:vAlign w:val="center"/>
          </w:tcPr>
          <w:p w14:paraId="734B90EA">
            <w:pPr>
              <w:pStyle w:val="46"/>
              <w:widowControl w:val="0"/>
              <w:shd w:val="clear" w:color="auto" w:fill="auto"/>
              <w:spacing w:line="240" w:lineRule="auto"/>
              <w:rPr>
                <w:rFonts w:ascii="仿宋" w:hAnsi="仿宋" w:eastAsia="仿宋"/>
                <w:color w:val="auto"/>
                <w:sz w:val="22"/>
                <w:szCs w:val="22"/>
                <w:highlight w:val="none"/>
              </w:rPr>
            </w:pPr>
            <w:r>
              <w:rPr>
                <w:rFonts w:hint="eastAsia" w:ascii="仿宋" w:hAnsi="仿宋" w:eastAsia="仿宋"/>
                <w:color w:val="auto"/>
                <w:sz w:val="22"/>
                <w:szCs w:val="22"/>
                <w:highlight w:val="none"/>
                <w:shd w:val="clear" w:color="auto" w:fill="FFFFFF"/>
                <w:lang w:eastAsia="zh-CN" w:bidi="en-US"/>
              </w:rPr>
              <w:t>仓前实验中学西侧、北侧临河除险加固工程涉杭州地铁19号线安全预评估服务</w:t>
            </w:r>
          </w:p>
        </w:tc>
      </w:tr>
      <w:tr w14:paraId="4DE3F39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700" w:type="dxa"/>
            <w:vAlign w:val="center"/>
          </w:tcPr>
          <w:p w14:paraId="50E8CBE3">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2</w:t>
            </w:r>
          </w:p>
        </w:tc>
        <w:tc>
          <w:tcPr>
            <w:tcW w:w="1993" w:type="dxa"/>
            <w:vAlign w:val="center"/>
          </w:tcPr>
          <w:p w14:paraId="75162E5E">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招标人</w:t>
            </w:r>
          </w:p>
        </w:tc>
        <w:tc>
          <w:tcPr>
            <w:tcW w:w="6326" w:type="dxa"/>
            <w:vAlign w:val="center"/>
          </w:tcPr>
          <w:p w14:paraId="7FC8B894">
            <w:pPr>
              <w:pStyle w:val="46"/>
              <w:widowControl w:val="0"/>
              <w:shd w:val="clear" w:color="auto" w:fill="auto"/>
              <w:spacing w:line="240" w:lineRule="auto"/>
              <w:rPr>
                <w:rFonts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杭州市余杭区人民政府仓前街道办事处</w:t>
            </w:r>
          </w:p>
        </w:tc>
      </w:tr>
      <w:tr w14:paraId="6E7777F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700" w:type="dxa"/>
            <w:vAlign w:val="center"/>
          </w:tcPr>
          <w:p w14:paraId="029E1A26">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3</w:t>
            </w:r>
          </w:p>
        </w:tc>
        <w:tc>
          <w:tcPr>
            <w:tcW w:w="1993" w:type="dxa"/>
            <w:vAlign w:val="center"/>
          </w:tcPr>
          <w:p w14:paraId="0DC4B5A3">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服务期</w:t>
            </w:r>
          </w:p>
        </w:tc>
        <w:tc>
          <w:tcPr>
            <w:tcW w:w="6326" w:type="dxa"/>
            <w:vAlign w:val="center"/>
          </w:tcPr>
          <w:p w14:paraId="2D178D70">
            <w:pPr>
              <w:pStyle w:val="46"/>
              <w:widowControl w:val="0"/>
              <w:shd w:val="clear" w:color="auto" w:fill="auto"/>
              <w:spacing w:line="240" w:lineRule="auto"/>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 xml:space="preserve"> </w:t>
            </w:r>
            <w:r>
              <w:rPr>
                <w:rFonts w:hint="eastAsia"/>
                <w:sz w:val="24"/>
                <w:szCs w:val="24"/>
                <w:highlight w:val="none"/>
              </w:rPr>
              <w:t>从签订合同后至</w:t>
            </w:r>
            <w:r>
              <w:rPr>
                <w:rFonts w:hint="eastAsia"/>
                <w:sz w:val="24"/>
                <w:szCs w:val="24"/>
                <w:highlight w:val="none"/>
                <w:lang w:val="en-US" w:eastAsia="zh-CN"/>
              </w:rPr>
              <w:t>项目竣工</w:t>
            </w:r>
            <w:r>
              <w:rPr>
                <w:rFonts w:hint="eastAsia"/>
                <w:sz w:val="24"/>
                <w:szCs w:val="24"/>
                <w:highlight w:val="none"/>
              </w:rPr>
              <w:t>完成止。</w:t>
            </w:r>
          </w:p>
        </w:tc>
      </w:tr>
      <w:tr w14:paraId="5D0E88A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700" w:type="dxa"/>
            <w:vAlign w:val="center"/>
          </w:tcPr>
          <w:p w14:paraId="3DEC81C3">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4</w:t>
            </w:r>
          </w:p>
        </w:tc>
        <w:tc>
          <w:tcPr>
            <w:tcW w:w="1993" w:type="dxa"/>
            <w:vAlign w:val="center"/>
          </w:tcPr>
          <w:p w14:paraId="1DAF3C85">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投标资格要求</w:t>
            </w:r>
          </w:p>
        </w:tc>
        <w:tc>
          <w:tcPr>
            <w:tcW w:w="6326" w:type="dxa"/>
            <w:vAlign w:val="center"/>
          </w:tcPr>
          <w:p w14:paraId="63892FA1">
            <w:pPr>
              <w:pStyle w:val="46"/>
              <w:widowControl w:val="0"/>
              <w:shd w:val="clear" w:color="auto" w:fill="auto"/>
              <w:spacing w:line="240" w:lineRule="auto"/>
              <w:rPr>
                <w:rFonts w:ascii="仿宋" w:hAnsi="仿宋" w:eastAsia="仿宋"/>
                <w:color w:val="auto"/>
                <w:sz w:val="22"/>
                <w:szCs w:val="22"/>
                <w:highlight w:val="none"/>
                <w:lang w:eastAsia="zh-CN"/>
              </w:rPr>
            </w:pPr>
            <w:r>
              <w:rPr>
                <w:rFonts w:ascii="仿宋" w:hAnsi="仿宋" w:eastAsia="仿宋"/>
                <w:color w:val="auto"/>
                <w:sz w:val="22"/>
                <w:szCs w:val="22"/>
                <w:highlight w:val="none"/>
                <w:lang w:eastAsia="zh-CN"/>
              </w:rPr>
              <w:t>详见招标公告中投标人需具备的资格条件。</w:t>
            </w:r>
          </w:p>
        </w:tc>
      </w:tr>
      <w:tr w14:paraId="7D10C90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1459" w:hRule="atLeast"/>
          <w:jc w:val="center"/>
        </w:trPr>
        <w:tc>
          <w:tcPr>
            <w:tcW w:w="700" w:type="dxa"/>
            <w:vAlign w:val="center"/>
          </w:tcPr>
          <w:p w14:paraId="3BE39BB7">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5</w:t>
            </w:r>
          </w:p>
        </w:tc>
        <w:tc>
          <w:tcPr>
            <w:tcW w:w="1993" w:type="dxa"/>
            <w:vAlign w:val="center"/>
          </w:tcPr>
          <w:p w14:paraId="4F068712">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招标答疑</w:t>
            </w:r>
          </w:p>
        </w:tc>
        <w:tc>
          <w:tcPr>
            <w:tcW w:w="6326" w:type="dxa"/>
            <w:vAlign w:val="center"/>
          </w:tcPr>
          <w:p w14:paraId="4F64AF18">
            <w:pPr>
              <w:pStyle w:val="46"/>
              <w:widowControl w:val="0"/>
              <w:shd w:val="clear" w:color="auto" w:fill="auto"/>
              <w:spacing w:line="240" w:lineRule="auto"/>
              <w:rPr>
                <w:rFonts w:ascii="仿宋" w:hAnsi="仿宋" w:eastAsia="仿宋"/>
                <w:color w:val="auto"/>
                <w:sz w:val="22"/>
                <w:szCs w:val="22"/>
                <w:highlight w:val="none"/>
                <w:lang w:val="en-US" w:eastAsia="zh-CN"/>
              </w:rPr>
            </w:pPr>
            <w:r>
              <w:rPr>
                <w:rFonts w:ascii="仿宋" w:hAnsi="仿宋" w:eastAsia="仿宋"/>
                <w:color w:val="auto"/>
                <w:sz w:val="22"/>
                <w:szCs w:val="22"/>
                <w:highlight w:val="none"/>
                <w:lang w:eastAsia="zh-CN"/>
              </w:rPr>
              <w:t>投标人如认为招标文件表述不清晰、存在歧视性或者其他违法内容的，应当于开标前</w:t>
            </w:r>
            <w:r>
              <w:rPr>
                <w:rFonts w:hint="eastAsia" w:ascii="仿宋" w:hAnsi="仿宋" w:eastAsia="仿宋"/>
                <w:color w:val="auto"/>
                <w:sz w:val="22"/>
                <w:szCs w:val="22"/>
                <w:highlight w:val="none"/>
                <w:lang w:val="en-US" w:eastAsia="zh-CN"/>
              </w:rPr>
              <w:t>3</w:t>
            </w:r>
            <w:r>
              <w:rPr>
                <w:rFonts w:ascii="仿宋" w:hAnsi="仿宋" w:eastAsia="仿宋"/>
                <w:color w:val="auto"/>
                <w:sz w:val="22"/>
                <w:szCs w:val="22"/>
                <w:highlight w:val="none"/>
                <w:lang w:val="en-US" w:eastAsia="zh-CN"/>
              </w:rPr>
              <w:t>天</w:t>
            </w:r>
            <w:r>
              <w:rPr>
                <w:rFonts w:ascii="仿宋" w:hAnsi="仿宋" w:eastAsia="仿宋"/>
                <w:color w:val="auto"/>
                <w:sz w:val="22"/>
                <w:szCs w:val="22"/>
                <w:highlight w:val="none"/>
                <w:lang w:eastAsia="zh-CN"/>
              </w:rPr>
              <w:t>将要求答疑的问题以书面形式送达招标代理。联系人：</w:t>
            </w:r>
            <w:r>
              <w:rPr>
                <w:rFonts w:hint="eastAsia" w:ascii="仿宋" w:hAnsi="仿宋" w:eastAsia="仿宋"/>
                <w:color w:val="auto"/>
                <w:sz w:val="22"/>
                <w:szCs w:val="22"/>
                <w:highlight w:val="none"/>
                <w:lang w:eastAsia="zh-CN"/>
              </w:rPr>
              <w:t>张工</w:t>
            </w:r>
            <w:r>
              <w:rPr>
                <w:rFonts w:ascii="仿宋" w:hAnsi="仿宋" w:eastAsia="仿宋"/>
                <w:color w:val="auto"/>
                <w:sz w:val="22"/>
                <w:szCs w:val="22"/>
                <w:highlight w:val="none"/>
                <w:lang w:eastAsia="zh-CN"/>
              </w:rPr>
              <w:t>。联系方式：</w:t>
            </w:r>
            <w:r>
              <w:rPr>
                <w:rFonts w:hint="eastAsia" w:ascii="仿宋" w:hAnsi="仿宋" w:eastAsia="仿宋"/>
                <w:color w:val="auto"/>
                <w:sz w:val="22"/>
                <w:szCs w:val="22"/>
                <w:highlight w:val="none"/>
                <w:lang w:eastAsia="zh-CN"/>
              </w:rPr>
              <w:t>15869171843</w:t>
            </w:r>
            <w:r>
              <w:rPr>
                <w:rFonts w:ascii="仿宋" w:hAnsi="仿宋" w:eastAsia="仿宋"/>
                <w:color w:val="auto"/>
                <w:sz w:val="22"/>
                <w:szCs w:val="22"/>
                <w:highlight w:val="none"/>
                <w:lang w:eastAsia="zh-CN"/>
              </w:rPr>
              <w:t>。截止期后的疑问将不予受理、答复。答疑回复内容是招标文件的组成部分，并将以</w:t>
            </w:r>
            <w:r>
              <w:rPr>
                <w:rFonts w:ascii="仿宋" w:hAnsi="仿宋" w:eastAsia="仿宋"/>
                <w:color w:val="auto"/>
                <w:sz w:val="22"/>
                <w:szCs w:val="22"/>
                <w:highlight w:val="none"/>
                <w:lang w:val="en-US" w:eastAsia="zh-CN"/>
              </w:rPr>
              <w:t>公告形式发布。</w:t>
            </w:r>
          </w:p>
        </w:tc>
      </w:tr>
      <w:tr w14:paraId="1BC798C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1459" w:hRule="atLeast"/>
          <w:jc w:val="center"/>
        </w:trPr>
        <w:tc>
          <w:tcPr>
            <w:tcW w:w="700" w:type="dxa"/>
            <w:vAlign w:val="center"/>
          </w:tcPr>
          <w:p w14:paraId="33D1F8C9">
            <w:pPr>
              <w:pStyle w:val="46"/>
              <w:shd w:val="clear" w:color="auto" w:fill="auto"/>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w:t>
            </w:r>
          </w:p>
        </w:tc>
        <w:tc>
          <w:tcPr>
            <w:tcW w:w="1993" w:type="dxa"/>
            <w:vAlign w:val="center"/>
          </w:tcPr>
          <w:p w14:paraId="42A3CCBB">
            <w:pPr>
              <w:spacing w:line="360" w:lineRule="auto"/>
              <w:ind w:left="0" w:leftChars="0" w:right="0" w:firstLine="0" w:firstLineChars="0"/>
              <w:jc w:val="center"/>
              <w:rPr>
                <w:rFonts w:ascii="仿宋" w:hAnsi="仿宋" w:eastAsia="仿宋"/>
                <w:color w:val="auto"/>
                <w:sz w:val="22"/>
                <w:szCs w:val="22"/>
                <w:highlight w:val="none"/>
              </w:rPr>
            </w:pPr>
            <w:r>
              <w:rPr>
                <w:rFonts w:hint="eastAsia" w:ascii="仿宋" w:hAnsi="仿宋" w:eastAsia="仿宋" w:cs="Times New Roman"/>
                <w:color w:val="auto"/>
                <w:spacing w:val="0"/>
                <w:position w:val="0"/>
                <w:sz w:val="22"/>
                <w:szCs w:val="22"/>
                <w:highlight w:val="none"/>
                <w:lang w:val="en-US" w:eastAsia="zh-CN" w:bidi="ar-SA"/>
              </w:rPr>
              <w:t>现场踏勘</w:t>
            </w:r>
          </w:p>
        </w:tc>
        <w:tc>
          <w:tcPr>
            <w:tcW w:w="6326" w:type="dxa"/>
            <w:vAlign w:val="center"/>
          </w:tcPr>
          <w:p w14:paraId="75F2F01B">
            <w:pPr>
              <w:spacing w:line="440" w:lineRule="exact"/>
              <w:rPr>
                <w:rFonts w:ascii="仿宋" w:hAnsi="仿宋" w:eastAsia="仿宋"/>
                <w:color w:val="auto"/>
                <w:sz w:val="22"/>
                <w:szCs w:val="22"/>
                <w:highlight w:val="none"/>
                <w:lang w:eastAsia="zh-CN"/>
              </w:rPr>
            </w:pPr>
            <w:r>
              <w:rPr>
                <w:rFonts w:hint="eastAsia" w:ascii="仿宋" w:hAnsi="仿宋" w:eastAsia="仿宋" w:cs="Times New Roman"/>
                <w:color w:val="auto"/>
                <w:spacing w:val="0"/>
                <w:position w:val="0"/>
                <w:sz w:val="22"/>
                <w:szCs w:val="22"/>
                <w:highlight w:val="none"/>
                <w:lang w:val="en-US" w:eastAsia="zh-CN" w:bidi="ar-SA"/>
              </w:rPr>
              <w:t>自行踏勘,若投标人没有在开标截止前自行实地踏勘，则意味放弃项目前期踏勘的权利，由此造成投标人在项目实施中遇见不可未知的问题由投标人自行负责。</w:t>
            </w:r>
          </w:p>
        </w:tc>
      </w:tr>
      <w:tr w14:paraId="1E115B5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881" w:hRule="atLeast"/>
          <w:jc w:val="center"/>
        </w:trPr>
        <w:tc>
          <w:tcPr>
            <w:tcW w:w="700" w:type="dxa"/>
            <w:vAlign w:val="center"/>
          </w:tcPr>
          <w:p w14:paraId="0BAEC343">
            <w:pPr>
              <w:pStyle w:val="46"/>
              <w:shd w:val="clear" w:color="auto" w:fill="auto"/>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7</w:t>
            </w:r>
          </w:p>
        </w:tc>
        <w:tc>
          <w:tcPr>
            <w:tcW w:w="1993" w:type="dxa"/>
            <w:vAlign w:val="center"/>
          </w:tcPr>
          <w:p w14:paraId="20981B34">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投标文件份数</w:t>
            </w:r>
          </w:p>
        </w:tc>
        <w:tc>
          <w:tcPr>
            <w:tcW w:w="6326" w:type="dxa"/>
            <w:vAlign w:val="center"/>
          </w:tcPr>
          <w:p w14:paraId="7D858EB4">
            <w:pPr>
              <w:pStyle w:val="46"/>
              <w:widowControl w:val="0"/>
              <w:shd w:val="clear" w:color="auto" w:fill="auto"/>
              <w:spacing w:line="240" w:lineRule="auto"/>
              <w:rPr>
                <w:rFonts w:ascii="仿宋" w:hAnsi="仿宋" w:eastAsia="仿宋"/>
                <w:color w:val="auto"/>
                <w:sz w:val="22"/>
                <w:szCs w:val="22"/>
                <w:highlight w:val="none"/>
                <w:lang w:eastAsia="zh-CN"/>
              </w:rPr>
            </w:pPr>
            <w:r>
              <w:rPr>
                <w:rFonts w:ascii="仿宋" w:hAnsi="仿宋" w:eastAsia="仿宋"/>
                <w:color w:val="auto"/>
                <w:sz w:val="22"/>
                <w:szCs w:val="22"/>
                <w:highlight w:val="none"/>
                <w:lang w:val="en-US" w:eastAsia="zh-CN"/>
              </w:rPr>
              <w:t>报价</w:t>
            </w:r>
            <w:r>
              <w:rPr>
                <w:rFonts w:ascii="仿宋" w:hAnsi="仿宋" w:eastAsia="仿宋"/>
                <w:color w:val="auto"/>
                <w:sz w:val="22"/>
                <w:szCs w:val="22"/>
                <w:highlight w:val="none"/>
                <w:lang w:eastAsia="zh-CN"/>
              </w:rPr>
              <w:t>文件：正本一份、副本四份</w:t>
            </w:r>
          </w:p>
          <w:p w14:paraId="196FBE47">
            <w:pPr>
              <w:pStyle w:val="46"/>
              <w:widowControl w:val="0"/>
              <w:shd w:val="clear" w:color="auto" w:fill="auto"/>
              <w:spacing w:line="240" w:lineRule="auto"/>
              <w:rPr>
                <w:rFonts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资信</w:t>
            </w:r>
            <w:r>
              <w:rPr>
                <w:rFonts w:ascii="仿宋" w:hAnsi="仿宋" w:eastAsia="仿宋"/>
                <w:color w:val="auto"/>
                <w:sz w:val="22"/>
                <w:szCs w:val="22"/>
                <w:highlight w:val="none"/>
                <w:lang w:eastAsia="zh-CN"/>
              </w:rPr>
              <w:t>、技术文件：正本一份、副本四份</w:t>
            </w:r>
          </w:p>
          <w:p w14:paraId="6B3EC0BF">
            <w:pPr>
              <w:pStyle w:val="46"/>
              <w:widowControl w:val="0"/>
              <w:shd w:val="clear" w:color="auto" w:fill="auto"/>
              <w:spacing w:line="240" w:lineRule="auto"/>
              <w:rPr>
                <w:rFonts w:ascii="仿宋" w:hAnsi="仿宋" w:eastAsia="仿宋"/>
                <w:color w:val="auto"/>
                <w:sz w:val="22"/>
                <w:szCs w:val="22"/>
                <w:highlight w:val="none"/>
                <w:lang w:eastAsia="zh-CN"/>
              </w:rPr>
            </w:pPr>
            <w:r>
              <w:rPr>
                <w:rFonts w:ascii="仿宋" w:hAnsi="仿宋" w:eastAsia="仿宋"/>
                <w:color w:val="auto"/>
                <w:sz w:val="22"/>
                <w:szCs w:val="22"/>
                <w:highlight w:val="none"/>
                <w:lang w:eastAsia="zh-CN"/>
              </w:rPr>
              <w:t>投标文件份数不符合要求的，视其投标无效。</w:t>
            </w:r>
          </w:p>
        </w:tc>
      </w:tr>
      <w:tr w14:paraId="153FCE6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89" w:hRule="atLeast"/>
          <w:jc w:val="center"/>
        </w:trPr>
        <w:tc>
          <w:tcPr>
            <w:tcW w:w="700" w:type="dxa"/>
            <w:vAlign w:val="center"/>
          </w:tcPr>
          <w:p w14:paraId="6FC0BCAA">
            <w:pPr>
              <w:pStyle w:val="46"/>
              <w:shd w:val="clear" w:color="auto" w:fill="auto"/>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8</w:t>
            </w:r>
          </w:p>
        </w:tc>
        <w:tc>
          <w:tcPr>
            <w:tcW w:w="1993" w:type="dxa"/>
            <w:vAlign w:val="center"/>
          </w:tcPr>
          <w:p w14:paraId="405F3B24">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评标办法</w:t>
            </w:r>
          </w:p>
        </w:tc>
        <w:tc>
          <w:tcPr>
            <w:tcW w:w="6326" w:type="dxa"/>
            <w:vAlign w:val="center"/>
          </w:tcPr>
          <w:p w14:paraId="0232E90F">
            <w:pPr>
              <w:pStyle w:val="46"/>
              <w:widowControl w:val="0"/>
              <w:shd w:val="clear" w:color="auto" w:fill="auto"/>
              <w:spacing w:line="240" w:lineRule="auto"/>
              <w:rPr>
                <w:rFonts w:ascii="仿宋" w:hAnsi="仿宋" w:eastAsia="仿宋"/>
                <w:color w:val="auto"/>
                <w:sz w:val="22"/>
                <w:szCs w:val="22"/>
                <w:highlight w:val="none"/>
              </w:rPr>
            </w:pPr>
            <w:r>
              <w:rPr>
                <w:rFonts w:ascii="仿宋" w:hAnsi="仿宋" w:eastAsia="仿宋"/>
                <w:color w:val="auto"/>
                <w:sz w:val="22"/>
                <w:szCs w:val="22"/>
                <w:highlight w:val="none"/>
              </w:rPr>
              <w:t>综合评分法</w:t>
            </w:r>
          </w:p>
        </w:tc>
      </w:tr>
      <w:tr w14:paraId="208E36F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700" w:type="dxa"/>
            <w:vAlign w:val="center"/>
          </w:tcPr>
          <w:p w14:paraId="40945587">
            <w:pPr>
              <w:pStyle w:val="46"/>
              <w:shd w:val="clear" w:color="auto" w:fill="auto"/>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9</w:t>
            </w:r>
          </w:p>
        </w:tc>
        <w:tc>
          <w:tcPr>
            <w:tcW w:w="1993" w:type="dxa"/>
            <w:vAlign w:val="center"/>
          </w:tcPr>
          <w:p w14:paraId="661255B8">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投标地点</w:t>
            </w:r>
          </w:p>
        </w:tc>
        <w:tc>
          <w:tcPr>
            <w:tcW w:w="6326" w:type="dxa"/>
            <w:vAlign w:val="center"/>
          </w:tcPr>
          <w:p w14:paraId="5B0C863C">
            <w:pPr>
              <w:pStyle w:val="46"/>
              <w:widowControl w:val="0"/>
              <w:shd w:val="clear" w:color="auto" w:fill="auto"/>
              <w:spacing w:line="240" w:lineRule="auto"/>
              <w:rPr>
                <w:rFonts w:ascii="仿宋" w:hAnsi="仿宋" w:eastAsia="仿宋"/>
                <w:color w:val="auto"/>
                <w:sz w:val="22"/>
                <w:szCs w:val="22"/>
                <w:highlight w:val="none"/>
                <w:lang w:eastAsia="zh-CN"/>
              </w:rPr>
            </w:pPr>
            <w:r>
              <w:rPr>
                <w:rFonts w:ascii="仿宋" w:hAnsi="仿宋" w:eastAsia="仿宋"/>
                <w:color w:val="auto"/>
                <w:sz w:val="22"/>
                <w:szCs w:val="22"/>
                <w:highlight w:val="none"/>
                <w:lang w:eastAsia="zh-CN"/>
              </w:rPr>
              <w:t>详见招标公告</w:t>
            </w:r>
          </w:p>
        </w:tc>
      </w:tr>
      <w:tr w14:paraId="10E45E1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3" w:hRule="atLeast"/>
          <w:jc w:val="center"/>
        </w:trPr>
        <w:tc>
          <w:tcPr>
            <w:tcW w:w="700" w:type="dxa"/>
            <w:vAlign w:val="center"/>
          </w:tcPr>
          <w:p w14:paraId="238361B0">
            <w:pPr>
              <w:pStyle w:val="46"/>
              <w:shd w:val="clear" w:color="auto" w:fill="auto"/>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val="en-US" w:eastAsia="zh-CN"/>
              </w:rPr>
              <w:t>10</w:t>
            </w:r>
          </w:p>
        </w:tc>
        <w:tc>
          <w:tcPr>
            <w:tcW w:w="1993" w:type="dxa"/>
            <w:vAlign w:val="center"/>
          </w:tcPr>
          <w:p w14:paraId="3EB5A02C">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投标截止时间</w:t>
            </w:r>
          </w:p>
        </w:tc>
        <w:tc>
          <w:tcPr>
            <w:tcW w:w="6326" w:type="dxa"/>
            <w:vAlign w:val="center"/>
          </w:tcPr>
          <w:p w14:paraId="002785EC">
            <w:pPr>
              <w:pStyle w:val="46"/>
              <w:widowControl w:val="0"/>
              <w:shd w:val="clear" w:color="auto" w:fill="auto"/>
              <w:spacing w:line="240" w:lineRule="auto"/>
              <w:rPr>
                <w:rFonts w:ascii="仿宋" w:hAnsi="仿宋" w:eastAsia="仿宋"/>
                <w:color w:val="auto"/>
                <w:sz w:val="22"/>
                <w:szCs w:val="22"/>
                <w:highlight w:val="none"/>
              </w:rPr>
            </w:pPr>
            <w:r>
              <w:rPr>
                <w:rFonts w:ascii="仿宋" w:hAnsi="仿宋" w:eastAsia="仿宋"/>
                <w:color w:val="auto"/>
                <w:sz w:val="22"/>
                <w:szCs w:val="22"/>
                <w:highlight w:val="none"/>
                <w:lang w:eastAsia="zh-CN"/>
              </w:rPr>
              <w:t>详见招标公告</w:t>
            </w:r>
          </w:p>
        </w:tc>
      </w:tr>
      <w:tr w14:paraId="2AE8B637">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700" w:type="dxa"/>
            <w:vAlign w:val="center"/>
          </w:tcPr>
          <w:p w14:paraId="6C0EF720">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1</w:t>
            </w:r>
            <w:r>
              <w:rPr>
                <w:rFonts w:hint="eastAsia" w:ascii="仿宋" w:hAnsi="仿宋" w:eastAsia="仿宋"/>
                <w:color w:val="auto"/>
                <w:sz w:val="22"/>
                <w:szCs w:val="22"/>
                <w:highlight w:val="none"/>
                <w:lang w:val="en-US" w:eastAsia="zh-CN"/>
              </w:rPr>
              <w:t>1</w:t>
            </w:r>
          </w:p>
        </w:tc>
        <w:tc>
          <w:tcPr>
            <w:tcW w:w="1993" w:type="dxa"/>
            <w:vAlign w:val="center"/>
          </w:tcPr>
          <w:p w14:paraId="17DD361D">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开标时间和地点</w:t>
            </w:r>
          </w:p>
        </w:tc>
        <w:tc>
          <w:tcPr>
            <w:tcW w:w="6326" w:type="dxa"/>
            <w:vAlign w:val="center"/>
          </w:tcPr>
          <w:p w14:paraId="261B49CB">
            <w:pPr>
              <w:pStyle w:val="46"/>
              <w:widowControl w:val="0"/>
              <w:shd w:val="clear" w:color="auto" w:fill="auto"/>
              <w:spacing w:line="240" w:lineRule="auto"/>
              <w:rPr>
                <w:rFonts w:ascii="仿宋" w:hAnsi="仿宋" w:eastAsia="仿宋"/>
                <w:color w:val="auto"/>
                <w:sz w:val="22"/>
                <w:szCs w:val="22"/>
                <w:highlight w:val="none"/>
                <w:lang w:eastAsia="zh-CN"/>
              </w:rPr>
            </w:pPr>
            <w:r>
              <w:rPr>
                <w:rFonts w:ascii="仿宋" w:hAnsi="仿宋" w:eastAsia="仿宋"/>
                <w:color w:val="auto"/>
                <w:sz w:val="22"/>
                <w:szCs w:val="22"/>
                <w:highlight w:val="none"/>
                <w:lang w:eastAsia="zh-CN"/>
              </w:rPr>
              <w:t>详见招标公告</w:t>
            </w:r>
          </w:p>
        </w:tc>
      </w:tr>
      <w:tr w14:paraId="2A08D19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700" w:type="dxa"/>
            <w:vAlign w:val="center"/>
          </w:tcPr>
          <w:p w14:paraId="3AD11C92">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1</w:t>
            </w:r>
            <w:r>
              <w:rPr>
                <w:rFonts w:hint="eastAsia" w:ascii="仿宋" w:hAnsi="仿宋" w:eastAsia="仿宋"/>
                <w:color w:val="auto"/>
                <w:sz w:val="22"/>
                <w:szCs w:val="22"/>
                <w:highlight w:val="none"/>
                <w:lang w:val="en-US" w:eastAsia="zh-CN"/>
              </w:rPr>
              <w:t>2</w:t>
            </w:r>
          </w:p>
        </w:tc>
        <w:tc>
          <w:tcPr>
            <w:tcW w:w="1993" w:type="dxa"/>
            <w:vAlign w:val="center"/>
          </w:tcPr>
          <w:p w14:paraId="4AA75C52">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开标顺序</w:t>
            </w:r>
          </w:p>
        </w:tc>
        <w:tc>
          <w:tcPr>
            <w:tcW w:w="6326" w:type="dxa"/>
            <w:vAlign w:val="center"/>
          </w:tcPr>
          <w:p w14:paraId="4C2B7BAF">
            <w:pPr>
              <w:pStyle w:val="46"/>
              <w:widowControl w:val="0"/>
              <w:shd w:val="clear" w:color="auto" w:fill="auto"/>
              <w:spacing w:line="240" w:lineRule="auto"/>
              <w:rPr>
                <w:rFonts w:ascii="仿宋" w:hAnsi="仿宋" w:eastAsia="仿宋"/>
                <w:color w:val="auto"/>
                <w:sz w:val="22"/>
                <w:szCs w:val="22"/>
                <w:highlight w:val="none"/>
              </w:rPr>
            </w:pPr>
            <w:r>
              <w:rPr>
                <w:rFonts w:ascii="仿宋" w:hAnsi="仿宋" w:eastAsia="仿宋"/>
                <w:color w:val="auto"/>
                <w:sz w:val="22"/>
                <w:szCs w:val="22"/>
                <w:highlight w:val="none"/>
              </w:rPr>
              <w:t>先开</w:t>
            </w:r>
            <w:r>
              <w:rPr>
                <w:rFonts w:hint="eastAsia" w:ascii="仿宋" w:hAnsi="仿宋" w:eastAsia="仿宋"/>
                <w:color w:val="auto"/>
                <w:sz w:val="22"/>
                <w:szCs w:val="22"/>
                <w:highlight w:val="none"/>
                <w:lang w:val="en-US" w:eastAsia="zh-CN"/>
              </w:rPr>
              <w:t>资信</w:t>
            </w:r>
            <w:r>
              <w:rPr>
                <w:rFonts w:ascii="仿宋" w:hAnsi="仿宋" w:eastAsia="仿宋"/>
                <w:color w:val="auto"/>
                <w:sz w:val="22"/>
                <w:szCs w:val="22"/>
                <w:highlight w:val="none"/>
              </w:rPr>
              <w:t>技术</w:t>
            </w:r>
            <w:r>
              <w:rPr>
                <w:rFonts w:ascii="仿宋" w:hAnsi="仿宋" w:eastAsia="仿宋"/>
                <w:color w:val="auto"/>
                <w:sz w:val="22"/>
                <w:szCs w:val="22"/>
                <w:highlight w:val="none"/>
                <w:lang w:val="en-US" w:eastAsia="zh-CN"/>
              </w:rPr>
              <w:t>文件</w:t>
            </w:r>
            <w:r>
              <w:rPr>
                <w:rFonts w:ascii="仿宋" w:hAnsi="仿宋" w:eastAsia="仿宋"/>
                <w:color w:val="auto"/>
                <w:sz w:val="22"/>
                <w:szCs w:val="22"/>
                <w:highlight w:val="none"/>
              </w:rPr>
              <w:t>，在</w:t>
            </w:r>
            <w:r>
              <w:rPr>
                <w:rFonts w:hint="eastAsia" w:ascii="仿宋" w:hAnsi="仿宋" w:eastAsia="仿宋"/>
                <w:color w:val="auto"/>
                <w:sz w:val="22"/>
                <w:szCs w:val="22"/>
                <w:highlight w:val="none"/>
                <w:lang w:val="en-US" w:eastAsia="zh-CN"/>
              </w:rPr>
              <w:t>资信</w:t>
            </w:r>
            <w:r>
              <w:rPr>
                <w:rFonts w:ascii="仿宋" w:hAnsi="仿宋" w:eastAsia="仿宋"/>
                <w:color w:val="auto"/>
                <w:sz w:val="22"/>
                <w:szCs w:val="22"/>
                <w:highlight w:val="none"/>
              </w:rPr>
              <w:t>技术</w:t>
            </w:r>
            <w:r>
              <w:rPr>
                <w:rFonts w:ascii="仿宋" w:hAnsi="仿宋" w:eastAsia="仿宋"/>
                <w:color w:val="auto"/>
                <w:sz w:val="22"/>
                <w:szCs w:val="22"/>
                <w:highlight w:val="none"/>
                <w:lang w:val="en-US" w:eastAsia="zh-CN"/>
              </w:rPr>
              <w:t>文件</w:t>
            </w:r>
            <w:r>
              <w:rPr>
                <w:rFonts w:ascii="仿宋" w:hAnsi="仿宋" w:eastAsia="仿宋"/>
                <w:color w:val="auto"/>
                <w:sz w:val="22"/>
                <w:szCs w:val="22"/>
                <w:highlight w:val="none"/>
              </w:rPr>
              <w:t>完成计分后，再开</w:t>
            </w:r>
            <w:r>
              <w:rPr>
                <w:rFonts w:ascii="仿宋" w:hAnsi="仿宋" w:eastAsia="仿宋"/>
                <w:color w:val="auto"/>
                <w:sz w:val="22"/>
                <w:szCs w:val="22"/>
                <w:highlight w:val="none"/>
                <w:lang w:val="en-US" w:eastAsia="zh-CN"/>
              </w:rPr>
              <w:t>报价文件</w:t>
            </w:r>
            <w:r>
              <w:rPr>
                <w:rFonts w:ascii="仿宋" w:hAnsi="仿宋" w:eastAsia="仿宋"/>
                <w:color w:val="auto"/>
                <w:sz w:val="22"/>
                <w:szCs w:val="22"/>
                <w:highlight w:val="none"/>
              </w:rPr>
              <w:t>。</w:t>
            </w:r>
          </w:p>
        </w:tc>
      </w:tr>
      <w:tr w14:paraId="523A825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881" w:hRule="atLeast"/>
          <w:jc w:val="center"/>
        </w:trPr>
        <w:tc>
          <w:tcPr>
            <w:tcW w:w="700" w:type="dxa"/>
            <w:vAlign w:val="center"/>
          </w:tcPr>
          <w:p w14:paraId="2FED6574">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1</w:t>
            </w:r>
            <w:r>
              <w:rPr>
                <w:rFonts w:hint="eastAsia" w:ascii="仿宋" w:hAnsi="仿宋" w:eastAsia="仿宋"/>
                <w:color w:val="auto"/>
                <w:sz w:val="22"/>
                <w:szCs w:val="22"/>
                <w:highlight w:val="none"/>
                <w:lang w:val="en-US" w:eastAsia="zh-CN"/>
              </w:rPr>
              <w:t>3</w:t>
            </w:r>
          </w:p>
        </w:tc>
        <w:tc>
          <w:tcPr>
            <w:tcW w:w="1993" w:type="dxa"/>
            <w:vAlign w:val="center"/>
          </w:tcPr>
          <w:p w14:paraId="453FC5DC">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报价要求</w:t>
            </w:r>
          </w:p>
        </w:tc>
        <w:tc>
          <w:tcPr>
            <w:tcW w:w="6326" w:type="dxa"/>
            <w:vAlign w:val="center"/>
          </w:tcPr>
          <w:p w14:paraId="1DB307CF">
            <w:pPr>
              <w:pStyle w:val="46"/>
              <w:widowControl w:val="0"/>
              <w:shd w:val="clear" w:color="auto" w:fill="auto"/>
              <w:spacing w:line="240" w:lineRule="auto"/>
              <w:rPr>
                <w:rFonts w:ascii="仿宋" w:hAnsi="仿宋" w:eastAsia="仿宋"/>
                <w:color w:val="auto"/>
                <w:sz w:val="22"/>
                <w:szCs w:val="22"/>
                <w:highlight w:val="none"/>
                <w:lang w:val="en-US" w:eastAsia="zh-CN"/>
              </w:rPr>
            </w:pPr>
            <w:r>
              <w:rPr>
                <w:rFonts w:ascii="仿宋" w:hAnsi="仿宋" w:eastAsia="仿宋"/>
                <w:color w:val="auto"/>
                <w:sz w:val="22"/>
                <w:szCs w:val="22"/>
                <w:highlight w:val="none"/>
              </w:rPr>
              <w:t>1）</w:t>
            </w:r>
            <w:r>
              <w:rPr>
                <w:rFonts w:ascii="仿宋" w:hAnsi="仿宋" w:eastAsia="仿宋"/>
                <w:color w:val="auto"/>
                <w:sz w:val="22"/>
                <w:szCs w:val="22"/>
                <w:highlight w:val="none"/>
                <w:lang w:eastAsia="zh-CN"/>
              </w:rPr>
              <w:t>本项目设</w:t>
            </w:r>
            <w:r>
              <w:rPr>
                <w:rFonts w:ascii="仿宋" w:hAnsi="仿宋" w:eastAsia="仿宋"/>
                <w:color w:val="auto"/>
                <w:sz w:val="22"/>
                <w:szCs w:val="22"/>
                <w:highlight w:val="none"/>
                <w:lang w:eastAsia="zh-CN"/>
              </w:rPr>
              <w:t>最高限价</w:t>
            </w:r>
            <w:r>
              <w:rPr>
                <w:rFonts w:hint="eastAsia" w:ascii="仿宋" w:hAnsi="仿宋" w:eastAsia="仿宋" w:cs="Times New Roman"/>
                <w:color w:val="auto"/>
                <w:sz w:val="24"/>
                <w:szCs w:val="24"/>
                <w:highlight w:val="none"/>
                <w:shd w:val="clear" w:color="auto" w:fill="FFFFFF"/>
                <w:lang w:val="en-US" w:eastAsia="zh-CN" w:bidi="en-US"/>
              </w:rPr>
              <w:t>27</w:t>
            </w:r>
            <w:r>
              <w:rPr>
                <w:rFonts w:ascii="仿宋" w:hAnsi="仿宋" w:eastAsia="仿宋"/>
                <w:color w:val="auto"/>
                <w:sz w:val="24"/>
                <w:szCs w:val="24"/>
                <w:highlight w:val="none"/>
                <w:shd w:val="clear" w:color="auto" w:fill="FFFFFF"/>
                <w:lang w:val="en-US" w:eastAsia="zh-CN" w:bidi="en-US"/>
              </w:rPr>
              <w:t>万元</w:t>
            </w:r>
            <w:r>
              <w:rPr>
                <w:rFonts w:ascii="仿宋" w:hAnsi="仿宋" w:eastAsia="仿宋"/>
                <w:color w:val="auto"/>
                <w:sz w:val="22"/>
                <w:szCs w:val="22"/>
                <w:highlight w:val="none"/>
                <w:lang w:val="en-US" w:eastAsia="zh-CN"/>
              </w:rPr>
              <w:t>；</w:t>
            </w:r>
          </w:p>
          <w:p w14:paraId="7AD33EFB">
            <w:pPr>
              <w:pStyle w:val="46"/>
              <w:widowControl w:val="0"/>
              <w:shd w:val="clear" w:color="auto" w:fill="auto"/>
              <w:spacing w:line="240" w:lineRule="auto"/>
              <w:rPr>
                <w:rFonts w:ascii="仿宋" w:hAnsi="仿宋" w:eastAsia="仿宋"/>
                <w:color w:val="auto"/>
                <w:sz w:val="22"/>
                <w:szCs w:val="22"/>
                <w:highlight w:val="none"/>
                <w:lang w:eastAsia="zh-CN"/>
              </w:rPr>
            </w:pPr>
            <w:r>
              <w:rPr>
                <w:rFonts w:ascii="仿宋" w:hAnsi="仿宋" w:eastAsia="仿宋"/>
                <w:color w:val="auto"/>
                <w:sz w:val="22"/>
                <w:szCs w:val="22"/>
                <w:highlight w:val="none"/>
                <w:lang w:eastAsia="zh-CN"/>
              </w:rPr>
              <w:t>2）本项目投标报价超过最高限价或预算价的，作废标处理；</w:t>
            </w:r>
          </w:p>
          <w:p w14:paraId="03527137">
            <w:pPr>
              <w:pStyle w:val="46"/>
              <w:widowControl w:val="0"/>
              <w:shd w:val="clear" w:color="auto" w:fill="auto"/>
              <w:spacing w:line="240" w:lineRule="auto"/>
              <w:rPr>
                <w:rFonts w:ascii="仿宋" w:hAnsi="仿宋" w:eastAsia="仿宋"/>
                <w:b/>
                <w:color w:val="auto"/>
                <w:sz w:val="22"/>
                <w:szCs w:val="22"/>
                <w:highlight w:val="none"/>
              </w:rPr>
            </w:pPr>
            <w:r>
              <w:rPr>
                <w:rFonts w:ascii="仿宋" w:hAnsi="仿宋" w:eastAsia="仿宋"/>
                <w:color w:val="auto"/>
                <w:sz w:val="22"/>
                <w:szCs w:val="22"/>
                <w:highlight w:val="none"/>
              </w:rPr>
              <w:t>3）报价是中标的一个重要因素，但不是中标的唯一依据。</w:t>
            </w:r>
          </w:p>
        </w:tc>
      </w:tr>
      <w:tr w14:paraId="40604AC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64" w:hRule="atLeast"/>
          <w:jc w:val="center"/>
        </w:trPr>
        <w:tc>
          <w:tcPr>
            <w:tcW w:w="700" w:type="dxa"/>
            <w:vAlign w:val="center"/>
          </w:tcPr>
          <w:p w14:paraId="34B0DCB5">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1</w:t>
            </w:r>
            <w:r>
              <w:rPr>
                <w:rFonts w:hint="eastAsia" w:ascii="仿宋" w:hAnsi="仿宋" w:eastAsia="仿宋"/>
                <w:color w:val="auto"/>
                <w:sz w:val="22"/>
                <w:szCs w:val="22"/>
                <w:highlight w:val="none"/>
                <w:lang w:val="en-US" w:eastAsia="zh-CN"/>
              </w:rPr>
              <w:t>4</w:t>
            </w:r>
          </w:p>
        </w:tc>
        <w:tc>
          <w:tcPr>
            <w:tcW w:w="1993" w:type="dxa"/>
            <w:vAlign w:val="center"/>
          </w:tcPr>
          <w:p w14:paraId="0C52C46F">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投标有效期</w:t>
            </w:r>
          </w:p>
        </w:tc>
        <w:tc>
          <w:tcPr>
            <w:tcW w:w="6326" w:type="dxa"/>
            <w:vAlign w:val="center"/>
          </w:tcPr>
          <w:p w14:paraId="49CCB3CD">
            <w:pPr>
              <w:pStyle w:val="46"/>
              <w:widowControl w:val="0"/>
              <w:shd w:val="clear" w:color="auto" w:fill="auto"/>
              <w:spacing w:line="240" w:lineRule="auto"/>
              <w:rPr>
                <w:rFonts w:ascii="仿宋" w:hAnsi="仿宋" w:eastAsia="仿宋"/>
                <w:color w:val="auto"/>
                <w:sz w:val="22"/>
                <w:szCs w:val="22"/>
                <w:highlight w:val="none"/>
              </w:rPr>
            </w:pPr>
            <w:r>
              <w:rPr>
                <w:rFonts w:ascii="仿宋" w:hAnsi="仿宋" w:eastAsia="仿宋"/>
                <w:color w:val="auto"/>
                <w:sz w:val="22"/>
                <w:szCs w:val="22"/>
                <w:highlight w:val="none"/>
              </w:rPr>
              <w:t>投标截止日起60天内有效</w:t>
            </w:r>
          </w:p>
        </w:tc>
      </w:tr>
      <w:tr w14:paraId="5BAC66F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1590" w:hRule="atLeast"/>
          <w:jc w:val="center"/>
        </w:trPr>
        <w:tc>
          <w:tcPr>
            <w:tcW w:w="700" w:type="dxa"/>
            <w:vAlign w:val="center"/>
          </w:tcPr>
          <w:p w14:paraId="4164336F">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1</w:t>
            </w:r>
            <w:r>
              <w:rPr>
                <w:rFonts w:hint="eastAsia" w:ascii="仿宋" w:hAnsi="仿宋" w:eastAsia="仿宋"/>
                <w:color w:val="auto"/>
                <w:sz w:val="22"/>
                <w:szCs w:val="22"/>
                <w:highlight w:val="none"/>
                <w:lang w:val="en-US" w:eastAsia="zh-CN"/>
              </w:rPr>
              <w:t>5</w:t>
            </w:r>
          </w:p>
        </w:tc>
        <w:tc>
          <w:tcPr>
            <w:tcW w:w="1993" w:type="dxa"/>
            <w:vAlign w:val="center"/>
          </w:tcPr>
          <w:p w14:paraId="6483E690">
            <w:pPr>
              <w:pStyle w:val="46"/>
              <w:shd w:val="clear" w:color="auto" w:fill="auto"/>
              <w:jc w:val="center"/>
              <w:rPr>
                <w:rFonts w:ascii="仿宋" w:hAnsi="仿宋" w:eastAsia="仿宋"/>
                <w:color w:val="auto"/>
                <w:sz w:val="22"/>
                <w:szCs w:val="22"/>
                <w:highlight w:val="none"/>
              </w:rPr>
            </w:pPr>
            <w:r>
              <w:rPr>
                <w:rFonts w:ascii="仿宋" w:hAnsi="仿宋" w:eastAsia="仿宋"/>
                <w:color w:val="auto"/>
                <w:sz w:val="22"/>
                <w:szCs w:val="22"/>
                <w:highlight w:val="none"/>
              </w:rPr>
              <w:t>注意事项</w:t>
            </w:r>
          </w:p>
        </w:tc>
        <w:tc>
          <w:tcPr>
            <w:tcW w:w="6326" w:type="dxa"/>
            <w:vAlign w:val="center"/>
          </w:tcPr>
          <w:p w14:paraId="03C3CA9D">
            <w:pPr>
              <w:pStyle w:val="46"/>
              <w:widowControl w:val="0"/>
              <w:shd w:val="clear" w:color="auto" w:fill="auto"/>
              <w:spacing w:line="240" w:lineRule="auto"/>
              <w:rPr>
                <w:rFonts w:ascii="仿宋" w:hAnsi="仿宋" w:eastAsia="仿宋"/>
                <w:color w:val="auto"/>
                <w:sz w:val="22"/>
                <w:szCs w:val="22"/>
                <w:highlight w:val="none"/>
              </w:rPr>
            </w:pPr>
            <w:r>
              <w:rPr>
                <w:rFonts w:ascii="仿宋" w:hAnsi="仿宋" w:eastAsia="仿宋"/>
                <w:color w:val="auto"/>
                <w:sz w:val="22"/>
                <w:szCs w:val="22"/>
                <w:highlight w:val="none"/>
              </w:rPr>
              <w:t>该项目中标公示期间，投标人不得通过非正当途径、更不得通过非正当手段获取法律法规规定评标委员会（包括其他相关人员）应当保密的相关内容。即便由此获得资料（提供来源并经查实的例外）并作为向招标人或监督管理部门提出异（质）疑或投诉或法院起诉的理由，均属于非法索取的依据。</w:t>
            </w:r>
          </w:p>
        </w:tc>
      </w:tr>
      <w:tr w14:paraId="6901689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00" w:type="dxa"/>
            <w:vAlign w:val="center"/>
          </w:tcPr>
          <w:p w14:paraId="28ADA4C0">
            <w:pPr>
              <w:pStyle w:val="46"/>
              <w:shd w:val="clear" w:color="auto" w:fill="auto"/>
              <w:ind w:left="0" w:leftChars="0" w:right="0" w:firstLine="0" w:firstLineChars="0"/>
              <w:jc w:val="center"/>
              <w:rPr>
                <w:rFonts w:hint="default" w:ascii="仿宋" w:hAnsi="仿宋" w:eastAsia="仿宋"/>
                <w:color w:val="auto"/>
                <w:sz w:val="22"/>
                <w:szCs w:val="22"/>
                <w:highlight w:val="none"/>
                <w:lang w:val="en-US" w:eastAsia="zh-CN"/>
              </w:rPr>
            </w:pPr>
            <w:r>
              <w:rPr>
                <w:rFonts w:ascii="仿宋" w:hAnsi="仿宋" w:eastAsia="仿宋"/>
                <w:color w:val="auto"/>
                <w:sz w:val="22"/>
                <w:szCs w:val="22"/>
                <w:highlight w:val="none"/>
                <w:lang w:val="en-US" w:eastAsia="zh-CN"/>
              </w:rPr>
              <w:t>1</w:t>
            </w:r>
            <w:r>
              <w:rPr>
                <w:rFonts w:hint="eastAsia" w:ascii="仿宋" w:hAnsi="仿宋" w:eastAsia="仿宋"/>
                <w:color w:val="auto"/>
                <w:sz w:val="22"/>
                <w:szCs w:val="22"/>
                <w:highlight w:val="none"/>
                <w:lang w:val="en-US" w:eastAsia="zh-CN"/>
              </w:rPr>
              <w:t>6</w:t>
            </w:r>
          </w:p>
        </w:tc>
        <w:tc>
          <w:tcPr>
            <w:tcW w:w="1993" w:type="dxa"/>
            <w:vAlign w:val="center"/>
          </w:tcPr>
          <w:p w14:paraId="57C2FE6D">
            <w:pPr>
              <w:pStyle w:val="46"/>
              <w:shd w:val="clear" w:color="auto" w:fill="auto"/>
              <w:ind w:left="0" w:leftChars="0" w:right="0" w:firstLine="0" w:firstLineChars="0"/>
              <w:jc w:val="center"/>
              <w:rPr>
                <w:rFonts w:ascii="仿宋" w:hAnsi="仿宋" w:eastAsia="仿宋"/>
                <w:color w:val="auto"/>
                <w:sz w:val="22"/>
                <w:szCs w:val="22"/>
                <w:highlight w:val="none"/>
              </w:rPr>
            </w:pPr>
            <w:r>
              <w:rPr>
                <w:rFonts w:ascii="仿宋" w:hAnsi="仿宋" w:eastAsia="仿宋"/>
                <w:color w:val="auto"/>
                <w:sz w:val="22"/>
                <w:szCs w:val="22"/>
                <w:highlight w:val="none"/>
              </w:rPr>
              <w:t>招标代理服务费</w:t>
            </w:r>
          </w:p>
        </w:tc>
        <w:tc>
          <w:tcPr>
            <w:tcW w:w="6326" w:type="dxa"/>
            <w:vAlign w:val="center"/>
          </w:tcPr>
          <w:p w14:paraId="1B5A25EC">
            <w:pPr>
              <w:pStyle w:val="58"/>
              <w:widowControl w:val="0"/>
              <w:shd w:val="clear" w:color="auto" w:fill="auto"/>
              <w:spacing w:line="240" w:lineRule="auto"/>
              <w:ind w:left="0" w:leftChars="0" w:right="0" w:firstLine="0" w:firstLineChars="0"/>
              <w:rPr>
                <w:rFonts w:hint="eastAsia" w:ascii="仿宋" w:hAnsi="仿宋" w:eastAsia="仿宋"/>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bidi="ar-SA"/>
              </w:rPr>
              <w:t>招标代理服务费按余财政【2018】24号文件计取，不足5000元，按5000元计取，招标代理费用由中标人支付。专家评审费由招标代理公司代付最后按实向招标人结算。</w:t>
            </w:r>
          </w:p>
        </w:tc>
      </w:tr>
    </w:tbl>
    <w:p w14:paraId="70D9CC0C">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ascii="仿宋" w:hAnsi="仿宋" w:eastAsia="仿宋"/>
          <w:b/>
          <w:bCs/>
          <w:color w:val="auto"/>
          <w:sz w:val="24"/>
          <w:highlight w:val="none"/>
        </w:rPr>
        <w:br w:type="page"/>
      </w:r>
      <w:r>
        <w:rPr>
          <w:rFonts w:hint="eastAsia" w:ascii="仿宋" w:hAnsi="仿宋" w:eastAsia="仿宋" w:cs="仿宋"/>
          <w:b/>
          <w:bCs/>
          <w:color w:val="auto"/>
          <w:sz w:val="24"/>
          <w:highlight w:val="none"/>
        </w:rPr>
        <w:t>第一节   投标人须知之通用条款</w:t>
      </w:r>
    </w:p>
    <w:p w14:paraId="3015DC9E">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p>
    <w:p w14:paraId="257B01B1">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一、总则</w:t>
      </w:r>
    </w:p>
    <w:p w14:paraId="4544AE54">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3F7C2482">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本招标文件适用于本项目的招标、投标、评标、定标、合同履约、付款等行为。</w:t>
      </w:r>
    </w:p>
    <w:p w14:paraId="49501C23">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1592319D">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”系指组织本次招标的</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以及本项目</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w:t>
      </w:r>
    </w:p>
    <w:p w14:paraId="4B358181">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2.2、“投标人”系指向</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递交投标文件的单位。</w:t>
      </w:r>
    </w:p>
    <w:p w14:paraId="03100DA9">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2.3、“书面形式”包括信函、传真、电报等。</w:t>
      </w:r>
    </w:p>
    <w:p w14:paraId="090EE137">
      <w:pPr>
        <w:widowControl w:val="0"/>
        <w:wordWrap/>
        <w:adjustRightInd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eastAsia="zh-CN"/>
        </w:rPr>
        <w:t>招标方式</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公开招标。</w:t>
      </w:r>
    </w:p>
    <w:p w14:paraId="05476329">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4、投标委托：投标人代表须携带有效身份证件。如投标人代表不是法定代表人，须有法定代表人出具的授权委托书。</w:t>
      </w:r>
    </w:p>
    <w:p w14:paraId="711D86CF">
      <w:pPr>
        <w:widowControl w:val="0"/>
        <w:wordWrap/>
        <w:adjustRightInd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5、投标费用：</w:t>
      </w:r>
      <w:r>
        <w:rPr>
          <w:rFonts w:hint="eastAsia" w:ascii="仿宋" w:hAnsi="仿宋" w:eastAsia="仿宋" w:cs="仿宋"/>
          <w:color w:val="auto"/>
          <w:sz w:val="24"/>
          <w:highlight w:val="none"/>
        </w:rPr>
        <w:t>投标人需自行承担涉及投标的一切费用。</w:t>
      </w:r>
    </w:p>
    <w:p w14:paraId="06BD04CA">
      <w:pPr>
        <w:widowControl w:val="0"/>
        <w:wordWrap/>
        <w:adjustRightInd w:val="0"/>
        <w:snapToGrid/>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6、特别说明：</w:t>
      </w:r>
    </w:p>
    <w:p w14:paraId="25659FB5">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投标人应仔细阅读招标文件的所有内容，按照招标文件的要求提交投标文件，并对所提供的全部资料的真实性承担法律责任。</w:t>
      </w:r>
    </w:p>
    <w:p w14:paraId="23989077">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p>
    <w:p w14:paraId="366A2C04">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二、招标文件</w:t>
      </w:r>
    </w:p>
    <w:p w14:paraId="18F120E5">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7、招标文件的澄清与修改</w:t>
      </w:r>
    </w:p>
    <w:p w14:paraId="5EDB5518">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w:t>
      </w:r>
      <w:r>
        <w:rPr>
          <w:rFonts w:hint="eastAsia" w:ascii="仿宋" w:hAnsi="仿宋" w:eastAsia="仿宋" w:cs="仿宋"/>
          <w:bCs/>
          <w:color w:val="auto"/>
          <w:sz w:val="24"/>
          <w:highlight w:val="none"/>
        </w:rPr>
        <w:t>投标人应认真阅读本招标文件，发现其中有误或有不合理要求的，投标人必须以书面形式要求</w:t>
      </w:r>
      <w:r>
        <w:rPr>
          <w:rFonts w:hint="eastAsia" w:ascii="仿宋" w:hAnsi="仿宋" w:eastAsia="仿宋" w:cs="仿宋"/>
          <w:bCs/>
          <w:color w:val="auto"/>
          <w:sz w:val="24"/>
          <w:highlight w:val="none"/>
          <w:lang w:eastAsia="zh-CN"/>
        </w:rPr>
        <w:t>招标人</w:t>
      </w:r>
      <w:r>
        <w:rPr>
          <w:rFonts w:hint="eastAsia" w:ascii="仿宋" w:hAnsi="仿宋" w:eastAsia="仿宋" w:cs="仿宋"/>
          <w:bCs/>
          <w:color w:val="auto"/>
          <w:sz w:val="24"/>
          <w:highlight w:val="none"/>
        </w:rPr>
        <w:t>澄清</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对已发出的招标文件进行必要澄清、答复、修改或补充的，应当在</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信息发布媒体上发布更正公告。</w:t>
      </w:r>
    </w:p>
    <w:p w14:paraId="0FA0223A">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7.2、招标文件澄清、答复、修改、补充的内容为招标文件的组成部分。当招标文件与招标文件的答复、澄清、修改、补充通知就同一内容的表述不一致时，以最后发出的文件为准。</w:t>
      </w:r>
    </w:p>
    <w:p w14:paraId="53AE36E8">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、招标文件的澄清、答复、修改或补充都应该通过</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以法定形式发布，</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不得擅自澄清、答复、修改或补充招标文件。</w:t>
      </w:r>
    </w:p>
    <w:p w14:paraId="6E4BC41A">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p>
    <w:p w14:paraId="0F92FC6A">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三、投标文件的编制</w:t>
      </w:r>
    </w:p>
    <w:p w14:paraId="50B9FB72">
      <w:pPr>
        <w:widowControl w:val="0"/>
        <w:wordWrap/>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8、投标文件的语言及计量</w:t>
      </w:r>
    </w:p>
    <w:p w14:paraId="6DA87EC9">
      <w:pPr>
        <w:widowControl w:val="0"/>
        <w:wordWrap/>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8.1、投标文件以及投标人与</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就有关投标事宜的所有来往函电，均应以中文汉语书写。除签名、盖章、专用名称等特殊情形外，以中文汉语以外的文字表述的投标文件视同未提供。</w:t>
      </w:r>
    </w:p>
    <w:p w14:paraId="6595B556">
      <w:pPr>
        <w:widowControl w:val="0"/>
        <w:wordWrap/>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8.2、投标文件中如附有外文资料，必须逐一对应翻译成中文并加盖投标人公章后附在相关外文资料后面，否则外文资料不予认可。翻译的中文资料与外文资料不符的，均不予认可。翻译严重错误的，将视同提供虚假资料</w:t>
      </w:r>
      <w:r>
        <w:rPr>
          <w:rFonts w:hint="eastAsia" w:ascii="仿宋" w:hAnsi="仿宋" w:eastAsia="仿宋" w:cs="仿宋"/>
          <w:color w:val="auto"/>
          <w:sz w:val="24"/>
          <w:highlight w:val="none"/>
          <w:lang w:eastAsia="zh-CN"/>
        </w:rPr>
        <w:t>。</w:t>
      </w:r>
    </w:p>
    <w:p w14:paraId="5DBE6DD0">
      <w:pPr>
        <w:widowControl w:val="0"/>
        <w:wordWrap/>
        <w:snapToGrid/>
        <w:spacing w:line="360" w:lineRule="auto"/>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8.3、投标计量单位，招标文件已有明确规定的，使用招标文件规定的计量单位；招标文件没有规定的，应采用中华人民共和国法定计量单位（货币单位：人民币元），否则视同未响应。</w:t>
      </w:r>
    </w:p>
    <w:p w14:paraId="047B1E00">
      <w:pPr>
        <w:pStyle w:val="19"/>
        <w:widowControl w:val="0"/>
        <w:wordWrap/>
        <w:snapToGrid/>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szCs w:val="24"/>
          <w:highlight w:val="none"/>
        </w:rPr>
        <w:t>4、投标文件中优惠条件事项不能包括</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项目本身所包括涉及的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事项。投标人</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能以“赠送、赠予”等任何名义提供货物和服务以规避招标文件的约束。</w:t>
      </w:r>
    </w:p>
    <w:p w14:paraId="4DA45888">
      <w:pPr>
        <w:widowControl w:val="0"/>
        <w:wordWrap/>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9、投标文件组成详见“第二节   投标人须知之专用条款”中相关条款。</w:t>
      </w:r>
    </w:p>
    <w:p w14:paraId="74A94C4B">
      <w:pPr>
        <w:pStyle w:val="73"/>
        <w:widowControl w:val="0"/>
        <w:wordWrap/>
        <w:snapToGrid/>
        <w:spacing w:before="0" w:line="360" w:lineRule="auto"/>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10、投标有效期</w:t>
      </w:r>
    </w:p>
    <w:p w14:paraId="19EC7D5C">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10.1、投标书递交后60天内有效。</w:t>
      </w:r>
    </w:p>
    <w:p w14:paraId="0BB9458C">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10.2、在原定投标有效期之前，如果出现特殊情况，</w:t>
      </w:r>
      <w:r>
        <w:rPr>
          <w:rFonts w:hint="eastAsia" w:ascii="仿宋" w:hAnsi="仿宋" w:eastAsia="仿宋" w:cs="仿宋"/>
          <w:color w:val="auto"/>
          <w:highlight w:val="none"/>
          <w:lang w:eastAsia="zh-CN"/>
        </w:rPr>
        <w:t>招标代理机构</w:t>
      </w:r>
      <w:r>
        <w:rPr>
          <w:rFonts w:hint="eastAsia" w:ascii="仿宋" w:hAnsi="仿宋" w:eastAsia="仿宋" w:cs="仿宋"/>
          <w:color w:val="auto"/>
          <w:highlight w:val="none"/>
        </w:rPr>
        <w:t>可以以书面形式通知投标人延长投标有效期。</w:t>
      </w:r>
    </w:p>
    <w:p w14:paraId="73D05DA4">
      <w:pPr>
        <w:widowControl w:val="0"/>
        <w:wordWrap/>
        <w:snapToGrid/>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11、投标保证金</w:t>
      </w:r>
    </w:p>
    <w:p w14:paraId="11EA423A">
      <w:pPr>
        <w:widowControl w:val="0"/>
        <w:wordWrap/>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本项目无需缴纳投标保证金。</w:t>
      </w:r>
    </w:p>
    <w:p w14:paraId="176F87C8">
      <w:pPr>
        <w:widowControl w:val="0"/>
        <w:wordWrap/>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、投标文件的编制</w:t>
      </w:r>
    </w:p>
    <w:p w14:paraId="34904F21">
      <w:pPr>
        <w:widowControl w:val="0"/>
        <w:wordWrap/>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.1、投标文件标识不清、编写不完整、编排混乱导致投标文件被误拆、误读、漏读或者查找不到相关内容的，责任由投标人自行承担。</w:t>
      </w:r>
    </w:p>
    <w:p w14:paraId="0977F5A2">
      <w:pPr>
        <w:widowControl w:val="0"/>
        <w:wordWrap/>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.2、全套投标文件应无涂改和行间插字，除非这些删改是根据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要求进行，或者是投标人造成的必须修改的错误。所修改处须加盖投标人公章或者法定代表人签字或授权代表签字，否则，修改处不予认可。投标文件因字迹潦草或表达不清所引起的后果由投标人负责。</w:t>
      </w:r>
    </w:p>
    <w:p w14:paraId="664306EA">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.3、投标文件提倡采用A4幅面双面打印，并按顺序统一编目编码装订成册。</w:t>
      </w:r>
    </w:p>
    <w:p w14:paraId="7A416051">
      <w:pPr>
        <w:pStyle w:val="73"/>
        <w:widowControl w:val="0"/>
        <w:wordWrap/>
        <w:snapToGrid/>
        <w:spacing w:before="0" w:line="360" w:lineRule="auto"/>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sz w:val="24"/>
          <w:highlight w:val="none"/>
          <w:lang w:val="en-US" w:eastAsia="zh-CN"/>
        </w:rPr>
        <w:t>12.4、投标人所递交的投标文件均必须采用胶订形式，不得采用活页装订方式（卡条、抽杆夹、订书机及其他胶装以外装订形式均视为活页装订），否则，其投标将被视作无效。</w:t>
      </w:r>
    </w:p>
    <w:p w14:paraId="67B45ADB">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p>
    <w:p w14:paraId="5024D8CA">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 投标文件的递交</w:t>
      </w:r>
    </w:p>
    <w:p w14:paraId="263AA934">
      <w:pPr>
        <w:pStyle w:val="73"/>
        <w:widowControl w:val="0"/>
        <w:wordWrap/>
        <w:snapToGrid/>
        <w:spacing w:before="0" w:line="360" w:lineRule="auto"/>
        <w:ind w:firstLine="0" w:firstLineChars="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13、投标文件的签署和份数</w:t>
      </w:r>
    </w:p>
    <w:p w14:paraId="173ECF0F">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13.1、投标人应按</w:t>
      </w:r>
      <w:r>
        <w:rPr>
          <w:rFonts w:hint="eastAsia" w:ascii="仿宋" w:hAnsi="仿宋" w:eastAsia="仿宋" w:cs="仿宋"/>
          <w:color w:val="auto"/>
          <w:highlight w:val="none"/>
          <w:lang w:val="en-US" w:eastAsia="zh-CN"/>
        </w:rPr>
        <w:t>资信</w:t>
      </w:r>
      <w:r>
        <w:rPr>
          <w:rFonts w:hint="eastAsia" w:ascii="仿宋" w:hAnsi="仿宋" w:eastAsia="仿宋" w:cs="仿宋"/>
          <w:color w:val="auto"/>
          <w:highlight w:val="none"/>
        </w:rPr>
        <w:t>、技术文件、报价文件正本各一份，副本各四份分别编制并单独装订成册，</w:t>
      </w:r>
      <w:r>
        <w:rPr>
          <w:rFonts w:hint="eastAsia" w:ascii="仿宋" w:hAnsi="仿宋" w:eastAsia="仿宋" w:cs="仿宋"/>
          <w:color w:val="auto"/>
          <w:highlight w:val="none"/>
          <w:lang w:val="en-US" w:eastAsia="zh-CN"/>
        </w:rPr>
        <w:t>资信</w:t>
      </w:r>
      <w:r>
        <w:rPr>
          <w:rFonts w:hint="eastAsia" w:ascii="仿宋" w:hAnsi="仿宋" w:eastAsia="仿宋" w:cs="仿宋"/>
          <w:color w:val="auto"/>
          <w:highlight w:val="none"/>
        </w:rPr>
        <w:t>、技术文件可合并装订（但须明显区分）。投标文件封面上应注明“</w:t>
      </w:r>
      <w:r>
        <w:rPr>
          <w:rFonts w:hint="eastAsia" w:ascii="仿宋" w:hAnsi="仿宋" w:eastAsia="仿宋" w:cs="仿宋"/>
          <w:color w:val="auto"/>
          <w:highlight w:val="none"/>
          <w:lang w:val="en-US" w:eastAsia="zh-CN"/>
        </w:rPr>
        <w:t>资信</w:t>
      </w:r>
      <w:r>
        <w:rPr>
          <w:rFonts w:hint="eastAsia" w:ascii="仿宋" w:hAnsi="仿宋" w:eastAsia="仿宋" w:cs="仿宋"/>
          <w:color w:val="auto"/>
          <w:highlight w:val="none"/>
        </w:rPr>
        <w:t>/技术文件/报价文件、正本/副本、项目名称、项目编号”等字样，同时必须经法定代表人或授权代表签字并加盖单位公章。一旦正本和副本有差异，以正本为准。</w:t>
      </w:r>
    </w:p>
    <w:p w14:paraId="286194A7">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13.2、投标文件的正本需打印或用不褪色的墨水填写，投标文件正本除 “第二部分 投标人须知”中规定的可提供复印件外均提供原件。副本为正本的复印件。</w:t>
      </w:r>
    </w:p>
    <w:p w14:paraId="6E8F870A">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13.3、投标文件须由投标人在规定位置加盖单位公章、法定代表人或授权代表签署，投标人应写全称。</w:t>
      </w:r>
    </w:p>
    <w:p w14:paraId="26F36383">
      <w:pPr>
        <w:pStyle w:val="73"/>
        <w:widowControl w:val="0"/>
        <w:wordWrap/>
        <w:snapToGrid/>
        <w:spacing w:before="0" w:line="360" w:lineRule="auto"/>
        <w:ind w:firstLine="0" w:firstLineChars="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14、投标文件的包装和递交</w:t>
      </w:r>
    </w:p>
    <w:p w14:paraId="4BBC1AD0">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14.1、投标文件须密封包装并加盖投标人公章，</w:t>
      </w:r>
      <w:r>
        <w:rPr>
          <w:rFonts w:hint="eastAsia" w:ascii="仿宋" w:hAnsi="仿宋" w:eastAsia="仿宋" w:cs="仿宋"/>
          <w:b/>
          <w:color w:val="auto"/>
          <w:highlight w:val="none"/>
        </w:rPr>
        <w:t>报价文件必须单独密封包装，除报价文件之外其他投标文件中不得出现投标报价。</w:t>
      </w:r>
    </w:p>
    <w:p w14:paraId="1D120AA4">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14.2、投标文件外层包装封面上应注明“</w:t>
      </w:r>
      <w:r>
        <w:rPr>
          <w:rFonts w:hint="eastAsia" w:ascii="仿宋" w:hAnsi="仿宋" w:eastAsia="仿宋" w:cs="仿宋"/>
          <w:color w:val="auto"/>
          <w:highlight w:val="none"/>
          <w:lang w:val="en-US" w:eastAsia="zh-CN"/>
        </w:rPr>
        <w:t>资信</w:t>
      </w:r>
      <w:r>
        <w:rPr>
          <w:rFonts w:hint="eastAsia" w:ascii="仿宋" w:hAnsi="仿宋" w:eastAsia="仿宋" w:cs="仿宋"/>
          <w:color w:val="auto"/>
          <w:highlight w:val="none"/>
        </w:rPr>
        <w:t>/技术文件/报价文件、项目名称、项目编号、投标人名称及开标时启封”字样，并加盖投标人公章。可参考“第</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部分 投标文件格式”。</w:t>
      </w:r>
    </w:p>
    <w:p w14:paraId="03D4D52A">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14.3、</w:t>
      </w:r>
      <w:r>
        <w:rPr>
          <w:rFonts w:hint="eastAsia" w:ascii="仿宋" w:hAnsi="仿宋" w:eastAsia="仿宋" w:cs="仿宋"/>
          <w:color w:val="auto"/>
          <w:highlight w:val="none"/>
          <w:lang w:eastAsia="zh-CN"/>
        </w:rPr>
        <w:t>招标人</w:t>
      </w:r>
      <w:r>
        <w:rPr>
          <w:rFonts w:hint="eastAsia" w:ascii="仿宋" w:hAnsi="仿宋" w:eastAsia="仿宋" w:cs="仿宋"/>
          <w:color w:val="auto"/>
          <w:highlight w:val="none"/>
        </w:rPr>
        <w:t>将拒绝未通过报名的投标人的投标文件。</w:t>
      </w:r>
    </w:p>
    <w:p w14:paraId="0BF3EC70">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14.4、未按规定密封或未按规定标记的投标文件，一经发现将被拒绝，由此造成投标文件被误投或提前拆封的风险由投标人承担。</w:t>
      </w:r>
    </w:p>
    <w:p w14:paraId="167EF8D4">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14.5、投标文件在投标截止时间前由授权代表持本人有效身份证件将投标文件送至</w:t>
      </w:r>
      <w:r>
        <w:rPr>
          <w:rFonts w:hint="eastAsia" w:ascii="仿宋" w:hAnsi="仿宋" w:eastAsia="仿宋" w:cs="仿宋"/>
          <w:color w:val="auto"/>
          <w:highlight w:val="none"/>
          <w:lang w:eastAsia="zh-CN"/>
        </w:rPr>
        <w:t>招标人</w:t>
      </w:r>
      <w:r>
        <w:rPr>
          <w:rFonts w:hint="eastAsia" w:ascii="仿宋" w:hAnsi="仿宋" w:eastAsia="仿宋" w:cs="仿宋"/>
          <w:color w:val="auto"/>
          <w:highlight w:val="none"/>
        </w:rPr>
        <w:t>指定地点。在递交投标文件时，授权代表未在规定时间到达开标现场或未出具有效身份证件原件的，将被拒绝投标。</w:t>
      </w:r>
    </w:p>
    <w:p w14:paraId="48792FD8">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14.6、投标文件一经拆封均不退回。</w:t>
      </w:r>
    </w:p>
    <w:p w14:paraId="50FD6D33">
      <w:pPr>
        <w:widowControl w:val="0"/>
        <w:wordWrap/>
        <w:adjustRightInd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15、递交投标文件的截止时间</w:t>
      </w:r>
    </w:p>
    <w:p w14:paraId="0289E38F">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15.1、所有投标文件必须按招标文件规定的投标截止时间之前送至</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指定地点。</w:t>
      </w:r>
    </w:p>
    <w:p w14:paraId="4077CE95">
      <w:pPr>
        <w:widowControl w:val="0"/>
        <w:wordWrap/>
        <w:adjustRightInd w:val="0"/>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15.2、</w:t>
      </w:r>
      <w:r>
        <w:rPr>
          <w:rFonts w:hint="eastAsia" w:ascii="仿宋" w:hAnsi="仿宋" w:eastAsia="仿宋" w:cs="仿宋"/>
          <w:b/>
          <w:color w:val="auto"/>
          <w:sz w:val="24"/>
          <w:highlight w:val="none"/>
          <w:lang w:eastAsia="zh-CN"/>
        </w:rPr>
        <w:t>招标人</w:t>
      </w:r>
      <w:r>
        <w:rPr>
          <w:rFonts w:hint="eastAsia" w:ascii="仿宋" w:hAnsi="仿宋" w:eastAsia="仿宋" w:cs="仿宋"/>
          <w:b/>
          <w:color w:val="auto"/>
          <w:sz w:val="24"/>
          <w:highlight w:val="none"/>
        </w:rPr>
        <w:t>将拒绝在投标截止时间后递交的的投标文件。</w:t>
      </w:r>
    </w:p>
    <w:p w14:paraId="1836E2FC">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16、投标文件的修改和撤回</w:t>
      </w:r>
    </w:p>
    <w:p w14:paraId="70D520DB">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投标截止时间之前，经开标工作人员确认后，可以对已提交的投标文件进行修改或撤回。修改后重新递交的投标文件应当按本招标文件的要求签署、盖章和密封。投标截止时间后，投标人不得撤回、修改投标文件。</w:t>
      </w:r>
    </w:p>
    <w:p w14:paraId="3CA3A003">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p>
    <w:p w14:paraId="77001999">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 开标</w:t>
      </w:r>
    </w:p>
    <w:p w14:paraId="103DC7B3">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17、开标准备</w:t>
      </w:r>
    </w:p>
    <w:p w14:paraId="3778C5AD">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将在规定的时间和地点进行开标，投标人的法定代表人或其授权代表应准时参加开标会议并签到。</w:t>
      </w:r>
    </w:p>
    <w:p w14:paraId="380B3168">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18、开标程序：</w:t>
      </w:r>
    </w:p>
    <w:p w14:paraId="1840AD42">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18.1、开标时，由</w:t>
      </w:r>
      <w:r>
        <w:rPr>
          <w:rFonts w:hint="eastAsia" w:ascii="仿宋" w:hAnsi="仿宋" w:eastAsia="仿宋" w:cs="仿宋"/>
          <w:color w:val="auto"/>
          <w:sz w:val="24"/>
          <w:highlight w:val="none"/>
          <w:lang w:val="en-US" w:eastAsia="zh-CN"/>
        </w:rPr>
        <w:t>招标代理机构</w:t>
      </w:r>
      <w:r>
        <w:rPr>
          <w:rFonts w:hint="eastAsia" w:ascii="仿宋" w:hAnsi="仿宋" w:eastAsia="仿宋" w:cs="仿宋"/>
          <w:color w:val="auto"/>
          <w:sz w:val="24"/>
          <w:highlight w:val="none"/>
        </w:rPr>
        <w:t>检查各投标文件的密封情况，确认无误后，工作人员当众拆封</w:t>
      </w:r>
      <w:r>
        <w:rPr>
          <w:rFonts w:hint="eastAsia" w:ascii="仿宋" w:hAnsi="仿宋" w:eastAsia="仿宋" w:cs="仿宋"/>
          <w:color w:val="auto"/>
          <w:sz w:val="24"/>
          <w:highlight w:val="none"/>
          <w:lang w:val="en-US" w:eastAsia="zh-CN"/>
        </w:rPr>
        <w:t>资信</w:t>
      </w:r>
      <w:r>
        <w:rPr>
          <w:rFonts w:hint="eastAsia" w:ascii="仿宋" w:hAnsi="仿宋" w:eastAsia="仿宋" w:cs="仿宋"/>
          <w:color w:val="auto"/>
          <w:sz w:val="24"/>
          <w:highlight w:val="none"/>
        </w:rPr>
        <w:t>技术文件并清点投标文件正本、副本数量，符合招标文件要求的送评标室评审；不符合要求的，视其投标无效，并由投标人代表签字确认；</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18.2、</w:t>
      </w:r>
      <w:r>
        <w:rPr>
          <w:rFonts w:hint="eastAsia" w:ascii="仿宋" w:hAnsi="仿宋" w:eastAsia="仿宋" w:cs="仿宋"/>
          <w:color w:val="auto"/>
          <w:sz w:val="24"/>
          <w:highlight w:val="none"/>
          <w:lang w:val="en-US" w:eastAsia="zh-CN"/>
        </w:rPr>
        <w:t>资信</w:t>
      </w:r>
      <w:r>
        <w:rPr>
          <w:rFonts w:hint="eastAsia" w:ascii="仿宋" w:hAnsi="仿宋" w:eastAsia="仿宋" w:cs="仿宋"/>
          <w:color w:val="auto"/>
          <w:sz w:val="24"/>
          <w:highlight w:val="none"/>
        </w:rPr>
        <w:t>技术评分结束后，开报价文件，由</w:t>
      </w:r>
      <w:r>
        <w:rPr>
          <w:rFonts w:hint="eastAsia" w:ascii="仿宋" w:hAnsi="仿宋" w:eastAsia="仿宋" w:cs="仿宋"/>
          <w:color w:val="auto"/>
          <w:sz w:val="24"/>
          <w:highlight w:val="none"/>
          <w:lang w:val="en-US" w:eastAsia="zh-CN"/>
        </w:rPr>
        <w:t>招标代理机构</w:t>
      </w:r>
      <w:r>
        <w:rPr>
          <w:rFonts w:hint="eastAsia" w:ascii="仿宋" w:hAnsi="仿宋" w:eastAsia="仿宋" w:cs="仿宋"/>
          <w:color w:val="auto"/>
          <w:sz w:val="24"/>
          <w:highlight w:val="none"/>
        </w:rPr>
        <w:t>检查各报价文件的密封情况。确认无误后，工作人员当众拆封报价文件，并清点报价文件正、副本数量，若报价文件数量不符合要求的，视其投标无效，并由投标人代表签字确认。符合要求的报价文件，工作人员进行唱标，唱标内容为报价文件正本中“开标一览表”内容并作记录，由授权代表当场校核及勘误并签字确认，授权代表未到场确认或拒绝签字的，不影响评标过程。</w:t>
      </w:r>
    </w:p>
    <w:p w14:paraId="5AC617BD">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18.3、开标会结束。</w:t>
      </w:r>
    </w:p>
    <w:p w14:paraId="41C12335">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p>
    <w:p w14:paraId="4E6DEF44">
      <w:pPr>
        <w:widowControl w:val="0"/>
        <w:wordWrap/>
        <w:adjustRightInd w:val="0"/>
        <w:snapToGrid/>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六、评标</w:t>
      </w:r>
    </w:p>
    <w:p w14:paraId="214A262F">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19、组建评标委员会</w:t>
      </w:r>
    </w:p>
    <w:p w14:paraId="490F8A58">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项目评标委员会根据相关规定由</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代表和有关技术、经济等方面的专家组成，成员人数应当为5人或以上单数。</w:t>
      </w:r>
    </w:p>
    <w:p w14:paraId="10047132">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20、评标的方式</w:t>
      </w:r>
    </w:p>
    <w:p w14:paraId="39120BF1">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本项目采用不公开方式评标，评标的依据为招标文件和投标文件。</w:t>
      </w:r>
    </w:p>
    <w:p w14:paraId="69100298">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21、评标程序</w:t>
      </w:r>
    </w:p>
    <w:p w14:paraId="16CF36F8">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21.1、本项目评标一般将按以下程序进行：投标文件初审、澄清有关问题、投标文件技术与</w:t>
      </w:r>
      <w:r>
        <w:rPr>
          <w:rFonts w:hint="eastAsia" w:ascii="仿宋" w:hAnsi="仿宋" w:eastAsia="仿宋" w:cs="仿宋"/>
          <w:color w:val="auto"/>
          <w:sz w:val="24"/>
          <w:highlight w:val="none"/>
          <w:lang w:val="en-US" w:eastAsia="zh-CN"/>
        </w:rPr>
        <w:t>资信</w:t>
      </w:r>
      <w:r>
        <w:rPr>
          <w:rFonts w:hint="eastAsia" w:ascii="仿宋" w:hAnsi="仿宋" w:eastAsia="仿宋" w:cs="仿宋"/>
          <w:color w:val="auto"/>
          <w:sz w:val="24"/>
          <w:highlight w:val="none"/>
        </w:rPr>
        <w:t>部分的比较与评审、报价文件的比较与评审、推荐中标投标人和编写评标报告等。</w:t>
      </w:r>
    </w:p>
    <w:p w14:paraId="7BBDB0FC">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21.2、投标文件初审包括资格性检查和符合性检查。</w:t>
      </w:r>
    </w:p>
    <w:p w14:paraId="1AB7F959">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21.2.1、资格性检查：依据法律法规和招标文件的规定，对投标文件中的资格证明等进行审查，以确定投标投标人是否具备投标资格。资格性检查不合格的投标人则无须继续进行符合性检查，并且投标文件初审结论不合格。</w:t>
      </w:r>
    </w:p>
    <w:p w14:paraId="26AC8289">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21.2.2、符合性检查：依据招标文件的规定，从投标文件的</w:t>
      </w:r>
      <w:r>
        <w:rPr>
          <w:rFonts w:hint="eastAsia" w:ascii="仿宋" w:hAnsi="仿宋" w:eastAsia="仿宋" w:cs="仿宋"/>
          <w:color w:val="auto"/>
          <w:sz w:val="24"/>
          <w:highlight w:val="none"/>
          <w:lang w:val="en-US" w:eastAsia="zh-CN"/>
        </w:rPr>
        <w:t>资信</w:t>
      </w:r>
      <w:r>
        <w:rPr>
          <w:rFonts w:hint="eastAsia" w:ascii="仿宋" w:hAnsi="仿宋" w:eastAsia="仿宋" w:cs="仿宋"/>
          <w:color w:val="auto"/>
          <w:sz w:val="24"/>
          <w:highlight w:val="none"/>
        </w:rPr>
        <w:t>、技术文件有效性、完整性和对招标文件的响应程度进行审查，以确定是否对招标文件的实质性要求作出响应。符合性检查不合格的投标人，投标文件初审结论不合格。</w:t>
      </w:r>
    </w:p>
    <w:p w14:paraId="1ABA1073">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21.2.3、投标文件初审结论合格的投标人进入评标后续程序。</w:t>
      </w:r>
    </w:p>
    <w:p w14:paraId="66C987C5">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21.3、投标文件的澄清。对投标文件中含义不明确、同类问题表述不一致或者有明显文字和计算错误的内容，评标委员会可以要求投标人作出必要的澄清、说明或者纠正。投标人的澄清、说明或者补正应当采用书面形式，由投标人授权代表签字，并不得超出投标文件的范围或者改变投标文件的实质性内容。投标人代表未到场或者拒绝澄清或者澄清的内容改变了投标文件的实质性内容的，评标委员会有权对该投标文件作出不利于投标人的评判。</w:t>
      </w:r>
    </w:p>
    <w:p w14:paraId="677D7BF5">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21.4、比较与评审。按招标文件中规定的评标方法和标准，对资格性检查和符合性检查合格的投标文件进行</w:t>
      </w:r>
      <w:r>
        <w:rPr>
          <w:rFonts w:hint="eastAsia" w:ascii="仿宋" w:hAnsi="仿宋" w:eastAsia="仿宋" w:cs="仿宋"/>
          <w:color w:val="auto"/>
          <w:sz w:val="24"/>
          <w:highlight w:val="none"/>
          <w:lang w:val="en-US" w:eastAsia="zh-CN"/>
        </w:rPr>
        <w:t>资信</w:t>
      </w:r>
      <w:r>
        <w:rPr>
          <w:rFonts w:hint="eastAsia" w:ascii="仿宋" w:hAnsi="仿宋" w:eastAsia="仿宋" w:cs="仿宋"/>
          <w:color w:val="auto"/>
          <w:sz w:val="24"/>
          <w:highlight w:val="none"/>
        </w:rPr>
        <w:t>、技术、价格比较和评审。</w:t>
      </w:r>
    </w:p>
    <w:p w14:paraId="4021A408">
      <w:pPr>
        <w:pStyle w:val="19"/>
        <w:widowControl w:val="0"/>
        <w:wordWrap/>
        <w:snapToGrid/>
        <w:spacing w:line="360" w:lineRule="auto"/>
        <w:ind w:firstLine="470" w:firstLineChars="19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21.5、推荐中标候选人。根据评标情况，推荐中标候选人。</w:t>
      </w:r>
    </w:p>
    <w:p w14:paraId="110EEA71">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22、错误修正</w:t>
      </w:r>
    </w:p>
    <w:p w14:paraId="54C02787">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投标文件如果出现计算或表达上的错误，修正错误的原则如下：</w:t>
      </w:r>
    </w:p>
    <w:p w14:paraId="0022F343">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22.1、如果用数字表示的金额与中文大写表示的金额不一致时，以中文大写表示的金额为准</w:t>
      </w:r>
      <w:r>
        <w:rPr>
          <w:rFonts w:hint="eastAsia" w:ascii="仿宋" w:hAnsi="仿宋" w:eastAsia="仿宋" w:cs="仿宋"/>
          <w:color w:val="auto"/>
          <w:sz w:val="24"/>
          <w:szCs w:val="24"/>
          <w:highlight w:val="none"/>
        </w:rPr>
        <w:t>；</w:t>
      </w:r>
    </w:p>
    <w:p w14:paraId="09D78A5F">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22.2、当单价金额小数点有明显错位的，应以总价为准，并修改单价；</w:t>
      </w:r>
    </w:p>
    <w:p w14:paraId="54B8945F">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22.3、当单价与数量的乘积与合价不一致时，以合价为准，重新修正单价。</w:t>
      </w:r>
    </w:p>
    <w:p w14:paraId="52328BFF">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22.4、因投标人自身失误造成多算、少算、漏算的，不予调整。</w:t>
      </w:r>
    </w:p>
    <w:p w14:paraId="2F300076">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22.5、</w:t>
      </w:r>
      <w:r>
        <w:rPr>
          <w:rFonts w:hint="eastAsia" w:ascii="仿宋" w:hAnsi="仿宋" w:eastAsia="仿宋" w:cs="仿宋"/>
          <w:color w:val="auto"/>
          <w:sz w:val="24"/>
          <w:szCs w:val="24"/>
          <w:highlight w:val="none"/>
        </w:rPr>
        <w:t>对不同文字文本投标文件的解释发生异议的，以中文文本为准。</w:t>
      </w:r>
    </w:p>
    <w:p w14:paraId="79F7AE3D">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4331C484">
      <w:pPr>
        <w:widowControl w:val="0"/>
        <w:wordWrap/>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23、评标原则和评标办法</w:t>
      </w:r>
    </w:p>
    <w:p w14:paraId="319B2AB7">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23.1、评标原则：评标委员会必须公平、公正、客观，不带任何倾向性；不得向外界透露任何与评标有关的内容；任何单位和个人不得干扰、影响评标的正常进行；评标委员会及有关工作人员不得私下与投标人接触。</w:t>
      </w:r>
    </w:p>
    <w:p w14:paraId="0C10D942">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23.2、评标办法：本项目评标办法是</w:t>
      </w:r>
      <w:r>
        <w:rPr>
          <w:rFonts w:hint="eastAsia" w:ascii="仿宋" w:hAnsi="仿宋" w:eastAsia="仿宋" w:cs="仿宋"/>
          <w:color w:val="auto"/>
          <w:sz w:val="24"/>
          <w:highlight w:val="none"/>
          <w:u w:val="thick"/>
        </w:rPr>
        <w:t>综合评分法</w:t>
      </w:r>
      <w:r>
        <w:rPr>
          <w:rFonts w:hint="eastAsia" w:ascii="仿宋" w:hAnsi="仿宋" w:eastAsia="仿宋" w:cs="仿宋"/>
          <w:color w:val="auto"/>
          <w:sz w:val="24"/>
          <w:highlight w:val="none"/>
        </w:rPr>
        <w:t>。</w:t>
      </w:r>
    </w:p>
    <w:p w14:paraId="6BCEA642">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24、评标过程的监控</w:t>
      </w:r>
    </w:p>
    <w:p w14:paraId="67B0DA5D">
      <w:pPr>
        <w:pStyle w:val="19"/>
        <w:widowControl w:val="0"/>
        <w:wordWrap/>
        <w:snapToGrid/>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本项目评标过程实行全程录音、录像监控，投标人在评标过程中所进行的试图影响评标结果的不公正活动，可能导致其投标无效。</w:t>
      </w:r>
    </w:p>
    <w:p w14:paraId="7D5542E1">
      <w:pPr>
        <w:widowControl w:val="0"/>
        <w:wordWrap/>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25、无效投标的情形</w:t>
      </w:r>
    </w:p>
    <w:p w14:paraId="63626CEF">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25.1、被拒绝的投标文件；</w:t>
      </w:r>
    </w:p>
    <w:p w14:paraId="565543A4">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25.2、资格证明文件不全，或者不符合招标文件标明的资格要求；</w:t>
      </w:r>
    </w:p>
    <w:p w14:paraId="0737A36C">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25.3、投标文件封面、开标一览表、投标响应函、授权委托书，任意一项未加盖单位公章；</w:t>
      </w:r>
    </w:p>
    <w:p w14:paraId="1F1870B1">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25.4、开标一览表或投标响应函无法定代表人（或授权代表）签字或盖章的；</w:t>
      </w:r>
    </w:p>
    <w:p w14:paraId="5B69B12C">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25.5、授权代表与投标文件中授权委托书所载内容有异； </w:t>
      </w:r>
    </w:p>
    <w:p w14:paraId="2380F803">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25.6、提供虚假证明材料；</w:t>
      </w:r>
    </w:p>
    <w:p w14:paraId="1A79E033">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25.7、投标文件不响应</w:t>
      </w:r>
      <w:r>
        <w:rPr>
          <w:rFonts w:hint="eastAsia" w:ascii="仿宋" w:hAnsi="仿宋" w:eastAsia="仿宋" w:cs="仿宋"/>
          <w:color w:val="auto"/>
          <w:sz w:val="24"/>
          <w:highlight w:val="none"/>
          <w:lang w:eastAsia="zh-CN"/>
        </w:rPr>
        <w:t>招标需求</w:t>
      </w:r>
      <w:r>
        <w:rPr>
          <w:rFonts w:hint="eastAsia" w:ascii="仿宋" w:hAnsi="仿宋" w:eastAsia="仿宋" w:cs="仿宋"/>
          <w:color w:val="auto"/>
          <w:sz w:val="24"/>
          <w:highlight w:val="none"/>
        </w:rPr>
        <w:t>的实质性内容，评标委员会不能确认为有效；</w:t>
      </w:r>
    </w:p>
    <w:p w14:paraId="0ECD3C88">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25.8、投标文件中对于</w:t>
      </w:r>
      <w:r>
        <w:rPr>
          <w:rFonts w:hint="eastAsia" w:ascii="仿宋" w:hAnsi="仿宋" w:eastAsia="仿宋" w:cs="仿宋"/>
          <w:color w:val="auto"/>
          <w:sz w:val="24"/>
          <w:highlight w:val="none"/>
          <w:lang w:eastAsia="zh-CN"/>
        </w:rPr>
        <w:t>招标需求</w:t>
      </w:r>
      <w:r>
        <w:rPr>
          <w:rFonts w:hint="eastAsia" w:ascii="仿宋" w:hAnsi="仿宋" w:eastAsia="仿宋" w:cs="仿宋"/>
          <w:color w:val="auto"/>
          <w:sz w:val="24"/>
          <w:highlight w:val="none"/>
        </w:rPr>
        <w:t>中的实质性内容的响应表述不清，评标委员会不能确认为有效；</w:t>
      </w:r>
    </w:p>
    <w:p w14:paraId="7EA322E8">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25.9、投标文件组成中带“▲”资料提供不全的；</w:t>
      </w:r>
    </w:p>
    <w:p w14:paraId="47619639">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25.10、投标文件份数不符合要求；</w:t>
      </w:r>
    </w:p>
    <w:p w14:paraId="49ED0977">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25.11、投标技术方案不明确或存在备选（替代）投标方案；</w:t>
      </w:r>
    </w:p>
    <w:p w14:paraId="7FC3073E">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25.12、未按照招标文件标明的币种报价；</w:t>
      </w:r>
    </w:p>
    <w:p w14:paraId="2BF21633">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25.13、报价超出最高限价，或者超出</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不能支付；</w:t>
      </w:r>
    </w:p>
    <w:p w14:paraId="37C17E66">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25.14、投标报价具有选择性；</w:t>
      </w:r>
    </w:p>
    <w:p w14:paraId="78D0EA19">
      <w:pPr>
        <w:widowControl w:val="0"/>
        <w:shd w:val="clear" w:color="auto" w:fill="FFFFFF"/>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25.15、投标单价及投标总报价明显高于其市场报价或低于成本价，投标人又不能做出书面说明并提供相关证明材料</w:t>
      </w:r>
      <w:r>
        <w:rPr>
          <w:rFonts w:hint="eastAsia" w:ascii="仿宋" w:hAnsi="仿宋" w:eastAsia="仿宋" w:cs="仿宋"/>
          <w:color w:val="auto"/>
          <w:sz w:val="24"/>
          <w:highlight w:val="none"/>
          <w:lang w:eastAsia="zh-CN"/>
        </w:rPr>
        <w:t>；</w:t>
      </w:r>
    </w:p>
    <w:p w14:paraId="14D8651B">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25.16、不符合法律、法规等相关规定或投标文件有</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不能接受的附加条件；</w:t>
      </w:r>
    </w:p>
    <w:p w14:paraId="621498FA">
      <w:pPr>
        <w:widowControl w:val="0"/>
        <w:wordWrap/>
        <w:adjustRightInd w:val="0"/>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25.17、根据招标文件要求，评标委员会认为应当作无效投标处理的其他情况。</w:t>
      </w:r>
    </w:p>
    <w:p w14:paraId="61B8D656">
      <w:pPr>
        <w:pStyle w:val="16"/>
        <w:widowControl w:val="0"/>
        <w:wordWrap/>
        <w:snapToGrid/>
        <w:spacing w:line="360" w:lineRule="auto"/>
        <w:ind w:firstLine="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26、废标</w:t>
      </w:r>
    </w:p>
    <w:p w14:paraId="27E30090">
      <w:pPr>
        <w:pStyle w:val="73"/>
        <w:widowControl w:val="0"/>
        <w:wordWrap/>
        <w:snapToGrid/>
        <w:spacing w:before="0" w:line="360" w:lineRule="auto"/>
        <w:ind w:firstLine="600" w:firstLineChars="250"/>
        <w:textAlignment w:val="auto"/>
        <w:rPr>
          <w:rFonts w:hint="eastAsia" w:ascii="仿宋" w:hAnsi="仿宋" w:eastAsia="仿宋" w:cs="仿宋"/>
          <w:color w:val="auto"/>
          <w:kern w:val="0"/>
          <w:szCs w:val="24"/>
          <w:highlight w:val="none"/>
          <w:lang w:val="zh-CN"/>
        </w:rPr>
      </w:pPr>
      <w:r>
        <w:rPr>
          <w:rFonts w:hint="eastAsia" w:ascii="仿宋" w:hAnsi="仿宋" w:eastAsia="仿宋" w:cs="仿宋"/>
          <w:color w:val="auto"/>
          <w:kern w:val="0"/>
          <w:szCs w:val="24"/>
          <w:highlight w:val="none"/>
          <w:lang w:val="zh-CN"/>
        </w:rPr>
        <w:t>根据相关法律法规规定，在招标中，出现下列情形之一的，应予废标：</w:t>
      </w:r>
    </w:p>
    <w:p w14:paraId="7126C30A">
      <w:pPr>
        <w:pStyle w:val="73"/>
        <w:widowControl w:val="0"/>
        <w:wordWrap/>
        <w:snapToGrid/>
        <w:spacing w:before="0" w:line="360" w:lineRule="auto"/>
        <w:ind w:firstLine="508" w:firstLineChars="212"/>
        <w:textAlignment w:val="auto"/>
        <w:rPr>
          <w:rFonts w:hint="eastAsia" w:ascii="仿宋" w:hAnsi="仿宋" w:eastAsia="仿宋" w:cs="仿宋"/>
          <w:color w:val="auto"/>
          <w:kern w:val="0"/>
          <w:szCs w:val="24"/>
          <w:highlight w:val="none"/>
          <w:lang w:val="zh-CN"/>
        </w:rPr>
      </w:pPr>
      <w:r>
        <w:rPr>
          <w:rFonts w:hint="eastAsia" w:ascii="仿宋" w:hAnsi="仿宋" w:eastAsia="仿宋" w:cs="仿宋"/>
          <w:color w:val="auto"/>
          <w:kern w:val="0"/>
          <w:szCs w:val="24"/>
          <w:highlight w:val="none"/>
          <w:lang w:val="zh-CN"/>
        </w:rPr>
        <w:t>26.1、符合专业条件的投标人或者对招标文件作实质响应的投标人不足三家的；</w:t>
      </w:r>
    </w:p>
    <w:p w14:paraId="114D39F0">
      <w:pPr>
        <w:pStyle w:val="73"/>
        <w:widowControl w:val="0"/>
        <w:wordWrap/>
        <w:snapToGrid/>
        <w:spacing w:before="0" w:line="360" w:lineRule="auto"/>
        <w:ind w:firstLine="480"/>
        <w:textAlignment w:val="auto"/>
        <w:rPr>
          <w:rFonts w:hint="eastAsia" w:ascii="仿宋" w:hAnsi="仿宋" w:eastAsia="仿宋" w:cs="仿宋"/>
          <w:color w:val="auto"/>
          <w:kern w:val="0"/>
          <w:szCs w:val="24"/>
          <w:highlight w:val="none"/>
          <w:lang w:val="zh-CN"/>
        </w:rPr>
      </w:pPr>
      <w:r>
        <w:rPr>
          <w:rFonts w:hint="eastAsia" w:ascii="仿宋" w:hAnsi="仿宋" w:eastAsia="仿宋" w:cs="仿宋"/>
          <w:color w:val="auto"/>
          <w:kern w:val="0"/>
          <w:szCs w:val="24"/>
          <w:highlight w:val="none"/>
          <w:lang w:val="zh-CN"/>
        </w:rPr>
        <w:t>26.2、出现影响招投标公正的违法、违规行为的；</w:t>
      </w:r>
    </w:p>
    <w:p w14:paraId="6B15099F">
      <w:pPr>
        <w:pStyle w:val="73"/>
        <w:widowControl w:val="0"/>
        <w:wordWrap/>
        <w:snapToGrid/>
        <w:spacing w:before="0" w:line="360" w:lineRule="auto"/>
        <w:ind w:firstLine="480"/>
        <w:textAlignment w:val="auto"/>
        <w:rPr>
          <w:rFonts w:hint="eastAsia" w:ascii="仿宋" w:hAnsi="仿宋" w:eastAsia="仿宋" w:cs="仿宋"/>
          <w:color w:val="auto"/>
          <w:kern w:val="0"/>
          <w:szCs w:val="24"/>
          <w:highlight w:val="none"/>
          <w:lang w:val="zh-CN"/>
        </w:rPr>
      </w:pPr>
      <w:r>
        <w:rPr>
          <w:rFonts w:hint="eastAsia" w:ascii="仿宋" w:hAnsi="仿宋" w:eastAsia="仿宋" w:cs="仿宋"/>
          <w:color w:val="auto"/>
          <w:kern w:val="0"/>
          <w:szCs w:val="24"/>
          <w:highlight w:val="none"/>
          <w:lang w:val="zh-CN"/>
        </w:rPr>
        <w:t>26.3、投标人的报价均超过了招标预算，招标人不能支付的；</w:t>
      </w:r>
    </w:p>
    <w:p w14:paraId="2E381E31">
      <w:pPr>
        <w:pStyle w:val="73"/>
        <w:widowControl w:val="0"/>
        <w:wordWrap/>
        <w:snapToGrid/>
        <w:spacing w:before="0" w:line="360" w:lineRule="auto"/>
        <w:ind w:firstLine="480"/>
        <w:textAlignment w:val="auto"/>
        <w:rPr>
          <w:rFonts w:hint="eastAsia" w:ascii="仿宋" w:hAnsi="仿宋" w:eastAsia="仿宋" w:cs="仿宋"/>
          <w:color w:val="auto"/>
          <w:kern w:val="0"/>
          <w:szCs w:val="24"/>
          <w:highlight w:val="none"/>
          <w:lang w:val="zh-CN"/>
        </w:rPr>
      </w:pPr>
      <w:r>
        <w:rPr>
          <w:rFonts w:hint="eastAsia" w:ascii="仿宋" w:hAnsi="仿宋" w:eastAsia="仿宋" w:cs="仿宋"/>
          <w:color w:val="auto"/>
          <w:kern w:val="0"/>
          <w:szCs w:val="24"/>
          <w:highlight w:val="none"/>
          <w:lang w:val="zh-CN"/>
        </w:rPr>
        <w:t>26.4、因重大变故，招标任务取消的；</w:t>
      </w:r>
    </w:p>
    <w:p w14:paraId="60CA803A">
      <w:pPr>
        <w:widowControl w:val="0"/>
        <w:wordWrap/>
        <w:autoSpaceDE w:val="0"/>
        <w:autoSpaceDN w:val="0"/>
        <w:adjustRightInd w:val="0"/>
        <w:snapToGrid/>
        <w:spacing w:line="360" w:lineRule="auto"/>
        <w:ind w:firstLine="57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第一条款按照有关法律法规，除作为废标外可经批准后继续按原招标方式进行或采取其它招标方式。废标后，招标人将就废标理由通知所有投标人。</w:t>
      </w:r>
    </w:p>
    <w:p w14:paraId="0DEF9807">
      <w:pPr>
        <w:pStyle w:val="16"/>
        <w:widowControl w:val="0"/>
        <w:wordWrap/>
        <w:snapToGrid/>
        <w:spacing w:line="360" w:lineRule="auto"/>
        <w:ind w:firstLine="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27、评标内容的保密</w:t>
      </w:r>
    </w:p>
    <w:p w14:paraId="26AF337C">
      <w:pPr>
        <w:pStyle w:val="73"/>
        <w:widowControl w:val="0"/>
        <w:wordWrap/>
        <w:snapToGrid/>
        <w:spacing w:before="0" w:line="360" w:lineRule="auto"/>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27.1、凡属于审查、澄清、评价和比较投标的所有资料，不应向投标人或与评标无关的其他人泄漏。</w:t>
      </w:r>
    </w:p>
    <w:p w14:paraId="02D309C5">
      <w:pPr>
        <w:pStyle w:val="73"/>
        <w:widowControl w:val="0"/>
        <w:wordWrap/>
        <w:snapToGrid/>
        <w:spacing w:before="0" w:line="360" w:lineRule="auto"/>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27.2、在投标文件的审查、澄清、评价和比较以及确定中标单位过程中，投标人对</w:t>
      </w:r>
      <w:r>
        <w:rPr>
          <w:rFonts w:hint="eastAsia" w:ascii="仿宋" w:hAnsi="仿宋" w:eastAsia="仿宋" w:cs="仿宋"/>
          <w:color w:val="auto"/>
          <w:szCs w:val="24"/>
          <w:highlight w:val="none"/>
          <w:lang w:eastAsia="zh-CN"/>
        </w:rPr>
        <w:t>招标代理机构</w:t>
      </w:r>
      <w:r>
        <w:rPr>
          <w:rFonts w:hint="eastAsia" w:ascii="仿宋" w:hAnsi="仿宋" w:eastAsia="仿宋" w:cs="仿宋"/>
          <w:color w:val="auto"/>
          <w:szCs w:val="24"/>
          <w:highlight w:val="none"/>
        </w:rPr>
        <w:t>和评标委员会施加影响的违规行为，都将导致其不被推荐为中标候选人。</w:t>
      </w:r>
    </w:p>
    <w:p w14:paraId="0117E8E7">
      <w:pPr>
        <w:pStyle w:val="73"/>
        <w:widowControl w:val="0"/>
        <w:wordWrap/>
        <w:snapToGrid/>
        <w:spacing w:before="0" w:line="360" w:lineRule="auto"/>
        <w:ind w:firstLine="480"/>
        <w:textAlignment w:val="auto"/>
        <w:rPr>
          <w:rFonts w:hint="eastAsia" w:ascii="仿宋" w:hAnsi="仿宋" w:eastAsia="仿宋" w:cs="仿宋"/>
          <w:color w:val="auto"/>
          <w:szCs w:val="24"/>
          <w:highlight w:val="none"/>
        </w:rPr>
      </w:pPr>
    </w:p>
    <w:p w14:paraId="63171068">
      <w:pPr>
        <w:pStyle w:val="73"/>
        <w:widowControl w:val="0"/>
        <w:wordWrap/>
        <w:snapToGrid/>
        <w:spacing w:before="0" w:line="360" w:lineRule="auto"/>
        <w:ind w:firstLine="0" w:firstLineChars="0"/>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七、定标</w:t>
      </w:r>
    </w:p>
    <w:p w14:paraId="536F162A">
      <w:pPr>
        <w:pStyle w:val="73"/>
        <w:widowControl w:val="0"/>
        <w:wordWrap/>
        <w:snapToGrid/>
        <w:spacing w:before="0" w:line="360" w:lineRule="auto"/>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28、 </w:t>
      </w:r>
      <w:r>
        <w:rPr>
          <w:rFonts w:hint="eastAsia" w:ascii="仿宋" w:hAnsi="仿宋" w:eastAsia="仿宋" w:cs="仿宋"/>
          <w:b/>
          <w:color w:val="auto"/>
          <w:highlight w:val="none"/>
        </w:rPr>
        <w:t>推荐中标单位</w:t>
      </w:r>
    </w:p>
    <w:p w14:paraId="41883E6E">
      <w:pPr>
        <w:pStyle w:val="73"/>
        <w:widowControl w:val="0"/>
        <w:wordWrap/>
        <w:snapToGrid/>
        <w:spacing w:before="0" w:line="360" w:lineRule="auto"/>
        <w:ind w:firstLine="480"/>
        <w:textAlignment w:val="auto"/>
        <w:rPr>
          <w:rFonts w:hint="eastAsia" w:ascii="仿宋" w:hAnsi="仿宋" w:eastAsia="仿宋" w:cs="仿宋"/>
          <w:b/>
          <w:color w:val="auto"/>
          <w:highlight w:val="none"/>
          <w:lang w:val="zh-CN"/>
        </w:rPr>
      </w:pPr>
      <w:r>
        <w:rPr>
          <w:rFonts w:hint="eastAsia" w:ascii="仿宋" w:hAnsi="仿宋" w:eastAsia="仿宋" w:cs="仿宋"/>
          <w:color w:val="auto"/>
          <w:szCs w:val="24"/>
          <w:highlight w:val="none"/>
        </w:rPr>
        <w:t>28.1、评标委员会将根据招标文件和有关规定，履行评标工作职责，以评标原则和评标办法为标准，全面衡量各投标人对招标文件的响应情况后，对实质上响应招标要求的投标人，以招标文件规定的</w:t>
      </w:r>
      <w:r>
        <w:rPr>
          <w:rFonts w:hint="eastAsia" w:ascii="仿宋" w:hAnsi="仿宋" w:eastAsia="仿宋" w:cs="仿宋"/>
          <w:color w:val="auto"/>
          <w:kern w:val="0"/>
          <w:highlight w:val="none"/>
          <w:lang w:val="zh-CN"/>
        </w:rPr>
        <w:t>打分方法</w:t>
      </w:r>
      <w:r>
        <w:rPr>
          <w:rFonts w:hint="eastAsia" w:ascii="仿宋" w:hAnsi="仿宋" w:eastAsia="仿宋" w:cs="仿宋"/>
          <w:color w:val="auto"/>
          <w:highlight w:val="none"/>
        </w:rPr>
        <w:t>对各投标人</w:t>
      </w:r>
      <w:r>
        <w:rPr>
          <w:rFonts w:hint="eastAsia" w:ascii="仿宋" w:hAnsi="仿宋" w:eastAsia="仿宋" w:cs="仿宋"/>
          <w:color w:val="auto"/>
          <w:kern w:val="0"/>
          <w:highlight w:val="none"/>
          <w:lang w:val="zh-CN"/>
        </w:rPr>
        <w:t>进行综合评审，按评审后得分由高到低顺序排列。得分相同的，</w:t>
      </w:r>
      <w:r>
        <w:rPr>
          <w:rFonts w:ascii="仿宋" w:hAnsi="仿宋" w:eastAsia="仿宋"/>
          <w:color w:val="auto"/>
          <w:sz w:val="24"/>
          <w:highlight w:val="none"/>
        </w:rPr>
        <w:t>按投标报价由低到高顺序排列；</w:t>
      </w:r>
      <w:r>
        <w:rPr>
          <w:rFonts w:ascii="仿宋" w:hAnsi="仿宋" w:eastAsia="仿宋"/>
          <w:color w:val="auto"/>
          <w:sz w:val="24"/>
          <w:highlight w:val="none"/>
          <w:lang w:val="zh-CN"/>
        </w:rPr>
        <w:t>得分且投标报价相同的，按技术指标优劣顺序排列；</w:t>
      </w:r>
      <w:r>
        <w:rPr>
          <w:rFonts w:hint="eastAsia" w:ascii="仿宋" w:hAnsi="仿宋" w:eastAsia="仿宋"/>
          <w:color w:val="auto"/>
          <w:sz w:val="24"/>
          <w:highlight w:val="none"/>
          <w:lang w:val="en-US" w:eastAsia="zh-CN"/>
        </w:rPr>
        <w:t>资信</w:t>
      </w:r>
      <w:r>
        <w:rPr>
          <w:rFonts w:ascii="仿宋" w:hAnsi="仿宋" w:eastAsia="仿宋"/>
          <w:color w:val="auto"/>
          <w:sz w:val="24"/>
          <w:highlight w:val="none"/>
          <w:lang w:val="zh-CN"/>
        </w:rPr>
        <w:t>得分、技术得分且投标报价均相同的，按投标人签到序号为投标人代表球号，由招标人代表抽取中标候选人</w:t>
      </w:r>
      <w:r>
        <w:rPr>
          <w:rFonts w:hint="eastAsia" w:ascii="仿宋" w:hAnsi="仿宋" w:eastAsia="仿宋" w:cs="仿宋"/>
          <w:color w:val="auto"/>
          <w:kern w:val="0"/>
          <w:highlight w:val="none"/>
          <w:lang w:val="zh-CN"/>
        </w:rPr>
        <w:t>。</w:t>
      </w:r>
      <w:r>
        <w:rPr>
          <w:rFonts w:hint="eastAsia" w:ascii="仿宋" w:hAnsi="仿宋" w:eastAsia="仿宋" w:cs="仿宋"/>
          <w:b/>
          <w:color w:val="auto"/>
          <w:highlight w:val="none"/>
          <w:lang w:val="zh-CN"/>
        </w:rPr>
        <w:t>按</w:t>
      </w:r>
      <w:r>
        <w:rPr>
          <w:rFonts w:hint="eastAsia" w:ascii="仿宋" w:hAnsi="仿宋" w:eastAsia="仿宋" w:cs="仿宋"/>
          <w:b/>
          <w:color w:val="auto"/>
          <w:highlight w:val="none"/>
        </w:rPr>
        <w:t>顺序</w:t>
      </w:r>
      <w:r>
        <w:rPr>
          <w:rFonts w:hint="eastAsia" w:ascii="仿宋" w:hAnsi="仿宋" w:eastAsia="仿宋" w:cs="仿宋"/>
          <w:b/>
          <w:color w:val="auto"/>
          <w:highlight w:val="none"/>
          <w:lang w:val="zh-CN"/>
        </w:rPr>
        <w:t>推荐一名中标候选人。</w:t>
      </w:r>
    </w:p>
    <w:p w14:paraId="4D7DDEA1">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rPr>
        <w:t>28.2、</w:t>
      </w:r>
      <w:r>
        <w:rPr>
          <w:rFonts w:hint="eastAsia" w:ascii="仿宋" w:hAnsi="仿宋" w:eastAsia="仿宋" w:cs="仿宋"/>
          <w:color w:val="auto"/>
          <w:highlight w:val="none"/>
        </w:rPr>
        <w:t>评标结果报经批准，最终确定中标单位。</w:t>
      </w:r>
    </w:p>
    <w:p w14:paraId="5FB113BD">
      <w:pPr>
        <w:pStyle w:val="73"/>
        <w:widowControl w:val="0"/>
        <w:wordWrap/>
        <w:snapToGrid/>
        <w:spacing w:before="0" w:line="360" w:lineRule="auto"/>
        <w:ind w:left="0" w:leftChars="0" w:firstLine="0" w:firstLineChars="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29、</w:t>
      </w:r>
      <w:r>
        <w:rPr>
          <w:rFonts w:hint="eastAsia" w:ascii="仿宋" w:hAnsi="仿宋" w:eastAsia="仿宋" w:cs="仿宋"/>
          <w:color w:val="auto"/>
          <w:szCs w:val="24"/>
          <w:highlight w:val="none"/>
        </w:rPr>
        <w:t>定标</w:t>
      </w:r>
    </w:p>
    <w:p w14:paraId="129B1F54">
      <w:pPr>
        <w:pStyle w:val="73"/>
        <w:widowControl w:val="0"/>
        <w:wordWrap/>
        <w:snapToGrid/>
        <w:spacing w:before="0" w:line="360" w:lineRule="auto"/>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29</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招标代理机构</w:t>
      </w:r>
      <w:r>
        <w:rPr>
          <w:rFonts w:hint="eastAsia" w:ascii="仿宋" w:hAnsi="仿宋" w:eastAsia="仿宋" w:cs="仿宋"/>
          <w:color w:val="auto"/>
          <w:szCs w:val="24"/>
          <w:highlight w:val="none"/>
        </w:rPr>
        <w:t>在评标结束后5个工作日内将评标报告交</w:t>
      </w:r>
      <w:r>
        <w:rPr>
          <w:rFonts w:hint="eastAsia" w:ascii="仿宋" w:hAnsi="仿宋" w:eastAsia="仿宋" w:cs="仿宋"/>
          <w:color w:val="auto"/>
          <w:szCs w:val="24"/>
          <w:highlight w:val="none"/>
          <w:lang w:eastAsia="zh-CN"/>
        </w:rPr>
        <w:t>招标人</w:t>
      </w:r>
      <w:r>
        <w:rPr>
          <w:rFonts w:hint="eastAsia" w:ascii="仿宋" w:hAnsi="仿宋" w:eastAsia="仿宋" w:cs="仿宋"/>
          <w:color w:val="auto"/>
          <w:szCs w:val="24"/>
          <w:highlight w:val="none"/>
        </w:rPr>
        <w:t>确认。在发布招标公告的网站上对评标结果进行公示，公示时间为3个工作日。</w:t>
      </w:r>
    </w:p>
    <w:p w14:paraId="51A7207B">
      <w:pPr>
        <w:pStyle w:val="73"/>
        <w:widowControl w:val="0"/>
        <w:wordWrap/>
        <w:snapToGrid/>
        <w:spacing w:before="0" w:line="360" w:lineRule="auto"/>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对于未中标单位，将不再另行通知，</w:t>
      </w:r>
      <w:r>
        <w:rPr>
          <w:rFonts w:hint="eastAsia" w:ascii="仿宋" w:hAnsi="仿宋" w:eastAsia="仿宋" w:cs="仿宋"/>
          <w:color w:val="auto"/>
          <w:szCs w:val="24"/>
          <w:highlight w:val="none"/>
          <w:lang w:eastAsia="zh-CN"/>
        </w:rPr>
        <w:t>招标人</w:t>
      </w:r>
      <w:r>
        <w:rPr>
          <w:rFonts w:hint="eastAsia" w:ascii="仿宋" w:hAnsi="仿宋" w:eastAsia="仿宋" w:cs="仿宋"/>
          <w:color w:val="auto"/>
          <w:szCs w:val="24"/>
          <w:highlight w:val="none"/>
        </w:rPr>
        <w:t>无义务解释未中标原因。</w:t>
      </w:r>
    </w:p>
    <w:p w14:paraId="757C6825">
      <w:pPr>
        <w:pStyle w:val="73"/>
        <w:widowControl w:val="0"/>
        <w:wordWrap/>
        <w:snapToGrid/>
        <w:spacing w:before="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29</w:t>
      </w:r>
      <w:r>
        <w:rPr>
          <w:rFonts w:hint="eastAsia" w:ascii="仿宋" w:hAnsi="仿宋" w:eastAsia="仿宋" w:cs="仿宋"/>
          <w:color w:val="auto"/>
          <w:szCs w:val="24"/>
          <w:highlight w:val="none"/>
        </w:rPr>
        <w:t>.2、中标公告发布3个工作日后，</w:t>
      </w:r>
      <w:r>
        <w:rPr>
          <w:rFonts w:hint="eastAsia" w:ascii="仿宋" w:hAnsi="仿宋" w:eastAsia="仿宋" w:cs="仿宋"/>
          <w:color w:val="auto"/>
          <w:szCs w:val="24"/>
          <w:highlight w:val="none"/>
          <w:lang w:eastAsia="zh-CN"/>
        </w:rPr>
        <w:t>招标人</w:t>
      </w:r>
      <w:r>
        <w:rPr>
          <w:rFonts w:hint="eastAsia" w:ascii="仿宋" w:hAnsi="仿宋" w:eastAsia="仿宋" w:cs="仿宋"/>
          <w:color w:val="auto"/>
          <w:highlight w:val="none"/>
        </w:rPr>
        <w:t>将以书面形式发出</w:t>
      </w:r>
      <w:r>
        <w:rPr>
          <w:rFonts w:hint="eastAsia" w:ascii="仿宋" w:hAnsi="仿宋" w:eastAsia="仿宋" w:cs="仿宋"/>
          <w:color w:val="auto"/>
          <w:highlight w:val="none"/>
          <w:lang w:eastAsia="zh-CN"/>
        </w:rPr>
        <w:t>中标通知书原件</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中标通知书原件</w:t>
      </w:r>
      <w:r>
        <w:rPr>
          <w:rFonts w:hint="eastAsia" w:ascii="仿宋" w:hAnsi="仿宋" w:eastAsia="仿宋" w:cs="仿宋"/>
          <w:color w:val="auto"/>
          <w:highlight w:val="none"/>
        </w:rPr>
        <w:t>一经发出即发生法律效力。</w:t>
      </w:r>
      <w:r>
        <w:rPr>
          <w:rFonts w:hint="eastAsia" w:ascii="仿宋" w:hAnsi="仿宋" w:eastAsia="仿宋" w:cs="仿宋"/>
          <w:color w:val="auto"/>
          <w:highlight w:val="none"/>
          <w:lang w:eastAsia="zh-CN"/>
        </w:rPr>
        <w:t>中标通知书原件</w:t>
      </w:r>
      <w:r>
        <w:rPr>
          <w:rFonts w:hint="eastAsia" w:ascii="仿宋" w:hAnsi="仿宋" w:eastAsia="仿宋" w:cs="仿宋"/>
          <w:color w:val="auto"/>
          <w:highlight w:val="none"/>
        </w:rPr>
        <w:t>将作为签订合同的依据。</w:t>
      </w:r>
    </w:p>
    <w:p w14:paraId="02E08781">
      <w:pPr>
        <w:pStyle w:val="73"/>
        <w:widowControl w:val="0"/>
        <w:wordWrap/>
        <w:snapToGrid/>
        <w:spacing w:before="0" w:line="360" w:lineRule="auto"/>
        <w:ind w:firstLine="0" w:firstLineChars="0"/>
        <w:jc w:val="center"/>
        <w:textAlignment w:val="auto"/>
        <w:rPr>
          <w:rFonts w:hint="eastAsia" w:ascii="仿宋" w:hAnsi="仿宋" w:eastAsia="仿宋" w:cs="仿宋"/>
          <w:b/>
          <w:color w:val="auto"/>
          <w:szCs w:val="24"/>
          <w:highlight w:val="none"/>
        </w:rPr>
      </w:pPr>
    </w:p>
    <w:p w14:paraId="6B3BC29E">
      <w:pPr>
        <w:pStyle w:val="73"/>
        <w:widowControl w:val="0"/>
        <w:wordWrap/>
        <w:snapToGrid/>
        <w:spacing w:before="0" w:line="360" w:lineRule="auto"/>
        <w:ind w:firstLine="0" w:firstLineChars="0"/>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八、合同签订及其他</w:t>
      </w:r>
    </w:p>
    <w:p w14:paraId="510F4DE2">
      <w:pPr>
        <w:pStyle w:val="73"/>
        <w:widowControl w:val="0"/>
        <w:wordWrap/>
        <w:snapToGrid/>
        <w:spacing w:before="0" w:line="360" w:lineRule="auto"/>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30</w:t>
      </w:r>
      <w:r>
        <w:rPr>
          <w:rFonts w:hint="eastAsia" w:ascii="仿宋" w:hAnsi="仿宋" w:eastAsia="仿宋" w:cs="仿宋"/>
          <w:b/>
          <w:color w:val="auto"/>
          <w:szCs w:val="24"/>
          <w:highlight w:val="none"/>
        </w:rPr>
        <w:t>、签订合同</w:t>
      </w:r>
    </w:p>
    <w:p w14:paraId="1FCAE6DF">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与中标单位应当在</w:t>
      </w:r>
      <w:r>
        <w:rPr>
          <w:rFonts w:hint="eastAsia" w:ascii="仿宋" w:hAnsi="仿宋" w:eastAsia="仿宋" w:cs="仿宋"/>
          <w:color w:val="auto"/>
          <w:sz w:val="24"/>
          <w:highlight w:val="none"/>
          <w:lang w:eastAsia="zh-CN"/>
        </w:rPr>
        <w:t>中标通知书原件</w:t>
      </w:r>
      <w:r>
        <w:rPr>
          <w:rFonts w:hint="eastAsia" w:ascii="仿宋" w:hAnsi="仿宋" w:eastAsia="仿宋" w:cs="仿宋"/>
          <w:color w:val="auto"/>
          <w:sz w:val="24"/>
          <w:highlight w:val="none"/>
        </w:rPr>
        <w:t>发出之日起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日内签订合同。</w:t>
      </w:r>
    </w:p>
    <w:p w14:paraId="459FBD17">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.2、招标文件、中标单位的投标文件、澄清文件及</w:t>
      </w:r>
      <w:r>
        <w:rPr>
          <w:rFonts w:hint="eastAsia" w:ascii="仿宋" w:hAnsi="仿宋" w:eastAsia="仿宋" w:cs="仿宋"/>
          <w:color w:val="auto"/>
          <w:sz w:val="24"/>
          <w:highlight w:val="none"/>
          <w:lang w:eastAsia="zh-CN"/>
        </w:rPr>
        <w:t>中标通知书原件</w:t>
      </w:r>
      <w:r>
        <w:rPr>
          <w:rFonts w:hint="eastAsia" w:ascii="仿宋" w:hAnsi="仿宋" w:eastAsia="仿宋" w:cs="仿宋"/>
          <w:color w:val="auto"/>
          <w:sz w:val="24"/>
          <w:highlight w:val="none"/>
        </w:rPr>
        <w:t>等，均为签订合同的依据。</w:t>
      </w:r>
    </w:p>
    <w:p w14:paraId="05C063D4">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.3、中标单位不遵守招标文件或投标文件的要约、承诺，擅自修改报价或在接到</w:t>
      </w:r>
      <w:r>
        <w:rPr>
          <w:rFonts w:hint="eastAsia" w:ascii="仿宋" w:hAnsi="仿宋" w:eastAsia="仿宋" w:cs="仿宋"/>
          <w:color w:val="auto"/>
          <w:sz w:val="24"/>
          <w:highlight w:val="none"/>
          <w:lang w:eastAsia="zh-CN"/>
        </w:rPr>
        <w:t>中标通知书原件</w:t>
      </w:r>
      <w:r>
        <w:rPr>
          <w:rFonts w:hint="eastAsia" w:ascii="仿宋" w:hAnsi="仿宋" w:eastAsia="仿宋" w:cs="仿宋"/>
          <w:color w:val="auto"/>
          <w:sz w:val="24"/>
          <w:highlight w:val="none"/>
        </w:rPr>
        <w:t>规定时间内借故拖延、拒签合同者，</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有权取消该单位的中标资格，与下一中标候选人签订合同或重新组织招标。</w:t>
      </w:r>
    </w:p>
    <w:p w14:paraId="23EF5A35">
      <w:pPr>
        <w:pStyle w:val="73"/>
        <w:widowControl w:val="0"/>
        <w:wordWrap/>
        <w:snapToGrid/>
        <w:spacing w:before="0" w:line="360" w:lineRule="auto"/>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31</w:t>
      </w:r>
      <w:r>
        <w:rPr>
          <w:rFonts w:hint="eastAsia" w:ascii="仿宋" w:hAnsi="仿宋" w:eastAsia="仿宋" w:cs="仿宋"/>
          <w:b/>
          <w:color w:val="auto"/>
          <w:szCs w:val="24"/>
          <w:highlight w:val="none"/>
        </w:rPr>
        <w:t>、履约保证金、质量保证金</w:t>
      </w:r>
    </w:p>
    <w:p w14:paraId="004EC422">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.1、履约保证金、质量保证金根据不同</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招标需求</w:t>
      </w:r>
      <w:r>
        <w:rPr>
          <w:rFonts w:hint="eastAsia" w:ascii="仿宋" w:hAnsi="仿宋" w:eastAsia="仿宋" w:cs="仿宋"/>
          <w:color w:val="auto"/>
          <w:sz w:val="24"/>
          <w:highlight w:val="none"/>
        </w:rPr>
        <w:t>而定。</w:t>
      </w:r>
    </w:p>
    <w:p w14:paraId="021F6395">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.2、履约保证金、质量保证金均由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收取。</w:t>
      </w:r>
    </w:p>
    <w:p w14:paraId="5976184E">
      <w:pPr>
        <w:pStyle w:val="73"/>
        <w:widowControl w:val="0"/>
        <w:wordWrap/>
        <w:snapToGrid/>
        <w:spacing w:before="0" w:line="360" w:lineRule="auto"/>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32</w:t>
      </w:r>
      <w:r>
        <w:rPr>
          <w:rFonts w:hint="eastAsia" w:ascii="仿宋" w:hAnsi="仿宋" w:eastAsia="仿宋" w:cs="仿宋"/>
          <w:b/>
          <w:color w:val="auto"/>
          <w:szCs w:val="24"/>
          <w:highlight w:val="none"/>
        </w:rPr>
        <w:t>、对不按招标文件、投标承诺及合同要求供货的</w:t>
      </w:r>
      <w:r>
        <w:rPr>
          <w:rFonts w:hint="eastAsia" w:ascii="仿宋" w:hAnsi="仿宋" w:eastAsia="仿宋" w:cs="仿宋"/>
          <w:b/>
          <w:color w:val="auto"/>
          <w:szCs w:val="24"/>
          <w:highlight w:val="none"/>
          <w:lang w:eastAsia="zh-CN"/>
        </w:rPr>
        <w:t>投标人</w:t>
      </w:r>
      <w:r>
        <w:rPr>
          <w:rFonts w:hint="eastAsia" w:ascii="仿宋" w:hAnsi="仿宋" w:eastAsia="仿宋" w:cs="仿宋"/>
          <w:b/>
          <w:color w:val="auto"/>
          <w:szCs w:val="24"/>
          <w:highlight w:val="none"/>
        </w:rPr>
        <w:t>，将依据相关法律法规的规定，给予1至3年内禁止参加</w:t>
      </w:r>
      <w:r>
        <w:rPr>
          <w:rFonts w:hint="eastAsia" w:ascii="仿宋" w:hAnsi="仿宋" w:eastAsia="仿宋" w:cs="仿宋"/>
          <w:b/>
          <w:color w:val="auto"/>
          <w:highlight w:val="none"/>
          <w:lang w:val="en-US" w:eastAsia="zh-CN"/>
        </w:rPr>
        <w:t>招标单位</w:t>
      </w:r>
      <w:r>
        <w:rPr>
          <w:rFonts w:hint="eastAsia" w:ascii="仿宋" w:hAnsi="仿宋" w:eastAsia="仿宋" w:cs="仿宋"/>
          <w:b/>
          <w:color w:val="auto"/>
          <w:szCs w:val="24"/>
          <w:highlight w:val="none"/>
          <w:lang w:eastAsia="zh-CN"/>
        </w:rPr>
        <w:t>招标</w:t>
      </w:r>
      <w:r>
        <w:rPr>
          <w:rFonts w:hint="eastAsia" w:ascii="仿宋" w:hAnsi="仿宋" w:eastAsia="仿宋" w:cs="仿宋"/>
          <w:b/>
          <w:color w:val="auto"/>
          <w:szCs w:val="24"/>
          <w:highlight w:val="none"/>
        </w:rPr>
        <w:t>活动的处罚，对拒不改正的将无限期禁止其参加</w:t>
      </w:r>
      <w:r>
        <w:rPr>
          <w:rFonts w:hint="eastAsia" w:ascii="仿宋" w:hAnsi="仿宋" w:eastAsia="仿宋" w:cs="仿宋"/>
          <w:b/>
          <w:color w:val="auto"/>
          <w:szCs w:val="24"/>
          <w:highlight w:val="none"/>
          <w:lang w:eastAsia="zh-CN"/>
        </w:rPr>
        <w:t>招标</w:t>
      </w:r>
      <w:r>
        <w:rPr>
          <w:rFonts w:hint="eastAsia" w:ascii="仿宋" w:hAnsi="仿宋" w:eastAsia="仿宋" w:cs="仿宋"/>
          <w:b/>
          <w:color w:val="auto"/>
          <w:szCs w:val="24"/>
          <w:highlight w:val="none"/>
        </w:rPr>
        <w:t>活动，同时将处罚结果上网进行公示。</w:t>
      </w:r>
    </w:p>
    <w:p w14:paraId="2C844BA9">
      <w:pPr>
        <w:pStyle w:val="73"/>
        <w:widowControl w:val="0"/>
        <w:wordWrap/>
        <w:snapToGrid/>
        <w:spacing w:before="0" w:line="360" w:lineRule="auto"/>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33</w:t>
      </w:r>
      <w:r>
        <w:rPr>
          <w:rFonts w:hint="eastAsia" w:ascii="仿宋" w:hAnsi="仿宋" w:eastAsia="仿宋" w:cs="仿宋"/>
          <w:b/>
          <w:color w:val="auto"/>
          <w:szCs w:val="24"/>
          <w:highlight w:val="none"/>
        </w:rPr>
        <w:t>、质疑与投诉</w:t>
      </w:r>
    </w:p>
    <w:p w14:paraId="62351520">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过程、中标结果使自己的权益受到损害的，可以在</w:t>
      </w:r>
      <w:r>
        <w:rPr>
          <w:rFonts w:hint="eastAsia" w:ascii="仿宋" w:hAnsi="仿宋" w:eastAsia="仿宋" w:cs="仿宋"/>
          <w:color w:val="auto"/>
          <w:sz w:val="24"/>
          <w:highlight w:val="none"/>
          <w:lang w:val="en-US" w:eastAsia="zh-CN"/>
        </w:rPr>
        <w:t>中标公示期</w:t>
      </w:r>
      <w:r>
        <w:rPr>
          <w:rFonts w:hint="eastAsia" w:ascii="仿宋" w:hAnsi="仿宋" w:eastAsia="仿宋" w:cs="仿宋"/>
          <w:color w:val="auto"/>
          <w:sz w:val="24"/>
          <w:highlight w:val="none"/>
        </w:rPr>
        <w:t>内，以书面形式向</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招标代理机构提出质疑，针对同一招标程序环节的质疑应一次性提出。</w:t>
      </w:r>
    </w:p>
    <w:p w14:paraId="0FFA0900">
      <w:pPr>
        <w:widowControl w:val="0"/>
        <w:wordWrap/>
        <w:adjustRightInd w:val="0"/>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.2、投标人对招标代理机构的质疑答复不满意或者招标代理机构未在规定时间内作出答复的，可以在答复期满后十五个工作日内</w:t>
      </w:r>
      <w:r>
        <w:rPr>
          <w:rFonts w:hint="eastAsia" w:ascii="仿宋" w:hAnsi="仿宋" w:eastAsia="仿宋" w:cs="仿宋"/>
          <w:color w:val="auto"/>
          <w:sz w:val="24"/>
          <w:highlight w:val="none"/>
          <w:lang w:val="en-US" w:eastAsia="zh-CN"/>
        </w:rPr>
        <w:t>仓前街道小额办公室投诉，联系电话：</w:t>
      </w:r>
      <w:r>
        <w:rPr>
          <w:rFonts w:hint="eastAsia" w:ascii="仿宋" w:hAnsi="仿宋" w:eastAsia="仿宋" w:cs="仿宋"/>
          <w:color w:val="auto"/>
          <w:sz w:val="24"/>
          <w:highlight w:val="none"/>
          <w:lang w:val="en-US" w:eastAsia="zh-CN"/>
        </w:rPr>
        <w:t>0571-88563701</w:t>
      </w:r>
      <w:r>
        <w:rPr>
          <w:rFonts w:hint="eastAsia" w:ascii="仿宋" w:hAnsi="仿宋" w:eastAsia="仿宋" w:cs="仿宋"/>
          <w:color w:val="auto"/>
          <w:sz w:val="24"/>
          <w:highlight w:val="none"/>
          <w:lang w:val="en-US" w:eastAsia="zh-CN"/>
        </w:rPr>
        <w:t>。</w:t>
      </w:r>
    </w:p>
    <w:p w14:paraId="59B8505A">
      <w:pPr>
        <w:widowControl w:val="0"/>
        <w:wordWrap/>
        <w:adjustRightInd w:val="0"/>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.3、质疑、投诉范本：无统一格式。</w:t>
      </w:r>
    </w:p>
    <w:p w14:paraId="254AD95A">
      <w:pPr>
        <w:pStyle w:val="73"/>
        <w:shd w:val="clear" w:color="auto" w:fill="auto"/>
        <w:spacing w:before="0"/>
        <w:ind w:firstLine="482"/>
        <w:jc w:val="center"/>
        <w:rPr>
          <w:rFonts w:ascii="仿宋" w:hAnsi="仿宋" w:eastAsia="仿宋"/>
          <w:b/>
          <w:bCs/>
          <w:color w:val="auto"/>
          <w:highlight w:val="none"/>
        </w:rPr>
      </w:pPr>
      <w:r>
        <w:rPr>
          <w:rFonts w:ascii="仿宋" w:hAnsi="仿宋" w:eastAsia="仿宋"/>
          <w:b/>
          <w:bCs/>
          <w:color w:val="auto"/>
          <w:highlight w:val="none"/>
        </w:rPr>
        <w:t>第二节   投标人须知之专用条款</w:t>
      </w:r>
    </w:p>
    <w:p w14:paraId="0627D4A6">
      <w:pPr>
        <w:pStyle w:val="73"/>
        <w:shd w:val="clear" w:color="auto" w:fill="auto"/>
        <w:ind w:firstLine="482"/>
        <w:rPr>
          <w:rFonts w:ascii="仿宋" w:hAnsi="仿宋" w:eastAsia="仿宋"/>
          <w:color w:val="auto"/>
          <w:sz w:val="24"/>
          <w:highlight w:val="none"/>
        </w:rPr>
      </w:pPr>
      <w:r>
        <w:rPr>
          <w:rFonts w:ascii="仿宋" w:hAnsi="仿宋" w:eastAsia="仿宋"/>
          <w:b/>
          <w:color w:val="auto"/>
          <w:sz w:val="24"/>
          <w:szCs w:val="24"/>
          <w:highlight w:val="none"/>
        </w:rPr>
        <w:t>34、投标文件组成（加“▲”的资料为必须提供，否则将视为无效标处理）</w:t>
      </w:r>
      <w:r>
        <w:rPr>
          <w:rFonts w:ascii="仿宋" w:hAnsi="仿宋" w:eastAsia="仿宋"/>
          <w:b/>
          <w:color w:val="auto"/>
          <w:sz w:val="24"/>
          <w:highlight w:val="none"/>
        </w:rPr>
        <w:t>部分格式可参考“第五部分 投标文件格式”，未提供参考格式的由投标人根据相关要求自行编制。</w:t>
      </w:r>
      <w:r>
        <w:rPr>
          <w:rFonts w:ascii="仿宋" w:hAnsi="仿宋" w:eastAsia="仿宋"/>
          <w:color w:val="auto"/>
          <w:sz w:val="24"/>
          <w:highlight w:val="none"/>
        </w:rPr>
        <w:t>投标文件一般应当包括以下主要内容：</w:t>
      </w:r>
      <w:r>
        <w:rPr>
          <w:rFonts w:ascii="仿宋" w:hAnsi="仿宋" w:eastAsia="仿宋"/>
          <w:b/>
          <w:color w:val="auto"/>
          <w:sz w:val="24"/>
          <w:highlight w:val="none"/>
        </w:rPr>
        <w:t>报价文件和技术文件、</w:t>
      </w:r>
      <w:r>
        <w:rPr>
          <w:rFonts w:hint="eastAsia" w:ascii="仿宋" w:hAnsi="仿宋" w:eastAsia="仿宋"/>
          <w:b/>
          <w:color w:val="auto"/>
          <w:sz w:val="24"/>
          <w:highlight w:val="none"/>
          <w:lang w:val="en-US" w:eastAsia="zh-CN"/>
        </w:rPr>
        <w:t>资信</w:t>
      </w:r>
      <w:r>
        <w:rPr>
          <w:rFonts w:ascii="仿宋" w:hAnsi="仿宋" w:eastAsia="仿宋"/>
          <w:b/>
          <w:color w:val="auto"/>
          <w:sz w:val="24"/>
          <w:highlight w:val="none"/>
        </w:rPr>
        <w:t>文件</w:t>
      </w:r>
      <w:r>
        <w:rPr>
          <w:rFonts w:ascii="仿宋" w:hAnsi="仿宋" w:eastAsia="仿宋"/>
          <w:color w:val="auto"/>
          <w:sz w:val="24"/>
          <w:highlight w:val="none"/>
        </w:rPr>
        <w:t>。</w:t>
      </w:r>
    </w:p>
    <w:p w14:paraId="21F86253">
      <w:pPr>
        <w:pStyle w:val="46"/>
        <w:shd w:val="clear" w:color="auto" w:fill="auto"/>
        <w:spacing w:line="360" w:lineRule="auto"/>
        <w:ind w:firstLine="482"/>
        <w:rPr>
          <w:rFonts w:ascii="仿宋" w:hAnsi="仿宋" w:eastAsia="仿宋"/>
          <w:b/>
          <w:color w:val="auto"/>
          <w:sz w:val="24"/>
          <w:highlight w:val="none"/>
        </w:rPr>
      </w:pPr>
      <w:r>
        <w:rPr>
          <w:rFonts w:ascii="仿宋" w:hAnsi="仿宋" w:eastAsia="仿宋"/>
          <w:b/>
          <w:color w:val="auto"/>
          <w:sz w:val="24"/>
          <w:highlight w:val="none"/>
        </w:rPr>
        <w:t>注意：投标文件封面、开标一览表、投标响应函、授权委托书须加盖单位公章，开标一览表、投标响应函须经法定代表人（或授权代表）签字，否则视为无效投标。</w:t>
      </w:r>
    </w:p>
    <w:p w14:paraId="355ED91D">
      <w:pPr>
        <w:pStyle w:val="73"/>
        <w:shd w:val="clear" w:color="auto" w:fill="auto"/>
        <w:spacing w:before="0"/>
        <w:ind w:firstLine="482"/>
        <w:rPr>
          <w:rFonts w:ascii="仿宋" w:hAnsi="仿宋" w:eastAsia="仿宋"/>
          <w:color w:val="auto"/>
          <w:sz w:val="24"/>
          <w:szCs w:val="24"/>
          <w:highlight w:val="none"/>
        </w:rPr>
      </w:pPr>
      <w:r>
        <w:rPr>
          <w:rFonts w:ascii="仿宋" w:hAnsi="仿宋" w:eastAsia="仿宋"/>
          <w:b/>
          <w:color w:val="auto"/>
          <w:sz w:val="24"/>
          <w:szCs w:val="24"/>
          <w:highlight w:val="none"/>
        </w:rPr>
        <w:t>34.1、</w:t>
      </w:r>
      <w:r>
        <w:rPr>
          <w:rFonts w:ascii="仿宋" w:hAnsi="仿宋" w:eastAsia="仿宋"/>
          <w:color w:val="auto"/>
          <w:sz w:val="24"/>
          <w:szCs w:val="24"/>
          <w:highlight w:val="none"/>
        </w:rPr>
        <w:t xml:space="preserve"> 投标人的</w:t>
      </w:r>
      <w:r>
        <w:rPr>
          <w:rFonts w:ascii="仿宋" w:hAnsi="仿宋" w:eastAsia="仿宋"/>
          <w:b/>
          <w:color w:val="auto"/>
          <w:sz w:val="24"/>
          <w:szCs w:val="24"/>
          <w:highlight w:val="none"/>
        </w:rPr>
        <w:t>报价文件</w:t>
      </w:r>
      <w:r>
        <w:rPr>
          <w:rFonts w:ascii="仿宋" w:hAnsi="仿宋" w:eastAsia="仿宋"/>
          <w:color w:val="auto"/>
          <w:sz w:val="24"/>
          <w:szCs w:val="24"/>
          <w:highlight w:val="none"/>
        </w:rPr>
        <w:t>应单独密封，内容应当包含以下内容：</w:t>
      </w:r>
    </w:p>
    <w:p w14:paraId="0E30CC5C">
      <w:pPr>
        <w:pStyle w:val="58"/>
        <w:shd w:val="clear" w:color="auto" w:fill="auto"/>
        <w:spacing w:line="360" w:lineRule="auto"/>
        <w:ind w:firstLine="482"/>
        <w:rPr>
          <w:rFonts w:ascii="仿宋" w:hAnsi="仿宋" w:eastAsia="仿宋"/>
          <w:b/>
          <w:color w:val="auto"/>
          <w:sz w:val="24"/>
          <w:highlight w:val="none"/>
        </w:rPr>
      </w:pPr>
      <w:r>
        <w:rPr>
          <w:rFonts w:ascii="仿宋" w:hAnsi="仿宋" w:eastAsia="仿宋"/>
          <w:b/>
          <w:color w:val="auto"/>
          <w:sz w:val="24"/>
          <w:highlight w:val="none"/>
        </w:rPr>
        <w:t>▲34.1.1、开标一览表；</w:t>
      </w:r>
    </w:p>
    <w:p w14:paraId="61524EC1">
      <w:pPr>
        <w:pStyle w:val="46"/>
        <w:spacing w:line="360" w:lineRule="auto"/>
        <w:ind w:firstLine="723" w:firstLineChars="300"/>
        <w:rPr>
          <w:rFonts w:hint="default" w:eastAsia="仿宋"/>
          <w:highlight w:val="none"/>
          <w:lang w:val="en-US" w:eastAsia="zh-CN"/>
        </w:rPr>
      </w:pPr>
      <w:r>
        <w:rPr>
          <w:rFonts w:ascii="仿宋" w:hAnsi="仿宋" w:eastAsia="仿宋"/>
          <w:b/>
          <w:color w:val="auto"/>
          <w:sz w:val="24"/>
          <w:highlight w:val="none"/>
        </w:rPr>
        <w:t>34.1.</w:t>
      </w:r>
      <w:r>
        <w:rPr>
          <w:rFonts w:hint="eastAsia" w:ascii="仿宋" w:hAnsi="仿宋" w:eastAsia="仿宋"/>
          <w:b/>
          <w:color w:val="auto"/>
          <w:sz w:val="24"/>
          <w:highlight w:val="none"/>
          <w:lang w:val="en-US" w:eastAsia="zh-CN"/>
        </w:rPr>
        <w:t>2、分项报价表；</w:t>
      </w:r>
    </w:p>
    <w:p w14:paraId="75413370">
      <w:pPr>
        <w:pStyle w:val="46"/>
        <w:shd w:val="clear" w:color="010000" w:fill="FFFFFF"/>
        <w:spacing w:line="360" w:lineRule="auto"/>
        <w:ind w:firstLine="723" w:firstLineChars="300"/>
        <w:rPr>
          <w:rFonts w:ascii="仿宋" w:hAnsi="仿宋" w:eastAsia="仿宋" w:cs="Times New Roman"/>
          <w:b/>
          <w:color w:val="auto"/>
          <w:sz w:val="24"/>
          <w:highlight w:val="none"/>
        </w:rPr>
      </w:pPr>
      <w:r>
        <w:rPr>
          <w:rFonts w:ascii="仿宋" w:hAnsi="仿宋" w:eastAsia="仿宋"/>
          <w:b/>
          <w:color w:val="auto"/>
          <w:sz w:val="24"/>
          <w:highlight w:val="none"/>
        </w:rPr>
        <w:t>34.1.</w:t>
      </w:r>
      <w:r>
        <w:rPr>
          <w:rFonts w:hint="default" w:ascii="仿宋" w:hAnsi="仿宋" w:eastAsia="仿宋"/>
          <w:b/>
          <w:color w:val="auto"/>
          <w:sz w:val="24"/>
          <w:highlight w:val="none"/>
          <w:lang w:val="en-US" w:eastAsia="zh-CN"/>
        </w:rPr>
        <w:t>3</w:t>
      </w:r>
      <w:r>
        <w:rPr>
          <w:rFonts w:hint="eastAsia" w:ascii="仿宋" w:hAnsi="仿宋" w:eastAsia="仿宋" w:cs="Times New Roman"/>
          <w:b/>
          <w:color w:val="auto"/>
          <w:sz w:val="24"/>
          <w:highlight w:val="none"/>
          <w:lang w:val="en-US" w:eastAsia="zh-CN"/>
        </w:rPr>
        <w:t>、</w:t>
      </w:r>
      <w:r>
        <w:rPr>
          <w:rFonts w:ascii="仿宋" w:hAnsi="仿宋" w:eastAsia="仿宋" w:cs="Times New Roman"/>
          <w:b/>
          <w:color w:val="auto"/>
          <w:sz w:val="24"/>
          <w:highlight w:val="none"/>
        </w:rPr>
        <w:t>投标人需要说明的其他文件和资料。</w:t>
      </w:r>
    </w:p>
    <w:p w14:paraId="458602CA">
      <w:pPr>
        <w:pStyle w:val="46"/>
        <w:widowControl w:val="0"/>
        <w:shd w:val="clear" w:color="auto" w:fill="auto"/>
        <w:spacing w:line="360" w:lineRule="auto"/>
        <w:ind w:firstLine="482"/>
        <w:rPr>
          <w:rFonts w:ascii="仿宋" w:hAnsi="仿宋" w:eastAsia="仿宋"/>
          <w:b/>
          <w:color w:val="auto"/>
          <w:sz w:val="24"/>
          <w:highlight w:val="none"/>
        </w:rPr>
      </w:pPr>
      <w:r>
        <w:rPr>
          <w:rFonts w:ascii="仿宋" w:hAnsi="仿宋" w:eastAsia="仿宋"/>
          <w:b/>
          <w:color w:val="auto"/>
          <w:sz w:val="24"/>
          <w:highlight w:val="none"/>
        </w:rPr>
        <w:t>投标报价注意事项：</w:t>
      </w:r>
    </w:p>
    <w:p w14:paraId="020AF06D">
      <w:pPr>
        <w:pStyle w:val="73"/>
        <w:widowControl w:val="0"/>
        <w:shd w:val="clear" w:color="auto" w:fill="auto"/>
        <w:spacing w:before="0" w:line="360" w:lineRule="auto"/>
        <w:ind w:firstLine="480"/>
        <w:rPr>
          <w:rFonts w:ascii="仿宋" w:hAnsi="仿宋" w:eastAsia="仿宋"/>
          <w:color w:val="auto"/>
          <w:highlight w:val="none"/>
          <w:lang w:eastAsia="zh-CN"/>
        </w:rPr>
      </w:pPr>
      <w:r>
        <w:rPr>
          <w:rFonts w:ascii="仿宋" w:hAnsi="仿宋" w:eastAsia="仿宋"/>
          <w:color w:val="auto"/>
          <w:highlight w:val="none"/>
          <w:lang w:eastAsia="zh-CN"/>
        </w:rPr>
        <w:t>（</w:t>
      </w:r>
      <w:r>
        <w:rPr>
          <w:rFonts w:ascii="仿宋" w:hAnsi="仿宋" w:eastAsia="仿宋"/>
          <w:color w:val="auto"/>
          <w:highlight w:val="none"/>
          <w:lang w:val="en-US" w:eastAsia="zh-CN"/>
        </w:rPr>
        <w:t>1</w:t>
      </w:r>
      <w:r>
        <w:rPr>
          <w:rFonts w:ascii="仿宋" w:hAnsi="仿宋" w:eastAsia="仿宋"/>
          <w:color w:val="auto"/>
          <w:highlight w:val="none"/>
          <w:lang w:eastAsia="zh-CN"/>
        </w:rPr>
        <w:t>）</w:t>
      </w:r>
      <w:r>
        <w:rPr>
          <w:rFonts w:ascii="仿宋" w:hAnsi="仿宋" w:eastAsia="仿宋"/>
          <w:color w:val="auto"/>
          <w:highlight w:val="none"/>
        </w:rPr>
        <w:t>、投标报价应包括投标人中标后为完成</w:t>
      </w:r>
      <w:r>
        <w:rPr>
          <w:rFonts w:ascii="仿宋" w:hAnsi="仿宋" w:eastAsia="仿宋"/>
          <w:color w:val="auto"/>
          <w:highlight w:val="none"/>
          <w:lang w:eastAsia="zh-CN"/>
        </w:rPr>
        <w:t>本项目</w:t>
      </w:r>
      <w:r>
        <w:rPr>
          <w:rFonts w:ascii="仿宋" w:hAnsi="仿宋" w:eastAsia="仿宋"/>
          <w:color w:val="auto"/>
          <w:highlight w:val="none"/>
        </w:rPr>
        <w:t>的全部工作需支付的一切费用，</w:t>
      </w:r>
      <w:r>
        <w:rPr>
          <w:rFonts w:ascii="仿宋" w:hAnsi="仿宋" w:eastAsia="仿宋"/>
          <w:color w:val="auto"/>
          <w:highlight w:val="none"/>
          <w:lang w:eastAsia="zh-CN"/>
        </w:rPr>
        <w:t>其应包括</w:t>
      </w:r>
      <w:r>
        <w:rPr>
          <w:rFonts w:hint="eastAsia" w:ascii="仿宋" w:hAnsi="仿宋" w:eastAsia="仿宋"/>
          <w:color w:val="auto"/>
          <w:highlight w:val="none"/>
          <w:lang w:eastAsia="zh-CN"/>
        </w:rPr>
        <w:t>上报相关部门的方案编制、资料整理（含前期隧道现状调查）、评审会议会务费，相关专家费、交通费、人工费、驻地费、生活办公设施费、企业管理费、利润和税金</w:t>
      </w:r>
      <w:r>
        <w:rPr>
          <w:rFonts w:ascii="仿宋" w:hAnsi="仿宋" w:eastAsia="仿宋"/>
          <w:color w:val="auto"/>
          <w:highlight w:val="none"/>
          <w:lang w:eastAsia="zh-CN"/>
        </w:rPr>
        <w:t>等须由投标人支付的所有费用。</w:t>
      </w:r>
    </w:p>
    <w:p w14:paraId="4EDC2463">
      <w:pPr>
        <w:pStyle w:val="73"/>
        <w:widowControl w:val="0"/>
        <w:shd w:val="clear" w:color="auto" w:fill="auto"/>
        <w:spacing w:before="0" w:line="360" w:lineRule="auto"/>
        <w:ind w:firstLine="480"/>
        <w:rPr>
          <w:rFonts w:ascii="仿宋" w:hAnsi="仿宋" w:eastAsia="仿宋"/>
          <w:color w:val="auto"/>
          <w:highlight w:val="none"/>
        </w:rPr>
      </w:pPr>
      <w:r>
        <w:rPr>
          <w:rFonts w:ascii="仿宋" w:hAnsi="仿宋" w:eastAsia="仿宋"/>
          <w:color w:val="auto"/>
          <w:highlight w:val="none"/>
          <w:lang w:eastAsia="zh-CN"/>
        </w:rPr>
        <w:t>（</w:t>
      </w:r>
      <w:r>
        <w:rPr>
          <w:rFonts w:ascii="仿宋" w:hAnsi="仿宋" w:eastAsia="仿宋"/>
          <w:color w:val="auto"/>
          <w:highlight w:val="none"/>
          <w:lang w:val="en-US" w:eastAsia="zh-CN"/>
        </w:rPr>
        <w:t>2</w:t>
      </w:r>
      <w:r>
        <w:rPr>
          <w:rFonts w:ascii="仿宋" w:hAnsi="仿宋" w:eastAsia="仿宋"/>
          <w:color w:val="auto"/>
          <w:highlight w:val="none"/>
          <w:lang w:eastAsia="zh-CN"/>
        </w:rPr>
        <w:t>）</w:t>
      </w:r>
      <w:r>
        <w:rPr>
          <w:rFonts w:ascii="仿宋" w:hAnsi="仿宋" w:eastAsia="仿宋"/>
          <w:color w:val="auto"/>
          <w:highlight w:val="none"/>
        </w:rPr>
        <w:t>投标报价应是唯一的，招标方将拒绝有选择的报价。</w:t>
      </w:r>
    </w:p>
    <w:p w14:paraId="29C28B05">
      <w:pPr>
        <w:pStyle w:val="46"/>
        <w:widowControl w:val="0"/>
        <w:shd w:val="clear" w:color="auto" w:fill="auto"/>
        <w:spacing w:line="360" w:lineRule="auto"/>
        <w:ind w:firstLine="482"/>
        <w:rPr>
          <w:rFonts w:ascii="仿宋" w:hAnsi="仿宋" w:eastAsia="仿宋"/>
          <w:b/>
          <w:color w:val="auto"/>
          <w:sz w:val="24"/>
          <w:highlight w:val="none"/>
        </w:rPr>
      </w:pPr>
      <w:r>
        <w:rPr>
          <w:rFonts w:ascii="仿宋" w:hAnsi="仿宋" w:eastAsia="仿宋"/>
          <w:b/>
          <w:color w:val="auto"/>
          <w:sz w:val="24"/>
          <w:highlight w:val="none"/>
        </w:rPr>
        <w:t>34.2、投标人的技术文件内容应当包含：</w:t>
      </w:r>
    </w:p>
    <w:p w14:paraId="58F696C3">
      <w:pPr>
        <w:pStyle w:val="73"/>
        <w:widowControl w:val="0"/>
        <w:shd w:val="clear" w:color="auto" w:fill="auto"/>
        <w:spacing w:before="0" w:line="360" w:lineRule="auto"/>
        <w:ind w:firstLine="480"/>
        <w:rPr>
          <w:rFonts w:ascii="仿宋" w:hAnsi="仿宋" w:eastAsia="仿宋"/>
          <w:color w:val="auto"/>
          <w:highlight w:val="none"/>
        </w:rPr>
      </w:pPr>
      <w:r>
        <w:rPr>
          <w:rFonts w:ascii="仿宋" w:hAnsi="仿宋" w:eastAsia="仿宋"/>
          <w:color w:val="auto"/>
          <w:highlight w:val="none"/>
        </w:rPr>
        <w:t>1）目录；</w:t>
      </w:r>
    </w:p>
    <w:p w14:paraId="0BE3AB37">
      <w:pPr>
        <w:pStyle w:val="73"/>
        <w:widowControl w:val="0"/>
        <w:shd w:val="clear" w:color="auto" w:fill="auto"/>
        <w:spacing w:before="0" w:line="360" w:lineRule="auto"/>
        <w:ind w:firstLine="480"/>
        <w:rPr>
          <w:rFonts w:ascii="仿宋" w:hAnsi="仿宋" w:eastAsia="仿宋"/>
          <w:color w:val="auto"/>
          <w:highlight w:val="none"/>
        </w:rPr>
      </w:pPr>
      <w:r>
        <w:rPr>
          <w:rFonts w:ascii="仿宋" w:hAnsi="仿宋" w:eastAsia="仿宋"/>
          <w:color w:val="auto"/>
          <w:highlight w:val="none"/>
        </w:rPr>
        <w:t>2）评分响应表；</w:t>
      </w:r>
    </w:p>
    <w:p w14:paraId="442C7DFD">
      <w:pPr>
        <w:pStyle w:val="73"/>
        <w:widowControl w:val="0"/>
        <w:shd w:val="clear" w:color="auto" w:fill="auto"/>
        <w:spacing w:before="0" w:line="360" w:lineRule="auto"/>
        <w:ind w:firstLine="480"/>
        <w:rPr>
          <w:rFonts w:ascii="仿宋" w:hAnsi="仿宋" w:eastAsia="仿宋"/>
          <w:color w:val="auto"/>
          <w:highlight w:val="none"/>
        </w:rPr>
      </w:pPr>
      <w:r>
        <w:rPr>
          <w:rFonts w:ascii="仿宋" w:hAnsi="仿宋" w:eastAsia="仿宋"/>
          <w:color w:val="auto"/>
          <w:highlight w:val="none"/>
          <w:lang w:val="en-US" w:eastAsia="zh-CN"/>
        </w:rPr>
        <w:t>3</w:t>
      </w:r>
      <w:r>
        <w:rPr>
          <w:rFonts w:ascii="仿宋" w:hAnsi="仿宋" w:eastAsia="仿宋"/>
          <w:color w:val="auto"/>
          <w:highlight w:val="none"/>
        </w:rPr>
        <w:t>）对应技术分评分细则提供相关证明资料；</w:t>
      </w:r>
    </w:p>
    <w:p w14:paraId="2E9140B9">
      <w:pPr>
        <w:pStyle w:val="73"/>
        <w:widowControl w:val="0"/>
        <w:shd w:val="clear" w:color="auto" w:fill="auto"/>
        <w:spacing w:before="0" w:line="360" w:lineRule="auto"/>
        <w:ind w:firstLine="480"/>
        <w:rPr>
          <w:rFonts w:ascii="仿宋" w:hAnsi="仿宋" w:eastAsia="仿宋"/>
          <w:color w:val="auto"/>
          <w:highlight w:val="none"/>
        </w:rPr>
      </w:pPr>
      <w:r>
        <w:rPr>
          <w:rFonts w:ascii="仿宋" w:hAnsi="仿宋" w:eastAsia="仿宋"/>
          <w:color w:val="auto"/>
          <w:highlight w:val="none"/>
          <w:lang w:val="en-US" w:eastAsia="zh-CN"/>
        </w:rPr>
        <w:t>4</w:t>
      </w:r>
      <w:r>
        <w:rPr>
          <w:rFonts w:ascii="仿宋" w:hAnsi="仿宋" w:eastAsia="仿宋"/>
          <w:color w:val="auto"/>
          <w:highlight w:val="none"/>
        </w:rPr>
        <w:t>）投标人认为需要提供的与本项目有关的其他文件和说明。</w:t>
      </w:r>
    </w:p>
    <w:p w14:paraId="3155A3DE">
      <w:pPr>
        <w:pStyle w:val="46"/>
        <w:widowControl w:val="0"/>
        <w:shd w:val="clear" w:color="auto" w:fill="auto"/>
        <w:spacing w:line="360" w:lineRule="auto"/>
        <w:ind w:firstLine="482"/>
        <w:rPr>
          <w:rFonts w:ascii="仿宋" w:hAnsi="仿宋" w:eastAsia="仿宋"/>
          <w:b/>
          <w:color w:val="auto"/>
          <w:sz w:val="24"/>
          <w:highlight w:val="none"/>
        </w:rPr>
      </w:pPr>
      <w:r>
        <w:rPr>
          <w:rFonts w:ascii="仿宋" w:hAnsi="仿宋" w:eastAsia="仿宋"/>
          <w:b/>
          <w:color w:val="auto"/>
          <w:sz w:val="24"/>
          <w:highlight w:val="none"/>
        </w:rPr>
        <w:t>34.3、投标人的</w:t>
      </w:r>
      <w:r>
        <w:rPr>
          <w:rFonts w:hint="eastAsia" w:ascii="仿宋" w:hAnsi="仿宋" w:eastAsia="仿宋"/>
          <w:b/>
          <w:color w:val="auto"/>
          <w:sz w:val="24"/>
          <w:highlight w:val="none"/>
          <w:lang w:val="en-US" w:eastAsia="zh-CN"/>
        </w:rPr>
        <w:t>资信</w:t>
      </w:r>
      <w:r>
        <w:rPr>
          <w:rFonts w:ascii="仿宋" w:hAnsi="仿宋" w:eastAsia="仿宋"/>
          <w:b/>
          <w:color w:val="auto"/>
          <w:sz w:val="24"/>
          <w:highlight w:val="none"/>
        </w:rPr>
        <w:t>文件内容应当包含：</w:t>
      </w:r>
    </w:p>
    <w:p w14:paraId="5C87A1BD">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rPr>
        <w:t>1）目录；</w:t>
      </w:r>
    </w:p>
    <w:p w14:paraId="7B01ED6B">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rPr>
        <w:t>2）评分响应表；</w:t>
      </w:r>
    </w:p>
    <w:p w14:paraId="49BFB00C">
      <w:pPr>
        <w:pStyle w:val="46"/>
        <w:widowControl w:val="0"/>
        <w:shd w:val="clear" w:color="auto" w:fill="auto"/>
        <w:spacing w:line="360" w:lineRule="auto"/>
        <w:ind w:firstLine="482"/>
        <w:rPr>
          <w:rFonts w:ascii="仿宋" w:hAnsi="仿宋" w:eastAsia="仿宋"/>
          <w:b/>
          <w:bCs/>
          <w:color w:val="auto"/>
          <w:sz w:val="24"/>
          <w:highlight w:val="none"/>
        </w:rPr>
      </w:pPr>
      <w:r>
        <w:rPr>
          <w:rFonts w:ascii="仿宋" w:hAnsi="仿宋" w:eastAsia="仿宋"/>
          <w:b/>
          <w:bCs/>
          <w:color w:val="auto"/>
          <w:sz w:val="24"/>
          <w:highlight w:val="none"/>
        </w:rPr>
        <w:t>▲3）营业执照（或事业单位法人登记证书）复印件；</w:t>
      </w:r>
    </w:p>
    <w:p w14:paraId="282C125E">
      <w:pPr>
        <w:pStyle w:val="46"/>
        <w:widowControl w:val="0"/>
        <w:shd w:val="clear" w:color="auto" w:fill="auto"/>
        <w:spacing w:line="360" w:lineRule="auto"/>
        <w:ind w:firstLine="482"/>
        <w:rPr>
          <w:rFonts w:ascii="仿宋" w:hAnsi="仿宋" w:eastAsia="仿宋"/>
          <w:b/>
          <w:bCs/>
          <w:color w:val="auto"/>
          <w:sz w:val="24"/>
          <w:highlight w:val="none"/>
        </w:rPr>
      </w:pPr>
      <w:r>
        <w:rPr>
          <w:rFonts w:ascii="仿宋" w:hAnsi="仿宋" w:eastAsia="仿宋"/>
          <w:b/>
          <w:bCs/>
          <w:color w:val="auto"/>
          <w:sz w:val="24"/>
          <w:highlight w:val="none"/>
        </w:rPr>
        <w:t>▲4）投标响应函（必须按照第五部分 投标文件格式）；</w:t>
      </w:r>
    </w:p>
    <w:p w14:paraId="1FA177DC">
      <w:pPr>
        <w:pStyle w:val="46"/>
        <w:widowControl w:val="0"/>
        <w:shd w:val="clear" w:color="auto" w:fill="auto"/>
        <w:spacing w:line="360" w:lineRule="auto"/>
        <w:ind w:firstLine="482"/>
        <w:rPr>
          <w:rFonts w:ascii="仿宋" w:hAnsi="仿宋" w:eastAsia="仿宋"/>
          <w:b/>
          <w:bCs/>
          <w:color w:val="auto"/>
          <w:sz w:val="24"/>
          <w:highlight w:val="none"/>
        </w:rPr>
      </w:pPr>
      <w:r>
        <w:rPr>
          <w:rFonts w:ascii="仿宋" w:hAnsi="仿宋" w:eastAsia="仿宋"/>
          <w:b/>
          <w:bCs/>
          <w:color w:val="auto"/>
          <w:sz w:val="24"/>
          <w:highlight w:val="none"/>
        </w:rPr>
        <w:t>▲</w:t>
      </w:r>
      <w:r>
        <w:rPr>
          <w:rFonts w:ascii="仿宋" w:hAnsi="仿宋" w:eastAsia="仿宋"/>
          <w:b/>
          <w:bCs/>
          <w:color w:val="auto"/>
          <w:sz w:val="24"/>
          <w:highlight w:val="none"/>
          <w:lang w:val="en-US" w:eastAsia="zh-CN"/>
        </w:rPr>
        <w:t>5</w:t>
      </w:r>
      <w:r>
        <w:rPr>
          <w:rFonts w:ascii="仿宋" w:hAnsi="仿宋" w:eastAsia="仿宋"/>
          <w:b/>
          <w:bCs/>
          <w:color w:val="auto"/>
          <w:sz w:val="24"/>
          <w:highlight w:val="none"/>
        </w:rPr>
        <w:t>）法定代表人授权委托书原件、法定代表人及授权代表的身份证正反面复印件（必须按照第五部分 投标文件格式，如法定代表人直接参加投标并对相应文件签字的，只需提供其身份证正反面复印件）；</w:t>
      </w:r>
    </w:p>
    <w:p w14:paraId="0CA40A63">
      <w:pPr>
        <w:pStyle w:val="46"/>
        <w:widowControl w:val="0"/>
        <w:shd w:val="clear" w:color="auto" w:fill="auto"/>
        <w:spacing w:line="360" w:lineRule="auto"/>
        <w:ind w:firstLine="482"/>
        <w:rPr>
          <w:rFonts w:ascii="仿宋" w:hAnsi="仿宋" w:eastAsia="仿宋"/>
          <w:b/>
          <w:bCs/>
          <w:color w:val="auto"/>
          <w:sz w:val="24"/>
          <w:highlight w:val="none"/>
        </w:rPr>
      </w:pPr>
      <w:r>
        <w:rPr>
          <w:rFonts w:ascii="仿宋" w:hAnsi="仿宋" w:eastAsia="仿宋"/>
          <w:b/>
          <w:bCs/>
          <w:color w:val="auto"/>
          <w:sz w:val="24"/>
          <w:highlight w:val="none"/>
        </w:rPr>
        <w:t>▲</w:t>
      </w:r>
      <w:r>
        <w:rPr>
          <w:rFonts w:ascii="仿宋" w:hAnsi="仿宋" w:eastAsia="仿宋"/>
          <w:b/>
          <w:bCs/>
          <w:color w:val="auto"/>
          <w:sz w:val="24"/>
          <w:highlight w:val="none"/>
          <w:lang w:val="en-US" w:eastAsia="zh-CN"/>
        </w:rPr>
        <w:t>6</w:t>
      </w:r>
      <w:r>
        <w:rPr>
          <w:rFonts w:ascii="仿宋" w:hAnsi="仿宋" w:eastAsia="仿宋"/>
          <w:b/>
          <w:bCs/>
          <w:color w:val="auto"/>
          <w:sz w:val="24"/>
          <w:highlight w:val="none"/>
        </w:rPr>
        <w:t>）无失信行为承诺书（必须按照第五部分 投标文件格式）；</w:t>
      </w:r>
    </w:p>
    <w:p w14:paraId="7C630E4D">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lang w:val="en-US" w:eastAsia="zh-CN"/>
        </w:rPr>
        <w:t>7</w:t>
      </w:r>
      <w:r>
        <w:rPr>
          <w:rFonts w:ascii="仿宋" w:hAnsi="仿宋" w:eastAsia="仿宋"/>
          <w:color w:val="auto"/>
          <w:sz w:val="24"/>
          <w:highlight w:val="none"/>
        </w:rPr>
        <w:t>）业绩</w:t>
      </w:r>
      <w:r>
        <w:rPr>
          <w:rFonts w:ascii="仿宋" w:hAnsi="仿宋" w:eastAsia="仿宋"/>
          <w:color w:val="auto"/>
          <w:sz w:val="24"/>
          <w:highlight w:val="none"/>
          <w:lang w:eastAsia="zh-CN"/>
        </w:rPr>
        <w:t>汇总</w:t>
      </w:r>
      <w:r>
        <w:rPr>
          <w:rFonts w:ascii="仿宋" w:hAnsi="仿宋" w:eastAsia="仿宋"/>
          <w:color w:val="auto"/>
          <w:sz w:val="24"/>
          <w:highlight w:val="none"/>
        </w:rPr>
        <w:t>表（格式见第五部分 投标文件格式）；</w:t>
      </w:r>
    </w:p>
    <w:p w14:paraId="11DAAD22">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lang w:val="en-US" w:eastAsia="zh-CN"/>
        </w:rPr>
        <w:t>8</w:t>
      </w:r>
      <w:r>
        <w:rPr>
          <w:rFonts w:ascii="仿宋" w:hAnsi="仿宋" w:eastAsia="仿宋"/>
          <w:color w:val="auto"/>
          <w:sz w:val="24"/>
          <w:highlight w:val="none"/>
        </w:rPr>
        <w:t>）投标单位</w:t>
      </w:r>
      <w:r>
        <w:rPr>
          <w:rFonts w:ascii="仿宋" w:hAnsi="仿宋" w:eastAsia="仿宋"/>
          <w:color w:val="auto"/>
          <w:sz w:val="24"/>
          <w:highlight w:val="none"/>
          <w:lang w:eastAsia="zh-CN"/>
        </w:rPr>
        <w:t>拟派</w:t>
      </w:r>
      <w:r>
        <w:rPr>
          <w:rFonts w:ascii="仿宋" w:hAnsi="仿宋" w:eastAsia="仿宋"/>
          <w:color w:val="auto"/>
          <w:sz w:val="24"/>
          <w:highlight w:val="none"/>
        </w:rPr>
        <w:t>人员基本情况表（格式见第五部分 投标文件格式）；</w:t>
      </w:r>
    </w:p>
    <w:p w14:paraId="52A28426">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lang w:val="en-US" w:eastAsia="zh-CN"/>
        </w:rPr>
        <w:t>9</w:t>
      </w:r>
      <w:r>
        <w:rPr>
          <w:rFonts w:ascii="仿宋" w:hAnsi="仿宋" w:eastAsia="仿宋"/>
          <w:color w:val="auto"/>
          <w:sz w:val="24"/>
          <w:highlight w:val="none"/>
        </w:rPr>
        <w:t>）对应</w:t>
      </w:r>
      <w:r>
        <w:rPr>
          <w:rFonts w:hint="eastAsia" w:ascii="仿宋" w:hAnsi="仿宋" w:eastAsia="仿宋"/>
          <w:color w:val="auto"/>
          <w:sz w:val="24"/>
          <w:highlight w:val="none"/>
          <w:lang w:val="en-US" w:eastAsia="zh-CN"/>
        </w:rPr>
        <w:t>资信</w:t>
      </w:r>
      <w:r>
        <w:rPr>
          <w:rFonts w:ascii="仿宋" w:hAnsi="仿宋" w:eastAsia="仿宋"/>
          <w:color w:val="auto"/>
          <w:sz w:val="24"/>
          <w:highlight w:val="none"/>
        </w:rPr>
        <w:t>分评分细则提供相关证明资料；</w:t>
      </w:r>
    </w:p>
    <w:p w14:paraId="319445CF">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lang w:val="en-US" w:eastAsia="zh-CN"/>
        </w:rPr>
        <w:t>10</w:t>
      </w:r>
      <w:r>
        <w:rPr>
          <w:rFonts w:ascii="仿宋" w:hAnsi="仿宋" w:eastAsia="仿宋"/>
          <w:color w:val="auto"/>
          <w:sz w:val="24"/>
          <w:highlight w:val="none"/>
        </w:rPr>
        <w:t>）投标人认为需要提供的与本项目有关的其他文件和说明。</w:t>
      </w:r>
    </w:p>
    <w:p w14:paraId="2D183491">
      <w:pPr>
        <w:pStyle w:val="46"/>
        <w:widowControl w:val="0"/>
        <w:shd w:val="clear" w:color="auto" w:fill="auto"/>
        <w:spacing w:line="360" w:lineRule="auto"/>
        <w:ind w:firstLine="482"/>
        <w:rPr>
          <w:rFonts w:ascii="仿宋" w:hAnsi="仿宋" w:eastAsia="仿宋"/>
          <w:b/>
          <w:color w:val="auto"/>
          <w:sz w:val="24"/>
          <w:szCs w:val="24"/>
          <w:highlight w:val="none"/>
        </w:rPr>
      </w:pPr>
      <w:r>
        <w:rPr>
          <w:rFonts w:ascii="仿宋" w:hAnsi="仿宋" w:eastAsia="仿宋"/>
          <w:b/>
          <w:color w:val="auto"/>
          <w:sz w:val="24"/>
          <w:szCs w:val="24"/>
          <w:highlight w:val="none"/>
        </w:rPr>
        <w:t>35、评标办法及评分标准：</w:t>
      </w:r>
    </w:p>
    <w:p w14:paraId="066D9104">
      <w:pPr>
        <w:pStyle w:val="73"/>
        <w:widowControl w:val="0"/>
        <w:shd w:val="clear" w:color="auto" w:fill="auto"/>
        <w:spacing w:before="0" w:line="36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t>35.1、总则</w:t>
      </w:r>
    </w:p>
    <w:p w14:paraId="1D82CE74">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rPr>
        <w:t>本次评标采用综合评分法，总分为100分。合格投标人的评标得分为各项目汇总得分，中标候选资格按评标得分由高到低顺序排列，得分相同的，按投标报价由低到高顺序排列；</w:t>
      </w:r>
      <w:r>
        <w:rPr>
          <w:rFonts w:ascii="仿宋" w:hAnsi="仿宋" w:eastAsia="仿宋"/>
          <w:color w:val="auto"/>
          <w:sz w:val="24"/>
          <w:highlight w:val="none"/>
          <w:lang w:val="zh-CN"/>
        </w:rPr>
        <w:t>得分且投标报价相同的，按技术指标优劣顺序排列；</w:t>
      </w:r>
      <w:r>
        <w:rPr>
          <w:rFonts w:hint="eastAsia" w:ascii="仿宋" w:hAnsi="仿宋" w:eastAsia="仿宋"/>
          <w:color w:val="auto"/>
          <w:sz w:val="24"/>
          <w:highlight w:val="none"/>
          <w:lang w:val="en-US" w:eastAsia="zh-CN"/>
        </w:rPr>
        <w:t>资信</w:t>
      </w:r>
      <w:r>
        <w:rPr>
          <w:rFonts w:ascii="仿宋" w:hAnsi="仿宋" w:eastAsia="仿宋"/>
          <w:color w:val="auto"/>
          <w:sz w:val="24"/>
          <w:highlight w:val="none"/>
          <w:lang w:val="zh-CN"/>
        </w:rPr>
        <w:t>得分、技术得分且投标报价均相同的，按投标人签到序号为投标人代表球号，由招标人代表抽取中标候选人。</w:t>
      </w:r>
      <w:r>
        <w:rPr>
          <w:rFonts w:ascii="仿宋" w:hAnsi="仿宋" w:eastAsia="仿宋"/>
          <w:color w:val="auto"/>
          <w:sz w:val="24"/>
          <w:highlight w:val="none"/>
        </w:rPr>
        <w:t>排名第一的投标人为第一中标候选人。评分过程中采用四舍五入法，并保留小数2位。</w:t>
      </w:r>
    </w:p>
    <w:p w14:paraId="599E25A1">
      <w:pPr>
        <w:pStyle w:val="46"/>
        <w:widowControl w:val="0"/>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rPr>
        <w:t>投标人评标综合得分=价格分+(</w:t>
      </w:r>
      <w:r>
        <w:rPr>
          <w:rFonts w:hint="eastAsia" w:ascii="仿宋" w:hAnsi="仿宋" w:eastAsia="仿宋"/>
          <w:color w:val="auto"/>
          <w:sz w:val="24"/>
          <w:highlight w:val="none"/>
          <w:lang w:val="en-US" w:eastAsia="zh-CN"/>
        </w:rPr>
        <w:t>资信、</w:t>
      </w:r>
      <w:r>
        <w:rPr>
          <w:rFonts w:ascii="仿宋" w:hAnsi="仿宋" w:eastAsia="仿宋"/>
          <w:color w:val="auto"/>
          <w:sz w:val="24"/>
          <w:highlight w:val="none"/>
          <w:lang w:val="en-US" w:eastAsia="zh-CN"/>
        </w:rPr>
        <w:t>技术</w:t>
      </w:r>
      <w:r>
        <w:rPr>
          <w:rFonts w:ascii="仿宋" w:hAnsi="仿宋" w:eastAsia="仿宋"/>
          <w:color w:val="auto"/>
          <w:sz w:val="24"/>
          <w:highlight w:val="none"/>
        </w:rPr>
        <w:t>分)</w:t>
      </w:r>
    </w:p>
    <w:p w14:paraId="03B2BF05">
      <w:pPr>
        <w:pStyle w:val="46"/>
        <w:widowControl w:val="0"/>
        <w:shd w:val="clear" w:color="auto" w:fill="auto"/>
        <w:spacing w:line="360" w:lineRule="auto"/>
        <w:ind w:firstLine="482"/>
        <w:rPr>
          <w:rFonts w:ascii="仿宋" w:hAnsi="仿宋" w:eastAsia="仿宋"/>
          <w:b/>
          <w:bCs/>
          <w:color w:val="auto"/>
          <w:sz w:val="24"/>
          <w:highlight w:val="none"/>
        </w:rPr>
      </w:pPr>
      <w:r>
        <w:rPr>
          <w:rFonts w:ascii="仿宋" w:hAnsi="仿宋" w:eastAsia="仿宋"/>
          <w:b/>
          <w:bCs/>
          <w:color w:val="auto"/>
          <w:sz w:val="24"/>
          <w:highlight w:val="none"/>
        </w:rPr>
        <w:t>35.2.1、价格分（</w:t>
      </w:r>
      <w:r>
        <w:rPr>
          <w:rFonts w:hint="eastAsia" w:ascii="仿宋" w:hAnsi="仿宋" w:eastAsia="仿宋"/>
          <w:b/>
          <w:bCs/>
          <w:color w:val="auto"/>
          <w:sz w:val="24"/>
          <w:highlight w:val="none"/>
          <w:lang w:val="en-US" w:eastAsia="zh-CN"/>
        </w:rPr>
        <w:t>30</w:t>
      </w:r>
      <w:r>
        <w:rPr>
          <w:rFonts w:ascii="仿宋" w:hAnsi="仿宋" w:eastAsia="仿宋"/>
          <w:b/>
          <w:bCs/>
          <w:color w:val="auto"/>
          <w:sz w:val="24"/>
          <w:highlight w:val="none"/>
        </w:rPr>
        <w:t>分）</w:t>
      </w:r>
    </w:p>
    <w:tbl>
      <w:tblPr>
        <w:tblStyle w:val="34"/>
        <w:tblW w:w="89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9"/>
        <w:gridCol w:w="6797"/>
      </w:tblGrid>
      <w:tr w14:paraId="0DC5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149" w:type="dxa"/>
            <w:vAlign w:val="center"/>
          </w:tcPr>
          <w:p w14:paraId="729EA635">
            <w:pPr>
              <w:pStyle w:val="46"/>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报价部分评分内容</w:t>
            </w:r>
          </w:p>
        </w:tc>
        <w:tc>
          <w:tcPr>
            <w:tcW w:w="6797" w:type="dxa"/>
            <w:vAlign w:val="center"/>
          </w:tcPr>
          <w:p w14:paraId="028DC292">
            <w:pPr>
              <w:pStyle w:val="46"/>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评分标准</w:t>
            </w:r>
          </w:p>
        </w:tc>
      </w:tr>
      <w:tr w14:paraId="68A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2149" w:type="dxa"/>
            <w:vAlign w:val="center"/>
          </w:tcPr>
          <w:p w14:paraId="3F9F16F2">
            <w:pPr>
              <w:pStyle w:val="46"/>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报价评分</w:t>
            </w:r>
          </w:p>
        </w:tc>
        <w:tc>
          <w:tcPr>
            <w:tcW w:w="6797" w:type="dxa"/>
            <w:vAlign w:val="center"/>
          </w:tcPr>
          <w:p w14:paraId="4BE56610">
            <w:pPr>
              <w:pStyle w:val="46"/>
              <w:shd w:val="clear" w:color="auto" w:fill="auto"/>
              <w:spacing w:line="360" w:lineRule="auto"/>
              <w:ind w:firstLine="422"/>
              <w:rPr>
                <w:rFonts w:ascii="仿宋" w:hAnsi="仿宋" w:eastAsia="仿宋"/>
                <w:b/>
                <w:color w:val="auto"/>
                <w:sz w:val="21"/>
                <w:szCs w:val="21"/>
                <w:highlight w:val="none"/>
              </w:rPr>
            </w:pPr>
            <w:r>
              <w:rPr>
                <w:rFonts w:ascii="仿宋" w:hAnsi="仿宋" w:eastAsia="仿宋"/>
                <w:b/>
                <w:color w:val="auto"/>
                <w:sz w:val="21"/>
                <w:szCs w:val="21"/>
                <w:highlight w:val="none"/>
              </w:rPr>
              <w:t xml:space="preserve">进入有效标的投标人，按下列规定进行最终报价评审。 </w:t>
            </w:r>
          </w:p>
          <w:p w14:paraId="7949A355">
            <w:pPr>
              <w:pStyle w:val="46"/>
              <w:shd w:val="clear" w:color="auto" w:fill="auto"/>
              <w:spacing w:line="360" w:lineRule="auto"/>
              <w:ind w:firstLine="420"/>
              <w:rPr>
                <w:rFonts w:ascii="仿宋" w:hAnsi="仿宋" w:eastAsia="仿宋"/>
                <w:color w:val="auto"/>
                <w:sz w:val="24"/>
                <w:szCs w:val="24"/>
                <w:highlight w:val="none"/>
              </w:rPr>
            </w:pPr>
            <w:r>
              <w:rPr>
                <w:rFonts w:ascii="仿宋" w:hAnsi="仿宋" w:eastAsia="仿宋"/>
                <w:color w:val="auto"/>
                <w:sz w:val="21"/>
                <w:szCs w:val="21"/>
                <w:highlight w:val="none"/>
              </w:rPr>
              <w:t>报价分计算方法：根据各投标人的有效投标报价，以满足招标文件要求且有效投标价格的最低的投标报价为评标基准价，其价格分为</w:t>
            </w:r>
            <w:r>
              <w:rPr>
                <w:rFonts w:hint="eastAsia" w:ascii="仿宋" w:hAnsi="仿宋" w:eastAsia="仿宋"/>
                <w:color w:val="auto"/>
                <w:sz w:val="21"/>
                <w:szCs w:val="21"/>
                <w:highlight w:val="none"/>
                <w:lang w:val="en-US" w:eastAsia="zh-CN"/>
              </w:rPr>
              <w:t>30</w:t>
            </w:r>
            <w:r>
              <w:rPr>
                <w:rFonts w:ascii="仿宋" w:hAnsi="仿宋" w:eastAsia="仿宋"/>
                <w:color w:val="auto"/>
                <w:sz w:val="21"/>
                <w:szCs w:val="21"/>
                <w:highlight w:val="none"/>
              </w:rPr>
              <w:t>分。其他投标人的价格分统一按照下列公式计算：投标报价得分＝(评标基准价/有效投标报价)×价格权值</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lang w:val="en-US" w:eastAsia="zh-CN"/>
              </w:rPr>
              <w:t>30</w:t>
            </w:r>
            <w:r>
              <w:rPr>
                <w:rFonts w:ascii="仿宋" w:hAnsi="仿宋" w:eastAsia="仿宋"/>
                <w:color w:val="auto"/>
                <w:sz w:val="21"/>
                <w:szCs w:val="21"/>
                <w:highlight w:val="none"/>
              </w:rPr>
              <w:t>%</w:t>
            </w:r>
            <w:r>
              <w:rPr>
                <w:rFonts w:hint="eastAsia" w:ascii="仿宋" w:hAnsi="仿宋" w:eastAsia="仿宋"/>
                <w:color w:val="auto"/>
                <w:sz w:val="21"/>
                <w:szCs w:val="21"/>
                <w:highlight w:val="none"/>
                <w:lang w:eastAsia="zh-CN"/>
              </w:rPr>
              <w:t>）</w:t>
            </w:r>
            <w:r>
              <w:rPr>
                <w:rFonts w:ascii="仿宋" w:hAnsi="仿宋" w:eastAsia="仿宋"/>
                <w:color w:val="auto"/>
                <w:sz w:val="21"/>
                <w:szCs w:val="21"/>
                <w:highlight w:val="none"/>
              </w:rPr>
              <w:t>×100(精确到小数点后二位，</w:t>
            </w:r>
            <w:r>
              <w:rPr>
                <w:rFonts w:ascii="仿宋" w:hAnsi="仿宋" w:eastAsia="仿宋"/>
                <w:color w:val="auto"/>
                <w:sz w:val="21"/>
                <w:szCs w:val="21"/>
                <w:highlight w:val="none"/>
                <w:lang w:eastAsia="zh-CN"/>
              </w:rPr>
              <w:t>四舍五入</w:t>
            </w:r>
            <w:r>
              <w:rPr>
                <w:rFonts w:ascii="仿宋" w:hAnsi="仿宋" w:eastAsia="仿宋"/>
                <w:color w:val="auto"/>
                <w:sz w:val="21"/>
                <w:szCs w:val="21"/>
                <w:highlight w:val="none"/>
              </w:rPr>
              <w:t>)。</w:t>
            </w:r>
          </w:p>
        </w:tc>
      </w:tr>
    </w:tbl>
    <w:p w14:paraId="13803D50">
      <w:pPr>
        <w:pStyle w:val="73"/>
        <w:shd w:val="clear" w:color="auto" w:fill="auto"/>
        <w:spacing w:before="0" w:line="600" w:lineRule="exact"/>
        <w:ind w:firstLine="482"/>
        <w:rPr>
          <w:rFonts w:ascii="仿宋" w:hAnsi="仿宋" w:eastAsia="仿宋"/>
          <w:b/>
          <w:color w:val="auto"/>
          <w:highlight w:val="none"/>
        </w:rPr>
      </w:pPr>
      <w:r>
        <w:rPr>
          <w:rFonts w:ascii="仿宋" w:hAnsi="仿宋" w:eastAsia="仿宋"/>
          <w:b/>
          <w:color w:val="auto"/>
          <w:highlight w:val="none"/>
        </w:rPr>
        <w:t>35.2.2、</w:t>
      </w:r>
      <w:r>
        <w:rPr>
          <w:rFonts w:hint="eastAsia" w:ascii="仿宋" w:hAnsi="仿宋" w:eastAsia="仿宋"/>
          <w:b/>
          <w:color w:val="auto"/>
          <w:highlight w:val="none"/>
          <w:lang w:val="en-US" w:eastAsia="zh-CN"/>
        </w:rPr>
        <w:t>资信、</w:t>
      </w:r>
      <w:r>
        <w:rPr>
          <w:rFonts w:ascii="仿宋" w:hAnsi="仿宋" w:eastAsia="仿宋"/>
          <w:b/>
          <w:color w:val="auto"/>
          <w:highlight w:val="none"/>
        </w:rPr>
        <w:t>技术分（</w:t>
      </w:r>
      <w:r>
        <w:rPr>
          <w:rFonts w:hint="eastAsia" w:ascii="仿宋" w:hAnsi="仿宋" w:eastAsia="仿宋"/>
          <w:b/>
          <w:color w:val="auto"/>
          <w:highlight w:val="none"/>
          <w:lang w:val="en-US" w:eastAsia="zh-CN"/>
        </w:rPr>
        <w:t>70</w:t>
      </w:r>
      <w:r>
        <w:rPr>
          <w:rFonts w:ascii="仿宋" w:hAnsi="仿宋" w:eastAsia="仿宋"/>
          <w:b/>
          <w:color w:val="auto"/>
          <w:highlight w:val="none"/>
        </w:rPr>
        <w:t>分）</w:t>
      </w:r>
    </w:p>
    <w:p w14:paraId="2E31547C">
      <w:pPr>
        <w:pStyle w:val="73"/>
        <w:shd w:val="clear" w:color="auto" w:fill="auto"/>
        <w:spacing w:before="0" w:line="600" w:lineRule="exact"/>
        <w:ind w:firstLine="482"/>
        <w:rPr>
          <w:rFonts w:ascii="仿宋" w:hAnsi="仿宋" w:eastAsia="仿宋"/>
          <w:b/>
          <w:color w:val="auto"/>
          <w:highlight w:val="none"/>
        </w:rPr>
      </w:pPr>
      <w:r>
        <w:rPr>
          <w:rFonts w:ascii="仿宋" w:hAnsi="仿宋" w:eastAsia="仿宋"/>
          <w:b/>
          <w:color w:val="auto"/>
          <w:highlight w:val="none"/>
        </w:rPr>
        <w:t>1）</w:t>
      </w:r>
      <w:r>
        <w:rPr>
          <w:rFonts w:hint="eastAsia" w:ascii="仿宋" w:hAnsi="仿宋" w:eastAsia="仿宋"/>
          <w:b/>
          <w:color w:val="auto"/>
          <w:highlight w:val="none"/>
          <w:lang w:val="en-US" w:eastAsia="zh-CN"/>
        </w:rPr>
        <w:t>资信、</w:t>
      </w:r>
      <w:r>
        <w:rPr>
          <w:rFonts w:ascii="仿宋" w:hAnsi="仿宋" w:eastAsia="仿宋"/>
          <w:b/>
          <w:color w:val="auto"/>
          <w:highlight w:val="none"/>
        </w:rPr>
        <w:t>技术分的计算：</w:t>
      </w:r>
    </w:p>
    <w:p w14:paraId="004F6CB8">
      <w:pPr>
        <w:pStyle w:val="73"/>
        <w:shd w:val="clear" w:color="auto" w:fill="auto"/>
        <w:spacing w:before="0" w:line="600" w:lineRule="exact"/>
        <w:ind w:firstLine="480"/>
        <w:rPr>
          <w:rFonts w:ascii="仿宋" w:hAnsi="仿宋" w:eastAsia="仿宋"/>
          <w:color w:val="auto"/>
          <w:highlight w:val="none"/>
        </w:rPr>
      </w:pPr>
      <w:r>
        <w:rPr>
          <w:rFonts w:hint="eastAsia" w:ascii="仿宋" w:hAnsi="仿宋" w:eastAsia="仿宋"/>
          <w:color w:val="auto"/>
          <w:highlight w:val="none"/>
          <w:lang w:val="en-US" w:eastAsia="zh-CN"/>
        </w:rPr>
        <w:t>资信、</w:t>
      </w:r>
      <w:r>
        <w:rPr>
          <w:rFonts w:ascii="仿宋" w:hAnsi="仿宋" w:eastAsia="仿宋"/>
          <w:color w:val="auto"/>
          <w:highlight w:val="none"/>
        </w:rPr>
        <w:t>技术分按照评标委员会成员的独立评分结果汇总数的算术平均分计算，计算公式为：</w:t>
      </w:r>
    </w:p>
    <w:p w14:paraId="1A4E0E08">
      <w:pPr>
        <w:pStyle w:val="73"/>
        <w:shd w:val="clear" w:color="auto" w:fill="auto"/>
        <w:spacing w:before="0" w:line="600" w:lineRule="exact"/>
        <w:ind w:firstLine="480"/>
        <w:rPr>
          <w:rFonts w:ascii="仿宋" w:hAnsi="仿宋" w:eastAsia="仿宋"/>
          <w:color w:val="auto"/>
          <w:highlight w:val="none"/>
        </w:rPr>
      </w:pPr>
      <w:r>
        <w:rPr>
          <w:rFonts w:hint="eastAsia" w:ascii="仿宋" w:hAnsi="仿宋" w:eastAsia="仿宋"/>
          <w:color w:val="auto"/>
          <w:highlight w:val="none"/>
          <w:lang w:val="en-US" w:eastAsia="zh-CN"/>
        </w:rPr>
        <w:t>资信、</w:t>
      </w:r>
      <w:r>
        <w:rPr>
          <w:rFonts w:ascii="仿宋" w:hAnsi="仿宋" w:eastAsia="仿宋"/>
          <w:color w:val="auto"/>
          <w:highlight w:val="none"/>
        </w:rPr>
        <w:t>技术分=评标委员会成员的独立评分结果汇总数/评标委员会组成人员数</w:t>
      </w:r>
    </w:p>
    <w:p w14:paraId="624A969E">
      <w:pPr>
        <w:pStyle w:val="73"/>
        <w:numPr>
          <w:ilvl w:val="0"/>
          <w:numId w:val="1"/>
        </w:numPr>
        <w:shd w:val="clear" w:color="auto" w:fill="auto"/>
        <w:spacing w:before="0" w:line="600" w:lineRule="exact"/>
        <w:ind w:firstLine="482"/>
        <w:rPr>
          <w:rFonts w:ascii="仿宋" w:hAnsi="仿宋" w:eastAsia="仿宋"/>
          <w:b/>
          <w:color w:val="auto"/>
          <w:highlight w:val="none"/>
        </w:rPr>
      </w:pPr>
      <w:r>
        <w:rPr>
          <w:rFonts w:ascii="仿宋" w:hAnsi="仿宋" w:eastAsia="仿宋"/>
          <w:b/>
          <w:color w:val="auto"/>
          <w:highlight w:val="none"/>
        </w:rPr>
        <w:t>评分细则如下：</w:t>
      </w:r>
    </w:p>
    <w:p w14:paraId="0133E73B">
      <w:pPr>
        <w:pStyle w:val="73"/>
        <w:numPr>
          <w:ilvl w:val="0"/>
          <w:numId w:val="0"/>
        </w:numPr>
        <w:shd w:val="clear" w:color="auto" w:fill="auto"/>
        <w:spacing w:before="0" w:line="600" w:lineRule="exact"/>
        <w:ind w:left="482" w:leftChars="0" w:right="0"/>
        <w:rPr>
          <w:rFonts w:ascii="仿宋" w:hAnsi="仿宋" w:eastAsia="仿宋"/>
          <w:b/>
          <w:color w:val="auto"/>
          <w:highlight w:val="none"/>
        </w:rPr>
      </w:pPr>
      <w:r>
        <w:rPr>
          <w:rFonts w:hint="eastAsia" w:ascii="仿宋" w:hAnsi="仿宋" w:eastAsia="仿宋"/>
          <w:b/>
          <w:color w:val="auto"/>
          <w:highlight w:val="none"/>
          <w:lang w:val="en-US" w:eastAsia="zh-CN"/>
        </w:rPr>
        <w:t>资信</w:t>
      </w:r>
      <w:r>
        <w:rPr>
          <w:rFonts w:ascii="仿宋" w:hAnsi="仿宋" w:eastAsia="仿宋"/>
          <w:b/>
          <w:color w:val="auto"/>
          <w:highlight w:val="none"/>
        </w:rPr>
        <w:t>分（</w:t>
      </w:r>
      <w:r>
        <w:rPr>
          <w:rFonts w:hint="eastAsia" w:ascii="仿宋" w:hAnsi="仿宋" w:eastAsia="仿宋"/>
          <w:b/>
          <w:color w:val="auto"/>
          <w:highlight w:val="none"/>
          <w:lang w:val="en-US" w:eastAsia="zh-CN"/>
        </w:rPr>
        <w:t>25</w:t>
      </w:r>
      <w:r>
        <w:rPr>
          <w:rFonts w:ascii="仿宋" w:hAnsi="仿宋" w:eastAsia="仿宋"/>
          <w:b/>
          <w:color w:val="auto"/>
          <w:highlight w:val="none"/>
        </w:rPr>
        <w:t xml:space="preserve">分）： </w:t>
      </w:r>
    </w:p>
    <w:tbl>
      <w:tblPr>
        <w:tblStyle w:val="3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6607"/>
        <w:gridCol w:w="775"/>
      </w:tblGrid>
      <w:tr w14:paraId="2FC4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679" w:type="dxa"/>
            <w:vAlign w:val="center"/>
          </w:tcPr>
          <w:p w14:paraId="1FE8E6FF">
            <w:pPr>
              <w:pStyle w:val="46"/>
              <w:shd w:val="clear" w:color="auto" w:fill="auto"/>
              <w:wordWrap/>
              <w:adjustRightInd/>
              <w:snapToGrid/>
              <w:spacing w:line="340" w:lineRule="exact"/>
              <w:jc w:val="center"/>
              <w:textAlignment w:val="auto"/>
              <w:rPr>
                <w:rFonts w:ascii="仿宋" w:hAnsi="仿宋" w:eastAsia="仿宋" w:cs="Times New Roman"/>
                <w:color w:val="auto"/>
                <w:spacing w:val="0"/>
                <w:position w:val="0"/>
                <w:sz w:val="22"/>
                <w:szCs w:val="22"/>
                <w:highlight w:val="none"/>
                <w:lang w:val="en-US" w:eastAsia="zh-CN" w:bidi="ar-SA"/>
              </w:rPr>
            </w:pPr>
            <w:r>
              <w:rPr>
                <w:rFonts w:ascii="仿宋" w:hAnsi="仿宋" w:eastAsia="仿宋" w:cs="Times New Roman"/>
                <w:color w:val="auto"/>
                <w:spacing w:val="0"/>
                <w:position w:val="0"/>
                <w:sz w:val="22"/>
                <w:szCs w:val="22"/>
                <w:highlight w:val="none"/>
                <w:lang w:val="en-US" w:eastAsia="zh-CN" w:bidi="ar-SA"/>
              </w:rPr>
              <w:t>评分内容</w:t>
            </w:r>
          </w:p>
        </w:tc>
        <w:tc>
          <w:tcPr>
            <w:tcW w:w="6607" w:type="dxa"/>
            <w:vAlign w:val="center"/>
          </w:tcPr>
          <w:p w14:paraId="4E57B8F8">
            <w:pPr>
              <w:pStyle w:val="46"/>
              <w:shd w:val="clear" w:color="auto" w:fill="auto"/>
              <w:wordWrap/>
              <w:adjustRightInd/>
              <w:snapToGrid/>
              <w:spacing w:line="340" w:lineRule="exact"/>
              <w:jc w:val="center"/>
              <w:textAlignment w:val="auto"/>
              <w:rPr>
                <w:rFonts w:ascii="仿宋" w:hAnsi="仿宋" w:eastAsia="仿宋"/>
                <w:color w:val="auto"/>
                <w:sz w:val="22"/>
                <w:szCs w:val="22"/>
                <w:highlight w:val="none"/>
              </w:rPr>
            </w:pPr>
            <w:r>
              <w:rPr>
                <w:rFonts w:ascii="仿宋" w:hAnsi="仿宋" w:eastAsia="仿宋"/>
                <w:color w:val="auto"/>
                <w:sz w:val="22"/>
                <w:szCs w:val="22"/>
                <w:highlight w:val="none"/>
                <w:lang w:eastAsia="zh-CN"/>
              </w:rPr>
              <w:t>评分</w:t>
            </w:r>
            <w:r>
              <w:rPr>
                <w:rFonts w:ascii="仿宋" w:hAnsi="仿宋" w:eastAsia="仿宋"/>
                <w:color w:val="auto"/>
                <w:sz w:val="22"/>
                <w:szCs w:val="22"/>
                <w:highlight w:val="none"/>
              </w:rPr>
              <w:t>细则</w:t>
            </w:r>
          </w:p>
        </w:tc>
        <w:tc>
          <w:tcPr>
            <w:tcW w:w="775" w:type="dxa"/>
            <w:vAlign w:val="center"/>
          </w:tcPr>
          <w:p w14:paraId="1E233E39">
            <w:pPr>
              <w:pStyle w:val="46"/>
              <w:shd w:val="clear" w:color="auto" w:fill="auto"/>
              <w:wordWrap/>
              <w:adjustRightInd/>
              <w:snapToGrid/>
              <w:spacing w:line="340" w:lineRule="exact"/>
              <w:jc w:val="center"/>
              <w:textAlignment w:val="auto"/>
              <w:rPr>
                <w:rFonts w:ascii="仿宋" w:hAnsi="仿宋" w:eastAsia="仿宋"/>
                <w:color w:val="auto"/>
                <w:sz w:val="22"/>
                <w:szCs w:val="22"/>
                <w:highlight w:val="none"/>
              </w:rPr>
            </w:pPr>
            <w:r>
              <w:rPr>
                <w:rFonts w:ascii="仿宋" w:hAnsi="仿宋" w:eastAsia="仿宋"/>
                <w:color w:val="auto"/>
                <w:sz w:val="22"/>
                <w:szCs w:val="22"/>
                <w:highlight w:val="none"/>
              </w:rPr>
              <w:t>分值</w:t>
            </w:r>
          </w:p>
        </w:tc>
      </w:tr>
      <w:tr w14:paraId="4340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79" w:type="dxa"/>
            <w:vMerge w:val="restart"/>
            <w:vAlign w:val="center"/>
          </w:tcPr>
          <w:p w14:paraId="45156DAD">
            <w:pPr>
              <w:pStyle w:val="46"/>
              <w:shd w:val="clear" w:color="auto" w:fill="auto"/>
              <w:spacing w:line="340" w:lineRule="exact"/>
              <w:jc w:val="center"/>
              <w:rPr>
                <w:rFonts w:ascii="仿宋" w:hAnsi="仿宋" w:eastAsia="仿宋"/>
                <w:color w:val="auto"/>
                <w:sz w:val="22"/>
                <w:highlight w:val="none"/>
              </w:rPr>
            </w:pPr>
            <w:r>
              <w:rPr>
                <w:rFonts w:ascii="仿宋" w:hAnsi="仿宋" w:eastAsia="仿宋"/>
                <w:color w:val="auto"/>
                <w:sz w:val="22"/>
                <w:highlight w:val="none"/>
              </w:rPr>
              <w:t>综合实力</w:t>
            </w:r>
          </w:p>
          <w:p w14:paraId="1B4CDFB0">
            <w:pPr>
              <w:pStyle w:val="46"/>
              <w:shd w:val="clear" w:color="auto" w:fill="auto"/>
              <w:wordWrap/>
              <w:adjustRightInd/>
              <w:snapToGrid/>
              <w:spacing w:line="340" w:lineRule="exact"/>
              <w:jc w:val="center"/>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p>
        </w:tc>
        <w:tc>
          <w:tcPr>
            <w:tcW w:w="6607" w:type="dxa"/>
            <w:vAlign w:val="center"/>
          </w:tcPr>
          <w:p w14:paraId="15A744C3">
            <w:pPr>
              <w:spacing w:line="340" w:lineRule="exact"/>
              <w:rPr>
                <w:rFonts w:ascii="仿宋" w:hAnsi="仿宋" w:eastAsia="仿宋"/>
                <w:color w:val="auto"/>
                <w:sz w:val="22"/>
                <w:highlight w:val="none"/>
                <w:lang w:eastAsia="zh-CN"/>
              </w:rPr>
            </w:pPr>
            <w:r>
              <w:rPr>
                <w:rFonts w:hint="eastAsia" w:ascii="仿宋" w:hAnsi="仿宋" w:eastAsia="仿宋"/>
                <w:color w:val="auto"/>
                <w:sz w:val="22"/>
                <w:highlight w:val="none"/>
                <w:lang w:eastAsia="zh-CN"/>
              </w:rPr>
              <w:t>投标人具有质量管理体系认证证书、职业健康安全管理体系认证证书、环境管理体系认证证书，且在有效期内，全部具备的得</w:t>
            </w:r>
            <w:r>
              <w:rPr>
                <w:rFonts w:hint="eastAsia" w:ascii="仿宋" w:hAnsi="仿宋" w:eastAsia="仿宋"/>
                <w:color w:val="auto"/>
                <w:sz w:val="22"/>
                <w:highlight w:val="none"/>
                <w:lang w:val="en-US" w:eastAsia="zh-CN"/>
              </w:rPr>
              <w:t>6</w:t>
            </w:r>
            <w:r>
              <w:rPr>
                <w:rFonts w:hint="eastAsia" w:ascii="仿宋" w:hAnsi="仿宋" w:eastAsia="仿宋"/>
                <w:color w:val="auto"/>
                <w:sz w:val="22"/>
                <w:highlight w:val="none"/>
                <w:lang w:eastAsia="zh-CN"/>
              </w:rPr>
              <w:t>分，缺一项扣</w:t>
            </w:r>
            <w:r>
              <w:rPr>
                <w:rFonts w:hint="eastAsia" w:ascii="仿宋" w:hAnsi="仿宋" w:eastAsia="仿宋"/>
                <w:color w:val="auto"/>
                <w:sz w:val="22"/>
                <w:highlight w:val="none"/>
                <w:lang w:val="en-US" w:eastAsia="zh-CN"/>
              </w:rPr>
              <w:t>2</w:t>
            </w:r>
            <w:r>
              <w:rPr>
                <w:rFonts w:hint="eastAsia" w:ascii="仿宋" w:hAnsi="仿宋" w:eastAsia="仿宋"/>
                <w:color w:val="auto"/>
                <w:sz w:val="22"/>
                <w:highlight w:val="none"/>
                <w:lang w:eastAsia="zh-CN"/>
              </w:rPr>
              <w:t>分，扣完为止。</w:t>
            </w:r>
          </w:p>
          <w:p w14:paraId="39934E12">
            <w:pPr>
              <w:shd w:val="clear" w:color="auto" w:fill="FFFFFF"/>
              <w:wordWrap/>
              <w:adjustRightInd/>
              <w:snapToGrid/>
              <w:spacing w:line="340" w:lineRule="exact"/>
              <w:ind w:left="0" w:leftChars="0" w:right="0" w:firstLine="35" w:firstLineChars="16"/>
              <w:jc w:val="left"/>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b/>
                <w:bCs/>
                <w:color w:val="auto"/>
                <w:sz w:val="22"/>
                <w:highlight w:val="none"/>
                <w:lang w:eastAsia="zh-CN"/>
              </w:rPr>
              <w:t>证明材料：在投标文件中提供在有效期内相应证书的</w:t>
            </w:r>
            <w:r>
              <w:rPr>
                <w:rFonts w:hint="eastAsia" w:ascii="仿宋" w:hAnsi="仿宋" w:eastAsia="仿宋"/>
                <w:b/>
                <w:bCs/>
                <w:color w:val="auto"/>
                <w:sz w:val="22"/>
                <w:highlight w:val="none"/>
                <w:lang w:val="en-US" w:eastAsia="zh-CN"/>
              </w:rPr>
              <w:t>扫描件或</w:t>
            </w:r>
            <w:r>
              <w:rPr>
                <w:rFonts w:hint="eastAsia" w:ascii="仿宋" w:hAnsi="仿宋" w:eastAsia="仿宋"/>
                <w:b/>
                <w:bCs/>
                <w:color w:val="auto"/>
                <w:sz w:val="22"/>
                <w:highlight w:val="none"/>
                <w:lang w:eastAsia="zh-CN"/>
              </w:rPr>
              <w:t>复印件并加盖公章，否则不得分。</w:t>
            </w:r>
          </w:p>
        </w:tc>
        <w:tc>
          <w:tcPr>
            <w:tcW w:w="775" w:type="dxa"/>
            <w:vAlign w:val="center"/>
          </w:tcPr>
          <w:p w14:paraId="37436237">
            <w:pPr>
              <w:pStyle w:val="46"/>
              <w:widowControl/>
              <w:shd w:val="clear" w:color="auto" w:fill="auto"/>
              <w:wordWrap/>
              <w:adjustRightInd/>
              <w:snapToGrid/>
              <w:spacing w:line="340" w:lineRule="exact"/>
              <w:ind w:left="0" w:leftChars="0" w:right="0" w:firstLine="0" w:firstLineChars="0"/>
              <w:jc w:val="center"/>
              <w:textAlignment w:val="auto"/>
              <w:rPr>
                <w:rFonts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6</w:t>
            </w:r>
            <w:r>
              <w:rPr>
                <w:rFonts w:ascii="仿宋" w:hAnsi="仿宋" w:eastAsia="仿宋"/>
                <w:i w:val="0"/>
                <w:iCs w:val="0"/>
                <w:color w:val="auto"/>
                <w:sz w:val="22"/>
                <w:szCs w:val="22"/>
                <w:highlight w:val="none"/>
                <w:u w:val="none"/>
                <w:lang w:val="en-US" w:eastAsia="zh-CN" w:bidi="en-US"/>
              </w:rPr>
              <w:t>分</w:t>
            </w:r>
          </w:p>
        </w:tc>
      </w:tr>
      <w:tr w14:paraId="70F1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79" w:type="dxa"/>
            <w:vMerge w:val="continue"/>
            <w:vAlign w:val="center"/>
          </w:tcPr>
          <w:p w14:paraId="18C583CD">
            <w:pPr>
              <w:pStyle w:val="46"/>
              <w:shd w:val="clear" w:color="auto" w:fill="auto"/>
              <w:wordWrap/>
              <w:adjustRightInd/>
              <w:snapToGrid/>
              <w:spacing w:line="340" w:lineRule="exact"/>
              <w:jc w:val="center"/>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p>
        </w:tc>
        <w:tc>
          <w:tcPr>
            <w:tcW w:w="6607" w:type="dxa"/>
            <w:vAlign w:val="center"/>
          </w:tcPr>
          <w:p w14:paraId="3D220BCD">
            <w:pPr>
              <w:shd w:val="clear" w:color="auto" w:fill="FFFFFF"/>
              <w:wordWrap/>
              <w:adjustRightInd/>
              <w:snapToGrid/>
              <w:spacing w:line="340" w:lineRule="exact"/>
              <w:ind w:left="0" w:leftChars="0" w:right="0" w:firstLine="35" w:firstLineChars="16"/>
              <w:jc w:val="left"/>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投标人自2023年1月1日至类似项目业绩每提供1个得2分，本项最高得6分。</w:t>
            </w:r>
          </w:p>
          <w:p w14:paraId="4A361315">
            <w:pPr>
              <w:shd w:val="clear" w:color="auto" w:fill="FFFFFF"/>
              <w:wordWrap/>
              <w:adjustRightInd/>
              <w:snapToGrid/>
              <w:spacing w:line="340" w:lineRule="exact"/>
              <w:ind w:left="0" w:leftChars="0" w:right="0" w:firstLine="35" w:firstLineChars="16"/>
              <w:jc w:val="left"/>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b/>
                <w:bCs/>
                <w:i w:val="0"/>
                <w:iCs w:val="0"/>
                <w:color w:val="auto"/>
                <w:spacing w:val="0"/>
                <w:position w:val="0"/>
                <w:sz w:val="22"/>
                <w:szCs w:val="22"/>
                <w:highlight w:val="none"/>
                <w:u w:val="none"/>
                <w:lang w:val="en-US" w:eastAsia="zh-CN" w:bidi="en-US"/>
              </w:rPr>
              <w:t>证明材料：在投标文件中提供合同扫描件或复印件并加盖公章，否则不得分。</w:t>
            </w:r>
          </w:p>
        </w:tc>
        <w:tc>
          <w:tcPr>
            <w:tcW w:w="775" w:type="dxa"/>
            <w:vAlign w:val="center"/>
          </w:tcPr>
          <w:p w14:paraId="1AABC0BD">
            <w:pPr>
              <w:pStyle w:val="46"/>
              <w:widowControl/>
              <w:shd w:val="clear" w:color="auto" w:fill="auto"/>
              <w:wordWrap/>
              <w:adjustRightInd/>
              <w:snapToGrid/>
              <w:spacing w:line="340" w:lineRule="exact"/>
              <w:ind w:left="0" w:leftChars="0" w:right="0" w:firstLine="0" w:firstLineChars="0"/>
              <w:jc w:val="center"/>
              <w:textAlignment w:val="auto"/>
              <w:rPr>
                <w:rFonts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6</w:t>
            </w:r>
            <w:r>
              <w:rPr>
                <w:rFonts w:ascii="仿宋" w:hAnsi="仿宋" w:eastAsia="仿宋"/>
                <w:i w:val="0"/>
                <w:iCs w:val="0"/>
                <w:color w:val="auto"/>
                <w:sz w:val="22"/>
                <w:szCs w:val="22"/>
                <w:highlight w:val="none"/>
                <w:u w:val="none"/>
                <w:lang w:val="en-US" w:eastAsia="zh-CN" w:bidi="en-US"/>
              </w:rPr>
              <w:t>分</w:t>
            </w:r>
          </w:p>
        </w:tc>
      </w:tr>
      <w:tr w14:paraId="422A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79" w:type="dxa"/>
            <w:vMerge w:val="restart"/>
            <w:vAlign w:val="center"/>
          </w:tcPr>
          <w:p w14:paraId="25924B81">
            <w:pPr>
              <w:pStyle w:val="46"/>
              <w:shd w:val="clear" w:color="auto" w:fill="auto"/>
              <w:wordWrap/>
              <w:adjustRightInd/>
              <w:snapToGrid/>
              <w:spacing w:line="340" w:lineRule="exact"/>
              <w:jc w:val="center"/>
              <w:textAlignment w:val="auto"/>
              <w:rPr>
                <w:rFonts w:hint="default"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拟派人员</w:t>
            </w:r>
          </w:p>
        </w:tc>
        <w:tc>
          <w:tcPr>
            <w:tcW w:w="6607" w:type="dxa"/>
            <w:vAlign w:val="center"/>
          </w:tcPr>
          <w:p w14:paraId="0C0A5957">
            <w:pPr>
              <w:shd w:val="clear" w:color="auto" w:fill="FFFFFF"/>
              <w:wordWrap/>
              <w:adjustRightInd/>
              <w:snapToGrid/>
              <w:spacing w:line="340" w:lineRule="exact"/>
              <w:ind w:left="0" w:leftChars="0" w:right="0" w:firstLine="35" w:firstLineChars="16"/>
              <w:jc w:val="left"/>
              <w:textAlignment w:val="auto"/>
              <w:rPr>
                <w:rFonts w:hint="eastAsia" w:ascii="仿宋" w:hAnsi="仿宋" w:eastAsia="仿宋" w:cs="Times New Roman"/>
                <w:b/>
                <w:bCs/>
                <w:i w:val="0"/>
                <w:iCs w:val="0"/>
                <w:color w:val="auto"/>
                <w:spacing w:val="0"/>
                <w:position w:val="0"/>
                <w:sz w:val="22"/>
                <w:szCs w:val="22"/>
                <w:highlight w:val="none"/>
                <w:u w:val="none"/>
                <w:lang w:val="en-US" w:eastAsia="zh-CN" w:bidi="en-US"/>
              </w:rPr>
            </w:pPr>
            <w:r>
              <w:rPr>
                <w:rFonts w:hint="eastAsia" w:ascii="仿宋" w:hAnsi="仿宋" w:eastAsia="仿宋" w:cs="Times New Roman"/>
                <w:b w:val="0"/>
                <w:bCs w:val="0"/>
                <w:i w:val="0"/>
                <w:iCs w:val="0"/>
                <w:color w:val="auto"/>
                <w:spacing w:val="0"/>
                <w:position w:val="0"/>
                <w:sz w:val="22"/>
                <w:szCs w:val="22"/>
                <w:highlight w:val="none"/>
                <w:u w:val="none"/>
                <w:lang w:val="en-US" w:eastAsia="zh-CN" w:bidi="en-US"/>
              </w:rPr>
              <w:t>1、拟派本项目负责人自2022年1月1日（以合同签订时间为准）以来以项目负责人身份承担过风险安全评估业绩的，每个得1.5分，本项最高得3分；</w:t>
            </w:r>
          </w:p>
          <w:p w14:paraId="3685B177">
            <w:pPr>
              <w:shd w:val="clear" w:color="auto" w:fill="FFFFFF"/>
              <w:wordWrap/>
              <w:adjustRightInd/>
              <w:snapToGrid/>
              <w:spacing w:line="340" w:lineRule="exact"/>
              <w:ind w:left="0" w:leftChars="0" w:right="0" w:firstLine="35" w:firstLineChars="16"/>
              <w:jc w:val="left"/>
              <w:textAlignment w:val="auto"/>
              <w:rPr>
                <w:rFonts w:hint="eastAsia" w:ascii="仿宋" w:hAnsi="仿宋" w:eastAsia="仿宋" w:cs="Times New Roman"/>
                <w:b/>
                <w:bCs/>
                <w:i w:val="0"/>
                <w:iCs w:val="0"/>
                <w:color w:val="auto"/>
                <w:spacing w:val="0"/>
                <w:position w:val="0"/>
                <w:sz w:val="22"/>
                <w:szCs w:val="22"/>
                <w:highlight w:val="none"/>
                <w:u w:val="none"/>
                <w:lang w:val="en-US" w:eastAsia="zh-CN" w:bidi="en-US"/>
              </w:rPr>
            </w:pPr>
            <w:r>
              <w:rPr>
                <w:rFonts w:hint="eastAsia" w:ascii="仿宋" w:hAnsi="仿宋" w:eastAsia="仿宋" w:cs="Times New Roman"/>
                <w:b/>
                <w:bCs/>
                <w:i w:val="0"/>
                <w:iCs w:val="0"/>
                <w:color w:val="auto"/>
                <w:spacing w:val="0"/>
                <w:position w:val="0"/>
                <w:sz w:val="22"/>
                <w:szCs w:val="22"/>
                <w:highlight w:val="none"/>
                <w:u w:val="none"/>
                <w:lang w:val="en-US" w:eastAsia="zh-CN" w:bidi="en-US"/>
              </w:rPr>
              <w:t>证明材料：投标文件中提供类似业绩的合同或中标通知书复印件加盖公章，若上述资料不能体现评审因素的，可用其他资料证明，如业主证明等，不提供的不得分。</w:t>
            </w:r>
          </w:p>
          <w:p w14:paraId="0782AD2A">
            <w:pPr>
              <w:shd w:val="clear" w:color="auto" w:fill="FFFFFF"/>
              <w:wordWrap/>
              <w:adjustRightInd/>
              <w:snapToGrid/>
              <w:spacing w:line="340" w:lineRule="exact"/>
              <w:ind w:left="0" w:leftChars="0" w:right="0" w:firstLine="35" w:firstLineChars="16"/>
              <w:jc w:val="left"/>
              <w:textAlignment w:val="auto"/>
              <w:rPr>
                <w:rFonts w:hint="eastAsia" w:ascii="仿宋" w:hAnsi="仿宋" w:eastAsia="仿宋" w:cs="Times New Roman"/>
                <w:b/>
                <w:bCs/>
                <w:i w:val="0"/>
                <w:iCs w:val="0"/>
                <w:color w:val="auto"/>
                <w:spacing w:val="0"/>
                <w:position w:val="0"/>
                <w:sz w:val="22"/>
                <w:szCs w:val="22"/>
                <w:highlight w:val="none"/>
                <w:u w:val="none"/>
                <w:lang w:val="en-US" w:eastAsia="zh-CN" w:bidi="en-US"/>
              </w:rPr>
            </w:pPr>
            <w:r>
              <w:rPr>
                <w:rFonts w:hint="eastAsia" w:ascii="仿宋" w:hAnsi="仿宋" w:eastAsia="仿宋" w:cs="Times New Roman"/>
                <w:b w:val="0"/>
                <w:bCs w:val="0"/>
                <w:i w:val="0"/>
                <w:iCs w:val="0"/>
                <w:color w:val="auto"/>
                <w:spacing w:val="0"/>
                <w:position w:val="0"/>
                <w:sz w:val="22"/>
                <w:szCs w:val="22"/>
                <w:highlight w:val="none"/>
                <w:u w:val="none"/>
                <w:lang w:val="en-US" w:eastAsia="zh-CN" w:bidi="en-US"/>
              </w:rPr>
              <w:t>2、拟派本项目负责人具有高级工程师及以上职称的得4分，具有中级工程师职称的得2分，其余不得分，本项最高得4分。</w:t>
            </w:r>
          </w:p>
          <w:p w14:paraId="072AD482">
            <w:pPr>
              <w:pStyle w:val="14"/>
              <w:rPr>
                <w:rFonts w:hint="default"/>
                <w:highlight w:val="none"/>
                <w:lang w:val="en-US" w:eastAsia="zh-CN"/>
              </w:rPr>
            </w:pPr>
            <w:r>
              <w:rPr>
                <w:rFonts w:hint="eastAsia" w:ascii="仿宋" w:hAnsi="仿宋" w:eastAsia="仿宋" w:cs="Times New Roman"/>
                <w:b/>
                <w:bCs/>
                <w:i w:val="0"/>
                <w:iCs w:val="0"/>
                <w:color w:val="auto"/>
                <w:spacing w:val="0"/>
                <w:position w:val="0"/>
                <w:sz w:val="22"/>
                <w:szCs w:val="22"/>
                <w:highlight w:val="none"/>
                <w:u w:val="none"/>
                <w:lang w:val="en-US" w:eastAsia="zh-CN" w:bidi="en-US"/>
              </w:rPr>
              <w:t>证明材料：提供职称证书、社保证明扫描件或复印件加盖公章，不提供的不得分。</w:t>
            </w:r>
          </w:p>
        </w:tc>
        <w:tc>
          <w:tcPr>
            <w:tcW w:w="775" w:type="dxa"/>
            <w:vAlign w:val="center"/>
          </w:tcPr>
          <w:p w14:paraId="34BD29A0">
            <w:pPr>
              <w:pStyle w:val="46"/>
              <w:widowControl/>
              <w:shd w:val="clear" w:color="auto" w:fill="auto"/>
              <w:wordWrap/>
              <w:adjustRightInd/>
              <w:snapToGrid/>
              <w:spacing w:line="340" w:lineRule="exact"/>
              <w:ind w:left="0" w:leftChars="0" w:right="0" w:firstLine="0" w:firstLineChars="0"/>
              <w:jc w:val="center"/>
              <w:textAlignment w:val="auto"/>
              <w:rPr>
                <w:rFonts w:hint="default" w:ascii="仿宋" w:hAnsi="仿宋" w:eastAsia="仿宋"/>
                <w:i w:val="0"/>
                <w:iCs w:val="0"/>
                <w:color w:val="auto"/>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7分</w:t>
            </w:r>
          </w:p>
        </w:tc>
      </w:tr>
      <w:tr w14:paraId="5CDE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79" w:type="dxa"/>
            <w:vMerge w:val="continue"/>
            <w:vAlign w:val="center"/>
          </w:tcPr>
          <w:p w14:paraId="7CBFB3C1">
            <w:pPr>
              <w:pStyle w:val="46"/>
              <w:shd w:val="clear" w:color="auto" w:fill="auto"/>
              <w:wordWrap/>
              <w:adjustRightInd/>
              <w:snapToGrid/>
              <w:spacing w:line="340" w:lineRule="exact"/>
              <w:jc w:val="center"/>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p>
        </w:tc>
        <w:tc>
          <w:tcPr>
            <w:tcW w:w="6607" w:type="dxa"/>
            <w:vAlign w:val="center"/>
          </w:tcPr>
          <w:p w14:paraId="680D8C8B">
            <w:pPr>
              <w:shd w:val="clear" w:color="auto" w:fill="FFFFFF"/>
              <w:wordWrap/>
              <w:adjustRightInd/>
              <w:snapToGrid/>
              <w:spacing w:line="340" w:lineRule="exact"/>
              <w:ind w:left="0" w:leftChars="0" w:right="0" w:firstLine="38" w:firstLineChars="16"/>
              <w:jc w:val="left"/>
              <w:textAlignment w:val="auto"/>
              <w:rPr>
                <w:rFonts w:hint="eastAsia" w:ascii="仿宋" w:hAnsi="仿宋" w:eastAsia="仿宋" w:cs="Times New Roman"/>
                <w:b/>
                <w:bCs/>
                <w:i w:val="0"/>
                <w:iCs w:val="0"/>
                <w:color w:val="auto"/>
                <w:spacing w:val="0"/>
                <w:position w:val="0"/>
                <w:sz w:val="22"/>
                <w:szCs w:val="22"/>
                <w:highlight w:val="none"/>
                <w:u w:val="none"/>
                <w:lang w:val="en-US" w:eastAsia="zh-CN" w:bidi="en-US"/>
              </w:rPr>
            </w:pPr>
            <w:r>
              <w:rPr>
                <w:rFonts w:hint="eastAsia" w:ascii="仿宋" w:hAnsi="仿宋" w:eastAsia="仿宋" w:cs="仿宋"/>
                <w:bCs/>
                <w:color w:val="auto"/>
                <w:sz w:val="24"/>
                <w:szCs w:val="24"/>
                <w:highlight w:val="none"/>
              </w:rPr>
              <w:t>拟派项目组成员（除项目负责人）具有</w:t>
            </w:r>
            <w:r>
              <w:rPr>
                <w:rFonts w:hint="eastAsia" w:ascii="仿宋" w:hAnsi="仿宋" w:eastAsia="仿宋" w:cs="仿宋"/>
                <w:bCs/>
                <w:color w:val="auto"/>
                <w:sz w:val="24"/>
                <w:szCs w:val="24"/>
                <w:highlight w:val="none"/>
                <w:lang w:val="en-US" w:eastAsia="zh-CN"/>
              </w:rPr>
              <w:t>中级职称</w:t>
            </w:r>
            <w:r>
              <w:rPr>
                <w:rFonts w:hint="eastAsia" w:ascii="仿宋" w:hAnsi="仿宋" w:eastAsia="仿宋" w:cs="仿宋"/>
                <w:bCs/>
                <w:color w:val="auto"/>
                <w:sz w:val="24"/>
                <w:szCs w:val="24"/>
                <w:highlight w:val="none"/>
              </w:rPr>
              <w:t>及以上职称的，每个得</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本项</w:t>
            </w:r>
            <w:r>
              <w:rPr>
                <w:rFonts w:hint="eastAsia" w:ascii="仿宋" w:hAnsi="仿宋" w:eastAsia="仿宋" w:cs="仿宋"/>
                <w:bCs/>
                <w:color w:val="auto"/>
                <w:sz w:val="24"/>
                <w:szCs w:val="24"/>
                <w:highlight w:val="none"/>
              </w:rPr>
              <w:t>最高得</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w:t>
            </w:r>
            <w:r>
              <w:rPr>
                <w:rFonts w:hint="eastAsia" w:ascii="仿宋" w:hAnsi="仿宋" w:eastAsia="仿宋" w:cs="Times New Roman"/>
                <w:b w:val="0"/>
                <w:bCs w:val="0"/>
                <w:i w:val="0"/>
                <w:iCs w:val="0"/>
                <w:color w:val="auto"/>
                <w:spacing w:val="0"/>
                <w:position w:val="0"/>
                <w:sz w:val="22"/>
                <w:szCs w:val="22"/>
                <w:highlight w:val="none"/>
                <w:u w:val="none"/>
                <w:lang w:val="en-US" w:eastAsia="zh-CN" w:bidi="en-US"/>
              </w:rPr>
              <w:t>；</w:t>
            </w:r>
          </w:p>
          <w:p w14:paraId="192A101B">
            <w:pPr>
              <w:pStyle w:val="14"/>
              <w:rPr>
                <w:rFonts w:hint="default" w:ascii="仿宋" w:hAnsi="仿宋" w:eastAsia="仿宋" w:cs="Times New Roman"/>
                <w:b/>
                <w:bCs/>
                <w:i w:val="0"/>
                <w:iCs w:val="0"/>
                <w:color w:val="auto"/>
                <w:spacing w:val="0"/>
                <w:position w:val="0"/>
                <w:sz w:val="22"/>
                <w:szCs w:val="22"/>
                <w:highlight w:val="none"/>
                <w:u w:val="none"/>
                <w:lang w:val="en-US" w:eastAsia="zh-CN" w:bidi="en-US"/>
              </w:rPr>
            </w:pPr>
            <w:r>
              <w:rPr>
                <w:rFonts w:hint="eastAsia" w:ascii="仿宋" w:hAnsi="仿宋" w:eastAsia="仿宋" w:cs="Times New Roman"/>
                <w:b/>
                <w:bCs/>
                <w:i w:val="0"/>
                <w:iCs w:val="0"/>
                <w:color w:val="auto"/>
                <w:spacing w:val="0"/>
                <w:position w:val="0"/>
                <w:sz w:val="22"/>
                <w:szCs w:val="22"/>
                <w:highlight w:val="none"/>
                <w:u w:val="none"/>
                <w:lang w:val="en-US" w:eastAsia="zh-CN" w:bidi="en-US"/>
              </w:rPr>
              <w:t>证明材料：提供职称证书、社保证明扫描件或复印件加盖公章，不提供的不得分。</w:t>
            </w:r>
          </w:p>
        </w:tc>
        <w:tc>
          <w:tcPr>
            <w:tcW w:w="775" w:type="dxa"/>
            <w:vAlign w:val="center"/>
          </w:tcPr>
          <w:p w14:paraId="63D4E4E2">
            <w:pPr>
              <w:pStyle w:val="46"/>
              <w:widowControl/>
              <w:shd w:val="clear" w:color="auto" w:fill="auto"/>
              <w:wordWrap/>
              <w:adjustRightInd/>
              <w:snapToGrid/>
              <w:spacing w:line="340" w:lineRule="exact"/>
              <w:ind w:left="0" w:leftChars="0" w:right="0" w:firstLine="0" w:firstLineChars="0"/>
              <w:jc w:val="center"/>
              <w:textAlignment w:val="auto"/>
              <w:rPr>
                <w:rFonts w:hint="default" w:ascii="仿宋" w:hAnsi="仿宋" w:eastAsia="仿宋"/>
                <w:i w:val="0"/>
                <w:iCs w:val="0"/>
                <w:color w:val="auto"/>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6分</w:t>
            </w:r>
          </w:p>
        </w:tc>
      </w:tr>
    </w:tbl>
    <w:p w14:paraId="0B7B3C96">
      <w:pPr>
        <w:pStyle w:val="46"/>
        <w:shd w:val="clear" w:color="auto" w:fill="auto"/>
        <w:spacing w:line="600" w:lineRule="exact"/>
        <w:rPr>
          <w:rFonts w:ascii="仿宋" w:hAnsi="仿宋" w:eastAsia="仿宋"/>
          <w:b/>
          <w:color w:val="auto"/>
          <w:sz w:val="24"/>
          <w:szCs w:val="20"/>
          <w:highlight w:val="none"/>
        </w:rPr>
      </w:pPr>
      <w:r>
        <w:rPr>
          <w:rFonts w:ascii="仿宋" w:hAnsi="仿宋" w:eastAsia="仿宋"/>
          <w:b/>
          <w:color w:val="auto"/>
          <w:sz w:val="24"/>
          <w:szCs w:val="20"/>
          <w:highlight w:val="none"/>
        </w:rPr>
        <w:t>技术分</w:t>
      </w:r>
      <w:r>
        <w:rPr>
          <w:rFonts w:ascii="仿宋" w:hAnsi="仿宋" w:eastAsia="仿宋"/>
          <w:b/>
          <w:color w:val="auto"/>
          <w:sz w:val="24"/>
          <w:szCs w:val="20"/>
          <w:highlight w:val="none"/>
          <w:lang w:eastAsia="zh-CN"/>
        </w:rPr>
        <w:t>（</w:t>
      </w:r>
      <w:r>
        <w:rPr>
          <w:rFonts w:hint="eastAsia" w:ascii="仿宋" w:hAnsi="仿宋" w:eastAsia="仿宋"/>
          <w:b/>
          <w:color w:val="auto"/>
          <w:sz w:val="24"/>
          <w:szCs w:val="20"/>
          <w:highlight w:val="none"/>
          <w:lang w:val="en-US" w:eastAsia="zh-CN"/>
        </w:rPr>
        <w:t>45</w:t>
      </w:r>
      <w:r>
        <w:rPr>
          <w:rFonts w:ascii="仿宋" w:hAnsi="仿宋" w:eastAsia="仿宋"/>
          <w:b/>
          <w:color w:val="auto"/>
          <w:sz w:val="24"/>
          <w:szCs w:val="20"/>
          <w:highlight w:val="none"/>
          <w:lang w:val="en-US" w:eastAsia="zh-CN"/>
        </w:rPr>
        <w:t>分</w:t>
      </w:r>
      <w:r>
        <w:rPr>
          <w:rFonts w:ascii="仿宋" w:hAnsi="仿宋" w:eastAsia="仿宋"/>
          <w:b/>
          <w:color w:val="auto"/>
          <w:sz w:val="24"/>
          <w:szCs w:val="20"/>
          <w:highlight w:val="none"/>
        </w:rPr>
        <w:t>）</w:t>
      </w:r>
    </w:p>
    <w:tbl>
      <w:tblPr>
        <w:tblStyle w:val="34"/>
        <w:tblW w:w="9070"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6600"/>
        <w:gridCol w:w="785"/>
      </w:tblGrid>
      <w:tr w14:paraId="7B40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85" w:type="dxa"/>
            <w:vAlign w:val="center"/>
          </w:tcPr>
          <w:p w14:paraId="2D7A970F">
            <w:pPr>
              <w:pStyle w:val="46"/>
              <w:shd w:val="clear" w:color="auto" w:fill="auto"/>
              <w:wordWrap/>
              <w:adjustRightInd/>
              <w:snapToGrid/>
              <w:spacing w:before="0" w:after="0" w:line="340" w:lineRule="exact"/>
              <w:jc w:val="center"/>
              <w:textAlignment w:val="auto"/>
              <w:rPr>
                <w:rFonts w:ascii="仿宋" w:hAnsi="仿宋" w:eastAsia="仿宋"/>
                <w:color w:val="auto"/>
                <w:sz w:val="22"/>
                <w:szCs w:val="22"/>
                <w:highlight w:val="none"/>
                <w:lang w:val="en-US" w:eastAsia="zh-CN"/>
              </w:rPr>
            </w:pPr>
            <w:r>
              <w:rPr>
                <w:rFonts w:ascii="仿宋" w:hAnsi="仿宋" w:eastAsia="仿宋"/>
                <w:color w:val="auto"/>
                <w:sz w:val="22"/>
                <w:szCs w:val="22"/>
                <w:highlight w:val="none"/>
                <w:lang w:val="en-US" w:eastAsia="zh-CN"/>
              </w:rPr>
              <w:t>评分内容</w:t>
            </w:r>
          </w:p>
        </w:tc>
        <w:tc>
          <w:tcPr>
            <w:tcW w:w="6600" w:type="dxa"/>
            <w:vAlign w:val="center"/>
          </w:tcPr>
          <w:p w14:paraId="7F837D15">
            <w:pPr>
              <w:pStyle w:val="46"/>
              <w:shd w:val="clear" w:color="auto" w:fill="auto"/>
              <w:wordWrap/>
              <w:adjustRightInd/>
              <w:snapToGrid/>
              <w:spacing w:before="0" w:after="0" w:line="340" w:lineRule="exact"/>
              <w:jc w:val="center"/>
              <w:textAlignment w:val="auto"/>
              <w:rPr>
                <w:rFonts w:ascii="仿宋" w:hAnsi="仿宋" w:eastAsia="仿宋"/>
                <w:i w:val="0"/>
                <w:iCs w:val="0"/>
                <w:color w:val="auto"/>
                <w:sz w:val="22"/>
                <w:szCs w:val="22"/>
                <w:highlight w:val="none"/>
                <w:u w:val="none"/>
              </w:rPr>
            </w:pPr>
            <w:r>
              <w:rPr>
                <w:rFonts w:ascii="仿宋" w:hAnsi="仿宋" w:eastAsia="仿宋"/>
                <w:color w:val="auto"/>
                <w:sz w:val="22"/>
                <w:szCs w:val="22"/>
                <w:highlight w:val="none"/>
                <w:lang w:eastAsia="zh-CN"/>
              </w:rPr>
              <w:t>评分</w:t>
            </w:r>
            <w:r>
              <w:rPr>
                <w:rFonts w:ascii="仿宋" w:hAnsi="仿宋" w:eastAsia="仿宋"/>
                <w:color w:val="auto"/>
                <w:sz w:val="22"/>
                <w:szCs w:val="22"/>
                <w:highlight w:val="none"/>
              </w:rPr>
              <w:t>细则</w:t>
            </w:r>
          </w:p>
        </w:tc>
        <w:tc>
          <w:tcPr>
            <w:tcW w:w="785" w:type="dxa"/>
            <w:vAlign w:val="center"/>
          </w:tcPr>
          <w:p w14:paraId="41F2381A">
            <w:pPr>
              <w:pStyle w:val="46"/>
              <w:shd w:val="clear" w:color="auto" w:fill="auto"/>
              <w:wordWrap/>
              <w:adjustRightInd/>
              <w:snapToGrid/>
              <w:spacing w:before="0" w:after="0" w:line="340" w:lineRule="exact"/>
              <w:jc w:val="center"/>
              <w:textAlignment w:val="auto"/>
              <w:rPr>
                <w:rFonts w:ascii="仿宋" w:hAnsi="仿宋" w:eastAsia="仿宋"/>
                <w:i w:val="0"/>
                <w:iCs w:val="0"/>
                <w:color w:val="auto"/>
                <w:sz w:val="22"/>
                <w:szCs w:val="22"/>
                <w:highlight w:val="none"/>
                <w:u w:val="none"/>
              </w:rPr>
            </w:pPr>
            <w:r>
              <w:rPr>
                <w:rFonts w:ascii="仿宋" w:hAnsi="仿宋" w:eastAsia="仿宋"/>
                <w:color w:val="auto"/>
                <w:sz w:val="22"/>
                <w:szCs w:val="22"/>
                <w:highlight w:val="none"/>
              </w:rPr>
              <w:t>分值</w:t>
            </w:r>
          </w:p>
        </w:tc>
      </w:tr>
      <w:tr w14:paraId="5FAC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685" w:type="dxa"/>
            <w:vAlign w:val="center"/>
          </w:tcPr>
          <w:p w14:paraId="2BC1BE40">
            <w:pPr>
              <w:widowControl w:val="0"/>
              <w:wordWrap/>
              <w:adjustRightInd w:val="0"/>
              <w:spacing w:line="240" w:lineRule="auto"/>
              <w:ind w:left="0" w:leftChars="0" w:right="0" w:firstLine="0" w:firstLineChars="0"/>
              <w:jc w:val="center"/>
              <w:textAlignment w:val="auto"/>
              <w:rPr>
                <w:rFonts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对招标项目的理解和总体编制思路</w:t>
            </w:r>
          </w:p>
        </w:tc>
        <w:tc>
          <w:tcPr>
            <w:tcW w:w="6600" w:type="dxa"/>
            <w:vAlign w:val="center"/>
          </w:tcPr>
          <w:p w14:paraId="44618784">
            <w:pPr>
              <w:wordWrap/>
              <w:spacing w:line="240" w:lineRule="auto"/>
              <w:ind w:left="0" w:leftChars="0" w:right="0" w:firstLine="0" w:firstLineChars="0"/>
              <w:jc w:val="left"/>
              <w:textAlignment w:val="auto"/>
              <w:rPr>
                <w:rFonts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对招标项目功能、特点、重点、难点等理解基本正确，总体编制思路较清晰，基本符合项目实际情况的，得基本分7.8分；理解深刻、有独到见解，总体编制思路清晰，符合项目实际情况的酌情加分，最多可加2.2分。</w:t>
            </w:r>
          </w:p>
        </w:tc>
        <w:tc>
          <w:tcPr>
            <w:tcW w:w="785" w:type="dxa"/>
            <w:vAlign w:val="center"/>
          </w:tcPr>
          <w:p w14:paraId="06DE5C1B">
            <w:pPr>
              <w:pStyle w:val="46"/>
              <w:widowControl/>
              <w:shd w:val="clear" w:color="auto" w:fill="auto"/>
              <w:wordWrap/>
              <w:adjustRightInd/>
              <w:snapToGrid/>
              <w:spacing w:before="0" w:after="0" w:line="340" w:lineRule="exact"/>
              <w:ind w:left="0" w:leftChars="0" w:right="0" w:firstLine="0" w:firstLineChars="0"/>
              <w:jc w:val="center"/>
              <w:textAlignment w:val="auto"/>
              <w:rPr>
                <w:rFonts w:ascii="仿宋" w:hAnsi="仿宋" w:eastAsia="仿宋"/>
                <w:color w:val="auto"/>
                <w:sz w:val="22"/>
                <w:szCs w:val="22"/>
                <w:highlight w:val="none"/>
                <w:lang w:val="en-US" w:eastAsia="zh-CN"/>
              </w:rPr>
            </w:pPr>
            <w:r>
              <w:rPr>
                <w:rFonts w:hint="eastAsia" w:ascii="仿宋" w:hAnsi="仿宋" w:eastAsia="仿宋" w:cs="Times New Roman"/>
                <w:i w:val="0"/>
                <w:iCs w:val="0"/>
                <w:color w:val="auto"/>
                <w:spacing w:val="0"/>
                <w:position w:val="0"/>
                <w:sz w:val="22"/>
                <w:szCs w:val="22"/>
                <w:highlight w:val="none"/>
                <w:u w:val="none"/>
                <w:lang w:val="en-US" w:eastAsia="zh-CN" w:bidi="en-US"/>
              </w:rPr>
              <w:t>7.8-10分</w:t>
            </w:r>
          </w:p>
        </w:tc>
      </w:tr>
      <w:tr w14:paraId="1675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85" w:type="dxa"/>
            <w:vAlign w:val="center"/>
          </w:tcPr>
          <w:p w14:paraId="2BD577B8">
            <w:pPr>
              <w:pStyle w:val="46"/>
              <w:shd w:val="clear" w:color="auto" w:fill="auto"/>
              <w:wordWrap/>
              <w:adjustRightInd/>
              <w:snapToGrid/>
              <w:spacing w:before="0" w:after="0" w:line="340" w:lineRule="exact"/>
              <w:ind w:left="0" w:leftChars="0" w:right="0" w:firstLine="0" w:firstLineChars="0"/>
              <w:jc w:val="center"/>
              <w:textAlignment w:val="auto"/>
              <w:rPr>
                <w:rFonts w:hint="eastAsia" w:ascii="仿宋" w:hAnsi="仿宋" w:eastAsia="仿宋" w:cs="Times New Roman"/>
                <w:color w:val="auto"/>
                <w:spacing w:val="0"/>
                <w:position w:val="0"/>
                <w:sz w:val="22"/>
                <w:szCs w:val="22"/>
                <w:highlight w:val="none"/>
                <w:lang w:val="en-US" w:eastAsia="zh-CN" w:bidi="ar-SA"/>
              </w:rPr>
            </w:pPr>
            <w:r>
              <w:rPr>
                <w:rFonts w:hint="eastAsia" w:ascii="仿宋" w:hAnsi="仿宋" w:eastAsia="仿宋" w:cs="Times New Roman"/>
                <w:color w:val="auto"/>
                <w:spacing w:val="0"/>
                <w:position w:val="0"/>
                <w:sz w:val="22"/>
                <w:szCs w:val="22"/>
                <w:highlight w:val="none"/>
                <w:lang w:val="en-US" w:eastAsia="zh-CN" w:bidi="ar-SA"/>
              </w:rPr>
              <w:t>招标项目的特点、关键技术问题的认识及其对策措施</w:t>
            </w:r>
          </w:p>
        </w:tc>
        <w:tc>
          <w:tcPr>
            <w:tcW w:w="6600" w:type="dxa"/>
            <w:vAlign w:val="center"/>
          </w:tcPr>
          <w:p w14:paraId="7E0FDD7A">
            <w:pPr>
              <w:pStyle w:val="46"/>
              <w:shd w:val="clear" w:color="auto" w:fill="auto"/>
              <w:wordWrap/>
              <w:adjustRightInd/>
              <w:snapToGrid/>
              <w:spacing w:before="0" w:after="0" w:line="340" w:lineRule="exact"/>
              <w:ind w:left="0" w:leftChars="0" w:right="0" w:firstLine="0" w:firstLineChars="0"/>
              <w:jc w:val="both"/>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对招标项目关键性技术问题的把握基本准确，所提出的措施基本有效可行的，得基本分7.8分；对招标项目的特点及关键性技术问题把握准确，所提出的措施有效可行的，酌情加分，最多可加2.2分。</w:t>
            </w:r>
          </w:p>
        </w:tc>
        <w:tc>
          <w:tcPr>
            <w:tcW w:w="785" w:type="dxa"/>
            <w:vAlign w:val="center"/>
          </w:tcPr>
          <w:p w14:paraId="501D659A">
            <w:pPr>
              <w:pStyle w:val="46"/>
              <w:widowControl/>
              <w:shd w:val="clear" w:color="auto" w:fill="auto"/>
              <w:wordWrap/>
              <w:adjustRightInd/>
              <w:snapToGrid/>
              <w:spacing w:before="0" w:after="0" w:line="340" w:lineRule="exact"/>
              <w:ind w:left="0" w:leftChars="0" w:right="0" w:firstLine="0" w:firstLineChars="0"/>
              <w:jc w:val="center"/>
              <w:textAlignment w:val="auto"/>
              <w:rPr>
                <w:rFonts w:hint="default"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7.8-10分</w:t>
            </w:r>
          </w:p>
        </w:tc>
      </w:tr>
      <w:tr w14:paraId="7585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85" w:type="dxa"/>
            <w:vAlign w:val="center"/>
          </w:tcPr>
          <w:p w14:paraId="326DCB94">
            <w:pPr>
              <w:pStyle w:val="46"/>
              <w:shd w:val="clear" w:color="auto" w:fill="auto"/>
              <w:wordWrap/>
              <w:adjustRightInd/>
              <w:snapToGrid/>
              <w:spacing w:before="0" w:after="0" w:line="340" w:lineRule="exact"/>
              <w:ind w:left="0" w:leftChars="0" w:right="0" w:firstLine="0" w:firstLineChars="0"/>
              <w:jc w:val="center"/>
              <w:textAlignment w:val="auto"/>
              <w:rPr>
                <w:rFonts w:hint="default" w:ascii="仿宋" w:hAnsi="仿宋" w:eastAsia="仿宋" w:cs="Times New Roman"/>
                <w:color w:val="auto"/>
                <w:spacing w:val="0"/>
                <w:position w:val="0"/>
                <w:sz w:val="22"/>
                <w:szCs w:val="22"/>
                <w:highlight w:val="none"/>
                <w:lang w:val="en-US" w:eastAsia="zh-CN" w:bidi="ar-SA"/>
              </w:rPr>
            </w:pPr>
            <w:r>
              <w:rPr>
                <w:rFonts w:hint="default" w:ascii="仿宋" w:hAnsi="仿宋" w:eastAsia="仿宋" w:cs="Times New Roman"/>
                <w:color w:val="auto"/>
                <w:spacing w:val="0"/>
                <w:position w:val="0"/>
                <w:sz w:val="22"/>
                <w:szCs w:val="22"/>
                <w:highlight w:val="none"/>
                <w:lang w:val="en-US" w:eastAsia="zh-CN" w:bidi="ar-SA"/>
              </w:rPr>
              <w:t>工作量及计划安排</w:t>
            </w:r>
          </w:p>
        </w:tc>
        <w:tc>
          <w:tcPr>
            <w:tcW w:w="6600" w:type="dxa"/>
            <w:vAlign w:val="center"/>
          </w:tcPr>
          <w:p w14:paraId="596CBB64">
            <w:pPr>
              <w:shd w:val="clear" w:color="auto" w:fill="FFFFFF"/>
              <w:wordWrap/>
              <w:adjustRightInd/>
              <w:snapToGrid/>
              <w:spacing w:before="0" w:after="0" w:line="340" w:lineRule="exact"/>
              <w:ind w:left="0" w:leftChars="0" w:right="0" w:firstLine="0" w:firstLineChars="0"/>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工作量及计划安排内容较充实，表述较清晰，基本合理可行，得基本分4.2分；工作量及计划安排内容充实，表述清晰，合理可行，酌情加分，最多可加0.8分。</w:t>
            </w:r>
          </w:p>
        </w:tc>
        <w:tc>
          <w:tcPr>
            <w:tcW w:w="785" w:type="dxa"/>
            <w:vAlign w:val="center"/>
          </w:tcPr>
          <w:p w14:paraId="49F57330">
            <w:pPr>
              <w:pStyle w:val="46"/>
              <w:widowControl/>
              <w:shd w:val="clear" w:color="auto" w:fill="auto"/>
              <w:wordWrap/>
              <w:adjustRightInd/>
              <w:snapToGrid/>
              <w:spacing w:before="0" w:after="0" w:line="340" w:lineRule="exact"/>
              <w:ind w:left="0" w:leftChars="0" w:right="0" w:firstLine="0" w:firstLineChars="0"/>
              <w:jc w:val="center"/>
              <w:textAlignment w:val="auto"/>
              <w:rPr>
                <w:rFonts w:hint="default"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4.2-5分</w:t>
            </w:r>
          </w:p>
        </w:tc>
      </w:tr>
      <w:tr w14:paraId="7691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85" w:type="dxa"/>
            <w:vAlign w:val="center"/>
          </w:tcPr>
          <w:p w14:paraId="535B7FEC">
            <w:pPr>
              <w:pStyle w:val="46"/>
              <w:shd w:val="clear" w:color="auto" w:fill="auto"/>
              <w:wordWrap/>
              <w:adjustRightInd/>
              <w:snapToGrid/>
              <w:spacing w:before="0" w:after="0" w:line="340" w:lineRule="exact"/>
              <w:ind w:left="0" w:leftChars="0" w:right="0" w:firstLine="0" w:firstLineChars="0"/>
              <w:jc w:val="center"/>
              <w:textAlignment w:val="auto"/>
              <w:rPr>
                <w:rFonts w:hint="eastAsia" w:ascii="仿宋" w:hAnsi="仿宋" w:eastAsia="仿宋" w:cs="Times New Roman"/>
                <w:color w:val="auto"/>
                <w:spacing w:val="0"/>
                <w:position w:val="0"/>
                <w:sz w:val="22"/>
                <w:szCs w:val="22"/>
                <w:highlight w:val="none"/>
                <w:lang w:val="en-US" w:eastAsia="zh-CN" w:bidi="ar-SA"/>
              </w:rPr>
            </w:pPr>
            <w:r>
              <w:rPr>
                <w:rFonts w:hint="eastAsia" w:ascii="仿宋" w:hAnsi="仿宋" w:eastAsia="仿宋" w:cs="Times New Roman"/>
                <w:color w:val="auto"/>
                <w:spacing w:val="0"/>
                <w:position w:val="0"/>
                <w:sz w:val="22"/>
                <w:szCs w:val="22"/>
                <w:highlight w:val="none"/>
                <w:lang w:val="en-US" w:eastAsia="zh-CN" w:bidi="ar-SA"/>
              </w:rPr>
              <w:t>质量保证措施、进度保证措施</w:t>
            </w:r>
          </w:p>
        </w:tc>
        <w:tc>
          <w:tcPr>
            <w:tcW w:w="6600" w:type="dxa"/>
            <w:vAlign w:val="center"/>
          </w:tcPr>
          <w:p w14:paraId="4F9D0DA4">
            <w:pPr>
              <w:shd w:val="clear" w:color="auto" w:fill="FFFFFF"/>
              <w:wordWrap/>
              <w:adjustRightInd/>
              <w:snapToGrid/>
              <w:spacing w:before="0" w:after="0" w:line="340" w:lineRule="exact"/>
              <w:ind w:left="0" w:leftChars="0" w:right="0" w:firstLine="0" w:firstLineChars="0"/>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基本满足工作进度要求、进度保证措施和质量保证措施基本可行的，得基本分7.2分；满足工作进度要求、进度保证措施和质量保证措施可行的，酌情加分，最多加2.8分。</w:t>
            </w:r>
          </w:p>
        </w:tc>
        <w:tc>
          <w:tcPr>
            <w:tcW w:w="785" w:type="dxa"/>
            <w:vAlign w:val="center"/>
          </w:tcPr>
          <w:p w14:paraId="7533B4A7">
            <w:pPr>
              <w:pStyle w:val="46"/>
              <w:widowControl/>
              <w:shd w:val="clear" w:color="auto" w:fill="auto"/>
              <w:wordWrap/>
              <w:adjustRightInd/>
              <w:snapToGrid/>
              <w:spacing w:before="0" w:after="0" w:line="340" w:lineRule="exact"/>
              <w:ind w:left="0" w:leftChars="0" w:right="0" w:firstLine="0" w:firstLineChars="0"/>
              <w:jc w:val="center"/>
              <w:textAlignment w:val="auto"/>
              <w:rPr>
                <w:rFonts w:hint="default"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4.2-10分</w:t>
            </w:r>
          </w:p>
        </w:tc>
      </w:tr>
      <w:tr w14:paraId="5251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85" w:type="dxa"/>
            <w:vAlign w:val="center"/>
          </w:tcPr>
          <w:p w14:paraId="5B60A796">
            <w:pPr>
              <w:pStyle w:val="46"/>
              <w:shd w:val="clear" w:color="auto" w:fill="auto"/>
              <w:wordWrap/>
              <w:adjustRightInd/>
              <w:snapToGrid/>
              <w:spacing w:before="0" w:after="0" w:line="340" w:lineRule="exact"/>
              <w:ind w:left="0" w:leftChars="0" w:right="0" w:firstLine="0" w:firstLineChars="0"/>
              <w:jc w:val="center"/>
              <w:textAlignment w:val="auto"/>
              <w:rPr>
                <w:rFonts w:hint="eastAsia" w:ascii="仿宋" w:hAnsi="仿宋" w:eastAsia="仿宋" w:cs="Times New Roman"/>
                <w:color w:val="auto"/>
                <w:spacing w:val="0"/>
                <w:position w:val="0"/>
                <w:sz w:val="22"/>
                <w:szCs w:val="22"/>
                <w:highlight w:val="none"/>
                <w:lang w:val="en-US" w:eastAsia="zh-CN" w:bidi="ar-SA"/>
              </w:rPr>
            </w:pPr>
            <w:r>
              <w:rPr>
                <w:rFonts w:hint="eastAsia" w:ascii="仿宋" w:hAnsi="仿宋" w:eastAsia="仿宋" w:cs="Times New Roman"/>
                <w:color w:val="auto"/>
                <w:spacing w:val="0"/>
                <w:position w:val="0"/>
                <w:sz w:val="22"/>
                <w:szCs w:val="22"/>
                <w:highlight w:val="none"/>
                <w:lang w:val="en-US" w:eastAsia="zh-CN" w:bidi="ar-SA"/>
              </w:rPr>
              <w:t>后续服务的安排及保证措施</w:t>
            </w:r>
          </w:p>
        </w:tc>
        <w:tc>
          <w:tcPr>
            <w:tcW w:w="6600" w:type="dxa"/>
            <w:vAlign w:val="center"/>
          </w:tcPr>
          <w:p w14:paraId="1FB8DA8C">
            <w:pPr>
              <w:shd w:val="clear" w:color="auto" w:fill="FFFFFF"/>
              <w:wordWrap/>
              <w:adjustRightInd/>
              <w:snapToGrid/>
              <w:spacing w:before="0" w:after="0" w:line="340" w:lineRule="exact"/>
              <w:ind w:left="0" w:leftChars="0" w:right="0" w:firstLine="0" w:firstLineChars="0"/>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后续服务安排及措施，符合招标文件要求的，得基本分4.6分；提出了具体服务安排及措施、承诺明确并切实可行的，酌情加分，最多加0.4分。</w:t>
            </w:r>
          </w:p>
        </w:tc>
        <w:tc>
          <w:tcPr>
            <w:tcW w:w="785" w:type="dxa"/>
            <w:vAlign w:val="center"/>
          </w:tcPr>
          <w:p w14:paraId="5D86128B">
            <w:pPr>
              <w:pStyle w:val="46"/>
              <w:widowControl/>
              <w:shd w:val="clear" w:color="auto" w:fill="auto"/>
              <w:wordWrap/>
              <w:adjustRightInd/>
              <w:snapToGrid/>
              <w:spacing w:before="0" w:after="0" w:line="340" w:lineRule="exact"/>
              <w:ind w:left="0" w:leftChars="0" w:right="0" w:firstLine="0" w:firstLineChars="0"/>
              <w:jc w:val="center"/>
              <w:textAlignment w:val="auto"/>
              <w:rPr>
                <w:rFonts w:hint="default" w:ascii="仿宋" w:hAnsi="仿宋" w:eastAsia="仿宋"/>
                <w:i w:val="0"/>
                <w:iCs w:val="0"/>
                <w:color w:val="auto"/>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4.6-5</w:t>
            </w:r>
          </w:p>
        </w:tc>
      </w:tr>
      <w:tr w14:paraId="262F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85" w:type="dxa"/>
            <w:vAlign w:val="center"/>
          </w:tcPr>
          <w:p w14:paraId="1DB67C41">
            <w:pPr>
              <w:pStyle w:val="46"/>
              <w:shd w:val="clear" w:color="auto" w:fill="auto"/>
              <w:wordWrap/>
              <w:adjustRightInd/>
              <w:snapToGrid/>
              <w:spacing w:before="0" w:after="0" w:line="340" w:lineRule="exact"/>
              <w:ind w:left="0" w:leftChars="0" w:right="0" w:firstLine="0" w:firstLineChars="0"/>
              <w:jc w:val="center"/>
              <w:textAlignment w:val="auto"/>
              <w:rPr>
                <w:rFonts w:hint="eastAsia" w:ascii="仿宋" w:hAnsi="仿宋" w:eastAsia="仿宋" w:cs="Times New Roman"/>
                <w:color w:val="auto"/>
                <w:spacing w:val="0"/>
                <w:position w:val="0"/>
                <w:sz w:val="22"/>
                <w:szCs w:val="22"/>
                <w:highlight w:val="none"/>
                <w:lang w:val="en-US" w:eastAsia="zh-CN" w:bidi="ar-SA"/>
              </w:rPr>
            </w:pPr>
            <w:r>
              <w:rPr>
                <w:rFonts w:hint="eastAsia" w:ascii="仿宋" w:hAnsi="仿宋" w:eastAsia="仿宋" w:cs="Times New Roman"/>
                <w:color w:val="auto"/>
                <w:spacing w:val="0"/>
                <w:position w:val="0"/>
                <w:sz w:val="22"/>
                <w:szCs w:val="22"/>
                <w:highlight w:val="none"/>
                <w:lang w:val="en-US" w:eastAsia="zh-CN" w:bidi="ar-SA"/>
              </w:rPr>
              <w:t>合理化建议</w:t>
            </w:r>
          </w:p>
        </w:tc>
        <w:tc>
          <w:tcPr>
            <w:tcW w:w="6600" w:type="dxa"/>
            <w:vAlign w:val="center"/>
          </w:tcPr>
          <w:p w14:paraId="41D1A7FE">
            <w:pPr>
              <w:shd w:val="clear" w:color="auto" w:fill="FFFFFF"/>
              <w:wordWrap/>
              <w:adjustRightInd/>
              <w:snapToGrid/>
              <w:spacing w:before="0" w:after="0" w:line="340" w:lineRule="exact"/>
              <w:ind w:left="0" w:leftChars="0" w:right="0" w:firstLine="0" w:firstLineChars="0"/>
              <w:textAlignment w:val="auto"/>
              <w:rPr>
                <w:rFonts w:hint="eastAsia" w:ascii="仿宋" w:hAnsi="仿宋" w:eastAsia="仿宋" w:cs="Times New Roman"/>
                <w:i w:val="0"/>
                <w:iCs w:val="0"/>
                <w:color w:val="auto"/>
                <w:spacing w:val="0"/>
                <w:position w:val="0"/>
                <w:sz w:val="22"/>
                <w:szCs w:val="22"/>
                <w:highlight w:val="none"/>
                <w:u w:val="none"/>
                <w:lang w:val="en-US" w:eastAsia="zh-CN" w:bidi="en-US"/>
              </w:rPr>
            </w:pPr>
            <w:r>
              <w:rPr>
                <w:rFonts w:hint="eastAsia" w:ascii="仿宋" w:hAnsi="仿宋" w:eastAsia="仿宋" w:cs="Times New Roman"/>
                <w:i w:val="0"/>
                <w:iCs w:val="0"/>
                <w:color w:val="auto"/>
                <w:spacing w:val="0"/>
                <w:position w:val="0"/>
                <w:sz w:val="22"/>
                <w:szCs w:val="22"/>
                <w:highlight w:val="none"/>
                <w:u w:val="none"/>
                <w:lang w:val="en-US" w:eastAsia="zh-CN" w:bidi="en-US"/>
              </w:rPr>
              <w:t>针对项目特性及工程的可实施性角度，提出合理化建议，横向比较，酌情给分（0-5分）</w:t>
            </w:r>
          </w:p>
        </w:tc>
        <w:tc>
          <w:tcPr>
            <w:tcW w:w="785" w:type="dxa"/>
            <w:vAlign w:val="center"/>
          </w:tcPr>
          <w:p w14:paraId="771ACA44">
            <w:pPr>
              <w:pStyle w:val="46"/>
              <w:widowControl/>
              <w:shd w:val="clear" w:color="auto" w:fill="auto"/>
              <w:wordWrap/>
              <w:adjustRightInd/>
              <w:snapToGrid/>
              <w:spacing w:before="0" w:after="0" w:line="340" w:lineRule="exact"/>
              <w:ind w:left="0" w:leftChars="0" w:right="0" w:firstLine="0" w:firstLineChars="0"/>
              <w:jc w:val="center"/>
              <w:textAlignment w:val="auto"/>
              <w:rPr>
                <w:rFonts w:hint="default" w:ascii="仿宋" w:hAnsi="仿宋" w:eastAsia="仿宋"/>
                <w:i w:val="0"/>
                <w:iCs w:val="0"/>
                <w:color w:val="auto"/>
                <w:sz w:val="22"/>
                <w:szCs w:val="22"/>
                <w:highlight w:val="none"/>
                <w:u w:val="none"/>
                <w:lang w:val="en-US" w:eastAsia="zh-CN" w:bidi="en-US"/>
              </w:rPr>
            </w:pPr>
            <w:r>
              <w:rPr>
                <w:rFonts w:hint="eastAsia" w:ascii="仿宋" w:hAnsi="仿宋" w:eastAsia="仿宋"/>
                <w:i w:val="0"/>
                <w:iCs w:val="0"/>
                <w:color w:val="auto"/>
                <w:sz w:val="22"/>
                <w:szCs w:val="22"/>
                <w:highlight w:val="none"/>
                <w:u w:val="none"/>
                <w:lang w:val="en-US" w:eastAsia="zh-CN" w:bidi="en-US"/>
              </w:rPr>
              <w:t>0-5分</w:t>
            </w:r>
          </w:p>
        </w:tc>
      </w:tr>
    </w:tbl>
    <w:p w14:paraId="64800049">
      <w:pPr>
        <w:pStyle w:val="73"/>
        <w:widowControl w:val="0"/>
        <w:shd w:val="clear" w:color="auto" w:fill="auto"/>
        <w:wordWrap/>
        <w:adjustRightInd/>
        <w:snapToGrid/>
        <w:spacing w:before="0" w:line="360" w:lineRule="auto"/>
        <w:ind w:firstLine="442"/>
        <w:textAlignment w:val="auto"/>
        <w:rPr>
          <w:rFonts w:ascii="仿宋" w:hAnsi="仿宋" w:eastAsia="仿宋" w:cs="Times New Roman"/>
          <w:b/>
          <w:color w:val="auto"/>
          <w:sz w:val="22"/>
          <w:szCs w:val="28"/>
          <w:highlight w:val="none"/>
        </w:rPr>
      </w:pPr>
      <w:r>
        <w:rPr>
          <w:rFonts w:ascii="仿宋" w:hAnsi="仿宋" w:eastAsia="仿宋" w:cs="Times New Roman"/>
          <w:b/>
          <w:color w:val="auto"/>
          <w:sz w:val="22"/>
          <w:szCs w:val="28"/>
          <w:highlight w:val="none"/>
        </w:rPr>
        <w:t>注：</w:t>
      </w:r>
      <w:r>
        <w:rPr>
          <w:rFonts w:hint="eastAsia" w:ascii="仿宋" w:hAnsi="仿宋" w:eastAsia="仿宋" w:cs="Times New Roman"/>
          <w:b/>
          <w:bCs/>
          <w:i w:val="0"/>
          <w:iCs w:val="0"/>
          <w:color w:val="auto"/>
          <w:spacing w:val="0"/>
          <w:position w:val="0"/>
          <w:sz w:val="22"/>
          <w:szCs w:val="22"/>
          <w:highlight w:val="none"/>
          <w:u w:val="none"/>
          <w:lang w:val="en-US" w:eastAsia="zh-CN" w:bidi="en-US"/>
        </w:rPr>
        <w:t>上述一旦承诺，中标后写入合同，如不履行，按违约处理。</w:t>
      </w:r>
    </w:p>
    <w:p w14:paraId="531296AE">
      <w:pPr>
        <w:pStyle w:val="73"/>
        <w:widowControl w:val="0"/>
        <w:shd w:val="clear" w:color="auto" w:fill="auto"/>
        <w:wordWrap/>
        <w:adjustRightInd/>
        <w:snapToGrid/>
        <w:spacing w:before="0" w:line="360" w:lineRule="auto"/>
        <w:ind w:firstLine="482"/>
        <w:textAlignment w:val="auto"/>
        <w:rPr>
          <w:rFonts w:ascii="仿宋" w:hAnsi="仿宋" w:eastAsia="仿宋"/>
          <w:b/>
          <w:color w:val="auto"/>
          <w:sz w:val="24"/>
          <w:szCs w:val="24"/>
          <w:highlight w:val="none"/>
        </w:rPr>
      </w:pPr>
      <w:r>
        <w:rPr>
          <w:rFonts w:ascii="仿宋" w:hAnsi="仿宋" w:eastAsia="仿宋"/>
          <w:b/>
          <w:color w:val="auto"/>
          <w:sz w:val="24"/>
          <w:szCs w:val="24"/>
          <w:highlight w:val="none"/>
        </w:rPr>
        <w:t>36、解释权</w:t>
      </w:r>
    </w:p>
    <w:p w14:paraId="527B33C2">
      <w:pPr>
        <w:pStyle w:val="46"/>
        <w:widowControl w:val="0"/>
        <w:shd w:val="clear" w:color="auto" w:fill="auto"/>
        <w:wordWrap/>
        <w:adjustRightInd/>
        <w:snapToGrid/>
        <w:spacing w:line="360" w:lineRule="auto"/>
        <w:ind w:firstLine="480"/>
        <w:textAlignment w:val="auto"/>
        <w:rPr>
          <w:rFonts w:ascii="仿宋" w:hAnsi="仿宋" w:eastAsia="仿宋"/>
          <w:color w:val="auto"/>
          <w:sz w:val="24"/>
          <w:szCs w:val="24"/>
          <w:highlight w:val="none"/>
        </w:rPr>
        <w:sectPr>
          <w:headerReference r:id="rId5" w:type="default"/>
          <w:footerReference r:id="rId6" w:type="default"/>
          <w:pgSz w:w="11906" w:h="16838"/>
          <w:pgMar w:top="1531" w:right="1587" w:bottom="1531" w:left="1587" w:header="851" w:footer="601" w:gutter="0"/>
          <w:cols w:space="720" w:num="1"/>
          <w:docGrid w:linePitch="360" w:charSpace="0"/>
        </w:sectPr>
      </w:pPr>
      <w:r>
        <w:rPr>
          <w:rFonts w:ascii="仿宋" w:hAnsi="仿宋" w:eastAsia="仿宋"/>
          <w:color w:val="auto"/>
          <w:sz w:val="24"/>
          <w:szCs w:val="24"/>
          <w:highlight w:val="none"/>
        </w:rPr>
        <w:t xml:space="preserve">专用条款与通用条款有矛盾之处，以专用条款为准。凡涉及本次招标文件的解释权属于招标人。  </w:t>
      </w:r>
      <w:bookmarkStart w:id="5" w:name="_Toc303256681"/>
      <w:bookmarkStart w:id="6" w:name="_Toc381361195"/>
    </w:p>
    <w:bookmarkEnd w:id="5"/>
    <w:bookmarkEnd w:id="6"/>
    <w:p w14:paraId="7E6623DB">
      <w:pPr>
        <w:pStyle w:val="46"/>
        <w:shd w:val="clear" w:color="auto" w:fill="auto"/>
        <w:jc w:val="center"/>
        <w:rPr>
          <w:rStyle w:val="125"/>
          <w:rFonts w:ascii="仿宋" w:hAnsi="仿宋" w:eastAsia="仿宋"/>
          <w:color w:val="auto"/>
          <w:highlight w:val="none"/>
        </w:rPr>
      </w:pPr>
      <w:bookmarkStart w:id="7" w:name="_Toc31898"/>
      <w:r>
        <w:rPr>
          <w:rStyle w:val="125"/>
          <w:rFonts w:ascii="仿宋" w:hAnsi="仿宋" w:eastAsia="仿宋"/>
          <w:color w:val="auto"/>
          <w:highlight w:val="none"/>
        </w:rPr>
        <w:t>第三部分 招标需求</w:t>
      </w:r>
    </w:p>
    <w:bookmarkEnd w:id="7"/>
    <w:p w14:paraId="0E92237A">
      <w:pPr>
        <w:spacing w:line="360" w:lineRule="auto"/>
        <w:rPr>
          <w:rFonts w:hint="eastAsia" w:ascii="Times New Roman" w:hAnsi="Times New Roman" w:eastAsia="宋体" w:cs="Times New Roman"/>
          <w:b/>
          <w:bCs/>
          <w:sz w:val="24"/>
          <w:szCs w:val="24"/>
          <w:highlight w:val="none"/>
        </w:rPr>
      </w:pPr>
      <w:bookmarkStart w:id="8" w:name="_Toc17958"/>
      <w:bookmarkStart w:id="9" w:name="_Toc303256682"/>
      <w:bookmarkStart w:id="10" w:name="_Toc381361197"/>
      <w:r>
        <w:rPr>
          <w:rFonts w:hint="eastAsia" w:ascii="Times New Roman" w:hAnsi="Times New Roman" w:eastAsia="宋体" w:cs="Times New Roman"/>
          <w:b/>
          <w:bCs/>
          <w:sz w:val="24"/>
          <w:szCs w:val="24"/>
          <w:highlight w:val="none"/>
        </w:rPr>
        <w:t>一 、 主要内容</w:t>
      </w:r>
    </w:p>
    <w:p w14:paraId="764838CA">
      <w:pPr>
        <w:widowControl/>
        <w:wordWrap/>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1、本项目安全风险评估</w:t>
      </w:r>
    </w:p>
    <w:p w14:paraId="40BA4518">
      <w:pPr>
        <w:widowControl/>
        <w:wordWrap/>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根据&lt;&lt;杭州市城市轨道交通管理条例&gt;&gt;(市人大第18号)与&lt;&lt;杭州市地铁集团有限责任公司轨道交通保护区管理实施办法(修订)&gt;&gt;(杭地铁安全[2019]200号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等相关法律法规，根据本项目的地质环境条件、建设规模、结构特点等</w:t>
      </w:r>
      <w:r>
        <w:rPr>
          <w:rFonts w:hint="eastAsia" w:ascii="宋体" w:hAnsi="宋体" w:eastAsia="宋体" w:cs="宋体"/>
          <w:sz w:val="24"/>
          <w:szCs w:val="24"/>
          <w:highlight w:val="none"/>
          <w:lang w:val="en-US" w:eastAsia="zh-CN"/>
        </w:rPr>
        <w:t>风</w:t>
      </w:r>
      <w:r>
        <w:rPr>
          <w:rFonts w:hint="eastAsia" w:ascii="宋体" w:hAnsi="宋体" w:eastAsia="宋体" w:cs="宋体"/>
          <w:sz w:val="24"/>
          <w:szCs w:val="24"/>
          <w:highlight w:val="none"/>
        </w:rPr>
        <w:t>险环境与致险因子，评估工程施工对既有轨道交通设施的影响及风险，估测其安全风险等级，对项目建设过程中可能存在的重大安全风险进行评估，提出切实可行的安全防范措施建议，为下一步建设过程安全管理提供依据。如因评估开展需要，应结合实际情况调整完善或设计评估指标体系，并组织专家对完善或设计的评估指标体系进行论证。</w:t>
      </w:r>
    </w:p>
    <w:p w14:paraId="1D6AA869">
      <w:pPr>
        <w:widowControl/>
        <w:wordWrap/>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2、重大风险源估测</w:t>
      </w:r>
    </w:p>
    <w:p w14:paraId="39F49AB6">
      <w:pPr>
        <w:widowControl/>
        <w:wordWrap/>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对于重大风险源，定量评估其风险大小，提出安全措施建议。</w:t>
      </w:r>
    </w:p>
    <w:p w14:paraId="4C8990BB">
      <w:pPr>
        <w:widowControl/>
        <w:wordWrap/>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3、编制风险评估报告并提供后续服务</w:t>
      </w:r>
    </w:p>
    <w:p w14:paraId="02E1D5CB">
      <w:pPr>
        <w:widowControl/>
        <w:wordWrap/>
        <w:adjustRightInd/>
        <w:snapToGrid/>
        <w:spacing w:line="360" w:lineRule="auto"/>
        <w:ind w:firstLine="480" w:firstLineChars="200"/>
        <w:textAlignment w:val="auto"/>
        <w:rPr>
          <w:rFonts w:hint="eastAsia" w:ascii="宋体" w:hAnsi="宋体" w:eastAsia="宋体" w:cs="宋体"/>
          <w:color w:val="auto"/>
          <w:spacing w:val="0"/>
          <w:position w:val="0"/>
          <w:sz w:val="24"/>
          <w:szCs w:val="24"/>
          <w:highlight w:val="none"/>
          <w:lang w:val="en-US" w:eastAsia="en-US" w:bidi="en-US"/>
        </w:rPr>
      </w:pPr>
      <w:r>
        <w:rPr>
          <w:rFonts w:hint="eastAsia" w:ascii="宋体" w:hAnsi="宋体" w:eastAsia="宋体" w:cs="宋体"/>
          <w:sz w:val="24"/>
          <w:szCs w:val="24"/>
          <w:highlight w:val="none"/>
        </w:rPr>
        <w:t>协助</w:t>
      </w:r>
      <w:r>
        <w:rPr>
          <w:rFonts w:hint="eastAsia" w:ascii="宋体" w:hAnsi="宋体" w:eastAsia="宋体" w:cs="宋体"/>
          <w:sz w:val="24"/>
          <w:szCs w:val="24"/>
          <w:highlight w:val="none"/>
          <w:lang w:eastAsia="zh-CN"/>
        </w:rPr>
        <w:t>招标人</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rPr>
        <w:t>本项目地铁的专项风险评估报告</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直至</w:t>
      </w:r>
      <w:r>
        <w:rPr>
          <w:rFonts w:hint="eastAsia" w:ascii="宋体" w:hAnsi="宋体" w:eastAsia="宋体" w:cs="宋体"/>
          <w:color w:val="auto"/>
          <w:spacing w:val="0"/>
          <w:position w:val="0"/>
          <w:sz w:val="24"/>
          <w:szCs w:val="24"/>
          <w:highlight w:val="none"/>
          <w:lang w:val="en-US" w:eastAsia="en-US" w:bidi="en-US"/>
        </w:rPr>
        <w:t>地铁公司备案完成</w:t>
      </w:r>
      <w:r>
        <w:rPr>
          <w:rFonts w:hint="eastAsia" w:ascii="宋体" w:hAnsi="宋体" w:cs="宋体"/>
          <w:color w:val="auto"/>
          <w:spacing w:val="0"/>
          <w:position w:val="0"/>
          <w:sz w:val="24"/>
          <w:szCs w:val="24"/>
          <w:highlight w:val="none"/>
          <w:lang w:val="en-US" w:eastAsia="zh-CN" w:bidi="en-US"/>
        </w:rPr>
        <w:t>。</w:t>
      </w:r>
      <w:r>
        <w:rPr>
          <w:rFonts w:hint="eastAsia" w:ascii="宋体" w:hAnsi="宋体" w:eastAsia="宋体" w:cs="宋体"/>
          <w:sz w:val="24"/>
          <w:szCs w:val="24"/>
          <w:highlight w:val="none"/>
        </w:rPr>
        <w:t>按照动态管理的原则指导施工单位做好预警预控工作，</w:t>
      </w:r>
      <w:r>
        <w:rPr>
          <w:rFonts w:hint="eastAsia" w:ascii="宋体" w:hAnsi="宋体" w:eastAsia="宋体" w:cs="宋体"/>
          <w:color w:val="auto"/>
          <w:spacing w:val="0"/>
          <w:position w:val="0"/>
          <w:sz w:val="24"/>
          <w:szCs w:val="24"/>
          <w:highlight w:val="none"/>
          <w:lang w:val="en-US" w:eastAsia="en-US" w:bidi="en-US"/>
        </w:rPr>
        <w:t>配合施工、监测方案审查、参会，</w:t>
      </w:r>
      <w:r>
        <w:rPr>
          <w:rFonts w:hint="eastAsia" w:ascii="宋体" w:hAnsi="宋体" w:cs="宋体"/>
          <w:color w:val="auto"/>
          <w:spacing w:val="0"/>
          <w:position w:val="0"/>
          <w:sz w:val="24"/>
          <w:szCs w:val="24"/>
          <w:highlight w:val="none"/>
          <w:lang w:val="en-US" w:eastAsia="zh-CN" w:bidi="en-US"/>
        </w:rPr>
        <w:t>在</w:t>
      </w:r>
      <w:r>
        <w:rPr>
          <w:rFonts w:hint="eastAsia" w:ascii="宋体" w:hAnsi="宋体" w:eastAsia="宋体" w:cs="宋体"/>
          <w:color w:val="auto"/>
          <w:spacing w:val="0"/>
          <w:position w:val="0"/>
          <w:sz w:val="24"/>
          <w:szCs w:val="24"/>
          <w:highlight w:val="none"/>
          <w:lang w:val="en-US" w:eastAsia="en-US" w:bidi="en-US"/>
        </w:rPr>
        <w:t>项目地铁保护区内施工开始</w:t>
      </w:r>
      <w:r>
        <w:rPr>
          <w:rFonts w:hint="eastAsia" w:ascii="宋体" w:hAnsi="宋体" w:cs="宋体"/>
          <w:color w:val="auto"/>
          <w:spacing w:val="0"/>
          <w:position w:val="0"/>
          <w:sz w:val="24"/>
          <w:szCs w:val="24"/>
          <w:highlight w:val="none"/>
          <w:lang w:val="en-US" w:eastAsia="zh-CN" w:bidi="en-US"/>
        </w:rPr>
        <w:t>至</w:t>
      </w:r>
      <w:r>
        <w:rPr>
          <w:rFonts w:hint="eastAsia" w:ascii="宋体" w:hAnsi="宋体" w:eastAsia="宋体" w:cs="宋体"/>
          <w:color w:val="auto"/>
          <w:spacing w:val="0"/>
          <w:position w:val="0"/>
          <w:sz w:val="24"/>
          <w:szCs w:val="24"/>
          <w:highlight w:val="none"/>
          <w:lang w:val="en-US" w:eastAsia="en-US" w:bidi="en-US"/>
        </w:rPr>
        <w:t>地铁保护区内对地铁影响</w:t>
      </w:r>
      <w:r>
        <w:rPr>
          <w:rFonts w:hint="eastAsia" w:ascii="宋体" w:hAnsi="宋体" w:cs="宋体"/>
          <w:color w:val="auto"/>
          <w:spacing w:val="0"/>
          <w:position w:val="0"/>
          <w:sz w:val="24"/>
          <w:szCs w:val="24"/>
          <w:highlight w:val="none"/>
          <w:lang w:val="en-US" w:eastAsia="zh-CN" w:bidi="en-US"/>
        </w:rPr>
        <w:t>施工结束期间，</w:t>
      </w:r>
      <w:r>
        <w:rPr>
          <w:rFonts w:hint="eastAsia" w:ascii="宋体" w:hAnsi="宋体" w:eastAsia="宋体" w:cs="宋体"/>
          <w:sz w:val="24"/>
          <w:szCs w:val="24"/>
          <w:highlight w:val="none"/>
        </w:rPr>
        <w:t>承担评估报告的解释和应用指导等相关后期服务工作</w:t>
      </w:r>
      <w:r>
        <w:rPr>
          <w:rFonts w:hint="eastAsia" w:ascii="宋体" w:hAnsi="宋体" w:eastAsia="宋体" w:cs="宋体"/>
          <w:sz w:val="24"/>
          <w:szCs w:val="24"/>
          <w:highlight w:val="none"/>
        </w:rPr>
        <w:t>。</w:t>
      </w:r>
    </w:p>
    <w:p w14:paraId="0782E41C">
      <w:pPr>
        <w:spacing w:line="360" w:lineRule="auto"/>
        <w:rPr>
          <w:rFonts w:hint="eastAsia"/>
          <w:b/>
          <w:bCs/>
          <w:sz w:val="24"/>
          <w:szCs w:val="24"/>
          <w:highlight w:val="none"/>
        </w:rPr>
      </w:pPr>
      <w:r>
        <w:rPr>
          <w:rFonts w:hint="eastAsia"/>
          <w:b/>
          <w:bCs/>
          <w:sz w:val="24"/>
          <w:szCs w:val="24"/>
          <w:highlight w:val="none"/>
        </w:rPr>
        <w:t>二 、工作形式</w:t>
      </w:r>
    </w:p>
    <w:p w14:paraId="7DE7C2C8">
      <w:pPr>
        <w:spacing w:line="360" w:lineRule="auto"/>
        <w:ind w:firstLine="480" w:firstLineChars="200"/>
        <w:rPr>
          <w:rFonts w:hint="eastAsia"/>
          <w:sz w:val="24"/>
          <w:szCs w:val="24"/>
          <w:highlight w:val="none"/>
        </w:rPr>
      </w:pPr>
      <w:r>
        <w:rPr>
          <w:rFonts w:hint="eastAsia"/>
          <w:sz w:val="24"/>
          <w:szCs w:val="24"/>
          <w:highlight w:val="none"/>
        </w:rPr>
        <w:t>主要采取如下工作形式：</w:t>
      </w:r>
    </w:p>
    <w:p w14:paraId="5200EB0C">
      <w:pPr>
        <w:spacing w:line="360" w:lineRule="auto"/>
        <w:ind w:firstLine="480" w:firstLineChars="200"/>
        <w:rPr>
          <w:rFonts w:hint="eastAsia"/>
          <w:sz w:val="24"/>
          <w:szCs w:val="24"/>
          <w:highlight w:val="none"/>
        </w:rPr>
      </w:pPr>
      <w:r>
        <w:rPr>
          <w:rFonts w:hint="eastAsia"/>
          <w:sz w:val="24"/>
          <w:szCs w:val="24"/>
          <w:highlight w:val="none"/>
        </w:rPr>
        <w:t>1、搜集相关数据、资料（含前期隧道现状调查）；2、现场踏勘观测；3、仿真分析； 4、专家咨询；5、按发包人要求编制报告；6、通过发包人组织的相关专家的评审等工作。</w:t>
      </w:r>
    </w:p>
    <w:p w14:paraId="11316A2C">
      <w:pPr>
        <w:spacing w:line="360" w:lineRule="auto"/>
        <w:rPr>
          <w:rFonts w:hint="eastAsia"/>
          <w:b/>
          <w:bCs/>
          <w:sz w:val="24"/>
          <w:szCs w:val="24"/>
          <w:highlight w:val="none"/>
        </w:rPr>
      </w:pPr>
      <w:r>
        <w:rPr>
          <w:rFonts w:hint="eastAsia"/>
          <w:b/>
          <w:bCs/>
          <w:sz w:val="24"/>
          <w:szCs w:val="24"/>
          <w:highlight w:val="none"/>
        </w:rPr>
        <w:t>三 、工作要求</w:t>
      </w:r>
    </w:p>
    <w:p w14:paraId="58D92F33">
      <w:pPr>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招标人</w:t>
      </w:r>
      <w:r>
        <w:rPr>
          <w:rFonts w:hint="eastAsia"/>
          <w:sz w:val="24"/>
          <w:szCs w:val="24"/>
          <w:highlight w:val="none"/>
        </w:rPr>
        <w:t>、</w:t>
      </w:r>
      <w:r>
        <w:rPr>
          <w:rFonts w:hint="eastAsia"/>
          <w:sz w:val="24"/>
          <w:szCs w:val="24"/>
          <w:highlight w:val="none"/>
          <w:lang w:val="en-US" w:eastAsia="zh-CN"/>
        </w:rPr>
        <w:t>中标人</w:t>
      </w:r>
      <w:r>
        <w:rPr>
          <w:rFonts w:hint="eastAsia"/>
          <w:sz w:val="24"/>
          <w:szCs w:val="24"/>
          <w:highlight w:val="none"/>
        </w:rPr>
        <w:t>双方对合同任何一方提供的技术情报和资料承担保密义务，不论本合同是否变更、解除、终止，本条款长期有效；</w:t>
      </w:r>
    </w:p>
    <w:p w14:paraId="46228DCA">
      <w:pPr>
        <w:spacing w:line="360" w:lineRule="auto"/>
        <w:ind w:firstLine="480" w:firstLineChars="200"/>
        <w:rPr>
          <w:rFonts w:hint="eastAsia"/>
          <w:sz w:val="24"/>
          <w:szCs w:val="24"/>
          <w:highlight w:val="none"/>
        </w:rPr>
      </w:pPr>
      <w:r>
        <w:rPr>
          <w:rFonts w:hint="eastAsia"/>
          <w:sz w:val="24"/>
          <w:szCs w:val="24"/>
          <w:highlight w:val="none"/>
        </w:rPr>
        <w:t>2、未经</w:t>
      </w:r>
      <w:r>
        <w:rPr>
          <w:rFonts w:hint="eastAsia"/>
          <w:sz w:val="24"/>
          <w:szCs w:val="24"/>
          <w:highlight w:val="none"/>
          <w:lang w:val="en-US" w:eastAsia="zh-CN"/>
        </w:rPr>
        <w:t>招标人</w:t>
      </w:r>
      <w:r>
        <w:rPr>
          <w:rFonts w:hint="eastAsia"/>
          <w:sz w:val="24"/>
          <w:szCs w:val="24"/>
          <w:highlight w:val="none"/>
        </w:rPr>
        <w:t>、</w:t>
      </w:r>
      <w:r>
        <w:rPr>
          <w:rFonts w:hint="eastAsia"/>
          <w:sz w:val="24"/>
          <w:szCs w:val="24"/>
          <w:highlight w:val="none"/>
          <w:lang w:val="en-US" w:eastAsia="zh-CN"/>
        </w:rPr>
        <w:t>中标人</w:t>
      </w:r>
      <w:r>
        <w:rPr>
          <w:rFonts w:hint="eastAsia"/>
          <w:sz w:val="24"/>
          <w:szCs w:val="24"/>
          <w:highlight w:val="none"/>
        </w:rPr>
        <w:t>双方协商同意，不得在任何公共场合和公共宣传材料及媒介上向第三方透露有损对方利益的具体合作事宜。</w:t>
      </w:r>
    </w:p>
    <w:p w14:paraId="4F86D67E">
      <w:pPr>
        <w:spacing w:line="360" w:lineRule="auto"/>
        <w:ind w:firstLine="480" w:firstLineChars="200"/>
        <w:rPr>
          <w:rFonts w:hint="eastAsia"/>
          <w:sz w:val="24"/>
          <w:szCs w:val="24"/>
          <w:highlight w:val="none"/>
        </w:rPr>
      </w:pPr>
      <w:r>
        <w:rPr>
          <w:rFonts w:hint="eastAsia"/>
          <w:sz w:val="24"/>
          <w:szCs w:val="24"/>
          <w:highlight w:val="none"/>
        </w:rPr>
        <w:t>3、进度要求</w:t>
      </w:r>
    </w:p>
    <w:p w14:paraId="6AD0C645">
      <w:pPr>
        <w:spacing w:line="360" w:lineRule="auto"/>
        <w:ind w:firstLine="480" w:firstLineChars="200"/>
        <w:rPr>
          <w:rFonts w:hint="eastAsia"/>
          <w:sz w:val="24"/>
          <w:szCs w:val="24"/>
          <w:highlight w:val="none"/>
        </w:rPr>
      </w:pPr>
      <w:r>
        <w:rPr>
          <w:rFonts w:hint="eastAsia"/>
          <w:sz w:val="24"/>
          <w:szCs w:val="24"/>
          <w:highlight w:val="none"/>
        </w:rPr>
        <w:t>按</w:t>
      </w:r>
      <w:r>
        <w:rPr>
          <w:rFonts w:hint="eastAsia"/>
          <w:sz w:val="24"/>
          <w:szCs w:val="24"/>
          <w:highlight w:val="none"/>
          <w:lang w:eastAsia="zh-CN"/>
        </w:rPr>
        <w:t>招标人</w:t>
      </w:r>
      <w:r>
        <w:rPr>
          <w:rFonts w:hint="eastAsia"/>
          <w:sz w:val="24"/>
          <w:szCs w:val="24"/>
          <w:highlight w:val="none"/>
        </w:rPr>
        <w:t>实际要求执行。</w:t>
      </w:r>
    </w:p>
    <w:p w14:paraId="3D474605">
      <w:pPr>
        <w:spacing w:line="360" w:lineRule="auto"/>
        <w:ind w:firstLine="480" w:firstLineChars="200"/>
        <w:rPr>
          <w:rFonts w:hint="eastAsia"/>
          <w:sz w:val="24"/>
          <w:szCs w:val="24"/>
          <w:highlight w:val="none"/>
        </w:rPr>
      </w:pPr>
      <w:r>
        <w:rPr>
          <w:rFonts w:hint="eastAsia"/>
          <w:sz w:val="24"/>
          <w:szCs w:val="24"/>
          <w:highlight w:val="none"/>
        </w:rPr>
        <w:t>4、评估报告应符合有关法规和技术标准的要求，符合交通运输部《公路桥梁和隧道工程施工安全风险评估指南》《浙江省交通建设工程质量和安全生产管理条例》等相关法律法规的要求。</w:t>
      </w:r>
    </w:p>
    <w:p w14:paraId="3F723CF6">
      <w:pPr>
        <w:spacing w:line="360" w:lineRule="auto"/>
        <w:ind w:firstLine="480" w:firstLineChars="200"/>
        <w:rPr>
          <w:rFonts w:hint="eastAsia"/>
          <w:sz w:val="24"/>
          <w:szCs w:val="24"/>
          <w:highlight w:val="none"/>
        </w:rPr>
      </w:pPr>
      <w:r>
        <w:rPr>
          <w:rFonts w:hint="eastAsia"/>
          <w:sz w:val="24"/>
          <w:szCs w:val="24"/>
          <w:highlight w:val="none"/>
        </w:rPr>
        <w:t>5、</w:t>
      </w:r>
      <w:r>
        <w:rPr>
          <w:rFonts w:hint="eastAsia"/>
          <w:sz w:val="24"/>
          <w:szCs w:val="24"/>
          <w:highlight w:val="none"/>
          <w:lang w:eastAsia="zh-CN"/>
        </w:rPr>
        <w:t>中标人</w:t>
      </w:r>
      <w:r>
        <w:rPr>
          <w:rFonts w:hint="eastAsia"/>
          <w:sz w:val="24"/>
          <w:szCs w:val="24"/>
          <w:highlight w:val="none"/>
        </w:rPr>
        <w:t>除按</w:t>
      </w:r>
      <w:r>
        <w:rPr>
          <w:rFonts w:hint="eastAsia"/>
          <w:sz w:val="24"/>
          <w:szCs w:val="24"/>
          <w:highlight w:val="none"/>
          <w:lang w:eastAsia="zh-CN"/>
        </w:rPr>
        <w:t>招标人</w:t>
      </w:r>
      <w:r>
        <w:rPr>
          <w:rFonts w:hint="eastAsia"/>
          <w:sz w:val="24"/>
          <w:szCs w:val="24"/>
          <w:highlight w:val="none"/>
        </w:rPr>
        <w:t>要求提供的份数（不少于</w:t>
      </w:r>
      <w:r>
        <w:rPr>
          <w:rFonts w:hint="eastAsia"/>
          <w:sz w:val="24"/>
          <w:szCs w:val="24"/>
          <w:highlight w:val="none"/>
          <w:lang w:val="en-US" w:eastAsia="zh-CN"/>
        </w:rPr>
        <w:t>8</w:t>
      </w:r>
      <w:r>
        <w:rPr>
          <w:rFonts w:hint="eastAsia"/>
          <w:sz w:val="24"/>
          <w:szCs w:val="24"/>
          <w:highlight w:val="none"/>
        </w:rPr>
        <w:t>份）提供书面最终的正式书面评价报告等外，还应向</w:t>
      </w:r>
      <w:r>
        <w:rPr>
          <w:rFonts w:hint="eastAsia"/>
          <w:sz w:val="24"/>
          <w:szCs w:val="24"/>
          <w:highlight w:val="none"/>
          <w:lang w:eastAsia="zh-CN"/>
        </w:rPr>
        <w:t>招标人</w:t>
      </w:r>
      <w:r>
        <w:rPr>
          <w:rFonts w:hint="eastAsia"/>
          <w:sz w:val="24"/>
          <w:szCs w:val="24"/>
          <w:highlight w:val="none"/>
        </w:rPr>
        <w:t>提供以上可编辑的电子版一份，以 U 盘形式提供。</w:t>
      </w:r>
    </w:p>
    <w:p w14:paraId="29758EA1">
      <w:pPr>
        <w:spacing w:line="360" w:lineRule="auto"/>
        <w:rPr>
          <w:rFonts w:hint="eastAsia"/>
          <w:b/>
          <w:bCs/>
          <w:sz w:val="24"/>
          <w:szCs w:val="24"/>
          <w:highlight w:val="none"/>
        </w:rPr>
      </w:pPr>
      <w:r>
        <w:rPr>
          <w:rFonts w:hint="eastAsia"/>
          <w:b/>
          <w:bCs/>
          <w:sz w:val="24"/>
          <w:szCs w:val="24"/>
          <w:highlight w:val="none"/>
        </w:rPr>
        <w:t>四 、验收标准和方式</w:t>
      </w:r>
    </w:p>
    <w:p w14:paraId="1B6C1A4F">
      <w:pPr>
        <w:spacing w:line="360" w:lineRule="auto"/>
        <w:ind w:firstLine="480" w:firstLineChars="200"/>
        <w:rPr>
          <w:rFonts w:hint="eastAsia"/>
          <w:sz w:val="24"/>
          <w:szCs w:val="24"/>
          <w:highlight w:val="none"/>
        </w:rPr>
      </w:pPr>
      <w:r>
        <w:rPr>
          <w:rFonts w:hint="eastAsia"/>
          <w:sz w:val="24"/>
          <w:szCs w:val="24"/>
          <w:highlight w:val="none"/>
        </w:rPr>
        <w:t>本项目安全评估报告文件按相关国家和行业标准编制，由</w:t>
      </w:r>
      <w:r>
        <w:rPr>
          <w:rFonts w:hint="eastAsia"/>
          <w:sz w:val="24"/>
          <w:szCs w:val="24"/>
          <w:highlight w:val="none"/>
          <w:lang w:eastAsia="zh-CN"/>
        </w:rPr>
        <w:t>招标人</w:t>
      </w:r>
      <w:r>
        <w:rPr>
          <w:rFonts w:hint="eastAsia"/>
          <w:sz w:val="24"/>
          <w:szCs w:val="24"/>
          <w:highlight w:val="none"/>
        </w:rPr>
        <w:t>组织相关专家或部门对安全评估报告文件进行评审，评审通过后</w:t>
      </w:r>
      <w:r>
        <w:rPr>
          <w:rFonts w:hint="eastAsia"/>
          <w:sz w:val="24"/>
          <w:szCs w:val="24"/>
          <w:highlight w:val="none"/>
          <w:lang w:eastAsia="zh-CN"/>
        </w:rPr>
        <w:t>中标人</w:t>
      </w:r>
      <w:r>
        <w:rPr>
          <w:rFonts w:hint="eastAsia"/>
          <w:sz w:val="24"/>
          <w:szCs w:val="24"/>
          <w:highlight w:val="none"/>
        </w:rPr>
        <w:t>根据评审会意见修改完善相关报告，</w:t>
      </w:r>
      <w:r>
        <w:rPr>
          <w:rFonts w:hint="eastAsia"/>
          <w:sz w:val="24"/>
          <w:szCs w:val="24"/>
          <w:highlight w:val="none"/>
          <w:lang w:eastAsia="zh-CN"/>
        </w:rPr>
        <w:t>中标人</w:t>
      </w:r>
      <w:r>
        <w:rPr>
          <w:rFonts w:hint="eastAsia"/>
          <w:sz w:val="24"/>
          <w:szCs w:val="24"/>
          <w:highlight w:val="none"/>
        </w:rPr>
        <w:t>向</w:t>
      </w:r>
      <w:r>
        <w:rPr>
          <w:rFonts w:hint="eastAsia"/>
          <w:sz w:val="24"/>
          <w:szCs w:val="24"/>
          <w:highlight w:val="none"/>
          <w:lang w:eastAsia="zh-CN"/>
        </w:rPr>
        <w:t>招标人</w:t>
      </w:r>
      <w:r>
        <w:rPr>
          <w:rFonts w:hint="eastAsia"/>
          <w:sz w:val="24"/>
          <w:szCs w:val="24"/>
          <w:highlight w:val="none"/>
        </w:rPr>
        <w:t>提交最终报告文件。</w:t>
      </w:r>
    </w:p>
    <w:p w14:paraId="22777263">
      <w:pPr>
        <w:widowControl/>
        <w:wordWrap/>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本项目服务期：从签订合同后至</w:t>
      </w:r>
      <w:r>
        <w:rPr>
          <w:rFonts w:hint="eastAsia"/>
          <w:sz w:val="24"/>
          <w:szCs w:val="24"/>
          <w:highlight w:val="none"/>
          <w:lang w:val="en-US" w:eastAsia="zh-CN"/>
        </w:rPr>
        <w:t>项目竣工</w:t>
      </w:r>
      <w:r>
        <w:rPr>
          <w:rFonts w:hint="eastAsia"/>
          <w:sz w:val="24"/>
          <w:szCs w:val="24"/>
          <w:highlight w:val="none"/>
        </w:rPr>
        <w:t>完成止。</w:t>
      </w:r>
    </w:p>
    <w:p w14:paraId="09AE62B7">
      <w:pPr>
        <w:spacing w:line="360" w:lineRule="auto"/>
        <w:rPr>
          <w:rFonts w:hint="eastAsia"/>
          <w:b/>
          <w:bCs/>
          <w:sz w:val="24"/>
          <w:szCs w:val="24"/>
          <w:highlight w:val="none"/>
        </w:rPr>
      </w:pPr>
      <w:r>
        <w:rPr>
          <w:rFonts w:hint="eastAsia"/>
          <w:b/>
          <w:bCs/>
          <w:sz w:val="24"/>
          <w:szCs w:val="24"/>
          <w:highlight w:val="none"/>
        </w:rPr>
        <w:t>五、 报价说明</w:t>
      </w:r>
    </w:p>
    <w:p w14:paraId="45809E9B">
      <w:pPr>
        <w:spacing w:line="360" w:lineRule="auto"/>
        <w:ind w:firstLine="480" w:firstLineChars="200"/>
        <w:rPr>
          <w:rFonts w:hint="eastAsia"/>
          <w:sz w:val="24"/>
          <w:szCs w:val="24"/>
          <w:highlight w:val="none"/>
        </w:rPr>
      </w:pPr>
      <w:r>
        <w:rPr>
          <w:rFonts w:hint="eastAsia"/>
          <w:sz w:val="24"/>
          <w:szCs w:val="24"/>
          <w:highlight w:val="none"/>
        </w:rPr>
        <w:t>本项目采用总价包干</w:t>
      </w:r>
      <w:r>
        <w:rPr>
          <w:rFonts w:hint="eastAsia"/>
          <w:sz w:val="24"/>
          <w:szCs w:val="24"/>
          <w:highlight w:val="none"/>
          <w:lang w:eastAsia="zh-CN"/>
        </w:rPr>
        <w:t>。</w:t>
      </w:r>
      <w:r>
        <w:rPr>
          <w:rFonts w:hint="eastAsia"/>
          <w:sz w:val="24"/>
          <w:szCs w:val="24"/>
          <w:highlight w:val="none"/>
        </w:rPr>
        <w:t>费用包含了上报相关部门的方案编制、资料整理（含前期隧道现状调查）、评审会议会务费，相关专家费、交通费、人工费、驻地费、生活办公设施费、企业管理费、利润和税金等均在报价中综合考虑，</w:t>
      </w:r>
      <w:r>
        <w:rPr>
          <w:rFonts w:hint="eastAsia"/>
          <w:sz w:val="24"/>
          <w:szCs w:val="24"/>
          <w:highlight w:val="none"/>
          <w:lang w:eastAsia="zh-CN"/>
        </w:rPr>
        <w:t>招标人</w:t>
      </w:r>
      <w:r>
        <w:rPr>
          <w:rFonts w:hint="eastAsia"/>
          <w:sz w:val="24"/>
          <w:szCs w:val="24"/>
          <w:highlight w:val="none"/>
        </w:rPr>
        <w:t>不另行支付。</w:t>
      </w:r>
    </w:p>
    <w:p w14:paraId="3E30BD94">
      <w:pPr>
        <w:spacing w:line="360" w:lineRule="auto"/>
        <w:rPr>
          <w:rFonts w:hint="eastAsia"/>
          <w:b/>
          <w:bCs/>
          <w:sz w:val="24"/>
          <w:szCs w:val="24"/>
          <w:highlight w:val="none"/>
        </w:rPr>
      </w:pPr>
      <w:r>
        <w:rPr>
          <w:rFonts w:hint="eastAsia"/>
          <w:b/>
          <w:bCs/>
          <w:sz w:val="24"/>
          <w:szCs w:val="24"/>
          <w:highlight w:val="none"/>
        </w:rPr>
        <w:t>六 、合同价款支付方式</w:t>
      </w:r>
    </w:p>
    <w:p w14:paraId="699B3066">
      <w:pPr>
        <w:spacing w:line="360" w:lineRule="auto"/>
        <w:ind w:firstLine="480" w:firstLineChars="200"/>
        <w:rPr>
          <w:rFonts w:hint="eastAsia"/>
          <w:sz w:val="24"/>
          <w:szCs w:val="24"/>
          <w:highlight w:val="none"/>
        </w:rPr>
      </w:pPr>
      <w:r>
        <w:rPr>
          <w:rFonts w:hint="eastAsia" w:ascii="宋体" w:hAnsi="宋体" w:eastAsia="宋体" w:cs="宋体"/>
          <w:sz w:val="24"/>
          <w:szCs w:val="24"/>
          <w:highlight w:val="none"/>
        </w:rPr>
        <w:t>本项目应服从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的统一管理，服务费的支付应事先征得</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审核同意。服务费用在</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按国家规程规范或相关部门及</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要求完成</w:t>
      </w:r>
      <w:r>
        <w:rPr>
          <w:rFonts w:hint="eastAsia" w:ascii="宋体" w:hAnsi="宋体" w:eastAsia="宋体" w:cs="宋体"/>
          <w:sz w:val="24"/>
          <w:szCs w:val="24"/>
          <w:highlight w:val="none"/>
        </w:rPr>
        <w:t>本项目地铁的专项风险评估报告</w:t>
      </w:r>
      <w:r>
        <w:rPr>
          <w:rFonts w:hint="eastAsia" w:ascii="宋体" w:hAnsi="宋体" w:cs="宋体"/>
          <w:sz w:val="24"/>
          <w:szCs w:val="24"/>
          <w:highlight w:val="none"/>
          <w:lang w:val="en-US" w:eastAsia="zh-CN"/>
        </w:rPr>
        <w:t>编制并在</w:t>
      </w:r>
      <w:r>
        <w:rPr>
          <w:rFonts w:hint="eastAsia" w:ascii="宋体" w:hAnsi="宋体" w:eastAsia="宋体" w:cs="宋体"/>
          <w:color w:val="auto"/>
          <w:spacing w:val="0"/>
          <w:position w:val="0"/>
          <w:sz w:val="24"/>
          <w:szCs w:val="24"/>
          <w:highlight w:val="none"/>
          <w:lang w:val="en-US" w:eastAsia="en-US" w:bidi="en-US"/>
        </w:rPr>
        <w:t>地铁公司备案完成</w:t>
      </w:r>
      <w:r>
        <w:rPr>
          <w:rFonts w:hint="eastAsia" w:ascii="宋体" w:hAnsi="宋体" w:cs="宋体"/>
          <w:color w:val="auto"/>
          <w:spacing w:val="0"/>
          <w:position w:val="0"/>
          <w:sz w:val="24"/>
          <w:szCs w:val="24"/>
          <w:highlight w:val="none"/>
          <w:lang w:val="en-US" w:eastAsia="zh-CN" w:bidi="en-US"/>
        </w:rPr>
        <w:t>后</w:t>
      </w:r>
      <w:r>
        <w:rPr>
          <w:rFonts w:hint="eastAsia" w:ascii="宋体" w:hAnsi="宋体" w:eastAsia="宋体" w:cs="宋体"/>
          <w:sz w:val="24"/>
          <w:szCs w:val="24"/>
          <w:highlight w:val="none"/>
        </w:rPr>
        <w:t>20日内支付合同款的</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最终项目竣工验收通过后</w:t>
      </w:r>
      <w:r>
        <w:rPr>
          <w:rFonts w:hint="eastAsia" w:ascii="宋体" w:hAnsi="宋体" w:eastAsia="宋体" w:cs="宋体"/>
          <w:sz w:val="24"/>
          <w:szCs w:val="24"/>
          <w:highlight w:val="none"/>
        </w:rPr>
        <w:t>支付剩余合同款的</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付款前</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应开具符合要求的发票。</w:t>
      </w:r>
    </w:p>
    <w:p w14:paraId="5B9B2EBF">
      <w:pPr>
        <w:spacing w:line="360" w:lineRule="auto"/>
        <w:rPr>
          <w:rFonts w:hint="eastAsia"/>
          <w:b/>
          <w:bCs/>
          <w:sz w:val="24"/>
          <w:szCs w:val="24"/>
          <w:highlight w:val="none"/>
        </w:rPr>
      </w:pPr>
      <w:r>
        <w:rPr>
          <w:rFonts w:hint="eastAsia"/>
          <w:b/>
          <w:bCs/>
          <w:sz w:val="24"/>
          <w:szCs w:val="24"/>
          <w:highlight w:val="none"/>
        </w:rPr>
        <w:t>七 、违约</w:t>
      </w:r>
    </w:p>
    <w:p w14:paraId="01F343BB">
      <w:pPr>
        <w:widowControl/>
        <w:wordWrap/>
        <w:adjustRightInd/>
        <w:snapToGrid/>
        <w:spacing w:line="360" w:lineRule="auto"/>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）中标人</w:t>
      </w:r>
      <w:r>
        <w:rPr>
          <w:rFonts w:hint="eastAsia"/>
          <w:sz w:val="24"/>
          <w:szCs w:val="24"/>
          <w:highlight w:val="none"/>
        </w:rPr>
        <w:t>应根据招标文件的要求、投标文件的承诺和工程的实际情况组成完善的服务机构，并按投标文件承诺到位相应资格的项目负责人和项目组其他成员。项目负责人不得随意更换，确需更换的，须提前 7 日书面通知</w:t>
      </w:r>
      <w:r>
        <w:rPr>
          <w:rFonts w:hint="eastAsia"/>
          <w:sz w:val="24"/>
          <w:szCs w:val="24"/>
          <w:highlight w:val="none"/>
          <w:lang w:eastAsia="zh-CN"/>
        </w:rPr>
        <w:t>招标人</w:t>
      </w:r>
      <w:r>
        <w:rPr>
          <w:rFonts w:hint="eastAsia"/>
          <w:sz w:val="24"/>
          <w:szCs w:val="24"/>
          <w:highlight w:val="none"/>
        </w:rPr>
        <w:t>，并得到</w:t>
      </w:r>
      <w:r>
        <w:rPr>
          <w:rFonts w:hint="eastAsia"/>
          <w:sz w:val="24"/>
          <w:szCs w:val="24"/>
          <w:highlight w:val="none"/>
          <w:lang w:eastAsia="zh-CN"/>
        </w:rPr>
        <w:t>招标人</w:t>
      </w:r>
      <w:r>
        <w:rPr>
          <w:rFonts w:hint="eastAsia"/>
          <w:sz w:val="24"/>
          <w:szCs w:val="24"/>
          <w:highlight w:val="none"/>
        </w:rPr>
        <w:t>的同意。</w:t>
      </w:r>
    </w:p>
    <w:p w14:paraId="310036D3">
      <w:pPr>
        <w:widowControl/>
        <w:wordWrap/>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经</w:t>
      </w:r>
      <w:r>
        <w:rPr>
          <w:rFonts w:hint="eastAsia"/>
          <w:sz w:val="24"/>
          <w:szCs w:val="24"/>
          <w:highlight w:val="none"/>
          <w:lang w:eastAsia="zh-CN"/>
        </w:rPr>
        <w:t>招标人</w:t>
      </w:r>
      <w:r>
        <w:rPr>
          <w:rFonts w:hint="eastAsia"/>
          <w:sz w:val="24"/>
          <w:szCs w:val="24"/>
          <w:highlight w:val="none"/>
        </w:rPr>
        <w:t>同意，</w:t>
      </w:r>
      <w:r>
        <w:rPr>
          <w:rFonts w:hint="eastAsia"/>
          <w:sz w:val="24"/>
          <w:szCs w:val="24"/>
          <w:highlight w:val="none"/>
          <w:lang w:eastAsia="zh-CN"/>
        </w:rPr>
        <w:t>中标人</w:t>
      </w:r>
      <w:r>
        <w:rPr>
          <w:rFonts w:hint="eastAsia"/>
          <w:sz w:val="24"/>
          <w:szCs w:val="24"/>
          <w:highlight w:val="none"/>
        </w:rPr>
        <w:t>方可更换项目负责人，且更换后的项目负责人不得低于原投标文件承诺的项目负责人资格要求；未经</w:t>
      </w:r>
      <w:r>
        <w:rPr>
          <w:rFonts w:hint="eastAsia"/>
          <w:sz w:val="24"/>
          <w:szCs w:val="24"/>
          <w:highlight w:val="none"/>
          <w:lang w:eastAsia="zh-CN"/>
        </w:rPr>
        <w:t>招标人</w:t>
      </w:r>
      <w:r>
        <w:rPr>
          <w:rFonts w:hint="eastAsia"/>
          <w:sz w:val="24"/>
          <w:szCs w:val="24"/>
          <w:highlight w:val="none"/>
        </w:rPr>
        <w:t>同意更换项目负责人的，</w:t>
      </w:r>
      <w:r>
        <w:rPr>
          <w:rFonts w:hint="eastAsia"/>
          <w:sz w:val="24"/>
          <w:szCs w:val="24"/>
          <w:highlight w:val="none"/>
          <w:lang w:eastAsia="zh-CN"/>
        </w:rPr>
        <w:t>招标人</w:t>
      </w:r>
      <w:r>
        <w:rPr>
          <w:rFonts w:hint="eastAsia"/>
          <w:sz w:val="24"/>
          <w:szCs w:val="24"/>
          <w:highlight w:val="none"/>
        </w:rPr>
        <w:t>有权向</w:t>
      </w:r>
      <w:r>
        <w:rPr>
          <w:rFonts w:hint="eastAsia"/>
          <w:sz w:val="24"/>
          <w:szCs w:val="24"/>
          <w:highlight w:val="none"/>
          <w:lang w:eastAsia="zh-CN"/>
        </w:rPr>
        <w:t>中标人</w:t>
      </w:r>
      <w:r>
        <w:rPr>
          <w:rFonts w:hint="eastAsia"/>
          <w:sz w:val="24"/>
          <w:szCs w:val="24"/>
          <w:highlight w:val="none"/>
          <w:lang w:val="en-US" w:eastAsia="zh-CN"/>
        </w:rPr>
        <w:t>每次处以</w:t>
      </w:r>
      <w:r>
        <w:rPr>
          <w:rFonts w:hint="eastAsia"/>
          <w:sz w:val="24"/>
          <w:szCs w:val="24"/>
          <w:highlight w:val="none"/>
        </w:rPr>
        <w:t xml:space="preserve"> 1 万元/人次的违约金。如</w:t>
      </w:r>
      <w:r>
        <w:rPr>
          <w:rFonts w:hint="eastAsia"/>
          <w:sz w:val="24"/>
          <w:szCs w:val="24"/>
          <w:highlight w:val="none"/>
          <w:lang w:eastAsia="zh-CN"/>
        </w:rPr>
        <w:t>中标人</w:t>
      </w:r>
      <w:r>
        <w:rPr>
          <w:rFonts w:hint="eastAsia"/>
          <w:sz w:val="24"/>
          <w:szCs w:val="24"/>
          <w:highlight w:val="none"/>
        </w:rPr>
        <w:t>提交的报告未通过</w:t>
      </w:r>
      <w:r>
        <w:rPr>
          <w:rFonts w:hint="eastAsia"/>
          <w:sz w:val="24"/>
          <w:szCs w:val="24"/>
          <w:highlight w:val="none"/>
          <w:lang w:eastAsia="zh-CN"/>
        </w:rPr>
        <w:t>招标人</w:t>
      </w:r>
      <w:r>
        <w:rPr>
          <w:rFonts w:hint="eastAsia"/>
          <w:sz w:val="24"/>
          <w:szCs w:val="24"/>
          <w:highlight w:val="none"/>
        </w:rPr>
        <w:t>（或由</w:t>
      </w:r>
      <w:r>
        <w:rPr>
          <w:rFonts w:hint="eastAsia"/>
          <w:sz w:val="24"/>
          <w:szCs w:val="24"/>
          <w:highlight w:val="none"/>
          <w:lang w:eastAsia="zh-CN"/>
        </w:rPr>
        <w:t>中标人</w:t>
      </w:r>
      <w:r>
        <w:rPr>
          <w:rFonts w:hint="eastAsia"/>
          <w:sz w:val="24"/>
          <w:szCs w:val="24"/>
          <w:highlight w:val="none"/>
        </w:rPr>
        <w:t>）组织的相关专家或部门审查，</w:t>
      </w:r>
      <w:r>
        <w:rPr>
          <w:rFonts w:hint="eastAsia"/>
          <w:sz w:val="24"/>
          <w:szCs w:val="24"/>
          <w:highlight w:val="none"/>
          <w:lang w:eastAsia="zh-CN"/>
        </w:rPr>
        <w:t>招标人</w:t>
      </w:r>
      <w:r>
        <w:rPr>
          <w:rFonts w:hint="eastAsia"/>
          <w:sz w:val="24"/>
          <w:szCs w:val="24"/>
          <w:highlight w:val="none"/>
        </w:rPr>
        <w:t>有权向</w:t>
      </w:r>
      <w:r>
        <w:rPr>
          <w:rFonts w:hint="eastAsia"/>
          <w:sz w:val="24"/>
          <w:szCs w:val="24"/>
          <w:highlight w:val="none"/>
          <w:lang w:eastAsia="zh-CN"/>
        </w:rPr>
        <w:t>中标人每次处以</w:t>
      </w:r>
      <w:r>
        <w:rPr>
          <w:rFonts w:hint="eastAsia"/>
          <w:sz w:val="24"/>
          <w:szCs w:val="24"/>
          <w:highlight w:val="none"/>
        </w:rPr>
        <w:t xml:space="preserve"> 2 万元/次的违约金。上述违约金</w:t>
      </w:r>
      <w:r>
        <w:rPr>
          <w:rFonts w:hint="eastAsia"/>
          <w:sz w:val="24"/>
          <w:szCs w:val="24"/>
          <w:highlight w:val="none"/>
          <w:lang w:eastAsia="zh-CN"/>
        </w:rPr>
        <w:t>招标人</w:t>
      </w:r>
      <w:r>
        <w:rPr>
          <w:rFonts w:hint="eastAsia"/>
          <w:sz w:val="24"/>
          <w:szCs w:val="24"/>
          <w:highlight w:val="none"/>
        </w:rPr>
        <w:t>在支付给</w:t>
      </w:r>
      <w:r>
        <w:rPr>
          <w:rFonts w:hint="eastAsia"/>
          <w:sz w:val="24"/>
          <w:szCs w:val="24"/>
          <w:highlight w:val="none"/>
          <w:lang w:eastAsia="zh-CN"/>
        </w:rPr>
        <w:t>中标人</w:t>
      </w:r>
      <w:r>
        <w:rPr>
          <w:rFonts w:hint="eastAsia"/>
          <w:sz w:val="24"/>
          <w:szCs w:val="24"/>
          <w:highlight w:val="none"/>
        </w:rPr>
        <w:t>的合同价款中扣减。</w:t>
      </w:r>
    </w:p>
    <w:p w14:paraId="3015E400">
      <w:pPr>
        <w:pStyle w:val="46"/>
        <w:shd w:val="clear" w:color="auto" w:fill="auto"/>
        <w:ind w:firstLine="482"/>
        <w:jc w:val="center"/>
        <w:rPr>
          <w:rFonts w:ascii="仿宋" w:hAnsi="仿宋" w:eastAsia="仿宋"/>
          <w:color w:val="auto"/>
          <w:sz w:val="44"/>
          <w:szCs w:val="44"/>
          <w:highlight w:val="none"/>
        </w:rPr>
      </w:pPr>
      <w:r>
        <w:rPr>
          <w:rStyle w:val="125"/>
          <w:rFonts w:ascii="仿宋" w:hAnsi="仿宋" w:eastAsia="仿宋"/>
          <w:color w:val="auto"/>
          <w:highlight w:val="none"/>
        </w:rPr>
        <w:t>第四部分 合同样本</w:t>
      </w:r>
      <w:bookmarkEnd w:id="8"/>
    </w:p>
    <w:p w14:paraId="5C0711C7">
      <w:pPr>
        <w:pStyle w:val="58"/>
        <w:shd w:val="clear" w:color="auto" w:fill="auto"/>
        <w:spacing w:line="500" w:lineRule="exact"/>
        <w:ind w:firstLine="482"/>
        <w:jc w:val="center"/>
        <w:rPr>
          <w:rFonts w:ascii="仿宋" w:hAnsi="仿宋" w:eastAsia="仿宋"/>
          <w:b/>
          <w:color w:val="auto"/>
          <w:sz w:val="24"/>
          <w:szCs w:val="24"/>
          <w:highlight w:val="none"/>
        </w:rPr>
      </w:pPr>
      <w:r>
        <w:rPr>
          <w:rFonts w:ascii="仿宋" w:hAnsi="仿宋" w:eastAsia="仿宋"/>
          <w:b/>
          <w:color w:val="auto"/>
          <w:sz w:val="24"/>
          <w:szCs w:val="24"/>
          <w:highlight w:val="none"/>
        </w:rPr>
        <w:t>（本合同为合同样稿，最终稿由双方协商后确定）</w:t>
      </w:r>
    </w:p>
    <w:p w14:paraId="768CCC25">
      <w:pPr>
        <w:pStyle w:val="46"/>
        <w:widowControl w:val="0"/>
        <w:shd w:val="clear" w:color="auto" w:fill="auto"/>
        <w:spacing w:line="360" w:lineRule="auto"/>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(通用条款)</w:t>
      </w:r>
    </w:p>
    <w:p w14:paraId="6AFB2E0F">
      <w:pPr>
        <w:spacing w:line="460" w:lineRule="exact"/>
        <w:jc w:val="center"/>
        <w:rPr>
          <w:rFonts w:hint="eastAsia"/>
          <w:sz w:val="28"/>
          <w:highlight w:val="none"/>
          <w:u w:val="single"/>
        </w:rPr>
      </w:pPr>
      <w:r>
        <w:rPr>
          <w:rFonts w:hint="eastAsia" w:ascii="宋体" w:hAnsi="宋体"/>
          <w:szCs w:val="21"/>
          <w:highlight w:val="none"/>
        </w:rPr>
        <w:t xml:space="preserve">                                              合同编号：</w:t>
      </w:r>
      <w:r>
        <w:rPr>
          <w:rFonts w:hint="eastAsia"/>
          <w:sz w:val="28"/>
          <w:highlight w:val="none"/>
          <w:u w:val="single"/>
        </w:rPr>
        <w:t xml:space="preserve">           </w:t>
      </w:r>
    </w:p>
    <w:p w14:paraId="14C97E7E">
      <w:pPr>
        <w:spacing w:line="460" w:lineRule="exact"/>
        <w:jc w:val="both"/>
        <w:rPr>
          <w:rFonts w:hint="eastAsia"/>
          <w:sz w:val="24"/>
          <w:highlight w:val="none"/>
        </w:rPr>
      </w:pPr>
      <w:r>
        <w:rPr>
          <w:rFonts w:hint="eastAsia"/>
          <w:sz w:val="24"/>
          <w:highlight w:val="none"/>
        </w:rPr>
        <w:t>甲方（委托人）：</w:t>
      </w:r>
    </w:p>
    <w:p w14:paraId="66952947">
      <w:pPr>
        <w:spacing w:line="432" w:lineRule="auto"/>
        <w:rPr>
          <w:rFonts w:hint="eastAsia" w:eastAsia="宋体"/>
          <w:sz w:val="24"/>
          <w:highlight w:val="none"/>
          <w:lang w:eastAsia="zh-CN"/>
        </w:rPr>
      </w:pPr>
      <w:r>
        <w:rPr>
          <w:rFonts w:hint="eastAsia"/>
          <w:sz w:val="24"/>
          <w:highlight w:val="none"/>
        </w:rPr>
        <w:t>乙方（评估人）：</w:t>
      </w:r>
      <w:r>
        <w:rPr>
          <w:rFonts w:hint="eastAsia"/>
          <w:sz w:val="24"/>
          <w:highlight w:val="none"/>
          <w:lang w:eastAsia="zh-CN"/>
        </w:rPr>
        <w:t xml:space="preserve"> </w:t>
      </w:r>
    </w:p>
    <w:p w14:paraId="055E5276">
      <w:pPr>
        <w:spacing w:line="432" w:lineRule="auto"/>
        <w:ind w:firstLine="480" w:firstLineChars="200"/>
        <w:rPr>
          <w:rFonts w:hint="eastAsia"/>
          <w:sz w:val="24"/>
          <w:highlight w:val="none"/>
        </w:rPr>
      </w:pPr>
      <w:r>
        <w:rPr>
          <w:rFonts w:hint="eastAsia"/>
          <w:sz w:val="24"/>
          <w:highlight w:val="none"/>
        </w:rPr>
        <w:t>甲、乙双方根据</w:t>
      </w:r>
      <w:r>
        <w:rPr>
          <w:rFonts w:hint="eastAsia"/>
          <w:sz w:val="24"/>
          <w:highlight w:val="none"/>
          <w:u w:val="single"/>
          <w:lang w:val="en-US" w:eastAsia="zh-CN"/>
        </w:rPr>
        <w:t xml:space="preserve">                          </w:t>
      </w:r>
      <w:r>
        <w:rPr>
          <w:rFonts w:hint="eastAsia"/>
          <w:sz w:val="24"/>
          <w:highlight w:val="none"/>
        </w:rPr>
        <w:t>（项目编</w:t>
      </w:r>
      <w:r>
        <w:rPr>
          <w:sz w:val="24"/>
          <w:highlight w:val="none"/>
        </w:rPr>
        <w:t>号：</w:t>
      </w:r>
      <w:r>
        <w:rPr>
          <w:rFonts w:hint="eastAsia"/>
          <w:color w:val="auto"/>
          <w:sz w:val="24"/>
          <w:highlight w:val="none"/>
          <w:lang w:val="en-US" w:eastAsia="zh-CN"/>
        </w:rPr>
        <w:t xml:space="preserve">        </w:t>
      </w:r>
      <w:r>
        <w:rPr>
          <w:sz w:val="24"/>
          <w:highlight w:val="none"/>
        </w:rPr>
        <w:t>）的公</w:t>
      </w:r>
      <w:r>
        <w:rPr>
          <w:rFonts w:hint="eastAsia"/>
          <w:sz w:val="24"/>
          <w:highlight w:val="none"/>
        </w:rPr>
        <w:t>开招标结果，签署本合同。</w:t>
      </w:r>
    </w:p>
    <w:p w14:paraId="00942D66">
      <w:pPr>
        <w:spacing w:line="432" w:lineRule="auto"/>
        <w:rPr>
          <w:rFonts w:hint="eastAsia"/>
          <w:sz w:val="24"/>
          <w:highlight w:val="none"/>
        </w:rPr>
      </w:pPr>
      <w:r>
        <w:rPr>
          <w:rFonts w:hint="eastAsia"/>
          <w:sz w:val="24"/>
          <w:highlight w:val="none"/>
        </w:rPr>
        <w:t>一、合同价款</w:t>
      </w:r>
    </w:p>
    <w:tbl>
      <w:tblPr>
        <w:tblStyle w:val="34"/>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4635"/>
        <w:gridCol w:w="2344"/>
        <w:gridCol w:w="1280"/>
      </w:tblGrid>
      <w:tr w14:paraId="6680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21" w:type="dxa"/>
            <w:tcBorders>
              <w:top w:val="single" w:color="auto" w:sz="4" w:space="0"/>
              <w:left w:val="single" w:color="auto" w:sz="4" w:space="0"/>
              <w:bottom w:val="single" w:color="auto" w:sz="4" w:space="0"/>
              <w:right w:val="single" w:color="auto" w:sz="4" w:space="0"/>
            </w:tcBorders>
            <w:vAlign w:val="center"/>
          </w:tcPr>
          <w:p w14:paraId="146271E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4635" w:type="dxa"/>
            <w:tcBorders>
              <w:top w:val="single" w:color="auto" w:sz="4" w:space="0"/>
              <w:left w:val="single" w:color="auto" w:sz="4" w:space="0"/>
              <w:bottom w:val="single" w:color="auto" w:sz="4" w:space="0"/>
              <w:right w:val="single" w:color="auto" w:sz="4" w:space="0"/>
            </w:tcBorders>
            <w:vAlign w:val="center"/>
          </w:tcPr>
          <w:p w14:paraId="3DAA61FD">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工作内容</w:t>
            </w:r>
          </w:p>
        </w:tc>
        <w:tc>
          <w:tcPr>
            <w:tcW w:w="2344" w:type="dxa"/>
            <w:tcBorders>
              <w:top w:val="single" w:color="auto" w:sz="4" w:space="0"/>
              <w:left w:val="single" w:color="auto" w:sz="4" w:space="0"/>
              <w:bottom w:val="single" w:color="auto" w:sz="4" w:space="0"/>
              <w:right w:val="single" w:color="auto" w:sz="4" w:space="0"/>
            </w:tcBorders>
            <w:vAlign w:val="center"/>
          </w:tcPr>
          <w:p w14:paraId="0E54DC18">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合同价</w:t>
            </w:r>
          </w:p>
          <w:p w14:paraId="7CE8213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（人民币：元）</w:t>
            </w:r>
          </w:p>
        </w:tc>
        <w:tc>
          <w:tcPr>
            <w:tcW w:w="1280" w:type="dxa"/>
            <w:tcBorders>
              <w:top w:val="single" w:color="auto" w:sz="4" w:space="0"/>
              <w:left w:val="single" w:color="auto" w:sz="4" w:space="0"/>
              <w:bottom w:val="single" w:color="auto" w:sz="4" w:space="0"/>
              <w:right w:val="single" w:color="auto" w:sz="4" w:space="0"/>
            </w:tcBorders>
            <w:vAlign w:val="center"/>
          </w:tcPr>
          <w:p w14:paraId="599F1B17">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14:paraId="313E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21" w:type="dxa"/>
            <w:tcBorders>
              <w:top w:val="single" w:color="auto" w:sz="4" w:space="0"/>
              <w:left w:val="single" w:color="auto" w:sz="4" w:space="0"/>
              <w:bottom w:val="single" w:color="auto" w:sz="4" w:space="0"/>
              <w:right w:val="single" w:color="auto" w:sz="4" w:space="0"/>
            </w:tcBorders>
            <w:vAlign w:val="center"/>
          </w:tcPr>
          <w:p w14:paraId="4E8038B1">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4635" w:type="dxa"/>
            <w:tcBorders>
              <w:top w:val="single" w:color="auto" w:sz="4" w:space="0"/>
              <w:left w:val="single" w:color="auto" w:sz="4" w:space="0"/>
              <w:bottom w:val="single" w:color="auto" w:sz="4" w:space="0"/>
              <w:right w:val="single" w:color="auto" w:sz="4" w:space="0"/>
            </w:tcBorders>
            <w:vAlign w:val="center"/>
          </w:tcPr>
          <w:p w14:paraId="74FAA555">
            <w:pPr>
              <w:spacing w:line="360" w:lineRule="auto"/>
              <w:jc w:val="center"/>
              <w:rPr>
                <w:rFonts w:hint="eastAsia" w:ascii="宋体" w:hAnsi="宋体" w:cs="宋体"/>
                <w:color w:val="000000"/>
                <w:sz w:val="24"/>
                <w:highlight w:val="none"/>
              </w:rPr>
            </w:pPr>
          </w:p>
        </w:tc>
        <w:tc>
          <w:tcPr>
            <w:tcW w:w="2344" w:type="dxa"/>
            <w:tcBorders>
              <w:top w:val="single" w:color="auto" w:sz="4" w:space="0"/>
              <w:left w:val="single" w:color="auto" w:sz="4" w:space="0"/>
              <w:bottom w:val="single" w:color="auto" w:sz="4" w:space="0"/>
              <w:right w:val="single" w:color="auto" w:sz="4" w:space="0"/>
            </w:tcBorders>
            <w:vAlign w:val="center"/>
          </w:tcPr>
          <w:p w14:paraId="5F71075B">
            <w:pPr>
              <w:spacing w:line="360" w:lineRule="auto"/>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小写：</w:t>
            </w:r>
          </w:p>
          <w:p w14:paraId="78CCABC5">
            <w:pPr>
              <w:spacing w:line="360" w:lineRule="auto"/>
              <w:jc w:val="left"/>
              <w:rPr>
                <w:rFonts w:hint="eastAsia" w:ascii="宋体" w:hAnsi="宋体" w:eastAsia="宋体" w:cs="宋体"/>
                <w:color w:val="000000"/>
                <w:sz w:val="24"/>
                <w:highlight w:val="none"/>
                <w:lang w:eastAsia="zh-CN"/>
              </w:rPr>
            </w:pPr>
            <w:r>
              <w:rPr>
                <w:rFonts w:ascii="宋体" w:hAnsi="宋体" w:cs="宋体"/>
                <w:color w:val="000000"/>
                <w:sz w:val="24"/>
                <w:highlight w:val="none"/>
              </w:rPr>
              <w:t>大写</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 xml:space="preserve"> </w:t>
            </w:r>
          </w:p>
        </w:tc>
        <w:tc>
          <w:tcPr>
            <w:tcW w:w="1280" w:type="dxa"/>
            <w:tcBorders>
              <w:top w:val="single" w:color="auto" w:sz="4" w:space="0"/>
              <w:left w:val="single" w:color="auto" w:sz="4" w:space="0"/>
              <w:bottom w:val="single" w:color="auto" w:sz="4" w:space="0"/>
              <w:right w:val="single" w:color="auto" w:sz="4" w:space="0"/>
            </w:tcBorders>
            <w:vAlign w:val="center"/>
          </w:tcPr>
          <w:p w14:paraId="1F9C773D">
            <w:pPr>
              <w:spacing w:line="360" w:lineRule="auto"/>
              <w:jc w:val="center"/>
              <w:rPr>
                <w:rFonts w:hint="eastAsia" w:ascii="宋体" w:hAnsi="宋体" w:cs="宋体"/>
                <w:color w:val="000000"/>
                <w:sz w:val="24"/>
                <w:highlight w:val="none"/>
              </w:rPr>
            </w:pPr>
          </w:p>
        </w:tc>
      </w:tr>
    </w:tbl>
    <w:p w14:paraId="087B33C4">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二、主要内容</w:t>
      </w:r>
    </w:p>
    <w:p w14:paraId="008474EF">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1、本项目安全风险评估</w:t>
      </w:r>
    </w:p>
    <w:p w14:paraId="3D44D357">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参照《城市轨道交通工程项目建设标准》（建标1</w:t>
      </w:r>
      <w:r>
        <w:rPr>
          <w:rFonts w:ascii="宋体" w:hAnsi="宋体" w:cs="宋体"/>
          <w:color w:val="000000"/>
          <w:sz w:val="24"/>
          <w:highlight w:val="none"/>
        </w:rPr>
        <w:t>04-2008</w:t>
      </w:r>
      <w:r>
        <w:rPr>
          <w:rFonts w:hint="eastAsia" w:ascii="宋体" w:hAnsi="宋体" w:cs="宋体"/>
          <w:color w:val="000000"/>
          <w:sz w:val="24"/>
          <w:highlight w:val="none"/>
        </w:rPr>
        <w:t>）、《杭州市城市轨道交通管理条例》（2</w:t>
      </w:r>
      <w:r>
        <w:rPr>
          <w:rFonts w:ascii="宋体" w:hAnsi="宋体" w:cs="宋体"/>
          <w:color w:val="000000"/>
          <w:sz w:val="24"/>
          <w:highlight w:val="none"/>
        </w:rPr>
        <w:t>019年</w:t>
      </w:r>
      <w:r>
        <w:rPr>
          <w:rFonts w:hint="eastAsia" w:ascii="宋体" w:hAnsi="宋体" w:cs="宋体"/>
          <w:color w:val="000000"/>
          <w:sz w:val="24"/>
          <w:highlight w:val="none"/>
        </w:rPr>
        <w:t>3月）、浙江省《城市轨道交通结构安全保护技术规程》（D</w:t>
      </w:r>
      <w:r>
        <w:rPr>
          <w:rFonts w:ascii="宋体" w:hAnsi="宋体" w:cs="宋体"/>
          <w:color w:val="000000"/>
          <w:sz w:val="24"/>
          <w:highlight w:val="none"/>
        </w:rPr>
        <w:t>B33/T 1139-2017</w:t>
      </w:r>
      <w:r>
        <w:rPr>
          <w:rFonts w:hint="eastAsia" w:ascii="宋体" w:hAnsi="宋体" w:cs="宋体"/>
          <w:color w:val="000000"/>
          <w:sz w:val="24"/>
          <w:highlight w:val="none"/>
        </w:rPr>
        <w:t>）、《浙江省交通建设工程质量和安全生产管理条例》、《关于贯彻落实省委省政府加强安全生产促进安全发展意见的通知》（浙交安[</w:t>
      </w:r>
      <w:r>
        <w:rPr>
          <w:rFonts w:ascii="宋体" w:hAnsi="宋体" w:cs="宋体"/>
          <w:color w:val="000000"/>
          <w:sz w:val="24"/>
          <w:highlight w:val="none"/>
        </w:rPr>
        <w:t>2014]1号</w:t>
      </w:r>
      <w:r>
        <w:rPr>
          <w:rFonts w:hint="eastAsia" w:ascii="宋体" w:hAnsi="宋体" w:cs="宋体"/>
          <w:color w:val="000000"/>
          <w:sz w:val="24"/>
          <w:highlight w:val="none"/>
        </w:rPr>
        <w:t>）、《浙江省公路工程施工安全风险评估管理办法》（浙交[</w:t>
      </w:r>
      <w:r>
        <w:rPr>
          <w:rFonts w:ascii="宋体" w:hAnsi="宋体" w:cs="宋体"/>
          <w:color w:val="000000"/>
          <w:sz w:val="24"/>
          <w:highlight w:val="none"/>
        </w:rPr>
        <w:t>2015]58号</w:t>
      </w:r>
      <w:r>
        <w:rPr>
          <w:rFonts w:hint="eastAsia" w:ascii="宋体" w:hAnsi="宋体" w:cs="宋体"/>
          <w:color w:val="000000"/>
          <w:sz w:val="24"/>
          <w:highlight w:val="none"/>
        </w:rPr>
        <w:t>）等相关法律法规，根据本项目的地质环境条件、建设规模、结构特点等孕险环境与致险因子，评估工程施工对既有轨道交通设施的影响及风险，估测其安全风险等级，对项目建设过程中可能存在的重大安全风险进行评估，提出切实可行的安全防范措施建议，为下一步建设过程安全管理提供依据。如因评估开展需要，应结合实际情况调整完善或设计评估指标体系，并组织专家对完善或设计的评估指标体系进行论证。</w:t>
      </w:r>
    </w:p>
    <w:p w14:paraId="3FDAD6EF">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2、重大风险源估测</w:t>
      </w:r>
    </w:p>
    <w:p w14:paraId="1314DADA">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对于重大风险源，定量评估其风险大小，提出安全措施建议。</w:t>
      </w:r>
    </w:p>
    <w:p w14:paraId="6058CEEF">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3、编制风险评估报告并提供后续服务</w:t>
      </w:r>
    </w:p>
    <w:p w14:paraId="4ABED5E0">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协助甲方对本项目地铁的专项风险评估报告工作进行指导，按照动态管理的原则指导施工单位做好预警预控工作，承担评估报告的解释和应用指导等相关后期服务工作。</w:t>
      </w:r>
    </w:p>
    <w:p w14:paraId="70244EAE">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三、工作形式</w:t>
      </w:r>
    </w:p>
    <w:p w14:paraId="092BA545">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主要采取如下工作形式：</w:t>
      </w:r>
    </w:p>
    <w:p w14:paraId="7467B7A3">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1、搜集相关数据、资料（含前期隧道现状调查）；2、现场踏勘观测；3、仿真分析；4、专家咨询；5、按发包人要求编制报告；6、通过发包人组织的相关专家的评审等工作。</w:t>
      </w:r>
    </w:p>
    <w:p w14:paraId="437E102F">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四、工作要求</w:t>
      </w:r>
    </w:p>
    <w:p w14:paraId="59BB3C95">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1、甲、乙双方对合同任何一方提供的技术情报和资料承担保密义务，不论本合同是否变更、解除、终止，本条款长期有效；</w:t>
      </w:r>
    </w:p>
    <w:p w14:paraId="3AB02766">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2、未经甲、乙双方协商同意，不得在任何公共场合和公共宣传材料及媒介上向第三方透露有损对方利益的具体合作事宜。</w:t>
      </w:r>
    </w:p>
    <w:p w14:paraId="268F0FB7">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3、进度要求</w:t>
      </w:r>
    </w:p>
    <w:p w14:paraId="2F14B9AB">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按甲方实际要求执行。</w:t>
      </w:r>
    </w:p>
    <w:p w14:paraId="1F17CA86">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评估报告应符合有关法规和技术标准的要求，符合《杭州市城市轨道交通管理条例》、浙江省《城市轨道交通结构安全保护技术规程》、《浙江省交通建设工程质量和安全生产管理条例》等相关法律法规的要求。</w:t>
      </w:r>
    </w:p>
    <w:p w14:paraId="7D1DBE26">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5、乙方除按甲方要求提供的份数（不少于 </w:t>
      </w:r>
      <w:r>
        <w:rPr>
          <w:color w:val="000000"/>
          <w:sz w:val="24"/>
          <w:highlight w:val="none"/>
        </w:rPr>
        <w:t>8</w:t>
      </w:r>
      <w:r>
        <w:rPr>
          <w:rFonts w:hint="eastAsia" w:ascii="宋体" w:hAnsi="宋体" w:cs="宋体"/>
          <w:color w:val="000000"/>
          <w:sz w:val="24"/>
          <w:highlight w:val="none"/>
        </w:rPr>
        <w:t xml:space="preserve"> 份）提供书面最终的正式书面评价报告等外，还应向甲方提供以上可编辑的电子版一份，以 U 盘形式提供。</w:t>
      </w:r>
    </w:p>
    <w:p w14:paraId="46C5F3EC">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五、验收标准和方式</w:t>
      </w:r>
    </w:p>
    <w:p w14:paraId="44FFA1ED">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本项目安全评估报告文件按相关国家和行业标准编制，由甲方组织相关专家或部门对安全评估报告文件进行评审，评审通过后乙方根据评审会意见修改完善相关报告，乙方向甲方提交最终报告文件。</w:t>
      </w:r>
    </w:p>
    <w:p w14:paraId="165CA8C8">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六、本项目服务期：</w:t>
      </w:r>
    </w:p>
    <w:p w14:paraId="07758BE4">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从签订合同后至</w:t>
      </w:r>
      <w:r>
        <w:rPr>
          <w:rFonts w:hint="eastAsia"/>
          <w:sz w:val="24"/>
          <w:szCs w:val="24"/>
          <w:highlight w:val="none"/>
          <w:lang w:val="en-US" w:eastAsia="zh-CN"/>
        </w:rPr>
        <w:t>项目竣工</w:t>
      </w:r>
      <w:r>
        <w:rPr>
          <w:rFonts w:hint="eastAsia" w:ascii="宋体" w:hAnsi="宋体" w:cs="宋体"/>
          <w:color w:val="000000"/>
          <w:sz w:val="24"/>
          <w:highlight w:val="none"/>
        </w:rPr>
        <w:t>完成止。</w:t>
      </w:r>
    </w:p>
    <w:p w14:paraId="6F774DFC">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七、报价说明</w:t>
      </w:r>
    </w:p>
    <w:p w14:paraId="60B7DEBC">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项目采用总价包干，费用包含了上报相关部门的方案编制、资料整理（含前期隧道现状调查）、评审会议会务费，相关专家费、交通费、人工费、驻地费、生活办公设施费、企业管理费、利润和税金等均在报价中综合考虑，甲方不另行支付。</w:t>
      </w:r>
    </w:p>
    <w:p w14:paraId="34BE59FF">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八、合同价款支付方式</w:t>
      </w:r>
    </w:p>
    <w:p w14:paraId="07520DC6">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本项目应服从甲方的统一管理，服务费的支付应事先征得甲方审核同意。</w:t>
      </w:r>
    </w:p>
    <w:p w14:paraId="0DCE94FD">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服务费用在乙方按国家规程规范或相关部门及甲方要求完成相应工作后，</w:t>
      </w:r>
      <w:r>
        <w:rPr>
          <w:rFonts w:hint="eastAsia" w:ascii="宋体" w:hAnsi="宋体" w:eastAsia="宋体" w:cs="宋体"/>
          <w:sz w:val="24"/>
          <w:szCs w:val="24"/>
          <w:highlight w:val="none"/>
        </w:rPr>
        <w:t>本项目地铁的专项风险评估报告</w:t>
      </w:r>
      <w:r>
        <w:rPr>
          <w:rFonts w:hint="eastAsia" w:ascii="宋体" w:hAnsi="宋体" w:cs="宋体"/>
          <w:sz w:val="24"/>
          <w:szCs w:val="24"/>
          <w:highlight w:val="none"/>
          <w:lang w:val="en-US" w:eastAsia="zh-CN"/>
        </w:rPr>
        <w:t>编制并在</w:t>
      </w:r>
      <w:r>
        <w:rPr>
          <w:rFonts w:hint="eastAsia" w:ascii="宋体" w:hAnsi="宋体" w:eastAsia="宋体" w:cs="宋体"/>
          <w:color w:val="auto"/>
          <w:spacing w:val="0"/>
          <w:position w:val="0"/>
          <w:sz w:val="24"/>
          <w:szCs w:val="24"/>
          <w:highlight w:val="none"/>
          <w:lang w:val="en-US" w:eastAsia="en-US" w:bidi="en-US"/>
        </w:rPr>
        <w:t>地铁公司备案完成</w:t>
      </w:r>
      <w:r>
        <w:rPr>
          <w:rFonts w:hint="eastAsia" w:ascii="宋体" w:hAnsi="宋体" w:cs="宋体"/>
          <w:color w:val="auto"/>
          <w:spacing w:val="0"/>
          <w:position w:val="0"/>
          <w:sz w:val="24"/>
          <w:szCs w:val="24"/>
          <w:highlight w:val="none"/>
          <w:lang w:val="en-US" w:eastAsia="zh-CN" w:bidi="en-US"/>
        </w:rPr>
        <w:t>后</w:t>
      </w:r>
      <w:r>
        <w:rPr>
          <w:rFonts w:hint="eastAsia" w:ascii="宋体" w:hAnsi="宋体" w:eastAsia="宋体" w:cs="宋体"/>
          <w:sz w:val="24"/>
          <w:szCs w:val="24"/>
          <w:highlight w:val="none"/>
        </w:rPr>
        <w:t>20日内支付合同款的</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0%</w:t>
      </w:r>
      <w:r>
        <w:rPr>
          <w:rFonts w:hint="eastAsia" w:ascii="宋体" w:hAnsi="宋体" w:cs="宋体"/>
          <w:color w:val="000000"/>
          <w:sz w:val="24"/>
          <w:highlight w:val="none"/>
        </w:rPr>
        <w:t>，</w:t>
      </w:r>
      <w:r>
        <w:rPr>
          <w:rFonts w:hint="eastAsia" w:ascii="宋体" w:hAnsi="宋体" w:cs="宋体"/>
          <w:sz w:val="24"/>
          <w:szCs w:val="24"/>
          <w:highlight w:val="none"/>
          <w:lang w:val="en-US" w:eastAsia="zh-CN"/>
        </w:rPr>
        <w:t>最终项目竣工验收通过后</w:t>
      </w:r>
      <w:r>
        <w:rPr>
          <w:rFonts w:hint="eastAsia" w:ascii="宋体" w:hAnsi="宋体" w:eastAsia="宋体" w:cs="宋体"/>
          <w:sz w:val="24"/>
          <w:szCs w:val="24"/>
          <w:highlight w:val="none"/>
        </w:rPr>
        <w:t>支付剩余合同款的</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0</w:t>
      </w:r>
      <w:r>
        <w:rPr>
          <w:rFonts w:hint="eastAsia" w:ascii="宋体" w:hAnsi="宋体" w:cs="宋体"/>
          <w:color w:val="000000"/>
          <w:sz w:val="24"/>
          <w:highlight w:val="none"/>
          <w:lang w:eastAsia="zh-CN"/>
        </w:rPr>
        <w:t>。</w:t>
      </w:r>
      <w:r>
        <w:rPr>
          <w:rFonts w:hint="eastAsia" w:ascii="宋体" w:hAnsi="宋体" w:cs="宋体"/>
          <w:color w:val="000000"/>
          <w:sz w:val="24"/>
          <w:highlight w:val="none"/>
        </w:rPr>
        <w:t>甲方付款前乙方应开具符合要求的发票。</w:t>
      </w:r>
    </w:p>
    <w:p w14:paraId="28107526">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九、违约</w:t>
      </w:r>
    </w:p>
    <w:p w14:paraId="36AC3D29">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1、乙方应根据招标文件的要求、投标文件的承诺和工程的实际情况组成完善的服务机构，并按投标文件承诺到位相应资格的项目负责人和项目组其他成员。项目负责人不得随意更换，确需更换的，须提前7日书面通知甲方，并得到甲方的同意。</w:t>
      </w:r>
    </w:p>
    <w:p w14:paraId="2693521A">
      <w:pPr>
        <w:pStyle w:val="3"/>
        <w:widowControl w:val="0"/>
        <w:wordWrap/>
        <w:autoSpaceDE w:val="0"/>
        <w:autoSpaceDN w:val="0"/>
        <w:adjustRightInd/>
        <w:snapToGrid/>
        <w:spacing w:line="360" w:lineRule="auto"/>
        <w:ind w:left="255" w:right="272" w:firstLine="240" w:firstLineChars="100"/>
        <w:jc w:val="both"/>
        <w:textAlignment w:val="auto"/>
        <w:rPr>
          <w:rFonts w:hint="default" w:ascii="宋体" w:hAnsi="宋体" w:eastAsia="宋体" w:cs="宋体"/>
          <w:color w:val="000000"/>
          <w:sz w:val="24"/>
          <w:szCs w:val="22"/>
          <w:highlight w:val="none"/>
          <w:lang w:val="en-US" w:eastAsia="zh-CN" w:bidi="zh-CN"/>
        </w:rPr>
      </w:pPr>
      <w:r>
        <w:rPr>
          <w:rFonts w:hint="eastAsia" w:ascii="宋体" w:hAnsi="宋体" w:eastAsia="宋体" w:cs="宋体"/>
          <w:color w:val="000000"/>
          <w:sz w:val="24"/>
          <w:szCs w:val="22"/>
          <w:highlight w:val="none"/>
          <w:lang w:val="en-US" w:eastAsia="zh-CN" w:bidi="zh-CN"/>
        </w:rPr>
        <w:t>2、乙方应按国家规定和合同约定的技术规范、标准进行安全评估，按合同规定内容向甲方交付评估报告，并对提交的报告质量负责。由于乙方原因，延误了评估报告交付时间，每延误1天，应减收本项目应收评估费用的1‰；逾期超30天及以上的，甲方有权终止合同，履约保证金不予退还。</w:t>
      </w:r>
    </w:p>
    <w:p w14:paraId="75FAB113">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十、转包或分包</w:t>
      </w:r>
    </w:p>
    <w:p w14:paraId="404A35A3">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1、本合同范围的服务，应由乙方直接供应，不得转让他人供应；</w:t>
      </w:r>
    </w:p>
    <w:p w14:paraId="24D84BF1">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2、除非得到甲方的书面同意，乙方不得将本合同范围的服务全部或部分分包给他人供应；</w:t>
      </w:r>
    </w:p>
    <w:p w14:paraId="229F7E3D">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3、如有转让和未经甲方同意的分包行为，甲方有权解除合同，没收履约保证金并追究乙方的违约责任。</w:t>
      </w:r>
    </w:p>
    <w:p w14:paraId="68620058">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十一、税费</w:t>
      </w:r>
    </w:p>
    <w:p w14:paraId="66D72BFF">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本合同执行中相关的一切税费均由乙方负担。</w:t>
      </w:r>
    </w:p>
    <w:p w14:paraId="12659FF0">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十二、不可抗力事件处理</w:t>
      </w:r>
    </w:p>
    <w:p w14:paraId="65299B88">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1、在合同有效期内，任何一方因不可抗力事件导致不能履行合同，则合同履行期可延长，其延长期与不可抗力影响期相同。</w:t>
      </w:r>
    </w:p>
    <w:p w14:paraId="2EC43628">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2、不可抗力事件发生后，应立即通知对方，并寄送有关权威机构出具的证明。</w:t>
      </w:r>
    </w:p>
    <w:p w14:paraId="1F9E9107">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3、不可抗力事件延续120天以上，双方应通过友好协商，确定是否继续履行合同。</w:t>
      </w:r>
    </w:p>
    <w:p w14:paraId="1BBD8530">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十三、诉讼</w:t>
      </w:r>
    </w:p>
    <w:p w14:paraId="61E57B85">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双方在执行合同中所发生的一切争议，应通过协商解决。如协商不成，可向甲方所在地法院起诉。</w:t>
      </w:r>
    </w:p>
    <w:p w14:paraId="1FF202FD">
      <w:pPr>
        <w:spacing w:line="432" w:lineRule="auto"/>
        <w:rPr>
          <w:rFonts w:hint="eastAsia" w:ascii="宋体" w:hAnsi="宋体" w:cs="宋体"/>
          <w:color w:val="000000"/>
          <w:sz w:val="24"/>
          <w:highlight w:val="none"/>
        </w:rPr>
      </w:pPr>
      <w:r>
        <w:rPr>
          <w:rFonts w:hint="eastAsia" w:ascii="宋体" w:hAnsi="宋体" w:cs="宋体"/>
          <w:color w:val="000000"/>
          <w:sz w:val="24"/>
          <w:highlight w:val="none"/>
        </w:rPr>
        <w:t>十四、合同生效及其它</w:t>
      </w:r>
    </w:p>
    <w:p w14:paraId="5BDAB2AD">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1、招标文件、投标文件、更正公告、中标通知书、承诺函等均作为本合同组成部分，具有同等效力。</w:t>
      </w:r>
    </w:p>
    <w:p w14:paraId="0D8B71A9">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2、合同经双方法定代表人或其授权代表签字后方可生效。</w:t>
      </w:r>
    </w:p>
    <w:p w14:paraId="65524532">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3、本合同未尽事宜，遵照《中华人民共和国民法典》有关条文执行。</w:t>
      </w:r>
    </w:p>
    <w:p w14:paraId="47ED7F61">
      <w:pPr>
        <w:spacing w:line="43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4、本合同一式多份，具有同等法律效力，甲乙双方各执多份。</w:t>
      </w:r>
    </w:p>
    <w:p w14:paraId="7FAC9762">
      <w:pPr>
        <w:spacing w:line="600" w:lineRule="exact"/>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 xml:space="preserve"> 甲方（盖章）：                          乙方（盖章）：</w:t>
      </w:r>
    </w:p>
    <w:p w14:paraId="6100DAE3">
      <w:pPr>
        <w:spacing w:line="600" w:lineRule="exact"/>
        <w:jc w:val="left"/>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杭州市余杭区人民政府仓前街道办事处</w:t>
      </w:r>
      <w:r>
        <w:rPr>
          <w:rFonts w:hint="eastAsia" w:ascii="宋体" w:hAnsi="宋体" w:cs="宋体"/>
          <w:color w:val="000000"/>
          <w:sz w:val="24"/>
          <w:highlight w:val="none"/>
        </w:rPr>
        <w:t xml:space="preserve"> </w:t>
      </w:r>
      <w:r>
        <w:rPr>
          <w:rFonts w:ascii="宋体" w:hAnsi="宋体" w:cs="宋体"/>
          <w:color w:val="000000"/>
          <w:sz w:val="24"/>
          <w:highlight w:val="none"/>
        </w:rPr>
        <w:t xml:space="preserve">           </w:t>
      </w:r>
      <w:r>
        <w:rPr>
          <w:rFonts w:hint="eastAsia" w:ascii="宋体" w:hAnsi="宋体" w:cs="宋体"/>
          <w:color w:val="000000"/>
          <w:sz w:val="24"/>
          <w:highlight w:val="none"/>
          <w:lang w:eastAsia="zh-CN"/>
        </w:rPr>
        <w:t xml:space="preserve"> </w:t>
      </w:r>
    </w:p>
    <w:p w14:paraId="3956A000">
      <w:pPr>
        <w:spacing w:line="6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法定代表人：                           法定代表人：                </w:t>
      </w:r>
    </w:p>
    <w:p w14:paraId="50584291">
      <w:pPr>
        <w:spacing w:line="6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或授权代表（签字）：                    或授权代表（签字）：           </w:t>
      </w:r>
    </w:p>
    <w:p w14:paraId="74B9B911">
      <w:pPr>
        <w:spacing w:line="600" w:lineRule="exact"/>
        <w:ind w:firstLine="480" w:firstLineChars="200"/>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rPr>
        <w:t>地址：</w:t>
      </w:r>
      <w:r>
        <w:rPr>
          <w:rFonts w:hint="eastAsia" w:cs="宋体"/>
          <w:color w:val="000000"/>
          <w:sz w:val="24"/>
          <w:highlight w:val="none"/>
          <w:lang w:val="en-US" w:eastAsia="zh-CN"/>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地址：</w:t>
      </w:r>
      <w:r>
        <w:rPr>
          <w:rFonts w:hint="eastAsia" w:ascii="宋体" w:hAnsi="宋体" w:cs="宋体"/>
          <w:color w:val="000000"/>
          <w:sz w:val="24"/>
          <w:highlight w:val="none"/>
          <w:lang w:val="en-US" w:eastAsia="zh-CN"/>
        </w:rPr>
        <w:t xml:space="preserve"> </w:t>
      </w:r>
    </w:p>
    <w:p w14:paraId="34EAE8A1">
      <w:pPr>
        <w:spacing w:line="600" w:lineRule="exact"/>
        <w:ind w:firstLine="480" w:firstLineChars="200"/>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rPr>
        <w:t>邮编：</w:t>
      </w:r>
      <w:r>
        <w:rPr>
          <w:rFonts w:hint="eastAsia" w:cs="宋体"/>
          <w:color w:val="000000"/>
          <w:sz w:val="24"/>
          <w:highlight w:val="none"/>
          <w:lang w:val="en-US" w:eastAsia="zh-CN"/>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邮编：</w:t>
      </w:r>
      <w:r>
        <w:rPr>
          <w:rFonts w:hint="eastAsia" w:ascii="宋体" w:hAnsi="宋体" w:cs="宋体"/>
          <w:color w:val="000000"/>
          <w:sz w:val="24"/>
          <w:highlight w:val="none"/>
          <w:lang w:val="en-US" w:eastAsia="zh-CN"/>
        </w:rPr>
        <w:t xml:space="preserve"> </w:t>
      </w:r>
    </w:p>
    <w:p w14:paraId="5F9D1B38">
      <w:pPr>
        <w:spacing w:line="600" w:lineRule="exact"/>
        <w:ind w:firstLine="480" w:firstLineChars="200"/>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rPr>
        <w:t>电话：</w:t>
      </w:r>
      <w:r>
        <w:rPr>
          <w:rFonts w:hint="eastAsia" w:cs="宋体"/>
          <w:color w:val="000000"/>
          <w:sz w:val="24"/>
          <w:highlight w:val="none"/>
          <w:lang w:val="en-US" w:eastAsia="zh-CN"/>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电话：</w:t>
      </w:r>
      <w:r>
        <w:rPr>
          <w:rFonts w:hint="eastAsia" w:ascii="宋体" w:hAnsi="宋体" w:cs="宋体"/>
          <w:color w:val="000000"/>
          <w:sz w:val="24"/>
          <w:highlight w:val="none"/>
          <w:lang w:val="en-US" w:eastAsia="zh-CN"/>
        </w:rPr>
        <w:t xml:space="preserve"> </w:t>
      </w:r>
    </w:p>
    <w:p w14:paraId="0E095374">
      <w:pPr>
        <w:spacing w:line="6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传真：                                 传真：         </w:t>
      </w:r>
    </w:p>
    <w:p w14:paraId="38ED6F3F">
      <w:pPr>
        <w:spacing w:line="600" w:lineRule="exact"/>
        <w:ind w:firstLine="480" w:firstLineChars="200"/>
        <w:jc w:val="left"/>
        <w:rPr>
          <w:rFonts w:hint="eastAsia"/>
          <w:spacing w:val="4"/>
          <w:sz w:val="24"/>
          <w:highlight w:val="none"/>
          <w:lang w:val="en-US" w:eastAsia="zh-CN"/>
        </w:rPr>
      </w:pPr>
      <w:r>
        <w:rPr>
          <w:rFonts w:hint="eastAsia" w:ascii="宋体" w:hAnsi="宋体" w:cs="宋体"/>
          <w:color w:val="000000"/>
          <w:sz w:val="24"/>
          <w:highlight w:val="none"/>
        </w:rPr>
        <w:t>开户银行：</w:t>
      </w:r>
      <w:r>
        <w:rPr>
          <w:rFonts w:hint="eastAsia" w:cs="宋体"/>
          <w:color w:val="000000"/>
          <w:sz w:val="24"/>
          <w:highlight w:val="none"/>
          <w:lang w:val="en-US" w:eastAsia="zh-CN"/>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开户银行：</w:t>
      </w:r>
      <w:r>
        <w:rPr>
          <w:rFonts w:hint="eastAsia"/>
          <w:spacing w:val="4"/>
          <w:sz w:val="24"/>
          <w:highlight w:val="none"/>
          <w:lang w:val="en-US" w:eastAsia="zh-CN"/>
        </w:rPr>
        <w:t xml:space="preserve"> </w:t>
      </w:r>
    </w:p>
    <w:p w14:paraId="62A3C5F4">
      <w:pPr>
        <w:spacing w:line="600" w:lineRule="exact"/>
        <w:ind w:firstLine="480" w:firstLineChars="200"/>
        <w:jc w:val="left"/>
        <w:rPr>
          <w:rFonts w:hint="eastAsia"/>
          <w:spacing w:val="4"/>
          <w:sz w:val="24"/>
          <w:highlight w:val="none"/>
          <w:lang w:val="en-US" w:eastAsia="zh-CN"/>
        </w:rPr>
      </w:pPr>
      <w:r>
        <w:rPr>
          <w:rFonts w:hint="eastAsia" w:ascii="宋体" w:hAnsi="宋体" w:cs="宋体"/>
          <w:color w:val="000000"/>
          <w:sz w:val="24"/>
          <w:highlight w:val="none"/>
        </w:rPr>
        <w:t>帐号：</w:t>
      </w:r>
      <w:r>
        <w:rPr>
          <w:rFonts w:hint="eastAsia" w:cs="宋体"/>
          <w:color w:val="000000"/>
          <w:sz w:val="24"/>
          <w:highlight w:val="none"/>
          <w:lang w:val="en-US" w:eastAsia="zh-CN"/>
        </w:rPr>
        <w:t xml:space="preserve">                     </w:t>
      </w:r>
      <w:r>
        <w:rPr>
          <w:rFonts w:hint="eastAsia" w:ascii="宋体" w:hAnsi="宋体" w:cs="宋体"/>
          <w:color w:val="000000"/>
          <w:sz w:val="24"/>
          <w:highlight w:val="none"/>
        </w:rPr>
        <w:t xml:space="preserve">            帐号：</w:t>
      </w:r>
      <w:r>
        <w:rPr>
          <w:rFonts w:hint="eastAsia"/>
          <w:spacing w:val="4"/>
          <w:sz w:val="24"/>
          <w:highlight w:val="none"/>
          <w:lang w:val="en-US" w:eastAsia="zh-CN"/>
        </w:rPr>
        <w:t xml:space="preserve"> </w:t>
      </w:r>
    </w:p>
    <w:p w14:paraId="2898E03A">
      <w:pPr>
        <w:spacing w:line="6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纳税人识别号：</w:t>
      </w:r>
      <w:r>
        <w:rPr>
          <w:rFonts w:hint="eastAsia" w:cs="宋体"/>
          <w:color w:val="000000"/>
          <w:sz w:val="24"/>
          <w:highlight w:val="none"/>
          <w:lang w:val="en-US" w:eastAsia="zh-CN"/>
        </w:rPr>
        <w:t xml:space="preserve">                   </w:t>
      </w:r>
      <w:r>
        <w:rPr>
          <w:rFonts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ascii="宋体" w:hAnsi="宋体" w:cs="宋体"/>
          <w:color w:val="000000"/>
          <w:sz w:val="24"/>
          <w:highlight w:val="none"/>
        </w:rPr>
        <w:t>纳税人识别号</w:t>
      </w:r>
      <w:r>
        <w:rPr>
          <w:rFonts w:hint="eastAsia" w:ascii="宋体" w:hAnsi="宋体" w:cs="宋体"/>
          <w:color w:val="000000"/>
          <w:sz w:val="24"/>
          <w:highlight w:val="none"/>
        </w:rPr>
        <w:t>：</w:t>
      </w:r>
      <w:r>
        <w:rPr>
          <w:rFonts w:hint="eastAsia"/>
          <w:highlight w:val="none"/>
          <w:lang w:val="en-US" w:eastAsia="zh-CN"/>
        </w:rPr>
        <w:t xml:space="preserve"> </w:t>
      </w:r>
    </w:p>
    <w:p w14:paraId="6F352AC9">
      <w:pPr>
        <w:spacing w:line="600" w:lineRule="exact"/>
        <w:ind w:firstLine="5760" w:firstLineChars="2400"/>
        <w:jc w:val="right"/>
        <w:rPr>
          <w:rFonts w:hint="eastAsia" w:ascii="宋体" w:hAnsi="宋体" w:cs="宋体"/>
          <w:color w:val="000000"/>
          <w:sz w:val="24"/>
          <w:highlight w:val="none"/>
        </w:rPr>
      </w:pPr>
      <w:r>
        <w:rPr>
          <w:rFonts w:hint="eastAsia" w:ascii="宋体" w:hAnsi="宋体" w:cs="宋体"/>
          <w:color w:val="000000"/>
          <w:sz w:val="24"/>
          <w:highlight w:val="none"/>
        </w:rPr>
        <w:t>签约时间：      年    月   日</w:t>
      </w:r>
    </w:p>
    <w:p w14:paraId="40991CAE">
      <w:pPr>
        <w:autoSpaceDE w:val="0"/>
        <w:autoSpaceDN w:val="0"/>
        <w:spacing w:before="120" w:beforeLines="50" w:after="120" w:afterLines="50"/>
        <w:ind w:firstLine="5760" w:firstLineChars="2400"/>
        <w:rPr>
          <w:rFonts w:ascii="宋体" w:hAnsi="宋体" w:cs="宋体"/>
          <w:color w:val="000000"/>
          <w:sz w:val="24"/>
          <w:highlight w:val="none"/>
        </w:rPr>
      </w:pPr>
      <w:r>
        <w:rPr>
          <w:rFonts w:hint="eastAsia" w:ascii="宋体" w:hAnsi="宋体" w:cs="宋体"/>
          <w:color w:val="000000"/>
          <w:sz w:val="24"/>
          <w:highlight w:val="none"/>
        </w:rPr>
        <w:t>签约地点：</w:t>
      </w:r>
    </w:p>
    <w:p w14:paraId="3D9AC996">
      <w:pPr>
        <w:autoSpaceDE w:val="0"/>
        <w:autoSpaceDN w:val="0"/>
        <w:spacing w:before="120" w:beforeLines="50" w:after="120" w:afterLines="50"/>
        <w:ind w:firstLine="5760" w:firstLineChars="2400"/>
        <w:rPr>
          <w:rFonts w:ascii="宋体" w:hAnsi="宋体" w:cs="宋体"/>
          <w:color w:val="000000"/>
          <w:sz w:val="24"/>
          <w:highlight w:val="none"/>
        </w:rPr>
      </w:pPr>
    </w:p>
    <w:p w14:paraId="72879D01">
      <w:pPr>
        <w:autoSpaceDE w:val="0"/>
        <w:autoSpaceDN w:val="0"/>
        <w:spacing w:before="120" w:beforeLines="50" w:after="120" w:afterLines="50"/>
        <w:ind w:firstLine="5760" w:firstLineChars="2400"/>
        <w:rPr>
          <w:rFonts w:hint="eastAsia" w:ascii="宋体" w:hAnsi="宋体" w:cs="宋体"/>
          <w:color w:val="000000"/>
          <w:sz w:val="24"/>
          <w:highlight w:val="none"/>
        </w:rPr>
        <w:sectPr>
          <w:pgSz w:w="11910" w:h="16840"/>
          <w:pgMar w:top="1531" w:right="1417" w:bottom="1531" w:left="1417" w:header="720" w:footer="992" w:gutter="0"/>
          <w:cols w:space="720" w:num="1"/>
        </w:sectPr>
      </w:pPr>
    </w:p>
    <w:p w14:paraId="2507DF33">
      <w:pPr>
        <w:pStyle w:val="46"/>
        <w:shd w:val="clear" w:color="auto" w:fill="auto"/>
        <w:spacing w:line="440" w:lineRule="exact"/>
        <w:ind w:firstLine="883"/>
        <w:jc w:val="center"/>
        <w:rPr>
          <w:rFonts w:ascii="仿宋" w:hAnsi="仿宋" w:eastAsia="仿宋"/>
          <w:b/>
          <w:color w:val="auto"/>
          <w:sz w:val="44"/>
          <w:szCs w:val="44"/>
          <w:highlight w:val="none"/>
        </w:rPr>
      </w:pPr>
      <w:bookmarkStart w:id="11" w:name="_Toc10679"/>
      <w:r>
        <w:rPr>
          <w:rStyle w:val="125"/>
          <w:rFonts w:ascii="仿宋" w:hAnsi="仿宋" w:eastAsia="仿宋"/>
          <w:color w:val="auto"/>
          <w:highlight w:val="none"/>
        </w:rPr>
        <w:t>第五部分 投标文件格式</w:t>
      </w:r>
      <w:bookmarkEnd w:id="9"/>
      <w:bookmarkEnd w:id="10"/>
      <w:bookmarkEnd w:id="11"/>
    </w:p>
    <w:p w14:paraId="0408C1BA">
      <w:pPr>
        <w:pStyle w:val="46"/>
        <w:shd w:val="clear" w:color="auto" w:fill="auto"/>
        <w:spacing w:line="440" w:lineRule="exact"/>
        <w:ind w:firstLine="643"/>
        <w:jc w:val="center"/>
        <w:rPr>
          <w:rFonts w:ascii="仿宋" w:hAnsi="仿宋" w:eastAsia="仿宋"/>
          <w:b/>
          <w:color w:val="auto"/>
          <w:sz w:val="32"/>
          <w:szCs w:val="32"/>
          <w:highlight w:val="none"/>
        </w:rPr>
      </w:pPr>
      <w:bookmarkStart w:id="12" w:name="_Toc303256686"/>
      <w:bookmarkStart w:id="13" w:name="_Toc349721557"/>
      <w:bookmarkStart w:id="14" w:name="_Toc328381297"/>
      <w:bookmarkStart w:id="15" w:name="_Toc350327368"/>
      <w:bookmarkStart w:id="16" w:name="_Toc339872473"/>
      <w:r>
        <w:rPr>
          <w:rFonts w:ascii="仿宋" w:hAnsi="仿宋" w:eastAsia="仿宋"/>
          <w:b/>
          <w:color w:val="auto"/>
          <w:sz w:val="32"/>
          <w:szCs w:val="32"/>
          <w:highlight w:val="none"/>
        </w:rPr>
        <w:t>一、开 标 一 览 表</w:t>
      </w:r>
      <w:bookmarkEnd w:id="12"/>
      <w:bookmarkEnd w:id="13"/>
      <w:bookmarkEnd w:id="14"/>
      <w:bookmarkEnd w:id="15"/>
      <w:bookmarkEnd w:id="16"/>
    </w:p>
    <w:p w14:paraId="56ECDCBF">
      <w:pPr>
        <w:pStyle w:val="46"/>
        <w:shd w:val="clear" w:color="auto" w:fill="auto"/>
        <w:spacing w:line="440" w:lineRule="exact"/>
        <w:ind w:firstLine="482"/>
        <w:rPr>
          <w:rFonts w:ascii="仿宋" w:hAnsi="仿宋" w:eastAsia="仿宋"/>
          <w:b/>
          <w:color w:val="auto"/>
          <w:sz w:val="24"/>
          <w:highlight w:val="none"/>
        </w:rPr>
      </w:pPr>
      <w:r>
        <w:rPr>
          <w:rFonts w:ascii="仿宋" w:hAnsi="仿宋" w:eastAsia="仿宋"/>
          <w:b/>
          <w:color w:val="auto"/>
          <w:sz w:val="24"/>
          <w:highlight w:val="none"/>
        </w:rPr>
        <w:t>项目编号：</w:t>
      </w:r>
      <w:r>
        <w:rPr>
          <w:rFonts w:ascii="仿宋" w:hAnsi="仿宋" w:eastAsia="仿宋"/>
          <w:bCs/>
          <w:color w:val="auto"/>
          <w:sz w:val="24"/>
          <w:szCs w:val="24"/>
          <w:highlight w:val="none"/>
        </w:rPr>
        <w:t xml:space="preserve">   </w:t>
      </w:r>
    </w:p>
    <w:tbl>
      <w:tblPr>
        <w:tblStyle w:val="34"/>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4"/>
        <w:gridCol w:w="6432"/>
      </w:tblGrid>
      <w:tr w14:paraId="54CB6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33" w:hRule="atLeast"/>
          <w:jc w:val="center"/>
        </w:trPr>
        <w:tc>
          <w:tcPr>
            <w:tcW w:w="2514" w:type="dxa"/>
            <w:vAlign w:val="center"/>
          </w:tcPr>
          <w:p w14:paraId="0DE9FA36">
            <w:pPr>
              <w:pStyle w:val="46"/>
              <w:shd w:val="clear" w:color="auto" w:fill="auto"/>
              <w:spacing w:line="440" w:lineRule="exact"/>
              <w:jc w:val="center"/>
              <w:rPr>
                <w:rFonts w:ascii="仿宋" w:hAnsi="仿宋" w:eastAsia="仿宋"/>
                <w:b/>
                <w:color w:val="auto"/>
                <w:sz w:val="24"/>
                <w:highlight w:val="none"/>
                <w:lang w:eastAsia="zh-CN"/>
              </w:rPr>
            </w:pPr>
            <w:r>
              <w:rPr>
                <w:rFonts w:ascii="仿宋" w:hAnsi="仿宋" w:eastAsia="仿宋"/>
                <w:b/>
                <w:color w:val="auto"/>
                <w:sz w:val="24"/>
                <w:highlight w:val="none"/>
              </w:rPr>
              <w:t>本项目投标</w:t>
            </w:r>
            <w:r>
              <w:rPr>
                <w:rFonts w:ascii="仿宋" w:hAnsi="仿宋" w:eastAsia="仿宋"/>
                <w:b/>
                <w:color w:val="auto"/>
                <w:sz w:val="24"/>
                <w:highlight w:val="none"/>
                <w:lang w:eastAsia="zh-CN"/>
              </w:rPr>
              <w:t>总价</w:t>
            </w:r>
          </w:p>
        </w:tc>
        <w:tc>
          <w:tcPr>
            <w:tcW w:w="6432" w:type="dxa"/>
            <w:vAlign w:val="center"/>
          </w:tcPr>
          <w:p w14:paraId="556EB2F0">
            <w:pPr>
              <w:autoSpaceDE w:val="0"/>
              <w:autoSpaceDN w:val="0"/>
              <w:adjustRightInd w:val="0"/>
              <w:spacing w:after="0"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大写：</w:t>
            </w:r>
            <w:r>
              <w:rPr>
                <w:rFonts w:hint="eastAsia" w:ascii="宋体" w:hAnsi="宋体" w:eastAsia="宋体" w:cs="宋体"/>
                <w:b/>
                <w:color w:val="auto"/>
                <w:sz w:val="24"/>
                <w:highlight w:val="none"/>
              </w:rPr>
              <w:t>人民币              元整</w:t>
            </w:r>
          </w:p>
          <w:p w14:paraId="3BEC4464">
            <w:pPr>
              <w:autoSpaceDE w:val="0"/>
              <w:autoSpaceDN w:val="0"/>
              <w:adjustRightInd w:val="0"/>
              <w:spacing w:after="0" w:line="440" w:lineRule="exact"/>
              <w:jc w:val="left"/>
              <w:rPr>
                <w:rFonts w:hint="eastAsia" w:ascii="宋体" w:hAnsi="宋体" w:eastAsia="宋体" w:cs="宋体"/>
                <w:b/>
                <w:color w:val="auto"/>
                <w:kern w:val="0"/>
                <w:sz w:val="24"/>
                <w:highlight w:val="none"/>
              </w:rPr>
            </w:pPr>
          </w:p>
          <w:p w14:paraId="0F8BC52E">
            <w:pPr>
              <w:pStyle w:val="46"/>
              <w:shd w:val="clear" w:color="auto" w:fill="auto"/>
              <w:spacing w:line="440" w:lineRule="exact"/>
              <w:jc w:val="left"/>
              <w:rPr>
                <w:rFonts w:ascii="仿宋" w:hAnsi="仿宋" w:eastAsia="仿宋"/>
                <w:b/>
                <w:color w:val="auto"/>
                <w:sz w:val="24"/>
                <w:highlight w:val="none"/>
              </w:rPr>
            </w:pPr>
            <w:r>
              <w:rPr>
                <w:rFonts w:hint="eastAsia" w:ascii="宋体" w:hAnsi="宋体" w:eastAsia="宋体" w:cs="宋体"/>
                <w:b/>
                <w:color w:val="auto"/>
                <w:kern w:val="0"/>
                <w:sz w:val="24"/>
                <w:highlight w:val="none"/>
              </w:rPr>
              <w:t>小写：</w:t>
            </w:r>
            <w:r>
              <w:rPr>
                <w:rFonts w:hint="eastAsia" w:ascii="宋体" w:hAnsi="宋体" w:eastAsia="宋体" w:cs="宋体"/>
                <w:b/>
                <w:color w:val="auto"/>
                <w:sz w:val="24"/>
                <w:highlight w:val="none"/>
              </w:rPr>
              <w:t>￥</w:t>
            </w:r>
            <w:r>
              <w:rPr>
                <w:rFonts w:ascii="仿宋" w:hAnsi="仿宋" w:eastAsia="仿宋"/>
                <w:color w:val="auto"/>
                <w:sz w:val="21"/>
                <w:szCs w:val="21"/>
                <w:highlight w:val="none"/>
                <w:u w:val="single"/>
              </w:rPr>
              <w:t xml:space="preserve">   </w:t>
            </w:r>
          </w:p>
        </w:tc>
      </w:tr>
    </w:tbl>
    <w:p w14:paraId="4B7FA07E">
      <w:pPr>
        <w:pStyle w:val="46"/>
        <w:shd w:val="clear" w:color="auto" w:fill="auto"/>
        <w:spacing w:line="360" w:lineRule="auto"/>
        <w:ind w:firstLine="420"/>
        <w:rPr>
          <w:rFonts w:ascii="仿宋" w:hAnsi="仿宋" w:eastAsia="仿宋"/>
          <w:color w:val="auto"/>
          <w:sz w:val="21"/>
          <w:szCs w:val="21"/>
          <w:highlight w:val="none"/>
        </w:rPr>
      </w:pPr>
      <w:r>
        <w:rPr>
          <w:rFonts w:ascii="仿宋" w:hAnsi="仿宋" w:eastAsia="仿宋"/>
          <w:color w:val="auto"/>
          <w:sz w:val="21"/>
          <w:szCs w:val="21"/>
          <w:highlight w:val="none"/>
        </w:rPr>
        <w:t>注：1．</w:t>
      </w:r>
      <w:r>
        <w:rPr>
          <w:rFonts w:ascii="仿宋" w:hAnsi="仿宋" w:eastAsia="仿宋"/>
          <w:color w:val="auto"/>
          <w:sz w:val="21"/>
          <w:szCs w:val="21"/>
          <w:highlight w:val="none"/>
          <w:lang w:eastAsia="zh-CN"/>
        </w:rPr>
        <w:t>投标总价为</w:t>
      </w:r>
      <w:r>
        <w:rPr>
          <w:rFonts w:ascii="仿宋" w:hAnsi="仿宋" w:eastAsia="仿宋"/>
          <w:color w:val="auto"/>
          <w:sz w:val="21"/>
          <w:szCs w:val="21"/>
          <w:highlight w:val="none"/>
        </w:rPr>
        <w:t>完成本项目所需的所有费用必须包含在投标总价中，如以后已实施而未列入报价的费用将被视为投标人优惠，采购人均不予支付。</w:t>
      </w:r>
    </w:p>
    <w:p w14:paraId="074A8E54">
      <w:pPr>
        <w:pStyle w:val="46"/>
        <w:shd w:val="clear" w:color="auto" w:fill="auto"/>
        <w:spacing w:line="360" w:lineRule="auto"/>
        <w:ind w:firstLine="420"/>
        <w:rPr>
          <w:rFonts w:ascii="仿宋" w:hAnsi="仿宋" w:eastAsia="仿宋"/>
          <w:color w:val="auto"/>
          <w:sz w:val="21"/>
          <w:szCs w:val="21"/>
          <w:highlight w:val="none"/>
        </w:rPr>
      </w:pPr>
      <w:r>
        <w:rPr>
          <w:rFonts w:ascii="仿宋" w:hAnsi="仿宋" w:eastAsia="仿宋"/>
          <w:color w:val="auto"/>
          <w:sz w:val="21"/>
          <w:szCs w:val="21"/>
          <w:highlight w:val="none"/>
        </w:rPr>
        <w:t>2．</w:t>
      </w:r>
      <w:r>
        <w:rPr>
          <w:rFonts w:ascii="仿宋" w:hAnsi="仿宋" w:eastAsia="仿宋"/>
          <w:color w:val="auto"/>
          <w:sz w:val="21"/>
          <w:szCs w:val="21"/>
          <w:highlight w:val="none"/>
          <w:lang w:eastAsia="zh-CN"/>
        </w:rPr>
        <w:t>小写与大写不一致，以大写为准</w:t>
      </w:r>
      <w:r>
        <w:rPr>
          <w:rFonts w:ascii="仿宋" w:hAnsi="仿宋" w:eastAsia="仿宋"/>
          <w:color w:val="auto"/>
          <w:sz w:val="21"/>
          <w:szCs w:val="21"/>
          <w:highlight w:val="none"/>
        </w:rPr>
        <w:t>。</w:t>
      </w:r>
    </w:p>
    <w:p w14:paraId="63633284">
      <w:pPr>
        <w:pStyle w:val="46"/>
        <w:shd w:val="clear" w:color="auto" w:fill="auto"/>
        <w:spacing w:line="44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 xml:space="preserve">投标人（公章）：     </w:t>
      </w:r>
    </w:p>
    <w:p w14:paraId="67A7551B">
      <w:pPr>
        <w:pStyle w:val="46"/>
        <w:shd w:val="clear" w:color="auto" w:fill="auto"/>
        <w:spacing w:line="44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 xml:space="preserve">法定代表人或授权代表（签字）：     </w:t>
      </w:r>
    </w:p>
    <w:p w14:paraId="293CD292">
      <w:pPr>
        <w:pStyle w:val="46"/>
        <w:shd w:val="clear" w:color="auto" w:fill="auto"/>
        <w:spacing w:line="44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 xml:space="preserve">日期：20  年  月   日      </w:t>
      </w:r>
    </w:p>
    <w:p w14:paraId="0419A044">
      <w:pPr>
        <w:pStyle w:val="46"/>
        <w:shd w:val="clear" w:color="auto" w:fill="auto"/>
        <w:spacing w:line="440" w:lineRule="exact"/>
        <w:jc w:val="both"/>
        <w:rPr>
          <w:rFonts w:ascii="仿宋" w:hAnsi="仿宋" w:eastAsia="仿宋"/>
          <w:color w:val="auto"/>
          <w:sz w:val="24"/>
          <w:highlight w:val="none"/>
          <w:lang w:val="zh-CN"/>
        </w:rPr>
      </w:pPr>
      <w:r>
        <w:rPr>
          <w:rFonts w:ascii="仿宋" w:hAnsi="仿宋" w:eastAsia="仿宋"/>
          <w:color w:val="auto"/>
          <w:sz w:val="24"/>
          <w:highlight w:val="none"/>
          <w:lang w:val="zh-CN"/>
        </w:rPr>
        <w:t xml:space="preserve">    </w:t>
      </w:r>
    </w:p>
    <w:p w14:paraId="2ED1A5B8">
      <w:pPr>
        <w:pStyle w:val="46"/>
        <w:shd w:val="clear" w:color="auto" w:fill="auto"/>
        <w:rPr>
          <w:rFonts w:ascii="仿宋" w:hAnsi="仿宋" w:eastAsia="仿宋"/>
          <w:color w:val="auto"/>
          <w:highlight w:val="none"/>
        </w:rPr>
      </w:pPr>
    </w:p>
    <w:p w14:paraId="42EADCA6">
      <w:pPr>
        <w:pStyle w:val="47"/>
        <w:rPr>
          <w:rFonts w:ascii="仿宋" w:hAnsi="仿宋" w:eastAsia="仿宋"/>
          <w:color w:val="auto"/>
          <w:highlight w:val="none"/>
        </w:rPr>
      </w:pPr>
    </w:p>
    <w:p w14:paraId="7FD82C24">
      <w:pPr>
        <w:pStyle w:val="46"/>
        <w:rPr>
          <w:rFonts w:ascii="仿宋" w:hAnsi="仿宋" w:eastAsia="仿宋"/>
          <w:color w:val="auto"/>
          <w:highlight w:val="none"/>
        </w:rPr>
      </w:pPr>
    </w:p>
    <w:p w14:paraId="2408E65D">
      <w:pPr>
        <w:pStyle w:val="47"/>
        <w:rPr>
          <w:rFonts w:ascii="仿宋" w:hAnsi="仿宋" w:eastAsia="仿宋"/>
          <w:color w:val="auto"/>
          <w:highlight w:val="none"/>
        </w:rPr>
      </w:pPr>
    </w:p>
    <w:p w14:paraId="33F62060">
      <w:pPr>
        <w:pStyle w:val="46"/>
        <w:rPr>
          <w:rFonts w:ascii="仿宋" w:hAnsi="仿宋" w:eastAsia="仿宋"/>
          <w:color w:val="auto"/>
          <w:highlight w:val="none"/>
        </w:rPr>
      </w:pPr>
    </w:p>
    <w:p w14:paraId="2D8A141F">
      <w:pPr>
        <w:pStyle w:val="47"/>
        <w:rPr>
          <w:rFonts w:ascii="仿宋" w:hAnsi="仿宋" w:eastAsia="仿宋"/>
          <w:color w:val="auto"/>
          <w:highlight w:val="none"/>
        </w:rPr>
      </w:pPr>
    </w:p>
    <w:p w14:paraId="561884BD">
      <w:pPr>
        <w:pStyle w:val="46"/>
        <w:rPr>
          <w:rFonts w:ascii="仿宋" w:hAnsi="仿宋" w:eastAsia="仿宋"/>
          <w:color w:val="auto"/>
          <w:highlight w:val="none"/>
        </w:rPr>
      </w:pPr>
    </w:p>
    <w:p w14:paraId="13AFAD36">
      <w:pPr>
        <w:pStyle w:val="47"/>
        <w:rPr>
          <w:rFonts w:ascii="仿宋" w:hAnsi="仿宋" w:eastAsia="仿宋"/>
          <w:color w:val="auto"/>
          <w:highlight w:val="none"/>
        </w:rPr>
      </w:pPr>
    </w:p>
    <w:p w14:paraId="6E8A8EDD">
      <w:pPr>
        <w:pStyle w:val="46"/>
        <w:rPr>
          <w:rFonts w:ascii="仿宋" w:hAnsi="仿宋" w:eastAsia="仿宋"/>
          <w:color w:val="auto"/>
          <w:highlight w:val="none"/>
        </w:rPr>
      </w:pPr>
    </w:p>
    <w:p w14:paraId="309D7B85">
      <w:pPr>
        <w:pageBreakBefore/>
        <w:shd w:val="clear" w:color="auto" w:fill="FFFFFF"/>
        <w:snapToGrid w:val="0"/>
        <w:spacing w:line="360" w:lineRule="auto"/>
        <w:ind w:firstLine="482" w:firstLineChars="200"/>
        <w:jc w:val="center"/>
        <w:outlineLvl w:val="2"/>
        <w:rPr>
          <w:rFonts w:hint="eastAsia" w:ascii="宋体" w:hAnsi="宋体" w:eastAsia="宋体" w:cs="宋体"/>
          <w:b/>
          <w:color w:val="000000"/>
          <w:sz w:val="24"/>
          <w:highlight w:val="none"/>
          <w:lang w:eastAsia="zh-CN"/>
        </w:rPr>
      </w:pPr>
      <w:bookmarkStart w:id="17" w:name="_Toc233618992"/>
      <w:r>
        <w:rPr>
          <w:rFonts w:hint="eastAsia" w:ascii="宋体" w:hAnsi="宋体" w:cs="宋体"/>
          <w:b/>
          <w:bCs/>
          <w:color w:val="000000"/>
          <w:sz w:val="24"/>
          <w:highlight w:val="none"/>
          <w:lang w:val="en-US" w:eastAsia="zh-CN"/>
        </w:rPr>
        <w:t>二</w:t>
      </w:r>
      <w:r>
        <w:rPr>
          <w:rFonts w:hint="eastAsia" w:ascii="宋体" w:hAnsi="宋体" w:cs="宋体"/>
          <w:b/>
          <w:bCs/>
          <w:color w:val="000000"/>
          <w:sz w:val="24"/>
          <w:highlight w:val="none"/>
        </w:rPr>
        <w:t>、</w:t>
      </w:r>
      <w:bookmarkEnd w:id="17"/>
      <w:r>
        <w:rPr>
          <w:rFonts w:hint="eastAsia" w:ascii="宋体" w:hAnsi="宋体" w:cs="宋体"/>
          <w:b/>
          <w:bCs/>
          <w:color w:val="000000"/>
          <w:sz w:val="24"/>
          <w:highlight w:val="none"/>
          <w:lang w:eastAsia="zh-CN"/>
        </w:rPr>
        <w:t>分项报价表</w:t>
      </w:r>
    </w:p>
    <w:tbl>
      <w:tblPr>
        <w:tblStyle w:val="34"/>
        <w:tblW w:w="8899"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1300"/>
        <w:gridCol w:w="815"/>
        <w:gridCol w:w="1436"/>
        <w:gridCol w:w="1340"/>
        <w:gridCol w:w="1904"/>
        <w:gridCol w:w="2104"/>
      </w:tblGrid>
      <w:tr w14:paraId="6FBBF2A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jc w:val="center"/>
        </w:trPr>
        <w:tc>
          <w:tcPr>
            <w:tcW w:w="1300" w:type="dxa"/>
            <w:tcBorders>
              <w:top w:val="single" w:color="auto" w:sz="8" w:space="0"/>
              <w:left w:val="single" w:color="auto" w:sz="8" w:space="0"/>
              <w:bottom w:val="single" w:color="auto" w:sz="2" w:space="0"/>
              <w:right w:val="single" w:color="auto" w:sz="2" w:space="0"/>
            </w:tcBorders>
            <w:vAlign w:val="center"/>
          </w:tcPr>
          <w:p w14:paraId="132DD678">
            <w:pPr>
              <w:jc w:val="center"/>
              <w:rPr>
                <w:rFonts w:hint="eastAsia" w:ascii="宋体" w:hAnsi="宋体" w:cs="宋体"/>
                <w:sz w:val="24"/>
                <w:highlight w:val="none"/>
              </w:rPr>
            </w:pPr>
            <w:r>
              <w:rPr>
                <w:rFonts w:hint="eastAsia" w:ascii="宋体" w:hAnsi="宋体" w:cs="宋体"/>
                <w:sz w:val="24"/>
                <w:highlight w:val="none"/>
              </w:rPr>
              <w:t>序号</w:t>
            </w:r>
          </w:p>
        </w:tc>
        <w:tc>
          <w:tcPr>
            <w:tcW w:w="3591" w:type="dxa"/>
            <w:gridSpan w:val="3"/>
            <w:tcBorders>
              <w:top w:val="single" w:color="auto" w:sz="8" w:space="0"/>
              <w:left w:val="single" w:color="auto" w:sz="2" w:space="0"/>
              <w:bottom w:val="single" w:color="auto" w:sz="2" w:space="0"/>
              <w:right w:val="single" w:color="auto" w:sz="2" w:space="0"/>
            </w:tcBorders>
            <w:vAlign w:val="center"/>
          </w:tcPr>
          <w:p w14:paraId="49D3A85E">
            <w:pPr>
              <w:jc w:val="center"/>
              <w:rPr>
                <w:rFonts w:hint="eastAsia" w:ascii="宋体" w:hAnsi="宋体" w:cs="宋体"/>
                <w:sz w:val="24"/>
                <w:highlight w:val="none"/>
              </w:rPr>
            </w:pPr>
            <w:r>
              <w:rPr>
                <w:rFonts w:hint="eastAsia" w:ascii="宋体" w:hAnsi="宋体" w:cs="宋体"/>
                <w:sz w:val="24"/>
                <w:highlight w:val="none"/>
              </w:rPr>
              <w:t>名称</w:t>
            </w:r>
          </w:p>
        </w:tc>
        <w:tc>
          <w:tcPr>
            <w:tcW w:w="1904" w:type="dxa"/>
            <w:tcBorders>
              <w:top w:val="single" w:color="auto" w:sz="8" w:space="0"/>
              <w:left w:val="single" w:color="auto" w:sz="2" w:space="0"/>
              <w:bottom w:val="single" w:color="auto" w:sz="2" w:space="0"/>
              <w:right w:val="single" w:color="auto" w:sz="4" w:space="0"/>
            </w:tcBorders>
            <w:vAlign w:val="center"/>
          </w:tcPr>
          <w:p w14:paraId="6D48127C">
            <w:pPr>
              <w:jc w:val="center"/>
              <w:rPr>
                <w:rFonts w:hint="eastAsia" w:ascii="宋体" w:hAnsi="宋体" w:cs="宋体"/>
                <w:sz w:val="24"/>
                <w:highlight w:val="none"/>
              </w:rPr>
            </w:pPr>
            <w:r>
              <w:rPr>
                <w:rFonts w:hint="eastAsia" w:ascii="宋体" w:hAnsi="宋体" w:cs="宋体"/>
                <w:sz w:val="24"/>
                <w:highlight w:val="none"/>
              </w:rPr>
              <w:t>价格</w:t>
            </w:r>
          </w:p>
        </w:tc>
        <w:tc>
          <w:tcPr>
            <w:tcW w:w="2104" w:type="dxa"/>
            <w:tcBorders>
              <w:top w:val="single" w:color="auto" w:sz="8" w:space="0"/>
              <w:left w:val="single" w:color="auto" w:sz="4" w:space="0"/>
              <w:bottom w:val="single" w:color="auto" w:sz="2" w:space="0"/>
              <w:right w:val="single" w:color="auto" w:sz="8" w:space="0"/>
            </w:tcBorders>
            <w:vAlign w:val="center"/>
          </w:tcPr>
          <w:p w14:paraId="27C9905E">
            <w:pPr>
              <w:jc w:val="center"/>
              <w:rPr>
                <w:rFonts w:hint="eastAsia" w:ascii="宋体" w:hAnsi="宋体" w:cs="宋体"/>
                <w:sz w:val="24"/>
                <w:highlight w:val="none"/>
              </w:rPr>
            </w:pPr>
            <w:r>
              <w:rPr>
                <w:rFonts w:hint="eastAsia" w:ascii="宋体" w:hAnsi="宋体" w:cs="宋体"/>
                <w:sz w:val="24"/>
                <w:highlight w:val="none"/>
              </w:rPr>
              <w:t>备注</w:t>
            </w:r>
          </w:p>
        </w:tc>
      </w:tr>
      <w:tr w14:paraId="3B30D0F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5" w:hRule="atLeast"/>
          <w:jc w:val="center"/>
        </w:trPr>
        <w:tc>
          <w:tcPr>
            <w:tcW w:w="1300" w:type="dxa"/>
            <w:tcBorders>
              <w:top w:val="single" w:color="auto" w:sz="2" w:space="0"/>
              <w:left w:val="single" w:color="auto" w:sz="8" w:space="0"/>
              <w:bottom w:val="single" w:color="auto" w:sz="4" w:space="0"/>
              <w:right w:val="single" w:color="auto" w:sz="2" w:space="0"/>
            </w:tcBorders>
            <w:vAlign w:val="center"/>
          </w:tcPr>
          <w:p w14:paraId="1E68CDEA">
            <w:pPr>
              <w:jc w:val="center"/>
              <w:rPr>
                <w:rFonts w:hint="eastAsia" w:ascii="宋体" w:hAnsi="宋体" w:cs="宋体"/>
                <w:sz w:val="24"/>
                <w:highlight w:val="none"/>
              </w:rPr>
            </w:pPr>
            <w:r>
              <w:rPr>
                <w:rFonts w:hint="eastAsia" w:ascii="宋体" w:hAnsi="宋体" w:cs="宋体"/>
                <w:sz w:val="24"/>
                <w:highlight w:val="none"/>
              </w:rPr>
              <w:t>1</w:t>
            </w:r>
          </w:p>
        </w:tc>
        <w:tc>
          <w:tcPr>
            <w:tcW w:w="3591" w:type="dxa"/>
            <w:gridSpan w:val="3"/>
            <w:tcBorders>
              <w:top w:val="single" w:color="auto" w:sz="2" w:space="0"/>
              <w:left w:val="single" w:color="auto" w:sz="2" w:space="0"/>
              <w:bottom w:val="single" w:color="auto" w:sz="4" w:space="0"/>
              <w:right w:val="single" w:color="auto" w:sz="2" w:space="0"/>
            </w:tcBorders>
            <w:vAlign w:val="top"/>
          </w:tcPr>
          <w:p w14:paraId="352716A2">
            <w:pPr>
              <w:jc w:val="center"/>
              <w:rPr>
                <w:rFonts w:hint="eastAsia" w:ascii="宋体" w:hAnsi="宋体" w:cs="宋体"/>
                <w:sz w:val="24"/>
                <w:highlight w:val="none"/>
              </w:rPr>
            </w:pPr>
          </w:p>
        </w:tc>
        <w:tc>
          <w:tcPr>
            <w:tcW w:w="1904" w:type="dxa"/>
            <w:tcBorders>
              <w:top w:val="single" w:color="auto" w:sz="2" w:space="0"/>
              <w:left w:val="single" w:color="auto" w:sz="2" w:space="0"/>
              <w:bottom w:val="single" w:color="auto" w:sz="4" w:space="0"/>
              <w:right w:val="single" w:color="auto" w:sz="4" w:space="0"/>
            </w:tcBorders>
            <w:vAlign w:val="center"/>
          </w:tcPr>
          <w:p w14:paraId="65432F94">
            <w:pPr>
              <w:jc w:val="center"/>
              <w:rPr>
                <w:rFonts w:hint="eastAsia" w:ascii="宋体" w:hAnsi="宋体" w:cs="宋体"/>
                <w:sz w:val="24"/>
                <w:highlight w:val="none"/>
              </w:rPr>
            </w:pPr>
          </w:p>
        </w:tc>
        <w:tc>
          <w:tcPr>
            <w:tcW w:w="2104" w:type="dxa"/>
            <w:tcBorders>
              <w:top w:val="single" w:color="auto" w:sz="2" w:space="0"/>
              <w:left w:val="single" w:color="auto" w:sz="4" w:space="0"/>
              <w:bottom w:val="single" w:color="auto" w:sz="4" w:space="0"/>
              <w:right w:val="single" w:color="auto" w:sz="8" w:space="0"/>
            </w:tcBorders>
            <w:vAlign w:val="center"/>
          </w:tcPr>
          <w:p w14:paraId="3F4C090D">
            <w:pPr>
              <w:jc w:val="center"/>
              <w:rPr>
                <w:rFonts w:hint="eastAsia" w:ascii="宋体" w:hAnsi="宋体" w:cs="宋体"/>
                <w:sz w:val="24"/>
                <w:highlight w:val="none"/>
              </w:rPr>
            </w:pPr>
          </w:p>
        </w:tc>
      </w:tr>
      <w:tr w14:paraId="7BA70B7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7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66642AC7">
            <w:pPr>
              <w:jc w:val="center"/>
              <w:rPr>
                <w:rFonts w:hint="eastAsia" w:ascii="宋体" w:hAnsi="宋体" w:cs="宋体"/>
                <w:sz w:val="24"/>
                <w:highlight w:val="none"/>
              </w:rPr>
            </w:pPr>
            <w:r>
              <w:rPr>
                <w:rFonts w:hint="eastAsia" w:ascii="宋体" w:hAnsi="宋体" w:cs="宋体"/>
                <w:sz w:val="24"/>
                <w:highlight w:val="none"/>
              </w:rPr>
              <w:t>2</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217163B0">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7AD0531C">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339B3851">
            <w:pPr>
              <w:jc w:val="center"/>
              <w:rPr>
                <w:rFonts w:hint="eastAsia" w:ascii="宋体" w:hAnsi="宋体" w:cs="宋体"/>
                <w:sz w:val="24"/>
                <w:highlight w:val="none"/>
              </w:rPr>
            </w:pPr>
          </w:p>
        </w:tc>
      </w:tr>
      <w:tr w14:paraId="416583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46D384F4">
            <w:pPr>
              <w:jc w:val="center"/>
              <w:rPr>
                <w:rFonts w:hint="eastAsia" w:ascii="宋体" w:hAnsi="宋体" w:cs="宋体"/>
                <w:sz w:val="24"/>
                <w:highlight w:val="none"/>
              </w:rPr>
            </w:pPr>
            <w:r>
              <w:rPr>
                <w:rFonts w:hint="eastAsia" w:ascii="宋体" w:hAnsi="宋体" w:cs="宋体"/>
                <w:sz w:val="24"/>
                <w:highlight w:val="none"/>
              </w:rPr>
              <w:t>3</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0ED6DCC8">
            <w:pPr>
              <w:ind w:firstLine="200" w:firstLineChars="100"/>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45A1D80A">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4C8FD302">
            <w:pPr>
              <w:jc w:val="center"/>
              <w:rPr>
                <w:rFonts w:hint="eastAsia" w:ascii="宋体" w:hAnsi="宋体" w:cs="宋体"/>
                <w:sz w:val="24"/>
                <w:highlight w:val="none"/>
              </w:rPr>
            </w:pPr>
          </w:p>
        </w:tc>
      </w:tr>
      <w:tr w14:paraId="051EA6D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2D94E866">
            <w:pPr>
              <w:jc w:val="center"/>
              <w:rPr>
                <w:rFonts w:hint="eastAsia" w:ascii="宋体" w:hAnsi="宋体" w:cs="宋体"/>
                <w:sz w:val="24"/>
                <w:highlight w:val="none"/>
              </w:rPr>
            </w:pPr>
            <w:r>
              <w:rPr>
                <w:rFonts w:hint="eastAsia" w:ascii="宋体" w:hAnsi="宋体" w:cs="宋体"/>
                <w:sz w:val="24"/>
                <w:highlight w:val="none"/>
              </w:rPr>
              <w:t>4</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45DCCDDA">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785D5597">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0A6499A1">
            <w:pPr>
              <w:jc w:val="center"/>
              <w:rPr>
                <w:rFonts w:hint="eastAsia" w:ascii="宋体" w:hAnsi="宋体" w:cs="宋体"/>
                <w:sz w:val="24"/>
                <w:highlight w:val="none"/>
              </w:rPr>
            </w:pPr>
          </w:p>
        </w:tc>
      </w:tr>
      <w:tr w14:paraId="40C4FC0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7C2939EC">
            <w:pPr>
              <w:jc w:val="center"/>
              <w:rPr>
                <w:rFonts w:hint="eastAsia" w:ascii="宋体" w:hAnsi="宋体" w:cs="宋体"/>
                <w:sz w:val="24"/>
                <w:highlight w:val="none"/>
              </w:rPr>
            </w:pPr>
            <w:r>
              <w:rPr>
                <w:rFonts w:hint="eastAsia" w:ascii="宋体" w:hAnsi="宋体" w:cs="宋体"/>
                <w:sz w:val="24"/>
                <w:highlight w:val="none"/>
              </w:rPr>
              <w:t>5</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77E953B4">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3DE0D710">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5400F1F5">
            <w:pPr>
              <w:jc w:val="center"/>
              <w:rPr>
                <w:rFonts w:hint="eastAsia" w:ascii="宋体" w:hAnsi="宋体" w:cs="宋体"/>
                <w:sz w:val="24"/>
                <w:highlight w:val="none"/>
              </w:rPr>
            </w:pPr>
          </w:p>
        </w:tc>
      </w:tr>
      <w:tr w14:paraId="375CAF7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3FFECDD7">
            <w:pPr>
              <w:jc w:val="center"/>
              <w:rPr>
                <w:rFonts w:hint="eastAsia" w:ascii="宋体" w:hAnsi="宋体" w:cs="宋体"/>
                <w:sz w:val="24"/>
                <w:highlight w:val="none"/>
              </w:rPr>
            </w:pPr>
            <w:r>
              <w:rPr>
                <w:rFonts w:hint="eastAsia" w:ascii="宋体" w:hAnsi="宋体" w:cs="宋体"/>
                <w:sz w:val="24"/>
                <w:highlight w:val="none"/>
              </w:rPr>
              <w:t>6</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4B8220C0">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3F8C8E7E">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2520AC08">
            <w:pPr>
              <w:jc w:val="center"/>
              <w:rPr>
                <w:rFonts w:hint="eastAsia" w:ascii="宋体" w:hAnsi="宋体" w:cs="宋体"/>
                <w:sz w:val="24"/>
                <w:highlight w:val="none"/>
              </w:rPr>
            </w:pPr>
          </w:p>
        </w:tc>
      </w:tr>
      <w:tr w14:paraId="51E6C92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42C2BF3D">
            <w:pPr>
              <w:jc w:val="center"/>
              <w:rPr>
                <w:rFonts w:hint="eastAsia" w:ascii="宋体" w:hAnsi="宋体" w:cs="宋体"/>
                <w:sz w:val="24"/>
                <w:highlight w:val="none"/>
              </w:rPr>
            </w:pPr>
            <w:r>
              <w:rPr>
                <w:rFonts w:hint="eastAsia" w:ascii="宋体" w:hAnsi="宋体" w:cs="宋体"/>
                <w:sz w:val="24"/>
                <w:highlight w:val="none"/>
              </w:rPr>
              <w:t>7</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29F04109">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04574DFF">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4BAA8C55">
            <w:pPr>
              <w:jc w:val="center"/>
              <w:rPr>
                <w:rFonts w:hint="eastAsia" w:ascii="宋体" w:hAnsi="宋体" w:cs="宋体"/>
                <w:sz w:val="24"/>
                <w:highlight w:val="none"/>
              </w:rPr>
            </w:pPr>
          </w:p>
        </w:tc>
      </w:tr>
      <w:tr w14:paraId="6FD7C4F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044B3187">
            <w:pPr>
              <w:jc w:val="center"/>
              <w:rPr>
                <w:rFonts w:hint="eastAsia" w:ascii="宋体" w:hAnsi="宋体" w:cs="宋体"/>
                <w:sz w:val="24"/>
                <w:highlight w:val="none"/>
              </w:rPr>
            </w:pPr>
            <w:r>
              <w:rPr>
                <w:rFonts w:hint="eastAsia" w:ascii="宋体" w:hAnsi="宋体" w:cs="宋体"/>
                <w:sz w:val="24"/>
                <w:highlight w:val="none"/>
              </w:rPr>
              <w:t>8</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13984CCB">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1D3EC191">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03FE2FEC">
            <w:pPr>
              <w:jc w:val="center"/>
              <w:rPr>
                <w:rFonts w:hint="eastAsia" w:ascii="宋体" w:hAnsi="宋体" w:cs="宋体"/>
                <w:sz w:val="24"/>
                <w:highlight w:val="none"/>
              </w:rPr>
            </w:pPr>
          </w:p>
        </w:tc>
      </w:tr>
      <w:tr w14:paraId="26D1401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1E3486CE">
            <w:pPr>
              <w:jc w:val="center"/>
              <w:rPr>
                <w:rFonts w:hint="eastAsia" w:ascii="宋体" w:hAnsi="宋体" w:cs="宋体"/>
                <w:sz w:val="24"/>
                <w:highlight w:val="none"/>
              </w:rPr>
            </w:pPr>
            <w:r>
              <w:rPr>
                <w:rFonts w:hint="eastAsia" w:ascii="宋体" w:hAnsi="宋体" w:cs="宋体"/>
                <w:sz w:val="24"/>
                <w:highlight w:val="none"/>
              </w:rPr>
              <w:t>9</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43A73D3F">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4D0DB78C">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6A8E87DC">
            <w:pPr>
              <w:jc w:val="center"/>
              <w:rPr>
                <w:rFonts w:hint="eastAsia" w:ascii="宋体" w:hAnsi="宋体" w:cs="宋体"/>
                <w:sz w:val="24"/>
                <w:highlight w:val="none"/>
              </w:rPr>
            </w:pPr>
          </w:p>
        </w:tc>
      </w:tr>
      <w:tr w14:paraId="0B3483D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bottom w:val="single" w:color="auto" w:sz="4" w:space="0"/>
              <w:right w:val="single" w:color="auto" w:sz="2" w:space="0"/>
            </w:tcBorders>
            <w:vAlign w:val="center"/>
          </w:tcPr>
          <w:p w14:paraId="5A5F1274">
            <w:pPr>
              <w:jc w:val="center"/>
              <w:rPr>
                <w:rFonts w:ascii="宋体" w:hAnsi="宋体" w:cs="宋体"/>
                <w:sz w:val="24"/>
                <w:highlight w:val="none"/>
              </w:rPr>
            </w:pPr>
            <w:r>
              <w:rPr>
                <w:rFonts w:hint="eastAsia" w:ascii="宋体" w:hAnsi="宋体" w:cs="宋体"/>
                <w:sz w:val="24"/>
                <w:highlight w:val="none"/>
              </w:rPr>
              <w:t>10</w:t>
            </w:r>
          </w:p>
        </w:tc>
        <w:tc>
          <w:tcPr>
            <w:tcW w:w="3591" w:type="dxa"/>
            <w:gridSpan w:val="3"/>
            <w:tcBorders>
              <w:top w:val="single" w:color="auto" w:sz="4" w:space="0"/>
              <w:left w:val="single" w:color="auto" w:sz="2" w:space="0"/>
              <w:bottom w:val="single" w:color="auto" w:sz="4" w:space="0"/>
              <w:right w:val="single" w:color="auto" w:sz="2" w:space="0"/>
            </w:tcBorders>
            <w:vAlign w:val="top"/>
          </w:tcPr>
          <w:p w14:paraId="714B145E">
            <w:pPr>
              <w:jc w:val="center"/>
              <w:rPr>
                <w:rFonts w:hint="eastAsia" w:ascii="宋体" w:hAnsi="宋体" w:cs="宋体"/>
                <w:szCs w:val="21"/>
                <w:highlight w:val="none"/>
              </w:rPr>
            </w:pPr>
          </w:p>
        </w:tc>
        <w:tc>
          <w:tcPr>
            <w:tcW w:w="1904" w:type="dxa"/>
            <w:tcBorders>
              <w:top w:val="single" w:color="auto" w:sz="4" w:space="0"/>
              <w:left w:val="single" w:color="auto" w:sz="2" w:space="0"/>
              <w:bottom w:val="single" w:color="auto" w:sz="4" w:space="0"/>
              <w:right w:val="single" w:color="auto" w:sz="4" w:space="0"/>
            </w:tcBorders>
            <w:vAlign w:val="center"/>
          </w:tcPr>
          <w:p w14:paraId="3ADC4317">
            <w:pPr>
              <w:jc w:val="center"/>
              <w:rPr>
                <w:rFonts w:hint="eastAsia" w:ascii="宋体" w:hAnsi="宋体" w:cs="宋体"/>
                <w:sz w:val="24"/>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7B2A6B70">
            <w:pPr>
              <w:jc w:val="center"/>
              <w:rPr>
                <w:rFonts w:hint="eastAsia" w:ascii="宋体" w:hAnsi="宋体" w:cs="宋体"/>
                <w:sz w:val="24"/>
                <w:highlight w:val="none"/>
              </w:rPr>
            </w:pPr>
          </w:p>
        </w:tc>
      </w:tr>
      <w:tr w14:paraId="2647246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300" w:type="dxa"/>
            <w:tcBorders>
              <w:top w:val="single" w:color="auto" w:sz="4" w:space="0"/>
              <w:left w:val="single" w:color="auto" w:sz="8" w:space="0"/>
              <w:right w:val="single" w:color="auto" w:sz="2" w:space="0"/>
            </w:tcBorders>
            <w:vAlign w:val="center"/>
          </w:tcPr>
          <w:p w14:paraId="632B8191">
            <w:pPr>
              <w:snapToGrid w:val="0"/>
              <w:spacing w:line="360" w:lineRule="auto"/>
              <w:jc w:val="center"/>
              <w:rPr>
                <w:rFonts w:hint="eastAsia" w:ascii="宋体" w:hAnsi="宋体" w:cs="宋体"/>
                <w:color w:val="000000"/>
                <w:sz w:val="24"/>
                <w:szCs w:val="21"/>
                <w:highlight w:val="none"/>
              </w:rPr>
            </w:pPr>
          </w:p>
        </w:tc>
        <w:tc>
          <w:tcPr>
            <w:tcW w:w="3591" w:type="dxa"/>
            <w:gridSpan w:val="3"/>
            <w:tcBorders>
              <w:top w:val="single" w:color="auto" w:sz="4" w:space="0"/>
              <w:left w:val="single" w:color="auto" w:sz="2" w:space="0"/>
              <w:bottom w:val="single" w:color="auto" w:sz="4" w:space="0"/>
              <w:right w:val="single" w:color="auto" w:sz="2" w:space="0"/>
            </w:tcBorders>
            <w:vAlign w:val="center"/>
          </w:tcPr>
          <w:p w14:paraId="6A2683A0">
            <w:pPr>
              <w:tabs>
                <w:tab w:val="left" w:pos="6135"/>
              </w:tabs>
              <w:snapToGrid w:val="0"/>
              <w:spacing w:line="360" w:lineRule="auto"/>
              <w:jc w:val="left"/>
              <w:rPr>
                <w:rFonts w:hint="eastAsia" w:ascii="宋体" w:hAnsi="宋体" w:cs="宋体"/>
                <w:color w:val="000000"/>
                <w:sz w:val="24"/>
                <w:szCs w:val="21"/>
                <w:highlight w:val="none"/>
              </w:rPr>
            </w:pPr>
            <w:r>
              <w:rPr>
                <w:rFonts w:hint="eastAsia" w:ascii="宋体" w:hAnsi="宋体" w:cs="宋体"/>
                <w:color w:val="000000"/>
                <w:sz w:val="24"/>
                <w:szCs w:val="21"/>
                <w:highlight w:val="none"/>
              </w:rPr>
              <w:t>……</w:t>
            </w:r>
          </w:p>
        </w:tc>
        <w:tc>
          <w:tcPr>
            <w:tcW w:w="1904" w:type="dxa"/>
            <w:tcBorders>
              <w:top w:val="single" w:color="auto" w:sz="4" w:space="0"/>
              <w:left w:val="single" w:color="auto" w:sz="2" w:space="0"/>
              <w:bottom w:val="single" w:color="auto" w:sz="4" w:space="0"/>
              <w:right w:val="single" w:color="auto" w:sz="4" w:space="0"/>
            </w:tcBorders>
            <w:vAlign w:val="center"/>
          </w:tcPr>
          <w:p w14:paraId="3148AF1C">
            <w:pPr>
              <w:snapToGrid w:val="0"/>
              <w:spacing w:line="360" w:lineRule="auto"/>
              <w:jc w:val="center"/>
              <w:rPr>
                <w:rFonts w:hint="eastAsia" w:ascii="宋体" w:hAnsi="宋体" w:cs="宋体"/>
                <w:color w:val="000000"/>
                <w:sz w:val="24"/>
                <w:szCs w:val="21"/>
                <w:highlight w:val="none"/>
              </w:rPr>
            </w:pPr>
          </w:p>
        </w:tc>
        <w:tc>
          <w:tcPr>
            <w:tcW w:w="2104" w:type="dxa"/>
            <w:tcBorders>
              <w:top w:val="single" w:color="auto" w:sz="4" w:space="0"/>
              <w:left w:val="single" w:color="auto" w:sz="4" w:space="0"/>
              <w:bottom w:val="single" w:color="auto" w:sz="4" w:space="0"/>
              <w:right w:val="single" w:color="auto" w:sz="8" w:space="0"/>
            </w:tcBorders>
            <w:vAlign w:val="center"/>
          </w:tcPr>
          <w:p w14:paraId="6C330966">
            <w:pPr>
              <w:snapToGrid w:val="0"/>
              <w:spacing w:line="360" w:lineRule="auto"/>
              <w:jc w:val="center"/>
              <w:rPr>
                <w:rFonts w:hint="eastAsia" w:ascii="宋体" w:hAnsi="宋体" w:cs="宋体"/>
                <w:color w:val="000000"/>
                <w:sz w:val="24"/>
                <w:szCs w:val="21"/>
                <w:highlight w:val="none"/>
              </w:rPr>
            </w:pPr>
          </w:p>
        </w:tc>
      </w:tr>
      <w:tr w14:paraId="1AF5E53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jc w:val="center"/>
        </w:trPr>
        <w:tc>
          <w:tcPr>
            <w:tcW w:w="2115" w:type="dxa"/>
            <w:gridSpan w:val="2"/>
            <w:vMerge w:val="restart"/>
            <w:tcBorders>
              <w:top w:val="single" w:color="auto" w:sz="2" w:space="0"/>
              <w:left w:val="single" w:color="auto" w:sz="8" w:space="0"/>
              <w:bottom w:val="single" w:color="auto" w:sz="8" w:space="0"/>
              <w:right w:val="single" w:color="auto" w:sz="4" w:space="0"/>
            </w:tcBorders>
            <w:vAlign w:val="center"/>
          </w:tcPr>
          <w:p w14:paraId="1450E64E">
            <w:pPr>
              <w:snapToGrid w:val="0"/>
              <w:spacing w:line="360" w:lineRule="auto"/>
              <w:jc w:val="center"/>
              <w:rPr>
                <w:rFonts w:hint="eastAsia" w:ascii="宋体" w:hAnsi="宋体" w:cs="宋体"/>
                <w:color w:val="000000"/>
                <w:sz w:val="24"/>
                <w:szCs w:val="21"/>
                <w:highlight w:val="none"/>
              </w:rPr>
            </w:pPr>
            <w:r>
              <w:rPr>
                <w:rFonts w:hint="eastAsia" w:ascii="宋体" w:hAnsi="宋体" w:cs="宋体"/>
                <w:color w:val="000000"/>
                <w:sz w:val="24"/>
                <w:szCs w:val="21"/>
                <w:highlight w:val="none"/>
              </w:rPr>
              <w:t>总计</w:t>
            </w:r>
          </w:p>
        </w:tc>
        <w:tc>
          <w:tcPr>
            <w:tcW w:w="1436" w:type="dxa"/>
            <w:tcBorders>
              <w:top w:val="single" w:color="auto" w:sz="2" w:space="0"/>
              <w:left w:val="single" w:color="auto" w:sz="4" w:space="0"/>
              <w:bottom w:val="single" w:color="auto" w:sz="2" w:space="0"/>
              <w:right w:val="single" w:color="auto" w:sz="2" w:space="0"/>
            </w:tcBorders>
            <w:vAlign w:val="center"/>
          </w:tcPr>
          <w:p w14:paraId="14A46025">
            <w:pPr>
              <w:snapToGrid w:val="0"/>
              <w:spacing w:line="360" w:lineRule="auto"/>
              <w:jc w:val="center"/>
              <w:rPr>
                <w:rFonts w:hint="eastAsia" w:ascii="宋体" w:hAnsi="宋体" w:cs="宋体"/>
                <w:color w:val="000000"/>
                <w:sz w:val="24"/>
                <w:szCs w:val="21"/>
                <w:highlight w:val="none"/>
              </w:rPr>
            </w:pPr>
            <w:r>
              <w:rPr>
                <w:rFonts w:hint="eastAsia" w:ascii="宋体" w:hAnsi="宋体" w:cs="宋体"/>
                <w:color w:val="000000"/>
                <w:sz w:val="24"/>
                <w:szCs w:val="21"/>
                <w:highlight w:val="none"/>
              </w:rPr>
              <w:t>大写</w:t>
            </w:r>
          </w:p>
        </w:tc>
        <w:tc>
          <w:tcPr>
            <w:tcW w:w="5348" w:type="dxa"/>
            <w:gridSpan w:val="3"/>
            <w:tcBorders>
              <w:top w:val="single" w:color="auto" w:sz="2" w:space="0"/>
              <w:left w:val="single" w:color="auto" w:sz="4" w:space="0"/>
              <w:bottom w:val="single" w:color="auto" w:sz="2" w:space="0"/>
              <w:right w:val="single" w:color="auto" w:sz="8" w:space="0"/>
            </w:tcBorders>
            <w:vAlign w:val="center"/>
          </w:tcPr>
          <w:p w14:paraId="4565E6C3">
            <w:pPr>
              <w:snapToGrid w:val="0"/>
              <w:spacing w:line="360" w:lineRule="auto"/>
              <w:jc w:val="center"/>
              <w:rPr>
                <w:rFonts w:hint="eastAsia" w:ascii="宋体" w:hAnsi="宋体" w:cs="宋体"/>
                <w:color w:val="000000"/>
                <w:sz w:val="24"/>
                <w:szCs w:val="21"/>
                <w:highlight w:val="none"/>
              </w:rPr>
            </w:pPr>
          </w:p>
        </w:tc>
      </w:tr>
      <w:tr w14:paraId="5861E31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jc w:val="center"/>
        </w:trPr>
        <w:tc>
          <w:tcPr>
            <w:tcW w:w="2115" w:type="dxa"/>
            <w:gridSpan w:val="2"/>
            <w:vMerge w:val="continue"/>
            <w:tcBorders>
              <w:top w:val="single" w:color="auto" w:sz="2" w:space="0"/>
              <w:left w:val="single" w:color="auto" w:sz="8" w:space="0"/>
              <w:bottom w:val="single" w:color="auto" w:sz="8" w:space="0"/>
              <w:right w:val="single" w:color="auto" w:sz="4" w:space="0"/>
            </w:tcBorders>
            <w:vAlign w:val="center"/>
          </w:tcPr>
          <w:p w14:paraId="03156F2B">
            <w:pPr>
              <w:widowControl/>
              <w:snapToGrid w:val="0"/>
              <w:spacing w:line="360" w:lineRule="auto"/>
              <w:jc w:val="center"/>
              <w:rPr>
                <w:rFonts w:hint="eastAsia" w:ascii="宋体" w:hAnsi="宋体" w:cs="宋体"/>
                <w:color w:val="000000"/>
                <w:sz w:val="24"/>
                <w:szCs w:val="21"/>
                <w:highlight w:val="none"/>
              </w:rPr>
            </w:pPr>
          </w:p>
        </w:tc>
        <w:tc>
          <w:tcPr>
            <w:tcW w:w="1436" w:type="dxa"/>
            <w:tcBorders>
              <w:top w:val="single" w:color="auto" w:sz="2" w:space="0"/>
              <w:left w:val="single" w:color="auto" w:sz="4" w:space="0"/>
              <w:bottom w:val="single" w:color="auto" w:sz="8" w:space="0"/>
              <w:right w:val="single" w:color="auto" w:sz="2" w:space="0"/>
            </w:tcBorders>
            <w:vAlign w:val="center"/>
          </w:tcPr>
          <w:p w14:paraId="18A2854F">
            <w:pPr>
              <w:snapToGrid w:val="0"/>
              <w:spacing w:line="360" w:lineRule="auto"/>
              <w:jc w:val="center"/>
              <w:rPr>
                <w:rFonts w:hint="eastAsia" w:ascii="宋体" w:hAnsi="宋体" w:cs="宋体"/>
                <w:color w:val="000000"/>
                <w:sz w:val="24"/>
                <w:szCs w:val="21"/>
                <w:highlight w:val="none"/>
              </w:rPr>
            </w:pPr>
            <w:r>
              <w:rPr>
                <w:rFonts w:hint="eastAsia" w:ascii="宋体" w:hAnsi="宋体" w:cs="宋体"/>
                <w:color w:val="000000"/>
                <w:sz w:val="24"/>
                <w:szCs w:val="21"/>
                <w:highlight w:val="none"/>
              </w:rPr>
              <w:t>小写</w:t>
            </w:r>
          </w:p>
        </w:tc>
        <w:tc>
          <w:tcPr>
            <w:tcW w:w="5348" w:type="dxa"/>
            <w:gridSpan w:val="3"/>
            <w:tcBorders>
              <w:top w:val="single" w:color="auto" w:sz="2" w:space="0"/>
              <w:left w:val="single" w:color="auto" w:sz="4" w:space="0"/>
              <w:bottom w:val="single" w:color="auto" w:sz="8" w:space="0"/>
              <w:right w:val="single" w:color="auto" w:sz="8" w:space="0"/>
            </w:tcBorders>
            <w:vAlign w:val="center"/>
          </w:tcPr>
          <w:p w14:paraId="54428E57">
            <w:pPr>
              <w:snapToGrid w:val="0"/>
              <w:spacing w:line="360" w:lineRule="auto"/>
              <w:jc w:val="center"/>
              <w:rPr>
                <w:rFonts w:hint="eastAsia" w:ascii="宋体" w:hAnsi="宋体" w:cs="宋体"/>
                <w:color w:val="000000"/>
                <w:sz w:val="24"/>
                <w:szCs w:val="21"/>
                <w:highlight w:val="none"/>
              </w:rPr>
            </w:pPr>
          </w:p>
        </w:tc>
      </w:tr>
    </w:tbl>
    <w:p w14:paraId="508F240B">
      <w:pPr>
        <w:pStyle w:val="19"/>
        <w:snapToGrid w:val="0"/>
        <w:spacing w:line="360" w:lineRule="auto"/>
        <w:rPr>
          <w:rFonts w:hint="eastAsia" w:hAnsi="宋体" w:cs="宋体"/>
          <w:color w:val="000000"/>
          <w:sz w:val="24"/>
          <w:highlight w:val="none"/>
          <w:lang w:val="zh-CN"/>
        </w:rPr>
      </w:pPr>
    </w:p>
    <w:p w14:paraId="030F7391">
      <w:pPr>
        <w:pStyle w:val="19"/>
        <w:snapToGrid w:val="0"/>
        <w:spacing w:line="360" w:lineRule="auto"/>
        <w:rPr>
          <w:rFonts w:hint="eastAsia" w:hAnsi="宋体" w:cs="宋体"/>
          <w:color w:val="000000"/>
          <w:sz w:val="24"/>
          <w:highlight w:val="none"/>
        </w:rPr>
      </w:pPr>
      <w:r>
        <w:rPr>
          <w:rFonts w:hint="eastAsia" w:hAnsi="宋体" w:cs="宋体"/>
          <w:color w:val="000000"/>
          <w:sz w:val="24"/>
          <w:highlight w:val="none"/>
          <w:lang w:val="zh-CN"/>
        </w:rPr>
        <w:t>注：</w:t>
      </w:r>
      <w:r>
        <w:rPr>
          <w:rFonts w:hint="eastAsia" w:hAnsi="宋体" w:cs="宋体"/>
          <w:color w:val="000000"/>
          <w:sz w:val="24"/>
          <w:highlight w:val="none"/>
        </w:rPr>
        <w:t>可根据具体情况调整报价明细清单格式，但应包括项目涉及的一切相关税、费等费用。</w:t>
      </w:r>
    </w:p>
    <w:p w14:paraId="7708BAAE">
      <w:pPr>
        <w:pStyle w:val="19"/>
        <w:snapToGrid w:val="0"/>
        <w:spacing w:line="360" w:lineRule="auto"/>
        <w:rPr>
          <w:rFonts w:hint="eastAsia" w:hAnsi="宋体" w:cs="宋体"/>
          <w:color w:val="000000"/>
          <w:sz w:val="24"/>
          <w:highlight w:val="none"/>
        </w:rPr>
      </w:pPr>
    </w:p>
    <w:p w14:paraId="10FB91D8">
      <w:pPr>
        <w:shd w:val="clear" w:color="auto" w:fill="FFFFFF"/>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投标人名称(公章)：</w:t>
      </w:r>
    </w:p>
    <w:p w14:paraId="40C5CD99">
      <w:pPr>
        <w:shd w:val="clear" w:color="auto" w:fill="FFFFFF"/>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授权代表人(签字)：</w:t>
      </w:r>
    </w:p>
    <w:p w14:paraId="558405B4">
      <w:pPr>
        <w:pStyle w:val="47"/>
        <w:rPr>
          <w:rFonts w:ascii="仿宋" w:hAnsi="仿宋" w:eastAsia="仿宋"/>
          <w:color w:val="auto"/>
          <w:highlight w:val="none"/>
        </w:rPr>
      </w:pPr>
    </w:p>
    <w:p w14:paraId="45A926C7">
      <w:pPr>
        <w:pStyle w:val="46"/>
        <w:rPr>
          <w:rFonts w:ascii="仿宋" w:hAnsi="仿宋" w:eastAsia="仿宋"/>
          <w:color w:val="auto"/>
          <w:highlight w:val="none"/>
        </w:rPr>
      </w:pPr>
    </w:p>
    <w:p w14:paraId="3ACEE117">
      <w:pPr>
        <w:pStyle w:val="47"/>
        <w:rPr>
          <w:rFonts w:ascii="仿宋" w:hAnsi="仿宋" w:eastAsia="仿宋"/>
          <w:color w:val="auto"/>
          <w:highlight w:val="none"/>
        </w:rPr>
      </w:pPr>
    </w:p>
    <w:p w14:paraId="46DAD2A5">
      <w:pPr>
        <w:pStyle w:val="46"/>
        <w:rPr>
          <w:rFonts w:ascii="仿宋" w:hAnsi="仿宋" w:eastAsia="仿宋"/>
          <w:color w:val="auto"/>
          <w:highlight w:val="none"/>
        </w:rPr>
      </w:pPr>
    </w:p>
    <w:p w14:paraId="519D5A86">
      <w:pPr>
        <w:pStyle w:val="47"/>
        <w:rPr>
          <w:rFonts w:ascii="仿宋" w:hAnsi="仿宋" w:eastAsia="仿宋"/>
          <w:color w:val="auto"/>
          <w:highlight w:val="none"/>
        </w:rPr>
      </w:pPr>
    </w:p>
    <w:p w14:paraId="6E9F2EA3">
      <w:pPr>
        <w:pStyle w:val="46"/>
        <w:rPr>
          <w:rFonts w:ascii="仿宋" w:hAnsi="仿宋" w:eastAsia="仿宋"/>
          <w:color w:val="auto"/>
          <w:highlight w:val="none"/>
        </w:rPr>
      </w:pPr>
    </w:p>
    <w:p w14:paraId="164D54BA">
      <w:pPr>
        <w:pStyle w:val="47"/>
        <w:rPr>
          <w:highlight w:val="none"/>
        </w:rPr>
        <w:sectPr>
          <w:headerReference r:id="rId7" w:type="default"/>
          <w:footerReference r:id="rId8" w:type="default"/>
          <w:pgSz w:w="11906" w:h="16838"/>
          <w:pgMar w:top="1531" w:right="1587" w:bottom="1531" w:left="1587" w:header="851" w:footer="601" w:gutter="0"/>
          <w:cols w:space="720" w:num="1"/>
          <w:docGrid w:linePitch="360" w:charSpace="0"/>
        </w:sectPr>
      </w:pPr>
    </w:p>
    <w:p w14:paraId="66D9543F">
      <w:pPr>
        <w:pStyle w:val="46"/>
        <w:shd w:val="clear" w:color="auto" w:fill="auto"/>
        <w:spacing w:line="440" w:lineRule="exact"/>
        <w:ind w:firstLine="643"/>
        <w:jc w:val="center"/>
        <w:rPr>
          <w:rFonts w:ascii="仿宋" w:hAnsi="仿宋" w:eastAsia="仿宋"/>
          <w:b/>
          <w:bCs/>
          <w:color w:val="auto"/>
          <w:sz w:val="32"/>
          <w:szCs w:val="32"/>
          <w:highlight w:val="none"/>
        </w:rPr>
      </w:pPr>
      <w:bookmarkStart w:id="18" w:name="_Toc303256683"/>
      <w:bookmarkStart w:id="19" w:name="_Toc350327367"/>
      <w:bookmarkStart w:id="20" w:name="_Toc349721556"/>
      <w:bookmarkStart w:id="21" w:name="_Toc339872470"/>
      <w:bookmarkStart w:id="22" w:name="_Toc297472057"/>
      <w:bookmarkStart w:id="23" w:name="_Toc328381294"/>
      <w:bookmarkStart w:id="24" w:name="_Toc297472825"/>
      <w:r>
        <w:rPr>
          <w:rFonts w:ascii="仿宋" w:hAnsi="仿宋" w:eastAsia="仿宋"/>
          <w:b/>
          <w:color w:val="auto"/>
          <w:sz w:val="32"/>
          <w:szCs w:val="32"/>
          <w:highlight w:val="none"/>
          <w:lang w:val="en-US" w:eastAsia="zh-CN"/>
        </w:rPr>
        <w:t>三</w:t>
      </w:r>
      <w:r>
        <w:rPr>
          <w:rFonts w:ascii="仿宋" w:hAnsi="仿宋" w:eastAsia="仿宋"/>
          <w:b/>
          <w:color w:val="auto"/>
          <w:sz w:val="32"/>
          <w:szCs w:val="32"/>
          <w:highlight w:val="none"/>
        </w:rPr>
        <w:t>、投标响应函</w:t>
      </w:r>
      <w:bookmarkEnd w:id="18"/>
      <w:bookmarkEnd w:id="19"/>
      <w:bookmarkEnd w:id="20"/>
      <w:bookmarkEnd w:id="21"/>
      <w:bookmarkEnd w:id="22"/>
      <w:bookmarkEnd w:id="23"/>
      <w:bookmarkEnd w:id="24"/>
    </w:p>
    <w:p w14:paraId="344E0B70">
      <w:pPr>
        <w:pStyle w:val="46"/>
        <w:shd w:val="clear" w:color="auto" w:fill="auto"/>
        <w:spacing w:line="440" w:lineRule="exact"/>
        <w:rPr>
          <w:rFonts w:ascii="仿宋" w:hAnsi="仿宋" w:eastAsia="仿宋"/>
          <w:b/>
          <w:color w:val="auto"/>
          <w:sz w:val="24"/>
          <w:highlight w:val="none"/>
          <w:u w:val="single"/>
        </w:rPr>
      </w:pPr>
      <w:r>
        <w:rPr>
          <w:rFonts w:hint="eastAsia" w:ascii="仿宋" w:hAnsi="仿宋" w:eastAsia="仿宋"/>
          <w:b/>
          <w:color w:val="auto"/>
          <w:sz w:val="24"/>
          <w:highlight w:val="none"/>
          <w:u w:val="single"/>
          <w:lang w:eastAsia="zh-CN"/>
        </w:rPr>
        <w:t>杭州市余杭区人民政府仓前街道办事处</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w:t>
      </w:r>
    </w:p>
    <w:p w14:paraId="165E3CC9">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(投标人全称)授权</w:t>
      </w:r>
      <w:r>
        <w:rPr>
          <w:rFonts w:ascii="仿宋" w:hAnsi="仿宋" w:eastAsia="仿宋"/>
          <w:color w:val="auto"/>
          <w:sz w:val="24"/>
          <w:highlight w:val="none"/>
          <w:u w:val="single"/>
        </w:rPr>
        <w:t xml:space="preserve">                </w:t>
      </w:r>
      <w:r>
        <w:rPr>
          <w:rFonts w:ascii="仿宋" w:hAnsi="仿宋" w:eastAsia="仿宋"/>
          <w:color w:val="auto"/>
          <w:sz w:val="24"/>
          <w:highlight w:val="none"/>
        </w:rPr>
        <w:t>(全权代表姓名)</w:t>
      </w:r>
      <w:r>
        <w:rPr>
          <w:rFonts w:ascii="仿宋" w:hAnsi="仿宋" w:eastAsia="仿宋"/>
          <w:color w:val="auto"/>
          <w:sz w:val="24"/>
          <w:highlight w:val="none"/>
          <w:u w:val="single"/>
        </w:rPr>
        <w:t xml:space="preserve">          </w:t>
      </w:r>
      <w:r>
        <w:rPr>
          <w:rFonts w:ascii="仿宋" w:hAnsi="仿宋" w:eastAsia="仿宋"/>
          <w:color w:val="auto"/>
          <w:sz w:val="24"/>
          <w:highlight w:val="none"/>
        </w:rPr>
        <w:t>(职务、职称)为全权代表，参加贵方组织</w:t>
      </w:r>
      <w:r>
        <w:rPr>
          <w:rFonts w:ascii="仿宋" w:hAnsi="仿宋" w:eastAsia="仿宋"/>
          <w:color w:val="auto"/>
          <w:sz w:val="24"/>
          <w:highlight w:val="none"/>
          <w:u w:val="single"/>
        </w:rPr>
        <w:t xml:space="preserve">            </w:t>
      </w:r>
      <w:r>
        <w:rPr>
          <w:rFonts w:ascii="仿宋" w:hAnsi="仿宋" w:eastAsia="仿宋"/>
          <w:color w:val="auto"/>
          <w:sz w:val="24"/>
          <w:highlight w:val="none"/>
        </w:rPr>
        <w:t>项目（项目编号：</w:t>
      </w:r>
      <w:r>
        <w:rPr>
          <w:rFonts w:ascii="仿宋" w:hAnsi="仿宋" w:eastAsia="仿宋"/>
          <w:bCs/>
          <w:color w:val="auto"/>
          <w:sz w:val="24"/>
          <w:szCs w:val="24"/>
          <w:highlight w:val="none"/>
        </w:rPr>
        <w:t xml:space="preserve">         </w:t>
      </w:r>
      <w:r>
        <w:rPr>
          <w:rFonts w:ascii="仿宋" w:hAnsi="仿宋" w:eastAsia="仿宋"/>
          <w:color w:val="auto"/>
          <w:sz w:val="24"/>
          <w:highlight w:val="none"/>
        </w:rPr>
        <w:t xml:space="preserve"> ）招标的有关活动，并对此项目进行投标。全部投标文件，包括报价文件正本一份、副本四份，</w:t>
      </w:r>
      <w:r>
        <w:rPr>
          <w:rFonts w:hint="eastAsia" w:ascii="仿宋" w:hAnsi="仿宋" w:eastAsia="仿宋"/>
          <w:color w:val="auto"/>
          <w:sz w:val="24"/>
          <w:highlight w:val="none"/>
          <w:lang w:val="en-US" w:eastAsia="zh-CN"/>
        </w:rPr>
        <w:t>资信</w:t>
      </w:r>
      <w:r>
        <w:rPr>
          <w:rFonts w:ascii="仿宋" w:hAnsi="仿宋" w:eastAsia="仿宋"/>
          <w:color w:val="auto"/>
          <w:sz w:val="24"/>
          <w:highlight w:val="none"/>
        </w:rPr>
        <w:t>/技术文件正本一份、副本四份，以及其他要求投标人提交的全部文件。</w:t>
      </w:r>
    </w:p>
    <w:p w14:paraId="286F02E8">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据此函，签字代表宣布同意如下：</w:t>
      </w:r>
    </w:p>
    <w:p w14:paraId="361A07B7">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1、我方承诺已经具备的条件：</w:t>
      </w:r>
    </w:p>
    <w:p w14:paraId="1A25BBE2">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（一）具有独立承担民事责任的能力；</w:t>
      </w:r>
    </w:p>
    <w:p w14:paraId="1A6EC013">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（二）具有良好的商业信誉和健全的财务会计制度；</w:t>
      </w:r>
    </w:p>
    <w:p w14:paraId="7C042B0F">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（三）具有履行合同所必需的设备和专业技术能力；</w:t>
      </w:r>
    </w:p>
    <w:p w14:paraId="6A2C6D55">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（四）有依法缴纳税收和社会保障资金的良好记录；</w:t>
      </w:r>
    </w:p>
    <w:p w14:paraId="0A98BB97">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（五）参加招标活动前三年内，在经营活动中没有重大违法记录；</w:t>
      </w:r>
    </w:p>
    <w:p w14:paraId="33841EC4">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（六）法律、行政法规规定的其他条件。</w:t>
      </w:r>
    </w:p>
    <w:p w14:paraId="46ECF9D7">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2、本投标有效期自投标文件合格递交之日起</w:t>
      </w:r>
      <w:r>
        <w:rPr>
          <w:rFonts w:ascii="仿宋" w:hAnsi="仿宋" w:eastAsia="仿宋"/>
          <w:b/>
          <w:color w:val="auto"/>
          <w:sz w:val="24"/>
          <w:highlight w:val="none"/>
          <w:u w:val="single"/>
        </w:rPr>
        <w:t>60日</w:t>
      </w:r>
      <w:r>
        <w:rPr>
          <w:rFonts w:ascii="仿宋" w:hAnsi="仿宋" w:eastAsia="仿宋"/>
          <w:color w:val="auto"/>
          <w:sz w:val="24"/>
          <w:highlight w:val="none"/>
        </w:rPr>
        <w:t>。</w:t>
      </w:r>
    </w:p>
    <w:p w14:paraId="4DC8AA1A">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3、如我方中标，本投标文件至本项目合同履行完毕止均保持有效，我方将按招标文件及招标法律、法规的规定履行合同责任和义务。</w:t>
      </w:r>
    </w:p>
    <w:p w14:paraId="5764F0CD">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4、我方完全理解贵方不一定要接受最低价的投标。</w:t>
      </w:r>
    </w:p>
    <w:p w14:paraId="7068916A">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5、我方同意按照贵方要求提供与投标有关的一切数据或资料，配合招标人进行评标、验收等与本次招标相关工作。</w:t>
      </w:r>
    </w:p>
    <w:p w14:paraId="433E001C">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6、我方在投标之前已经与贵方进行了充分的沟通，完全理解并接受招标文件的各项规定和要求，对招标文件的合理性、合法性不再有异议。并保证遵守招标文件中的有关规定。</w:t>
      </w:r>
    </w:p>
    <w:p w14:paraId="32EAC37F">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7、我方已详细审查全部招标文件，包括更正通知（如有的话）以及全部参考资料和有关附件，已经了解我方对于招标文件、招标过程、招标结果有依法进行询问、质疑、投诉的权利及相关渠道和要求。</w:t>
      </w:r>
    </w:p>
    <w:p w14:paraId="7ABAED31">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8、我方向贵方提交的所有投标文件、资料都是准确的和真实的。</w:t>
      </w:r>
    </w:p>
    <w:p w14:paraId="41988BD9">
      <w:pPr>
        <w:pStyle w:val="46"/>
        <w:shd w:val="clear" w:color="auto" w:fill="auto"/>
        <w:spacing w:line="440" w:lineRule="exact"/>
        <w:ind w:firstLine="480"/>
        <w:rPr>
          <w:rFonts w:ascii="仿宋" w:hAnsi="仿宋" w:eastAsia="仿宋"/>
          <w:color w:val="auto"/>
          <w:sz w:val="24"/>
          <w:highlight w:val="none"/>
        </w:rPr>
      </w:pPr>
      <w:r>
        <w:rPr>
          <w:rFonts w:hint="eastAsia" w:ascii="仿宋" w:hAnsi="仿宋" w:eastAsia="仿宋"/>
          <w:color w:val="auto"/>
          <w:sz w:val="24"/>
          <w:highlight w:val="none"/>
          <w:lang w:val="en-US" w:eastAsia="zh-CN"/>
        </w:rPr>
        <w:t>9</w:t>
      </w:r>
      <w:r>
        <w:rPr>
          <w:rFonts w:ascii="仿宋" w:hAnsi="仿宋" w:eastAsia="仿宋"/>
          <w:color w:val="auto"/>
          <w:sz w:val="24"/>
          <w:highlight w:val="none"/>
        </w:rPr>
        <w:t>、我方将严格遵守相关规定，投标人有下列情形之一的，处以招标金额千分之五以上千分之十以下的罚款，列入不良行为记录名单：</w:t>
      </w:r>
    </w:p>
    <w:p w14:paraId="5B0FA949">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（一）提供虚假材料谋取中标、成交的；</w:t>
      </w:r>
    </w:p>
    <w:p w14:paraId="4EB29E76">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（二）采取不正当手段诋毁、排挤其他投标人的；</w:t>
      </w:r>
    </w:p>
    <w:p w14:paraId="591E99F7">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（三）与招标人、其他投标人恶意串通的；</w:t>
      </w:r>
    </w:p>
    <w:p w14:paraId="76C9D898">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（四）向招标人行贿或者提供其他不正当利益的；</w:t>
      </w:r>
    </w:p>
    <w:p w14:paraId="466FC406">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（五）在招标过程中与招标人进行协商谈判的；</w:t>
      </w:r>
    </w:p>
    <w:p w14:paraId="12F2E348">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（六）拒绝有关部门监督检查或者提供虚假情况的。</w:t>
      </w:r>
    </w:p>
    <w:p w14:paraId="1C952894">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投标人有前款第（一）至（五）项情形之一的，中标、成交无效。</w:t>
      </w:r>
    </w:p>
    <w:p w14:paraId="42741DB6">
      <w:pPr>
        <w:pStyle w:val="46"/>
        <w:shd w:val="clear" w:color="auto" w:fill="auto"/>
        <w:spacing w:line="440" w:lineRule="exact"/>
        <w:ind w:firstLine="480"/>
        <w:rPr>
          <w:rFonts w:ascii="仿宋" w:hAnsi="仿宋" w:eastAsia="仿宋"/>
          <w:color w:val="auto"/>
          <w:sz w:val="24"/>
          <w:highlight w:val="none"/>
          <w:u w:val="single"/>
          <w:lang w:val="zh-CN"/>
        </w:rPr>
      </w:pPr>
      <w:r>
        <w:rPr>
          <w:rFonts w:ascii="仿宋" w:hAnsi="仿宋" w:eastAsia="仿宋"/>
          <w:color w:val="auto"/>
          <w:sz w:val="24"/>
          <w:highlight w:val="none"/>
          <w:lang w:val="zh-CN"/>
        </w:rPr>
        <w:t xml:space="preserve">法定代表人或授权代表（签字）： </w:t>
      </w:r>
      <w:r>
        <w:rPr>
          <w:rFonts w:ascii="仿宋" w:hAnsi="仿宋" w:eastAsia="仿宋"/>
          <w:color w:val="auto"/>
          <w:sz w:val="24"/>
          <w:highlight w:val="none"/>
          <w:u w:val="single"/>
          <w:lang w:val="zh-CN"/>
        </w:rPr>
        <w:t xml:space="preserve">                     </w:t>
      </w:r>
    </w:p>
    <w:p w14:paraId="3261CB95">
      <w:pPr>
        <w:pStyle w:val="46"/>
        <w:shd w:val="clear" w:color="auto" w:fill="auto"/>
        <w:spacing w:line="440" w:lineRule="exact"/>
        <w:ind w:firstLine="480"/>
        <w:rPr>
          <w:rFonts w:ascii="仿宋" w:hAnsi="仿宋" w:eastAsia="仿宋"/>
          <w:color w:val="auto"/>
          <w:sz w:val="24"/>
          <w:highlight w:val="none"/>
          <w:u w:val="single"/>
          <w:lang w:val="zh-CN"/>
        </w:rPr>
      </w:pPr>
      <w:r>
        <w:rPr>
          <w:rFonts w:ascii="仿宋" w:hAnsi="仿宋" w:eastAsia="仿宋"/>
          <w:color w:val="auto"/>
          <w:sz w:val="24"/>
          <w:highlight w:val="none"/>
          <w:lang w:val="zh-CN"/>
        </w:rPr>
        <w:t xml:space="preserve">投标人（公章）:  </w:t>
      </w:r>
      <w:r>
        <w:rPr>
          <w:rFonts w:ascii="仿宋" w:hAnsi="仿宋" w:eastAsia="仿宋"/>
          <w:color w:val="auto"/>
          <w:sz w:val="24"/>
          <w:highlight w:val="none"/>
          <w:u w:val="single"/>
          <w:lang w:val="zh-CN"/>
        </w:rPr>
        <w:t xml:space="preserve">                       </w:t>
      </w:r>
    </w:p>
    <w:p w14:paraId="537084E7">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lang w:val="zh-CN"/>
        </w:rPr>
        <w:t>联系人：</w:t>
      </w:r>
      <w:r>
        <w:rPr>
          <w:rFonts w:ascii="仿宋" w:hAnsi="仿宋" w:eastAsia="仿宋"/>
          <w:color w:val="auto"/>
          <w:sz w:val="24"/>
          <w:highlight w:val="none"/>
          <w:u w:val="single"/>
          <w:lang w:val="zh-CN"/>
        </w:rPr>
        <w:t xml:space="preserve">                              </w:t>
      </w:r>
      <w:r>
        <w:rPr>
          <w:rFonts w:ascii="仿宋" w:hAnsi="仿宋" w:eastAsia="仿宋"/>
          <w:color w:val="auto"/>
          <w:sz w:val="24"/>
          <w:highlight w:val="none"/>
          <w:lang w:val="zh-CN"/>
        </w:rPr>
        <w:t xml:space="preserve">  邮政编码：</w:t>
      </w:r>
      <w:r>
        <w:rPr>
          <w:rFonts w:ascii="仿宋" w:hAnsi="仿宋" w:eastAsia="仿宋"/>
          <w:color w:val="auto"/>
          <w:sz w:val="24"/>
          <w:highlight w:val="none"/>
          <w:u w:val="single"/>
          <w:lang w:val="zh-CN"/>
        </w:rPr>
        <w:t xml:space="preserve">                     </w:t>
      </w:r>
    </w:p>
    <w:p w14:paraId="01EA7695">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lang w:val="zh-CN"/>
        </w:rPr>
        <w:t>联系地址：</w:t>
      </w:r>
      <w:r>
        <w:rPr>
          <w:rFonts w:ascii="仿宋" w:hAnsi="仿宋" w:eastAsia="仿宋"/>
          <w:color w:val="auto"/>
          <w:sz w:val="24"/>
          <w:highlight w:val="none"/>
          <w:u w:val="single"/>
          <w:lang w:val="zh-CN"/>
        </w:rPr>
        <w:t xml:space="preserve">                                                             </w:t>
      </w:r>
    </w:p>
    <w:p w14:paraId="5CB4DFEF">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lang w:val="zh-CN"/>
        </w:rPr>
        <w:t xml:space="preserve">联系电话: </w:t>
      </w:r>
      <w:r>
        <w:rPr>
          <w:rFonts w:ascii="仿宋" w:hAnsi="仿宋" w:eastAsia="仿宋"/>
          <w:color w:val="auto"/>
          <w:sz w:val="24"/>
          <w:highlight w:val="none"/>
          <w:u w:val="single"/>
          <w:lang w:val="zh-CN"/>
        </w:rPr>
        <w:t xml:space="preserve">                </w:t>
      </w:r>
      <w:r>
        <w:rPr>
          <w:rFonts w:ascii="仿宋" w:hAnsi="仿宋" w:eastAsia="仿宋"/>
          <w:color w:val="auto"/>
          <w:sz w:val="24"/>
          <w:highlight w:val="none"/>
          <w:lang w:val="zh-CN"/>
        </w:rPr>
        <w:t>传真号码：</w:t>
      </w:r>
      <w:r>
        <w:rPr>
          <w:rFonts w:ascii="仿宋" w:hAnsi="仿宋" w:eastAsia="仿宋"/>
          <w:color w:val="auto"/>
          <w:sz w:val="24"/>
          <w:highlight w:val="none"/>
          <w:u w:val="single"/>
          <w:lang w:val="zh-CN"/>
        </w:rPr>
        <w:t xml:space="preserve">               </w:t>
      </w:r>
    </w:p>
    <w:p w14:paraId="05F1086A">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lang w:val="zh-CN"/>
        </w:rPr>
        <w:t>日</w:t>
      </w:r>
      <w:r>
        <w:rPr>
          <w:rFonts w:ascii="仿宋" w:hAnsi="仿宋" w:eastAsia="仿宋"/>
          <w:color w:val="auto"/>
          <w:sz w:val="24"/>
          <w:highlight w:val="none"/>
        </w:rPr>
        <w:t xml:space="preserve">    </w:t>
      </w:r>
      <w:r>
        <w:rPr>
          <w:rFonts w:ascii="仿宋" w:hAnsi="仿宋" w:eastAsia="仿宋"/>
          <w:color w:val="auto"/>
          <w:sz w:val="24"/>
          <w:highlight w:val="none"/>
          <w:lang w:val="zh-CN"/>
        </w:rPr>
        <w:t>期</w:t>
      </w:r>
      <w:r>
        <w:rPr>
          <w:rFonts w:ascii="仿宋" w:hAnsi="仿宋" w:eastAsia="仿宋"/>
          <w:color w:val="auto"/>
          <w:sz w:val="24"/>
          <w:highlight w:val="none"/>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lang w:val="zh-CN"/>
        </w:rPr>
        <w:t>年</w:t>
      </w:r>
      <w:r>
        <w:rPr>
          <w:rFonts w:ascii="仿宋" w:hAnsi="仿宋" w:eastAsia="仿宋"/>
          <w:color w:val="auto"/>
          <w:sz w:val="24"/>
          <w:highlight w:val="none"/>
        </w:rPr>
        <w:t xml:space="preserve">  </w:t>
      </w:r>
      <w:r>
        <w:rPr>
          <w:rFonts w:ascii="仿宋" w:hAnsi="仿宋" w:eastAsia="仿宋"/>
          <w:color w:val="auto"/>
          <w:sz w:val="24"/>
          <w:highlight w:val="none"/>
          <w:u w:val="single"/>
        </w:rPr>
        <w:tab/>
      </w:r>
      <w:r>
        <w:rPr>
          <w:rFonts w:ascii="仿宋" w:hAnsi="仿宋" w:eastAsia="仿宋"/>
          <w:color w:val="auto"/>
          <w:sz w:val="24"/>
          <w:highlight w:val="none"/>
          <w:lang w:val="zh-CN"/>
        </w:rPr>
        <w:t>月</w:t>
      </w:r>
      <w:r>
        <w:rPr>
          <w:rFonts w:ascii="仿宋" w:hAnsi="仿宋" w:eastAsia="仿宋"/>
          <w:color w:val="auto"/>
          <w:sz w:val="24"/>
          <w:highlight w:val="none"/>
        </w:rPr>
        <w:t xml:space="preserve"> </w:t>
      </w:r>
      <w:r>
        <w:rPr>
          <w:rFonts w:ascii="仿宋" w:hAnsi="仿宋" w:eastAsia="仿宋"/>
          <w:color w:val="auto"/>
          <w:sz w:val="24"/>
          <w:highlight w:val="none"/>
          <w:u w:val="single"/>
        </w:rPr>
        <w:tab/>
      </w:r>
      <w:r>
        <w:rPr>
          <w:rFonts w:ascii="仿宋" w:hAnsi="仿宋" w:eastAsia="仿宋"/>
          <w:color w:val="auto"/>
          <w:sz w:val="24"/>
          <w:highlight w:val="none"/>
          <w:u w:val="single"/>
        </w:rPr>
        <w:tab/>
      </w:r>
      <w:r>
        <w:rPr>
          <w:rFonts w:ascii="仿宋" w:hAnsi="仿宋" w:eastAsia="仿宋"/>
          <w:color w:val="auto"/>
          <w:sz w:val="24"/>
          <w:highlight w:val="none"/>
          <w:lang w:val="zh-CN"/>
        </w:rPr>
        <w:t>日</w:t>
      </w:r>
    </w:p>
    <w:p w14:paraId="2AD6AF1D">
      <w:pPr>
        <w:pStyle w:val="46"/>
        <w:shd w:val="clear" w:color="auto" w:fill="auto"/>
        <w:spacing w:line="440" w:lineRule="exact"/>
        <w:ind w:firstLine="643"/>
        <w:jc w:val="center"/>
        <w:rPr>
          <w:rFonts w:ascii="仿宋" w:hAnsi="仿宋" w:eastAsia="仿宋"/>
          <w:b/>
          <w:color w:val="auto"/>
          <w:sz w:val="32"/>
          <w:szCs w:val="32"/>
          <w:highlight w:val="none"/>
        </w:rPr>
      </w:pPr>
      <w:r>
        <w:rPr>
          <w:rFonts w:ascii="仿宋" w:hAnsi="仿宋" w:eastAsia="仿宋"/>
          <w:b/>
          <w:color w:val="auto"/>
          <w:sz w:val="32"/>
          <w:szCs w:val="32"/>
          <w:highlight w:val="none"/>
        </w:rPr>
        <w:br w:type="page"/>
      </w:r>
      <w:r>
        <w:rPr>
          <w:rFonts w:ascii="仿宋" w:hAnsi="仿宋" w:eastAsia="仿宋"/>
          <w:b/>
          <w:color w:val="auto"/>
          <w:sz w:val="32"/>
          <w:szCs w:val="32"/>
          <w:highlight w:val="none"/>
          <w:lang w:val="en-US" w:eastAsia="zh-CN"/>
        </w:rPr>
        <w:t>四</w:t>
      </w:r>
      <w:r>
        <w:rPr>
          <w:rFonts w:ascii="仿宋" w:hAnsi="仿宋" w:eastAsia="仿宋"/>
          <w:b/>
          <w:color w:val="auto"/>
          <w:sz w:val="32"/>
          <w:szCs w:val="32"/>
          <w:highlight w:val="none"/>
        </w:rPr>
        <w:t>、授权委托书</w:t>
      </w:r>
    </w:p>
    <w:p w14:paraId="0B2735FA">
      <w:pPr>
        <w:pStyle w:val="46"/>
        <w:shd w:val="clear" w:color="auto" w:fill="auto"/>
        <w:spacing w:line="440" w:lineRule="exact"/>
        <w:rPr>
          <w:rFonts w:ascii="仿宋" w:hAnsi="仿宋" w:eastAsia="仿宋"/>
          <w:b/>
          <w:color w:val="auto"/>
          <w:sz w:val="24"/>
          <w:highlight w:val="none"/>
        </w:rPr>
      </w:pPr>
      <w:r>
        <w:rPr>
          <w:rFonts w:hint="eastAsia" w:ascii="仿宋" w:hAnsi="仿宋" w:eastAsia="仿宋"/>
          <w:b/>
          <w:color w:val="auto"/>
          <w:sz w:val="24"/>
          <w:highlight w:val="none"/>
          <w:lang w:eastAsia="zh-CN"/>
        </w:rPr>
        <w:t>杭州市余杭区人民政府仓前街道办事处</w:t>
      </w:r>
      <w:r>
        <w:rPr>
          <w:rFonts w:hint="eastAsia" w:ascii="仿宋" w:hAnsi="仿宋" w:eastAsia="仿宋"/>
          <w:b/>
          <w:color w:val="auto"/>
          <w:sz w:val="24"/>
          <w:highlight w:val="none"/>
        </w:rPr>
        <w:t xml:space="preserve"> </w:t>
      </w:r>
      <w:r>
        <w:rPr>
          <w:rFonts w:ascii="仿宋" w:hAnsi="仿宋" w:eastAsia="仿宋"/>
          <w:b/>
          <w:color w:val="auto"/>
          <w:sz w:val="24"/>
          <w:highlight w:val="none"/>
        </w:rPr>
        <w:t>：</w:t>
      </w:r>
    </w:p>
    <w:p w14:paraId="454AE08E">
      <w:pPr>
        <w:pStyle w:val="46"/>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rPr>
        <w:t>兹委派我公司</w:t>
      </w:r>
      <w:r>
        <w:rPr>
          <w:rFonts w:ascii="仿宋" w:hAnsi="仿宋" w:eastAsia="仿宋"/>
          <w:color w:val="auto"/>
          <w:sz w:val="24"/>
          <w:highlight w:val="none"/>
          <w:u w:val="single"/>
        </w:rPr>
        <w:t xml:space="preserve">                </w:t>
      </w:r>
      <w:r>
        <w:rPr>
          <w:rFonts w:ascii="仿宋" w:hAnsi="仿宋" w:eastAsia="仿宋"/>
          <w:color w:val="auto"/>
          <w:sz w:val="24"/>
          <w:highlight w:val="none"/>
        </w:rPr>
        <w:t>先生/女士（其在本公司的职务是：</w:t>
      </w:r>
      <w:r>
        <w:rPr>
          <w:rFonts w:ascii="仿宋" w:hAnsi="仿宋" w:eastAsia="仿宋"/>
          <w:color w:val="auto"/>
          <w:sz w:val="24"/>
          <w:highlight w:val="none"/>
          <w:u w:val="single"/>
        </w:rPr>
        <w:t xml:space="preserve">        </w:t>
      </w:r>
      <w:r>
        <w:rPr>
          <w:rFonts w:ascii="仿宋" w:hAnsi="仿宋" w:eastAsia="仿宋"/>
          <w:color w:val="auto"/>
          <w:sz w:val="24"/>
          <w:highlight w:val="none"/>
        </w:rPr>
        <w:t>，联系电话：</w:t>
      </w:r>
      <w:r>
        <w:rPr>
          <w:rFonts w:ascii="仿宋" w:hAnsi="仿宋" w:eastAsia="仿宋"/>
          <w:color w:val="auto"/>
          <w:sz w:val="24"/>
          <w:highlight w:val="none"/>
          <w:u w:val="single"/>
        </w:rPr>
        <w:t xml:space="preserve">         </w:t>
      </w:r>
      <w:r>
        <w:rPr>
          <w:rFonts w:ascii="仿宋" w:hAnsi="仿宋" w:eastAsia="仿宋"/>
          <w:color w:val="auto"/>
          <w:sz w:val="24"/>
          <w:highlight w:val="none"/>
        </w:rPr>
        <w:t>，手机：</w:t>
      </w:r>
      <w:r>
        <w:rPr>
          <w:rFonts w:ascii="仿宋" w:hAnsi="仿宋" w:eastAsia="仿宋"/>
          <w:color w:val="auto"/>
          <w:sz w:val="24"/>
          <w:highlight w:val="none"/>
          <w:u w:val="single"/>
        </w:rPr>
        <w:t xml:space="preserve">           </w:t>
      </w:r>
      <w:r>
        <w:rPr>
          <w:rFonts w:ascii="仿宋" w:hAnsi="仿宋" w:eastAsia="仿宋"/>
          <w:color w:val="auto"/>
          <w:sz w:val="24"/>
          <w:highlight w:val="none"/>
        </w:rPr>
        <w:t>，传真：</w:t>
      </w:r>
      <w:r>
        <w:rPr>
          <w:rFonts w:ascii="仿宋" w:hAnsi="仿宋" w:eastAsia="仿宋"/>
          <w:color w:val="auto"/>
          <w:sz w:val="24"/>
          <w:highlight w:val="none"/>
          <w:u w:val="single"/>
        </w:rPr>
        <w:t xml:space="preserve">           </w:t>
      </w:r>
      <w:r>
        <w:rPr>
          <w:rFonts w:ascii="仿宋" w:hAnsi="仿宋" w:eastAsia="仿宋"/>
          <w:color w:val="auto"/>
          <w:sz w:val="24"/>
          <w:highlight w:val="none"/>
        </w:rPr>
        <w:t>，身份证号：</w:t>
      </w:r>
      <w:r>
        <w:rPr>
          <w:rFonts w:ascii="仿宋" w:hAnsi="仿宋" w:eastAsia="仿宋"/>
          <w:color w:val="auto"/>
          <w:sz w:val="24"/>
          <w:highlight w:val="none"/>
          <w:u w:val="single"/>
        </w:rPr>
        <w:t xml:space="preserve">                </w:t>
      </w:r>
      <w:r>
        <w:rPr>
          <w:rFonts w:ascii="仿宋" w:hAnsi="仿宋" w:eastAsia="仿宋"/>
          <w:color w:val="auto"/>
          <w:sz w:val="24"/>
          <w:highlight w:val="none"/>
        </w:rPr>
        <w:t>）代表我公司全权处理</w:t>
      </w:r>
      <w:r>
        <w:rPr>
          <w:rFonts w:ascii="仿宋" w:hAnsi="仿宋" w:eastAsia="仿宋"/>
          <w:color w:val="auto"/>
          <w:sz w:val="24"/>
          <w:highlight w:val="none"/>
          <w:u w:val="single"/>
        </w:rPr>
        <w:t xml:space="preserve">                   </w:t>
      </w:r>
      <w:r>
        <w:rPr>
          <w:rFonts w:ascii="仿宋" w:hAnsi="仿宋" w:eastAsia="仿宋"/>
          <w:color w:val="auto"/>
          <w:sz w:val="24"/>
          <w:highlight w:val="none"/>
        </w:rPr>
        <w:t>项目（项目编号：</w:t>
      </w:r>
      <w:r>
        <w:rPr>
          <w:rFonts w:ascii="仿宋" w:hAnsi="仿宋" w:eastAsia="仿宋"/>
          <w:bCs/>
          <w:color w:val="auto"/>
          <w:sz w:val="24"/>
          <w:szCs w:val="24"/>
          <w:highlight w:val="none"/>
        </w:rPr>
        <w:t xml:space="preserve">      </w:t>
      </w:r>
      <w:r>
        <w:rPr>
          <w:rFonts w:ascii="仿宋" w:hAnsi="仿宋" w:eastAsia="仿宋"/>
          <w:color w:val="auto"/>
          <w:sz w:val="24"/>
          <w:highlight w:val="none"/>
        </w:rPr>
        <w:t xml:space="preserve"> ）的一切事项，若中标则全权代表本公司签订合同，并负责处理合同履行等事宜。</w:t>
      </w:r>
    </w:p>
    <w:p w14:paraId="2D567201">
      <w:pPr>
        <w:pStyle w:val="46"/>
        <w:shd w:val="clear" w:color="auto" w:fill="auto"/>
        <w:spacing w:line="36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t>在撤销授权的书面通知以前，本授权书一直有效。授权代表在授权书有效期内签署的所有文件不因授权的撤销而失效。</w:t>
      </w:r>
    </w:p>
    <w:p w14:paraId="71F9186D">
      <w:pPr>
        <w:pStyle w:val="46"/>
        <w:shd w:val="clear" w:color="auto" w:fill="auto"/>
        <w:spacing w:line="36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t>授权代表无转委托权，特此委托。</w:t>
      </w:r>
    </w:p>
    <w:p w14:paraId="240354B2">
      <w:pPr>
        <w:pStyle w:val="46"/>
        <w:shd w:val="clear" w:color="auto" w:fill="auto"/>
        <w:spacing w:line="360" w:lineRule="auto"/>
        <w:ind w:firstLine="480"/>
        <w:rPr>
          <w:rFonts w:ascii="仿宋" w:hAnsi="仿宋" w:eastAsia="仿宋"/>
          <w:color w:val="auto"/>
          <w:sz w:val="24"/>
          <w:highlight w:val="none"/>
        </w:rPr>
      </w:pPr>
      <w:r>
        <w:rPr>
          <w:rFonts w:ascii="仿宋" w:hAnsi="仿宋" w:eastAsia="仿宋"/>
          <w:color w:val="auto"/>
          <w:sz w:val="24"/>
          <w:highlight w:val="none"/>
        </w:rPr>
        <w:t>特此告知。</w:t>
      </w:r>
    </w:p>
    <w:p w14:paraId="115F1A03">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 xml:space="preserve">法定代表人（签字）：                     授权代表（签字）：           </w:t>
      </w:r>
    </w:p>
    <w:p w14:paraId="14BD6341">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职务：                                  职务：</w:t>
      </w:r>
    </w:p>
    <w:p w14:paraId="5AC3AFC9">
      <w:pPr>
        <w:pStyle w:val="46"/>
        <w:shd w:val="clear" w:color="auto" w:fill="auto"/>
        <w:spacing w:line="440" w:lineRule="exact"/>
        <w:ind w:firstLine="480"/>
        <w:rPr>
          <w:rFonts w:ascii="仿宋" w:hAnsi="仿宋" w:eastAsia="仿宋"/>
          <w:color w:val="auto"/>
          <w:sz w:val="24"/>
          <w:highlight w:val="none"/>
        </w:rPr>
      </w:pPr>
      <w:r>
        <w:rPr>
          <w:rFonts w:ascii="仿宋" w:hAnsi="仿宋" w:eastAsia="仿宋"/>
          <w:color w:val="auto"/>
          <w:sz w:val="24"/>
          <w:highlight w:val="none"/>
        </w:rPr>
        <w:t>身份证号码：                            身份证号码：</w:t>
      </w:r>
    </w:p>
    <w:p w14:paraId="0F2878AB">
      <w:pPr>
        <w:pStyle w:val="46"/>
        <w:shd w:val="clear" w:color="auto" w:fill="auto"/>
        <w:spacing w:line="440" w:lineRule="exact"/>
        <w:ind w:right="480" w:firstLine="480"/>
        <w:rPr>
          <w:rFonts w:ascii="仿宋" w:hAnsi="仿宋" w:eastAsia="仿宋"/>
          <w:color w:val="auto"/>
          <w:sz w:val="24"/>
          <w:highlight w:val="none"/>
          <w:lang w:val="zh-CN"/>
        </w:rPr>
      </w:pPr>
      <w:bookmarkStart w:id="25" w:name="_Toc91899922"/>
      <w:r>
        <w:rPr>
          <w:rFonts w:ascii="仿宋" w:hAnsi="仿宋" w:eastAsia="仿宋"/>
          <w:color w:val="auto"/>
          <w:sz w:val="24"/>
          <w:highlight w:val="none"/>
          <w:lang w:val="zh-CN"/>
        </w:rPr>
        <w:t xml:space="preserve">投标人（公章）：     </w:t>
      </w:r>
    </w:p>
    <w:p w14:paraId="70AC0B1E">
      <w:pPr>
        <w:pStyle w:val="46"/>
        <w:shd w:val="clear" w:color="auto" w:fill="auto"/>
        <w:spacing w:line="44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rPr>
        <w:t>授权委托日期</w:t>
      </w:r>
      <w:r>
        <w:rPr>
          <w:rFonts w:ascii="仿宋" w:hAnsi="仿宋" w:eastAsia="仿宋"/>
          <w:color w:val="auto"/>
          <w:sz w:val="24"/>
          <w:highlight w:val="none"/>
          <w:lang w:val="zh-CN"/>
        </w:rPr>
        <w:t xml:space="preserve">：20  年  月   日      </w:t>
      </w:r>
    </w:p>
    <w:p w14:paraId="4BC85370">
      <w:pPr>
        <w:pStyle w:val="46"/>
        <w:shd w:val="clear" w:color="auto" w:fill="auto"/>
        <w:spacing w:line="240" w:lineRule="atLeast"/>
        <w:ind w:firstLine="643"/>
        <w:jc w:val="center"/>
        <w:rPr>
          <w:rFonts w:ascii="仿宋" w:hAnsi="仿宋" w:eastAsia="仿宋"/>
          <w:b/>
          <w:color w:val="auto"/>
          <w:spacing w:val="-6"/>
          <w:sz w:val="32"/>
          <w:szCs w:val="32"/>
          <w:highlight w:val="none"/>
        </w:rPr>
      </w:pPr>
      <w:r>
        <w:rPr>
          <w:rFonts w:ascii="仿宋" w:hAnsi="仿宋" w:eastAsia="仿宋"/>
          <w:b/>
          <w:color w:val="auto"/>
          <w:sz w:val="32"/>
          <w:szCs w:val="32"/>
          <w:highlight w:val="none"/>
        </w:rPr>
        <w:br w:type="page"/>
      </w:r>
      <w:r>
        <w:rPr>
          <w:rFonts w:ascii="仿宋" w:hAnsi="仿宋" w:eastAsia="仿宋"/>
          <w:b/>
          <w:color w:val="auto"/>
          <w:sz w:val="32"/>
          <w:szCs w:val="32"/>
          <w:highlight w:val="none"/>
          <w:lang w:val="en-US" w:eastAsia="zh-CN"/>
        </w:rPr>
        <w:t>五</w:t>
      </w:r>
      <w:r>
        <w:rPr>
          <w:rFonts w:ascii="仿宋" w:hAnsi="仿宋" w:eastAsia="仿宋"/>
          <w:b/>
          <w:color w:val="auto"/>
          <w:sz w:val="32"/>
          <w:szCs w:val="32"/>
          <w:highlight w:val="none"/>
        </w:rPr>
        <w:t>、</w:t>
      </w:r>
      <w:r>
        <w:rPr>
          <w:rFonts w:ascii="仿宋" w:hAnsi="仿宋" w:eastAsia="仿宋"/>
          <w:b/>
          <w:color w:val="auto"/>
          <w:spacing w:val="-6"/>
          <w:sz w:val="32"/>
          <w:szCs w:val="32"/>
          <w:highlight w:val="none"/>
        </w:rPr>
        <w:t>无失信行为承诺书</w:t>
      </w:r>
    </w:p>
    <w:p w14:paraId="01731C2E">
      <w:pPr>
        <w:pStyle w:val="46"/>
        <w:shd w:val="clear" w:color="auto" w:fill="auto"/>
        <w:spacing w:line="440" w:lineRule="exact"/>
        <w:rPr>
          <w:rFonts w:ascii="仿宋" w:hAnsi="仿宋" w:eastAsia="仿宋"/>
          <w:b/>
          <w:color w:val="auto"/>
          <w:sz w:val="24"/>
          <w:highlight w:val="none"/>
        </w:rPr>
      </w:pPr>
      <w:r>
        <w:rPr>
          <w:rFonts w:hint="eastAsia" w:ascii="仿宋" w:hAnsi="仿宋" w:eastAsia="仿宋"/>
          <w:b/>
          <w:color w:val="auto"/>
          <w:sz w:val="24"/>
          <w:highlight w:val="none"/>
          <w:lang w:eastAsia="zh-CN"/>
        </w:rPr>
        <w:t>杭州市余杭区人民政府仓前街道办事处</w:t>
      </w:r>
      <w:r>
        <w:rPr>
          <w:rFonts w:ascii="仿宋" w:hAnsi="仿宋" w:eastAsia="仿宋"/>
          <w:b/>
          <w:color w:val="auto"/>
          <w:sz w:val="24"/>
          <w:highlight w:val="none"/>
        </w:rPr>
        <w:t>：</w:t>
      </w:r>
    </w:p>
    <w:p w14:paraId="5C03ED9D">
      <w:pPr>
        <w:pStyle w:val="46"/>
        <w:shd w:val="clear" w:color="auto" w:fill="auto"/>
        <w:spacing w:line="600" w:lineRule="exact"/>
        <w:ind w:firstLine="480"/>
        <w:rPr>
          <w:rFonts w:ascii="仿宋" w:hAnsi="仿宋" w:eastAsia="仿宋"/>
          <w:color w:val="auto"/>
          <w:sz w:val="24"/>
          <w:highlight w:val="none"/>
        </w:rPr>
      </w:pPr>
      <w:r>
        <w:rPr>
          <w:rFonts w:ascii="仿宋" w:hAnsi="仿宋" w:eastAsia="仿宋"/>
          <w:color w:val="auto"/>
          <w:sz w:val="24"/>
          <w:highlight w:val="none"/>
        </w:rPr>
        <w:t>本公司承诺：在本项目采购和执行期间，本公司、公司法定代表人及项目负责人不在国家相关行政主管部门公布的不良信用记录名单中，愿意接受社会各界监督。若本公司、公司法定代表人及项目负责人在此期间被列入失信被执行人等失信行为记录名单，自愿依法接受取消投标资格、记入信用档案、取消中标资格等有关处理，给招标人造成损失的，依法承担赔偿责任，并愿意承担相关法律责任。</w:t>
      </w:r>
    </w:p>
    <w:p w14:paraId="52E6E4FC">
      <w:pPr>
        <w:pStyle w:val="46"/>
        <w:shd w:val="clear" w:color="auto" w:fill="auto"/>
        <w:spacing w:line="60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法定代表人（签字或盖章）：</w:t>
      </w:r>
    </w:p>
    <w:p w14:paraId="75656CD9">
      <w:pPr>
        <w:pStyle w:val="46"/>
        <w:shd w:val="clear" w:color="auto" w:fill="auto"/>
        <w:spacing w:line="60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 xml:space="preserve">投标人（公章）： </w:t>
      </w:r>
    </w:p>
    <w:p w14:paraId="7DF5ACC4">
      <w:pPr>
        <w:pStyle w:val="46"/>
        <w:shd w:val="clear" w:color="auto" w:fill="auto"/>
        <w:spacing w:line="360" w:lineRule="auto"/>
        <w:ind w:firstLine="643"/>
        <w:jc w:val="center"/>
        <w:rPr>
          <w:rFonts w:ascii="仿宋" w:hAnsi="仿宋" w:eastAsia="仿宋"/>
          <w:b/>
          <w:color w:val="auto"/>
          <w:sz w:val="32"/>
          <w:szCs w:val="32"/>
          <w:highlight w:val="none"/>
        </w:rPr>
      </w:pPr>
      <w:r>
        <w:rPr>
          <w:rFonts w:ascii="仿宋" w:hAnsi="仿宋" w:eastAsia="仿宋"/>
          <w:b/>
          <w:color w:val="auto"/>
          <w:sz w:val="32"/>
          <w:szCs w:val="32"/>
          <w:highlight w:val="none"/>
        </w:rPr>
        <w:br w:type="page"/>
      </w:r>
      <w:r>
        <w:rPr>
          <w:rFonts w:ascii="仿宋" w:hAnsi="仿宋" w:eastAsia="仿宋"/>
          <w:b/>
          <w:color w:val="auto"/>
          <w:sz w:val="32"/>
          <w:szCs w:val="32"/>
          <w:highlight w:val="none"/>
          <w:lang w:val="en-US" w:eastAsia="zh-CN"/>
        </w:rPr>
        <w:t>六</w:t>
      </w:r>
      <w:r>
        <w:rPr>
          <w:rFonts w:ascii="仿宋" w:hAnsi="仿宋" w:eastAsia="仿宋"/>
          <w:b/>
          <w:color w:val="auto"/>
          <w:sz w:val="32"/>
          <w:szCs w:val="32"/>
          <w:highlight w:val="none"/>
        </w:rPr>
        <w:t>、</w:t>
      </w:r>
      <w:bookmarkEnd w:id="25"/>
      <w:r>
        <w:rPr>
          <w:rFonts w:ascii="仿宋" w:hAnsi="仿宋" w:eastAsia="仿宋"/>
          <w:b/>
          <w:color w:val="auto"/>
          <w:sz w:val="28"/>
          <w:szCs w:val="28"/>
          <w:highlight w:val="none"/>
        </w:rPr>
        <w:t>业绩</w:t>
      </w:r>
      <w:r>
        <w:rPr>
          <w:rFonts w:ascii="仿宋" w:hAnsi="仿宋" w:eastAsia="仿宋"/>
          <w:b/>
          <w:color w:val="auto"/>
          <w:sz w:val="28"/>
          <w:szCs w:val="28"/>
          <w:highlight w:val="none"/>
          <w:lang w:eastAsia="zh-CN"/>
        </w:rPr>
        <w:t>汇总</w:t>
      </w:r>
      <w:r>
        <w:rPr>
          <w:rFonts w:ascii="仿宋" w:hAnsi="仿宋" w:eastAsia="仿宋"/>
          <w:b/>
          <w:color w:val="auto"/>
          <w:sz w:val="28"/>
          <w:szCs w:val="28"/>
          <w:highlight w:val="none"/>
        </w:rPr>
        <w:t>表</w:t>
      </w:r>
    </w:p>
    <w:tbl>
      <w:tblPr>
        <w:tblStyle w:val="34"/>
        <w:tblW w:w="944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1"/>
        <w:gridCol w:w="1405"/>
        <w:gridCol w:w="1944"/>
        <w:gridCol w:w="1496"/>
        <w:gridCol w:w="1944"/>
        <w:gridCol w:w="1049"/>
      </w:tblGrid>
      <w:tr w14:paraId="4441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1611" w:type="dxa"/>
            <w:vAlign w:val="center"/>
          </w:tcPr>
          <w:p w14:paraId="45F32EF5">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项目名称</w:t>
            </w:r>
          </w:p>
        </w:tc>
        <w:tc>
          <w:tcPr>
            <w:tcW w:w="1405" w:type="dxa"/>
            <w:vAlign w:val="center"/>
          </w:tcPr>
          <w:p w14:paraId="565F352A">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建设单位</w:t>
            </w:r>
          </w:p>
        </w:tc>
        <w:tc>
          <w:tcPr>
            <w:tcW w:w="1944" w:type="dxa"/>
            <w:vAlign w:val="center"/>
          </w:tcPr>
          <w:p w14:paraId="0EA9B5E8">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中标金额</w:t>
            </w:r>
          </w:p>
          <w:p w14:paraId="51300FF4">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（万元）</w:t>
            </w:r>
          </w:p>
        </w:tc>
        <w:tc>
          <w:tcPr>
            <w:tcW w:w="1496" w:type="dxa"/>
            <w:vAlign w:val="center"/>
          </w:tcPr>
          <w:p w14:paraId="49439E7A">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合同签订时间</w:t>
            </w:r>
          </w:p>
        </w:tc>
        <w:tc>
          <w:tcPr>
            <w:tcW w:w="1944" w:type="dxa"/>
            <w:vAlign w:val="center"/>
          </w:tcPr>
          <w:p w14:paraId="245083E1">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业主方</w:t>
            </w:r>
          </w:p>
          <w:p w14:paraId="6F4A78D7">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联系人、电话</w:t>
            </w:r>
          </w:p>
        </w:tc>
        <w:tc>
          <w:tcPr>
            <w:tcW w:w="1049" w:type="dxa"/>
            <w:vAlign w:val="center"/>
          </w:tcPr>
          <w:p w14:paraId="7D4591BC">
            <w:pPr>
              <w:pStyle w:val="46"/>
              <w:shd w:val="clear" w:color="auto" w:fill="auto"/>
              <w:jc w:val="center"/>
              <w:rPr>
                <w:rFonts w:ascii="仿宋" w:hAnsi="仿宋" w:eastAsia="仿宋"/>
                <w:color w:val="auto"/>
                <w:sz w:val="24"/>
                <w:highlight w:val="none"/>
                <w:lang w:val="zh-CN"/>
              </w:rPr>
            </w:pPr>
            <w:r>
              <w:rPr>
                <w:rFonts w:ascii="仿宋" w:hAnsi="仿宋" w:eastAsia="仿宋"/>
                <w:color w:val="auto"/>
                <w:sz w:val="24"/>
                <w:highlight w:val="none"/>
                <w:lang w:val="zh-CN"/>
              </w:rPr>
              <w:t>备注</w:t>
            </w:r>
          </w:p>
        </w:tc>
      </w:tr>
      <w:tr w14:paraId="451D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1611" w:type="dxa"/>
            <w:vAlign w:val="top"/>
          </w:tcPr>
          <w:p w14:paraId="04C1B3C8">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4F06ADD6">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30CA0234">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672817CB">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61C67549">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5240A538">
            <w:pPr>
              <w:pStyle w:val="46"/>
              <w:shd w:val="clear" w:color="auto" w:fill="auto"/>
              <w:spacing w:line="360" w:lineRule="auto"/>
              <w:rPr>
                <w:rFonts w:ascii="仿宋" w:hAnsi="仿宋" w:eastAsia="仿宋"/>
                <w:color w:val="auto"/>
                <w:sz w:val="24"/>
                <w:highlight w:val="none"/>
                <w:lang w:val="zh-CN"/>
              </w:rPr>
            </w:pPr>
          </w:p>
        </w:tc>
      </w:tr>
      <w:tr w14:paraId="6246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39BAE9F3">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665B6A46">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3A4EF215">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0BE7A9E6">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4C309C93">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32CC00C9">
            <w:pPr>
              <w:pStyle w:val="46"/>
              <w:shd w:val="clear" w:color="auto" w:fill="auto"/>
              <w:spacing w:line="360" w:lineRule="auto"/>
              <w:rPr>
                <w:rFonts w:ascii="仿宋" w:hAnsi="仿宋" w:eastAsia="仿宋"/>
                <w:color w:val="auto"/>
                <w:sz w:val="24"/>
                <w:highlight w:val="none"/>
                <w:lang w:val="zh-CN"/>
              </w:rPr>
            </w:pPr>
          </w:p>
        </w:tc>
      </w:tr>
      <w:tr w14:paraId="08762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4F725759">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6D07F6B7">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0080A274">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64B9D26D">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70C27ABB">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2070ACF8">
            <w:pPr>
              <w:pStyle w:val="46"/>
              <w:shd w:val="clear" w:color="auto" w:fill="auto"/>
              <w:spacing w:line="360" w:lineRule="auto"/>
              <w:rPr>
                <w:rFonts w:ascii="仿宋" w:hAnsi="仿宋" w:eastAsia="仿宋"/>
                <w:color w:val="auto"/>
                <w:sz w:val="24"/>
                <w:highlight w:val="none"/>
                <w:lang w:val="zh-CN"/>
              </w:rPr>
            </w:pPr>
          </w:p>
        </w:tc>
      </w:tr>
      <w:tr w14:paraId="2744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6D2F9B0F">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5D1408EA">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638E0BA1">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734DC77F">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783A1892">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079FD7A2">
            <w:pPr>
              <w:pStyle w:val="46"/>
              <w:shd w:val="clear" w:color="auto" w:fill="auto"/>
              <w:spacing w:line="360" w:lineRule="auto"/>
              <w:rPr>
                <w:rFonts w:ascii="仿宋" w:hAnsi="仿宋" w:eastAsia="仿宋"/>
                <w:color w:val="auto"/>
                <w:sz w:val="24"/>
                <w:highlight w:val="none"/>
                <w:lang w:val="zh-CN"/>
              </w:rPr>
            </w:pPr>
          </w:p>
        </w:tc>
      </w:tr>
      <w:tr w14:paraId="1CA77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2AC2F929">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2924F915">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5477E22A">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6764851A">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2BC1525A">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09C6E301">
            <w:pPr>
              <w:pStyle w:val="46"/>
              <w:shd w:val="clear" w:color="auto" w:fill="auto"/>
              <w:spacing w:line="360" w:lineRule="auto"/>
              <w:rPr>
                <w:rFonts w:ascii="仿宋" w:hAnsi="仿宋" w:eastAsia="仿宋"/>
                <w:color w:val="auto"/>
                <w:sz w:val="24"/>
                <w:highlight w:val="none"/>
                <w:lang w:val="zh-CN"/>
              </w:rPr>
            </w:pPr>
          </w:p>
        </w:tc>
      </w:tr>
      <w:tr w14:paraId="0370F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384F5C74">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4EA5DE99">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24B517C3">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13773EC9">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492F1B57">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56A5D05E">
            <w:pPr>
              <w:pStyle w:val="46"/>
              <w:shd w:val="clear" w:color="auto" w:fill="auto"/>
              <w:spacing w:line="360" w:lineRule="auto"/>
              <w:rPr>
                <w:rFonts w:ascii="仿宋" w:hAnsi="仿宋" w:eastAsia="仿宋"/>
                <w:color w:val="auto"/>
                <w:sz w:val="24"/>
                <w:highlight w:val="none"/>
                <w:lang w:val="zh-CN"/>
              </w:rPr>
            </w:pPr>
          </w:p>
        </w:tc>
      </w:tr>
      <w:tr w14:paraId="01E5B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26A93348">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6499A11A">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0E4292F3">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2C6047A7">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4C647BA0">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3EAA507E">
            <w:pPr>
              <w:pStyle w:val="46"/>
              <w:shd w:val="clear" w:color="auto" w:fill="auto"/>
              <w:spacing w:line="360" w:lineRule="auto"/>
              <w:rPr>
                <w:rFonts w:ascii="仿宋" w:hAnsi="仿宋" w:eastAsia="仿宋"/>
                <w:color w:val="auto"/>
                <w:sz w:val="24"/>
                <w:highlight w:val="none"/>
                <w:lang w:val="zh-CN"/>
              </w:rPr>
            </w:pPr>
          </w:p>
        </w:tc>
      </w:tr>
      <w:tr w14:paraId="31D4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0556653C">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5D35CFCA">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5EAE6754">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239499C2">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2E0E78FA">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7CB5BA08">
            <w:pPr>
              <w:pStyle w:val="46"/>
              <w:shd w:val="clear" w:color="auto" w:fill="auto"/>
              <w:spacing w:line="360" w:lineRule="auto"/>
              <w:rPr>
                <w:rFonts w:ascii="仿宋" w:hAnsi="仿宋" w:eastAsia="仿宋"/>
                <w:color w:val="auto"/>
                <w:sz w:val="24"/>
                <w:highlight w:val="none"/>
                <w:lang w:val="zh-CN"/>
              </w:rPr>
            </w:pPr>
          </w:p>
        </w:tc>
      </w:tr>
      <w:tr w14:paraId="60B9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52932FEB">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5D56E98F">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4F65A29D">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35C49606">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67A10D1A">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0993CE74">
            <w:pPr>
              <w:pStyle w:val="46"/>
              <w:shd w:val="clear" w:color="auto" w:fill="auto"/>
              <w:spacing w:line="360" w:lineRule="auto"/>
              <w:rPr>
                <w:rFonts w:ascii="仿宋" w:hAnsi="仿宋" w:eastAsia="仿宋"/>
                <w:color w:val="auto"/>
                <w:sz w:val="24"/>
                <w:highlight w:val="none"/>
                <w:lang w:val="zh-CN"/>
              </w:rPr>
            </w:pPr>
          </w:p>
        </w:tc>
      </w:tr>
      <w:tr w14:paraId="57CF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4EF380AF">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210C3D4E">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6B1A49DA">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59CFD9B8">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12AA9A0A">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3CA6DE70">
            <w:pPr>
              <w:pStyle w:val="46"/>
              <w:shd w:val="clear" w:color="auto" w:fill="auto"/>
              <w:spacing w:line="360" w:lineRule="auto"/>
              <w:rPr>
                <w:rFonts w:ascii="仿宋" w:hAnsi="仿宋" w:eastAsia="仿宋"/>
                <w:color w:val="auto"/>
                <w:sz w:val="24"/>
                <w:highlight w:val="none"/>
                <w:lang w:val="zh-CN"/>
              </w:rPr>
            </w:pPr>
          </w:p>
        </w:tc>
      </w:tr>
      <w:tr w14:paraId="1E64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611" w:type="dxa"/>
            <w:vAlign w:val="top"/>
          </w:tcPr>
          <w:p w14:paraId="09B1C3BA">
            <w:pPr>
              <w:pStyle w:val="46"/>
              <w:shd w:val="clear" w:color="auto" w:fill="auto"/>
              <w:spacing w:line="360" w:lineRule="auto"/>
              <w:rPr>
                <w:rFonts w:ascii="仿宋" w:hAnsi="仿宋" w:eastAsia="仿宋"/>
                <w:color w:val="auto"/>
                <w:sz w:val="24"/>
                <w:highlight w:val="none"/>
                <w:lang w:val="zh-CN"/>
              </w:rPr>
            </w:pPr>
          </w:p>
        </w:tc>
        <w:tc>
          <w:tcPr>
            <w:tcW w:w="1405" w:type="dxa"/>
            <w:vAlign w:val="top"/>
          </w:tcPr>
          <w:p w14:paraId="0D4AD6B1">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305A4D14">
            <w:pPr>
              <w:pStyle w:val="46"/>
              <w:shd w:val="clear" w:color="auto" w:fill="auto"/>
              <w:spacing w:line="360" w:lineRule="auto"/>
              <w:rPr>
                <w:rFonts w:ascii="仿宋" w:hAnsi="仿宋" w:eastAsia="仿宋"/>
                <w:color w:val="auto"/>
                <w:sz w:val="24"/>
                <w:highlight w:val="none"/>
                <w:lang w:val="zh-CN"/>
              </w:rPr>
            </w:pPr>
          </w:p>
        </w:tc>
        <w:tc>
          <w:tcPr>
            <w:tcW w:w="1496" w:type="dxa"/>
            <w:vAlign w:val="top"/>
          </w:tcPr>
          <w:p w14:paraId="09C171EF">
            <w:pPr>
              <w:pStyle w:val="46"/>
              <w:shd w:val="clear" w:color="auto" w:fill="auto"/>
              <w:spacing w:line="360" w:lineRule="auto"/>
              <w:rPr>
                <w:rFonts w:ascii="仿宋" w:hAnsi="仿宋" w:eastAsia="仿宋"/>
                <w:color w:val="auto"/>
                <w:sz w:val="24"/>
                <w:highlight w:val="none"/>
                <w:lang w:val="zh-CN"/>
              </w:rPr>
            </w:pPr>
          </w:p>
        </w:tc>
        <w:tc>
          <w:tcPr>
            <w:tcW w:w="1944" w:type="dxa"/>
            <w:vAlign w:val="top"/>
          </w:tcPr>
          <w:p w14:paraId="32F1AD23">
            <w:pPr>
              <w:pStyle w:val="46"/>
              <w:shd w:val="clear" w:color="auto" w:fill="auto"/>
              <w:spacing w:line="360" w:lineRule="auto"/>
              <w:rPr>
                <w:rFonts w:ascii="仿宋" w:hAnsi="仿宋" w:eastAsia="仿宋"/>
                <w:color w:val="auto"/>
                <w:sz w:val="24"/>
                <w:highlight w:val="none"/>
                <w:lang w:val="zh-CN"/>
              </w:rPr>
            </w:pPr>
          </w:p>
        </w:tc>
        <w:tc>
          <w:tcPr>
            <w:tcW w:w="1049" w:type="dxa"/>
            <w:vAlign w:val="top"/>
          </w:tcPr>
          <w:p w14:paraId="6B26944D">
            <w:pPr>
              <w:pStyle w:val="46"/>
              <w:shd w:val="clear" w:color="auto" w:fill="auto"/>
              <w:spacing w:line="360" w:lineRule="auto"/>
              <w:rPr>
                <w:rFonts w:ascii="仿宋" w:hAnsi="仿宋" w:eastAsia="仿宋"/>
                <w:color w:val="auto"/>
                <w:sz w:val="24"/>
                <w:highlight w:val="none"/>
                <w:lang w:val="zh-CN"/>
              </w:rPr>
            </w:pPr>
          </w:p>
        </w:tc>
      </w:tr>
    </w:tbl>
    <w:p w14:paraId="1709FBB0">
      <w:pPr>
        <w:pStyle w:val="46"/>
        <w:shd w:val="clear" w:color="auto" w:fill="auto"/>
        <w:ind w:firstLine="420"/>
        <w:rPr>
          <w:rFonts w:ascii="仿宋" w:hAnsi="仿宋" w:eastAsia="仿宋"/>
          <w:color w:val="auto"/>
          <w:highlight w:val="none"/>
        </w:rPr>
      </w:pPr>
      <w:r>
        <w:rPr>
          <w:rFonts w:ascii="仿宋" w:hAnsi="仿宋" w:eastAsia="仿宋"/>
          <w:color w:val="auto"/>
          <w:highlight w:val="none"/>
        </w:rPr>
        <w:t>附：根据附相关证明材料复印件</w:t>
      </w:r>
    </w:p>
    <w:p w14:paraId="7848F28F">
      <w:pPr>
        <w:pStyle w:val="46"/>
        <w:shd w:val="clear" w:color="auto" w:fill="auto"/>
        <w:spacing w:line="44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 xml:space="preserve">投标人（公章）：     </w:t>
      </w:r>
    </w:p>
    <w:p w14:paraId="0D0D19AF">
      <w:pPr>
        <w:pStyle w:val="46"/>
        <w:shd w:val="clear" w:color="auto" w:fill="auto"/>
        <w:ind w:firstLine="480"/>
        <w:jc w:val="right"/>
        <w:rPr>
          <w:rFonts w:ascii="仿宋" w:hAnsi="仿宋" w:eastAsia="仿宋"/>
          <w:color w:val="auto"/>
          <w:sz w:val="24"/>
          <w:highlight w:val="none"/>
        </w:rPr>
      </w:pPr>
      <w:r>
        <w:rPr>
          <w:rFonts w:ascii="仿宋" w:hAnsi="仿宋" w:eastAsia="仿宋"/>
          <w:color w:val="auto"/>
          <w:sz w:val="24"/>
          <w:highlight w:val="none"/>
          <w:lang w:val="zh-CN"/>
        </w:rPr>
        <w:t xml:space="preserve">日期：20  年  月   日  </w:t>
      </w:r>
    </w:p>
    <w:p w14:paraId="494470E9">
      <w:pPr>
        <w:pStyle w:val="46"/>
        <w:shd w:val="clear" w:color="auto" w:fill="auto"/>
        <w:spacing w:line="360" w:lineRule="auto"/>
        <w:ind w:firstLine="480"/>
        <w:jc w:val="center"/>
        <w:rPr>
          <w:rFonts w:ascii="仿宋" w:hAnsi="仿宋" w:eastAsia="仿宋"/>
          <w:b/>
          <w:color w:val="auto"/>
          <w:sz w:val="32"/>
          <w:szCs w:val="32"/>
          <w:highlight w:val="none"/>
        </w:rPr>
      </w:pPr>
      <w:r>
        <w:rPr>
          <w:rFonts w:ascii="仿宋" w:hAnsi="仿宋" w:eastAsia="仿宋"/>
          <w:color w:val="auto"/>
          <w:sz w:val="24"/>
          <w:highlight w:val="none"/>
          <w:lang w:val="zh-CN"/>
        </w:rPr>
        <w:br w:type="page"/>
      </w:r>
      <w:r>
        <w:rPr>
          <w:rFonts w:ascii="仿宋" w:hAnsi="仿宋" w:eastAsia="仿宋"/>
          <w:b/>
          <w:color w:val="auto"/>
          <w:sz w:val="32"/>
          <w:szCs w:val="32"/>
          <w:highlight w:val="none"/>
          <w:lang w:val="en-US" w:eastAsia="zh-CN"/>
        </w:rPr>
        <w:t>七</w:t>
      </w:r>
      <w:r>
        <w:rPr>
          <w:rFonts w:ascii="仿宋" w:hAnsi="仿宋" w:eastAsia="仿宋"/>
          <w:b/>
          <w:color w:val="auto"/>
          <w:sz w:val="32"/>
          <w:szCs w:val="32"/>
          <w:highlight w:val="none"/>
        </w:rPr>
        <w:t>、投标单位</w:t>
      </w:r>
      <w:r>
        <w:rPr>
          <w:rFonts w:ascii="仿宋" w:hAnsi="仿宋" w:eastAsia="仿宋"/>
          <w:b/>
          <w:color w:val="auto"/>
          <w:sz w:val="32"/>
          <w:szCs w:val="32"/>
          <w:highlight w:val="none"/>
          <w:lang w:eastAsia="zh-CN"/>
        </w:rPr>
        <w:t>拟派</w:t>
      </w:r>
      <w:r>
        <w:rPr>
          <w:rFonts w:ascii="仿宋" w:hAnsi="仿宋" w:eastAsia="仿宋"/>
          <w:b/>
          <w:color w:val="auto"/>
          <w:sz w:val="32"/>
          <w:szCs w:val="32"/>
          <w:highlight w:val="none"/>
        </w:rPr>
        <w:t>人员基本情况表</w:t>
      </w:r>
    </w:p>
    <w:tbl>
      <w:tblPr>
        <w:tblStyle w:val="34"/>
        <w:tblW w:w="94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378"/>
        <w:gridCol w:w="1209"/>
        <w:gridCol w:w="1936"/>
        <w:gridCol w:w="2181"/>
        <w:gridCol w:w="1936"/>
      </w:tblGrid>
      <w:tr w14:paraId="12AC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single" w:color="000000" w:sz="4" w:space="0"/>
              <w:left w:val="single" w:color="000000" w:sz="4" w:space="0"/>
              <w:bottom w:val="single" w:color="000000" w:sz="4" w:space="0"/>
              <w:right w:val="single" w:color="000000" w:sz="4" w:space="0"/>
            </w:tcBorders>
            <w:vAlign w:val="center"/>
          </w:tcPr>
          <w:p w14:paraId="074F755F">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序号</w:t>
            </w:r>
          </w:p>
        </w:tc>
        <w:tc>
          <w:tcPr>
            <w:tcW w:w="1378" w:type="dxa"/>
            <w:tcBorders>
              <w:top w:val="single" w:color="000000" w:sz="4" w:space="0"/>
              <w:left w:val="single" w:color="000000" w:sz="4" w:space="0"/>
              <w:bottom w:val="single" w:color="000000" w:sz="4" w:space="0"/>
              <w:right w:val="single" w:color="000000" w:sz="4" w:space="0"/>
            </w:tcBorders>
            <w:vAlign w:val="center"/>
          </w:tcPr>
          <w:p w14:paraId="5800B936">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姓名</w:t>
            </w:r>
          </w:p>
        </w:tc>
        <w:tc>
          <w:tcPr>
            <w:tcW w:w="1209" w:type="dxa"/>
            <w:tcBorders>
              <w:top w:val="single" w:color="000000" w:sz="4" w:space="0"/>
              <w:left w:val="nil"/>
              <w:bottom w:val="single" w:color="000000" w:sz="4" w:space="0"/>
              <w:right w:val="single" w:color="000000" w:sz="4" w:space="0"/>
            </w:tcBorders>
            <w:vAlign w:val="center"/>
          </w:tcPr>
          <w:p w14:paraId="6DFADE98">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年龄</w:t>
            </w:r>
          </w:p>
        </w:tc>
        <w:tc>
          <w:tcPr>
            <w:tcW w:w="1936" w:type="dxa"/>
            <w:tcBorders>
              <w:top w:val="single" w:color="000000" w:sz="4" w:space="0"/>
              <w:left w:val="nil"/>
              <w:bottom w:val="single" w:color="000000" w:sz="4" w:space="0"/>
              <w:right w:val="single" w:color="000000" w:sz="4" w:space="0"/>
            </w:tcBorders>
            <w:vAlign w:val="center"/>
          </w:tcPr>
          <w:p w14:paraId="78D1075E">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技术职称</w:t>
            </w:r>
          </w:p>
        </w:tc>
        <w:tc>
          <w:tcPr>
            <w:tcW w:w="2181" w:type="dxa"/>
            <w:tcBorders>
              <w:top w:val="single" w:color="000000" w:sz="4" w:space="0"/>
              <w:left w:val="nil"/>
              <w:bottom w:val="single" w:color="000000" w:sz="4" w:space="0"/>
              <w:right w:val="single" w:color="000000" w:sz="4" w:space="0"/>
            </w:tcBorders>
            <w:vAlign w:val="center"/>
          </w:tcPr>
          <w:p w14:paraId="669C9219">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上岗证号</w:t>
            </w:r>
          </w:p>
        </w:tc>
        <w:tc>
          <w:tcPr>
            <w:tcW w:w="1936" w:type="dxa"/>
            <w:tcBorders>
              <w:top w:val="single" w:color="000000" w:sz="4" w:space="0"/>
              <w:left w:val="nil"/>
              <w:bottom w:val="single" w:color="000000" w:sz="4" w:space="0"/>
              <w:right w:val="single" w:color="000000" w:sz="4" w:space="0"/>
            </w:tcBorders>
            <w:vAlign w:val="center"/>
          </w:tcPr>
          <w:p w14:paraId="6F81FA38">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备注</w:t>
            </w:r>
          </w:p>
        </w:tc>
      </w:tr>
      <w:tr w14:paraId="2BA7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76A187F8">
            <w:pPr>
              <w:pStyle w:val="46"/>
              <w:shd w:val="clear" w:color="auto" w:fill="auto"/>
              <w:jc w:val="center"/>
              <w:rPr>
                <w:rFonts w:ascii="仿宋" w:hAnsi="仿宋" w:eastAsia="仿宋"/>
                <w:bCs/>
                <w:color w:val="auto"/>
                <w:sz w:val="24"/>
                <w:highlight w:val="none"/>
              </w:rPr>
            </w:pPr>
            <w:r>
              <w:rPr>
                <w:rFonts w:ascii="仿宋" w:hAnsi="仿宋" w:eastAsia="仿宋"/>
                <w:bCs/>
                <w:color w:val="auto"/>
                <w:sz w:val="24"/>
                <w:highlight w:val="none"/>
              </w:rPr>
              <w:t>1</w:t>
            </w:r>
          </w:p>
        </w:tc>
        <w:tc>
          <w:tcPr>
            <w:tcW w:w="1378" w:type="dxa"/>
            <w:tcBorders>
              <w:top w:val="nil"/>
              <w:left w:val="single" w:color="000000" w:sz="4" w:space="0"/>
              <w:bottom w:val="single" w:color="000000" w:sz="4" w:space="0"/>
              <w:right w:val="single" w:color="000000" w:sz="4" w:space="0"/>
            </w:tcBorders>
            <w:vAlign w:val="center"/>
          </w:tcPr>
          <w:p w14:paraId="0FC94B08">
            <w:pPr>
              <w:pStyle w:val="46"/>
              <w:shd w:val="clear" w:color="auto" w:fill="auto"/>
              <w:jc w:val="center"/>
              <w:rPr>
                <w:rFonts w:ascii="仿宋" w:hAnsi="仿宋" w:eastAsia="仿宋"/>
                <w:b/>
                <w:bCs/>
                <w:color w:val="auto"/>
                <w:sz w:val="24"/>
                <w:highlight w:val="none"/>
              </w:rPr>
            </w:pPr>
          </w:p>
        </w:tc>
        <w:tc>
          <w:tcPr>
            <w:tcW w:w="1209" w:type="dxa"/>
            <w:tcBorders>
              <w:top w:val="nil"/>
              <w:left w:val="nil"/>
              <w:bottom w:val="single" w:color="000000" w:sz="4" w:space="0"/>
              <w:right w:val="single" w:color="000000" w:sz="4" w:space="0"/>
            </w:tcBorders>
            <w:vAlign w:val="center"/>
          </w:tcPr>
          <w:p w14:paraId="0402F96F">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619D6A4F">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205FAEF1">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5774927B">
            <w:pPr>
              <w:pStyle w:val="46"/>
              <w:shd w:val="clear" w:color="auto" w:fill="auto"/>
              <w:jc w:val="center"/>
              <w:rPr>
                <w:rFonts w:ascii="仿宋" w:hAnsi="仿宋" w:eastAsia="仿宋"/>
                <w:color w:val="auto"/>
                <w:sz w:val="24"/>
                <w:highlight w:val="none"/>
              </w:rPr>
            </w:pPr>
          </w:p>
        </w:tc>
      </w:tr>
      <w:tr w14:paraId="526A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49546ADE">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2</w:t>
            </w:r>
          </w:p>
        </w:tc>
        <w:tc>
          <w:tcPr>
            <w:tcW w:w="1378" w:type="dxa"/>
            <w:tcBorders>
              <w:top w:val="nil"/>
              <w:left w:val="single" w:color="000000" w:sz="4" w:space="0"/>
              <w:bottom w:val="single" w:color="000000" w:sz="4" w:space="0"/>
              <w:right w:val="single" w:color="000000" w:sz="4" w:space="0"/>
            </w:tcBorders>
            <w:vAlign w:val="center"/>
          </w:tcPr>
          <w:p w14:paraId="088E851A">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164D60B9">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31EC299E">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2CC9443B">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B236E49">
            <w:pPr>
              <w:pStyle w:val="46"/>
              <w:shd w:val="clear" w:color="auto" w:fill="auto"/>
              <w:jc w:val="center"/>
              <w:rPr>
                <w:rFonts w:ascii="仿宋" w:hAnsi="仿宋" w:eastAsia="仿宋"/>
                <w:color w:val="auto"/>
                <w:sz w:val="24"/>
                <w:highlight w:val="none"/>
              </w:rPr>
            </w:pPr>
          </w:p>
        </w:tc>
      </w:tr>
      <w:tr w14:paraId="1101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129686C5">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3</w:t>
            </w:r>
          </w:p>
        </w:tc>
        <w:tc>
          <w:tcPr>
            <w:tcW w:w="1378" w:type="dxa"/>
            <w:tcBorders>
              <w:top w:val="nil"/>
              <w:left w:val="single" w:color="000000" w:sz="4" w:space="0"/>
              <w:bottom w:val="single" w:color="000000" w:sz="4" w:space="0"/>
              <w:right w:val="single" w:color="000000" w:sz="4" w:space="0"/>
            </w:tcBorders>
            <w:vAlign w:val="center"/>
          </w:tcPr>
          <w:p w14:paraId="09261751">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2CFF372A">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6A9519D0">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0A115E29">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07833B82">
            <w:pPr>
              <w:pStyle w:val="46"/>
              <w:shd w:val="clear" w:color="auto" w:fill="auto"/>
              <w:jc w:val="center"/>
              <w:rPr>
                <w:rFonts w:ascii="仿宋" w:hAnsi="仿宋" w:eastAsia="仿宋"/>
                <w:color w:val="auto"/>
                <w:sz w:val="24"/>
                <w:highlight w:val="none"/>
              </w:rPr>
            </w:pPr>
          </w:p>
        </w:tc>
      </w:tr>
      <w:tr w14:paraId="6FE1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4D388D01">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4</w:t>
            </w:r>
          </w:p>
        </w:tc>
        <w:tc>
          <w:tcPr>
            <w:tcW w:w="1378" w:type="dxa"/>
            <w:tcBorders>
              <w:top w:val="nil"/>
              <w:left w:val="single" w:color="000000" w:sz="4" w:space="0"/>
              <w:bottom w:val="single" w:color="000000" w:sz="4" w:space="0"/>
              <w:right w:val="single" w:color="000000" w:sz="4" w:space="0"/>
            </w:tcBorders>
            <w:vAlign w:val="center"/>
          </w:tcPr>
          <w:p w14:paraId="2E25933A">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4BF08E96">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4552CAD7">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2AD4E382">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13864903">
            <w:pPr>
              <w:pStyle w:val="46"/>
              <w:shd w:val="clear" w:color="auto" w:fill="auto"/>
              <w:jc w:val="center"/>
              <w:rPr>
                <w:rFonts w:ascii="仿宋" w:hAnsi="仿宋" w:eastAsia="仿宋"/>
                <w:color w:val="auto"/>
                <w:sz w:val="24"/>
                <w:highlight w:val="none"/>
              </w:rPr>
            </w:pPr>
          </w:p>
        </w:tc>
      </w:tr>
      <w:tr w14:paraId="5A62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52646FE2">
            <w:pPr>
              <w:pStyle w:val="46"/>
              <w:shd w:val="clear" w:color="auto" w:fill="auto"/>
              <w:jc w:val="center"/>
              <w:rPr>
                <w:rFonts w:ascii="仿宋" w:hAnsi="仿宋" w:eastAsia="仿宋"/>
                <w:bCs/>
                <w:color w:val="auto"/>
                <w:sz w:val="24"/>
                <w:highlight w:val="none"/>
              </w:rPr>
            </w:pPr>
            <w:r>
              <w:rPr>
                <w:rFonts w:ascii="仿宋" w:hAnsi="仿宋" w:eastAsia="仿宋"/>
                <w:bCs/>
                <w:color w:val="auto"/>
                <w:sz w:val="24"/>
                <w:highlight w:val="none"/>
              </w:rPr>
              <w:t>5</w:t>
            </w:r>
          </w:p>
        </w:tc>
        <w:tc>
          <w:tcPr>
            <w:tcW w:w="1378" w:type="dxa"/>
            <w:tcBorders>
              <w:top w:val="nil"/>
              <w:left w:val="single" w:color="000000" w:sz="4" w:space="0"/>
              <w:bottom w:val="single" w:color="000000" w:sz="4" w:space="0"/>
              <w:right w:val="single" w:color="000000" w:sz="4" w:space="0"/>
            </w:tcBorders>
            <w:vAlign w:val="center"/>
          </w:tcPr>
          <w:p w14:paraId="19A100EF">
            <w:pPr>
              <w:pStyle w:val="46"/>
              <w:shd w:val="clear" w:color="auto" w:fill="auto"/>
              <w:jc w:val="center"/>
              <w:rPr>
                <w:rFonts w:ascii="仿宋" w:hAnsi="仿宋" w:eastAsia="仿宋"/>
                <w:b/>
                <w:bCs/>
                <w:color w:val="auto"/>
                <w:sz w:val="24"/>
                <w:highlight w:val="none"/>
              </w:rPr>
            </w:pPr>
          </w:p>
        </w:tc>
        <w:tc>
          <w:tcPr>
            <w:tcW w:w="1209" w:type="dxa"/>
            <w:tcBorders>
              <w:top w:val="nil"/>
              <w:left w:val="nil"/>
              <w:bottom w:val="single" w:color="000000" w:sz="4" w:space="0"/>
              <w:right w:val="single" w:color="000000" w:sz="4" w:space="0"/>
            </w:tcBorders>
            <w:vAlign w:val="center"/>
          </w:tcPr>
          <w:p w14:paraId="3D8C52F0">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8AB55EE">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355DCC44">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13CDB227">
            <w:pPr>
              <w:pStyle w:val="46"/>
              <w:shd w:val="clear" w:color="auto" w:fill="auto"/>
              <w:jc w:val="center"/>
              <w:rPr>
                <w:rFonts w:ascii="仿宋" w:hAnsi="仿宋" w:eastAsia="仿宋"/>
                <w:color w:val="auto"/>
                <w:sz w:val="24"/>
                <w:highlight w:val="none"/>
              </w:rPr>
            </w:pPr>
          </w:p>
        </w:tc>
      </w:tr>
      <w:tr w14:paraId="31B6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96" w:type="dxa"/>
            <w:tcBorders>
              <w:top w:val="nil"/>
              <w:left w:val="single" w:color="000000" w:sz="4" w:space="0"/>
              <w:bottom w:val="single" w:color="000000" w:sz="4" w:space="0"/>
              <w:right w:val="single" w:color="000000" w:sz="4" w:space="0"/>
            </w:tcBorders>
            <w:vAlign w:val="center"/>
          </w:tcPr>
          <w:p w14:paraId="3E143D27">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6</w:t>
            </w:r>
          </w:p>
        </w:tc>
        <w:tc>
          <w:tcPr>
            <w:tcW w:w="1378" w:type="dxa"/>
            <w:tcBorders>
              <w:top w:val="nil"/>
              <w:left w:val="single" w:color="000000" w:sz="4" w:space="0"/>
              <w:bottom w:val="single" w:color="000000" w:sz="4" w:space="0"/>
              <w:right w:val="single" w:color="000000" w:sz="4" w:space="0"/>
            </w:tcBorders>
            <w:vAlign w:val="center"/>
          </w:tcPr>
          <w:p w14:paraId="3945556D">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367CFAEC">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13B878F7">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182F9387">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32D8C7E">
            <w:pPr>
              <w:pStyle w:val="46"/>
              <w:shd w:val="clear" w:color="auto" w:fill="auto"/>
              <w:jc w:val="center"/>
              <w:rPr>
                <w:rFonts w:ascii="仿宋" w:hAnsi="仿宋" w:eastAsia="仿宋"/>
                <w:color w:val="auto"/>
                <w:sz w:val="24"/>
                <w:highlight w:val="none"/>
              </w:rPr>
            </w:pPr>
          </w:p>
        </w:tc>
      </w:tr>
      <w:tr w14:paraId="78F6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4013E40D">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7</w:t>
            </w:r>
          </w:p>
        </w:tc>
        <w:tc>
          <w:tcPr>
            <w:tcW w:w="1378" w:type="dxa"/>
            <w:tcBorders>
              <w:top w:val="nil"/>
              <w:left w:val="single" w:color="000000" w:sz="4" w:space="0"/>
              <w:bottom w:val="single" w:color="000000" w:sz="4" w:space="0"/>
              <w:right w:val="single" w:color="000000" w:sz="4" w:space="0"/>
            </w:tcBorders>
            <w:vAlign w:val="center"/>
          </w:tcPr>
          <w:p w14:paraId="6090337B">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6B4FDEC2">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1979622C">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620141CF">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731ED08D">
            <w:pPr>
              <w:pStyle w:val="46"/>
              <w:shd w:val="clear" w:color="auto" w:fill="auto"/>
              <w:jc w:val="center"/>
              <w:rPr>
                <w:rFonts w:ascii="仿宋" w:hAnsi="仿宋" w:eastAsia="仿宋"/>
                <w:color w:val="auto"/>
                <w:sz w:val="24"/>
                <w:highlight w:val="none"/>
              </w:rPr>
            </w:pPr>
          </w:p>
        </w:tc>
      </w:tr>
      <w:tr w14:paraId="49D0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2C9ABB04">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8</w:t>
            </w:r>
          </w:p>
        </w:tc>
        <w:tc>
          <w:tcPr>
            <w:tcW w:w="1378" w:type="dxa"/>
            <w:tcBorders>
              <w:top w:val="nil"/>
              <w:left w:val="single" w:color="000000" w:sz="4" w:space="0"/>
              <w:bottom w:val="single" w:color="000000" w:sz="4" w:space="0"/>
              <w:right w:val="single" w:color="000000" w:sz="4" w:space="0"/>
            </w:tcBorders>
            <w:vAlign w:val="center"/>
          </w:tcPr>
          <w:p w14:paraId="433F9858">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72D350CB">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647672AC">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0D9C65BC">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314129DF">
            <w:pPr>
              <w:pStyle w:val="46"/>
              <w:shd w:val="clear" w:color="auto" w:fill="auto"/>
              <w:jc w:val="center"/>
              <w:rPr>
                <w:rFonts w:ascii="仿宋" w:hAnsi="仿宋" w:eastAsia="仿宋"/>
                <w:color w:val="auto"/>
                <w:sz w:val="24"/>
                <w:highlight w:val="none"/>
              </w:rPr>
            </w:pPr>
          </w:p>
        </w:tc>
      </w:tr>
      <w:tr w14:paraId="34EE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1266C954">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9</w:t>
            </w:r>
          </w:p>
        </w:tc>
        <w:tc>
          <w:tcPr>
            <w:tcW w:w="1378" w:type="dxa"/>
            <w:tcBorders>
              <w:top w:val="nil"/>
              <w:left w:val="single" w:color="000000" w:sz="4" w:space="0"/>
              <w:bottom w:val="single" w:color="000000" w:sz="4" w:space="0"/>
              <w:right w:val="single" w:color="000000" w:sz="4" w:space="0"/>
            </w:tcBorders>
            <w:vAlign w:val="center"/>
          </w:tcPr>
          <w:p w14:paraId="39E1ACEE">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237CA79E">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72EC35A7">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0570519D">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7186B726">
            <w:pPr>
              <w:pStyle w:val="46"/>
              <w:shd w:val="clear" w:color="auto" w:fill="auto"/>
              <w:jc w:val="center"/>
              <w:rPr>
                <w:rFonts w:ascii="仿宋" w:hAnsi="仿宋" w:eastAsia="仿宋"/>
                <w:color w:val="auto"/>
                <w:sz w:val="24"/>
                <w:highlight w:val="none"/>
              </w:rPr>
            </w:pPr>
          </w:p>
        </w:tc>
      </w:tr>
      <w:tr w14:paraId="3C25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35D17E3C">
            <w:pPr>
              <w:pStyle w:val="46"/>
              <w:shd w:val="clear" w:color="auto" w:fill="auto"/>
              <w:jc w:val="center"/>
              <w:rPr>
                <w:rFonts w:ascii="仿宋" w:hAnsi="仿宋" w:eastAsia="仿宋"/>
                <w:color w:val="auto"/>
                <w:sz w:val="24"/>
                <w:highlight w:val="none"/>
              </w:rPr>
            </w:pPr>
            <w:r>
              <w:rPr>
                <w:rFonts w:ascii="仿宋" w:hAnsi="仿宋" w:eastAsia="仿宋"/>
                <w:color w:val="auto"/>
                <w:sz w:val="24"/>
                <w:highlight w:val="none"/>
              </w:rPr>
              <w:t>10</w:t>
            </w:r>
          </w:p>
        </w:tc>
        <w:tc>
          <w:tcPr>
            <w:tcW w:w="1378" w:type="dxa"/>
            <w:tcBorders>
              <w:top w:val="nil"/>
              <w:left w:val="single" w:color="000000" w:sz="4" w:space="0"/>
              <w:bottom w:val="single" w:color="000000" w:sz="4" w:space="0"/>
              <w:right w:val="single" w:color="000000" w:sz="4" w:space="0"/>
            </w:tcBorders>
            <w:vAlign w:val="center"/>
          </w:tcPr>
          <w:p w14:paraId="114A349C">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46CB8097">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59DC34F7">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0136AA4B">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4EEB5C23">
            <w:pPr>
              <w:pStyle w:val="46"/>
              <w:shd w:val="clear" w:color="auto" w:fill="auto"/>
              <w:jc w:val="center"/>
              <w:rPr>
                <w:rFonts w:ascii="仿宋" w:hAnsi="仿宋" w:eastAsia="仿宋"/>
                <w:color w:val="auto"/>
                <w:sz w:val="24"/>
                <w:highlight w:val="none"/>
              </w:rPr>
            </w:pPr>
          </w:p>
        </w:tc>
      </w:tr>
      <w:tr w14:paraId="20AF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796" w:type="dxa"/>
            <w:tcBorders>
              <w:top w:val="nil"/>
              <w:left w:val="single" w:color="000000" w:sz="4" w:space="0"/>
              <w:bottom w:val="single" w:color="000000" w:sz="4" w:space="0"/>
              <w:right w:val="single" w:color="000000" w:sz="4" w:space="0"/>
            </w:tcBorders>
            <w:vAlign w:val="center"/>
          </w:tcPr>
          <w:p w14:paraId="18AD967D">
            <w:pPr>
              <w:pStyle w:val="46"/>
              <w:shd w:val="clear" w:color="auto" w:fill="auto"/>
              <w:jc w:val="center"/>
              <w:rPr>
                <w:rFonts w:ascii="仿宋" w:hAnsi="仿宋" w:eastAsia="仿宋"/>
                <w:color w:val="auto"/>
                <w:sz w:val="24"/>
                <w:highlight w:val="none"/>
              </w:rPr>
            </w:pPr>
          </w:p>
        </w:tc>
        <w:tc>
          <w:tcPr>
            <w:tcW w:w="1378" w:type="dxa"/>
            <w:tcBorders>
              <w:top w:val="nil"/>
              <w:left w:val="single" w:color="000000" w:sz="4" w:space="0"/>
              <w:bottom w:val="single" w:color="000000" w:sz="4" w:space="0"/>
              <w:right w:val="single" w:color="000000" w:sz="4" w:space="0"/>
            </w:tcBorders>
            <w:vAlign w:val="center"/>
          </w:tcPr>
          <w:p w14:paraId="1F4170B1">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08F6DF96">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845CBC9">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5990AB85">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92C4AA1">
            <w:pPr>
              <w:pStyle w:val="46"/>
              <w:shd w:val="clear" w:color="auto" w:fill="auto"/>
              <w:jc w:val="center"/>
              <w:rPr>
                <w:rFonts w:ascii="仿宋" w:hAnsi="仿宋" w:eastAsia="仿宋"/>
                <w:color w:val="auto"/>
                <w:sz w:val="24"/>
                <w:highlight w:val="none"/>
              </w:rPr>
            </w:pPr>
          </w:p>
        </w:tc>
      </w:tr>
      <w:tr w14:paraId="57FB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96" w:type="dxa"/>
            <w:tcBorders>
              <w:top w:val="nil"/>
              <w:left w:val="single" w:color="000000" w:sz="4" w:space="0"/>
              <w:bottom w:val="single" w:color="000000" w:sz="4" w:space="0"/>
              <w:right w:val="single" w:color="000000" w:sz="4" w:space="0"/>
            </w:tcBorders>
            <w:vAlign w:val="center"/>
          </w:tcPr>
          <w:p w14:paraId="6A9E23AA">
            <w:pPr>
              <w:pStyle w:val="46"/>
              <w:shd w:val="clear" w:color="auto" w:fill="auto"/>
              <w:jc w:val="center"/>
              <w:rPr>
                <w:rFonts w:ascii="仿宋" w:hAnsi="仿宋" w:eastAsia="仿宋"/>
                <w:color w:val="auto"/>
                <w:sz w:val="24"/>
                <w:highlight w:val="none"/>
              </w:rPr>
            </w:pPr>
          </w:p>
        </w:tc>
        <w:tc>
          <w:tcPr>
            <w:tcW w:w="1378" w:type="dxa"/>
            <w:tcBorders>
              <w:top w:val="nil"/>
              <w:left w:val="single" w:color="000000" w:sz="4" w:space="0"/>
              <w:bottom w:val="single" w:color="000000" w:sz="4" w:space="0"/>
              <w:right w:val="single" w:color="000000" w:sz="4" w:space="0"/>
            </w:tcBorders>
            <w:vAlign w:val="center"/>
          </w:tcPr>
          <w:p w14:paraId="4FBECB1F">
            <w:pPr>
              <w:pStyle w:val="46"/>
              <w:shd w:val="clear" w:color="auto" w:fill="auto"/>
              <w:jc w:val="center"/>
              <w:rPr>
                <w:rFonts w:ascii="仿宋" w:hAnsi="仿宋" w:eastAsia="仿宋"/>
                <w:color w:val="auto"/>
                <w:sz w:val="24"/>
                <w:highlight w:val="none"/>
              </w:rPr>
            </w:pPr>
          </w:p>
        </w:tc>
        <w:tc>
          <w:tcPr>
            <w:tcW w:w="1209" w:type="dxa"/>
            <w:tcBorders>
              <w:top w:val="nil"/>
              <w:left w:val="nil"/>
              <w:bottom w:val="single" w:color="000000" w:sz="4" w:space="0"/>
              <w:right w:val="single" w:color="000000" w:sz="4" w:space="0"/>
            </w:tcBorders>
            <w:vAlign w:val="center"/>
          </w:tcPr>
          <w:p w14:paraId="7349A830">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1A0FD35">
            <w:pPr>
              <w:pStyle w:val="46"/>
              <w:shd w:val="clear" w:color="auto" w:fill="auto"/>
              <w:jc w:val="center"/>
              <w:rPr>
                <w:rFonts w:ascii="仿宋" w:hAnsi="仿宋" w:eastAsia="仿宋"/>
                <w:color w:val="auto"/>
                <w:sz w:val="24"/>
                <w:highlight w:val="none"/>
              </w:rPr>
            </w:pPr>
          </w:p>
        </w:tc>
        <w:tc>
          <w:tcPr>
            <w:tcW w:w="2181" w:type="dxa"/>
            <w:tcBorders>
              <w:top w:val="nil"/>
              <w:left w:val="nil"/>
              <w:bottom w:val="single" w:color="000000" w:sz="4" w:space="0"/>
              <w:right w:val="single" w:color="000000" w:sz="4" w:space="0"/>
            </w:tcBorders>
            <w:vAlign w:val="center"/>
          </w:tcPr>
          <w:p w14:paraId="71AF3A3F">
            <w:pPr>
              <w:pStyle w:val="46"/>
              <w:shd w:val="clear" w:color="auto" w:fill="auto"/>
              <w:jc w:val="center"/>
              <w:rPr>
                <w:rFonts w:ascii="仿宋" w:hAnsi="仿宋" w:eastAsia="仿宋"/>
                <w:color w:val="auto"/>
                <w:sz w:val="24"/>
                <w:highlight w:val="none"/>
              </w:rPr>
            </w:pPr>
          </w:p>
        </w:tc>
        <w:tc>
          <w:tcPr>
            <w:tcW w:w="1936" w:type="dxa"/>
            <w:tcBorders>
              <w:top w:val="nil"/>
              <w:left w:val="nil"/>
              <w:bottom w:val="single" w:color="000000" w:sz="4" w:space="0"/>
              <w:right w:val="single" w:color="000000" w:sz="4" w:space="0"/>
            </w:tcBorders>
            <w:vAlign w:val="center"/>
          </w:tcPr>
          <w:p w14:paraId="23667830">
            <w:pPr>
              <w:pStyle w:val="46"/>
              <w:shd w:val="clear" w:color="auto" w:fill="auto"/>
              <w:jc w:val="center"/>
              <w:rPr>
                <w:rFonts w:ascii="仿宋" w:hAnsi="仿宋" w:eastAsia="仿宋"/>
                <w:color w:val="auto"/>
                <w:sz w:val="24"/>
                <w:highlight w:val="none"/>
              </w:rPr>
            </w:pPr>
          </w:p>
        </w:tc>
      </w:tr>
    </w:tbl>
    <w:p w14:paraId="3B6936A6">
      <w:pPr>
        <w:pStyle w:val="46"/>
        <w:shd w:val="clear" w:color="auto" w:fill="auto"/>
        <w:ind w:firstLine="420"/>
        <w:rPr>
          <w:rFonts w:ascii="仿宋" w:hAnsi="仿宋" w:eastAsia="仿宋"/>
          <w:color w:val="auto"/>
          <w:highlight w:val="none"/>
        </w:rPr>
      </w:pPr>
      <w:r>
        <w:rPr>
          <w:rFonts w:ascii="仿宋" w:hAnsi="仿宋" w:eastAsia="仿宋"/>
          <w:color w:val="auto"/>
          <w:highlight w:val="none"/>
        </w:rPr>
        <w:t>附：根据附相关证明材料复印件</w:t>
      </w:r>
    </w:p>
    <w:p w14:paraId="0DC9145E">
      <w:pPr>
        <w:pStyle w:val="46"/>
        <w:shd w:val="clear" w:color="auto" w:fill="auto"/>
        <w:spacing w:line="440" w:lineRule="exact"/>
        <w:ind w:firstLine="480"/>
        <w:jc w:val="right"/>
        <w:rPr>
          <w:rFonts w:ascii="仿宋" w:hAnsi="仿宋" w:eastAsia="仿宋"/>
          <w:color w:val="auto"/>
          <w:sz w:val="24"/>
          <w:highlight w:val="none"/>
          <w:lang w:val="zh-CN"/>
        </w:rPr>
      </w:pPr>
      <w:r>
        <w:rPr>
          <w:rFonts w:ascii="仿宋" w:hAnsi="仿宋" w:eastAsia="仿宋"/>
          <w:color w:val="auto"/>
          <w:sz w:val="24"/>
          <w:highlight w:val="none"/>
          <w:lang w:val="zh-CN"/>
        </w:rPr>
        <w:t xml:space="preserve">投标人（公章）：     </w:t>
      </w:r>
    </w:p>
    <w:p w14:paraId="7686676F">
      <w:pPr>
        <w:pStyle w:val="46"/>
        <w:shd w:val="clear" w:color="auto" w:fill="auto"/>
        <w:ind w:firstLine="480"/>
        <w:jc w:val="right"/>
        <w:rPr>
          <w:rFonts w:ascii="仿宋" w:hAnsi="仿宋" w:eastAsia="仿宋"/>
          <w:color w:val="auto"/>
          <w:sz w:val="24"/>
          <w:highlight w:val="none"/>
        </w:rPr>
      </w:pPr>
      <w:r>
        <w:rPr>
          <w:rFonts w:ascii="仿宋" w:hAnsi="仿宋" w:eastAsia="仿宋"/>
          <w:color w:val="auto"/>
          <w:sz w:val="24"/>
          <w:highlight w:val="none"/>
          <w:lang w:val="zh-CN"/>
        </w:rPr>
        <w:t xml:space="preserve">日期：20  年  月   日  </w:t>
      </w:r>
    </w:p>
    <w:p w14:paraId="63C638E9">
      <w:pPr>
        <w:pStyle w:val="46"/>
        <w:shd w:val="clear" w:color="auto" w:fill="auto"/>
        <w:spacing w:line="360" w:lineRule="auto"/>
        <w:ind w:left="570"/>
        <w:jc w:val="center"/>
        <w:outlineLvl w:val="0"/>
        <w:rPr>
          <w:rFonts w:hint="eastAsia" w:ascii="仿宋" w:hAnsi="仿宋" w:eastAsia="仿宋" w:cs="仿宋"/>
          <w:b/>
          <w:color w:val="auto"/>
          <w:sz w:val="24"/>
          <w:highlight w:val="none"/>
          <w:lang w:val="zh-CN"/>
        </w:rPr>
      </w:pPr>
      <w:r>
        <w:rPr>
          <w:rFonts w:ascii="仿宋" w:hAnsi="仿宋" w:eastAsia="仿宋"/>
          <w:b/>
          <w:color w:val="auto"/>
          <w:sz w:val="28"/>
          <w:szCs w:val="28"/>
          <w:highlight w:val="none"/>
        </w:rPr>
        <w:br w:type="page"/>
      </w:r>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zh-CN"/>
        </w:rPr>
        <w:t>技术偏离表</w:t>
      </w:r>
    </w:p>
    <w:p w14:paraId="57778F12">
      <w:pPr>
        <w:adjustRightInd w:val="0"/>
        <w:spacing w:line="440" w:lineRule="exact"/>
        <w:jc w:val="center"/>
        <w:rPr>
          <w:rFonts w:hint="eastAsia" w:ascii="仿宋" w:hAnsi="仿宋" w:eastAsia="仿宋" w:cs="仿宋"/>
          <w:b/>
          <w:color w:val="auto"/>
          <w:sz w:val="32"/>
          <w:szCs w:val="32"/>
          <w:highlight w:val="none"/>
        </w:rPr>
      </w:pPr>
    </w:p>
    <w:p w14:paraId="197B587E">
      <w:pPr>
        <w:adjustRightInd w:val="0"/>
        <w:spacing w:line="440" w:lineRule="exac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p>
    <w:tbl>
      <w:tblPr>
        <w:tblStyle w:val="3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55"/>
        <w:gridCol w:w="1957"/>
        <w:gridCol w:w="1620"/>
        <w:gridCol w:w="2524"/>
      </w:tblGrid>
      <w:tr w14:paraId="2C53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547EB35">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603F9338">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c>
          <w:tcPr>
            <w:tcW w:w="1957" w:type="dxa"/>
            <w:tcBorders>
              <w:top w:val="single" w:color="auto" w:sz="4" w:space="0"/>
              <w:left w:val="single" w:color="auto" w:sz="4" w:space="0"/>
              <w:bottom w:val="single" w:color="auto" w:sz="4" w:space="0"/>
              <w:right w:val="single" w:color="auto" w:sz="4" w:space="0"/>
            </w:tcBorders>
            <w:vAlign w:val="center"/>
          </w:tcPr>
          <w:p w14:paraId="6EE0E6B4">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招标文件</w:t>
            </w:r>
          </w:p>
          <w:p w14:paraId="7DC70EBE">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规范要求</w:t>
            </w:r>
          </w:p>
        </w:tc>
        <w:tc>
          <w:tcPr>
            <w:tcW w:w="1620" w:type="dxa"/>
            <w:tcBorders>
              <w:top w:val="single" w:color="auto" w:sz="4" w:space="0"/>
              <w:left w:val="single" w:color="auto" w:sz="4" w:space="0"/>
              <w:bottom w:val="single" w:color="auto" w:sz="4" w:space="0"/>
              <w:right w:val="single" w:color="auto" w:sz="4" w:space="0"/>
            </w:tcBorders>
            <w:vAlign w:val="center"/>
          </w:tcPr>
          <w:p w14:paraId="38893E5D">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w:t>
            </w:r>
          </w:p>
          <w:p w14:paraId="315EFB0B">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对应规范</w:t>
            </w:r>
          </w:p>
        </w:tc>
        <w:tc>
          <w:tcPr>
            <w:tcW w:w="2524" w:type="dxa"/>
            <w:tcBorders>
              <w:top w:val="single" w:color="auto" w:sz="4" w:space="0"/>
              <w:left w:val="single" w:color="auto" w:sz="4" w:space="0"/>
              <w:bottom w:val="single" w:color="auto" w:sz="4" w:space="0"/>
              <w:right w:val="single" w:color="auto" w:sz="4" w:space="0"/>
            </w:tcBorders>
            <w:vAlign w:val="center"/>
          </w:tcPr>
          <w:p w14:paraId="116F1213">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偏离情况</w:t>
            </w:r>
          </w:p>
        </w:tc>
      </w:tr>
      <w:tr w14:paraId="1282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tcBorders>
              <w:top w:val="single" w:color="auto" w:sz="4" w:space="0"/>
              <w:left w:val="single" w:color="auto" w:sz="4" w:space="0"/>
              <w:bottom w:val="single" w:color="auto" w:sz="4" w:space="0"/>
              <w:right w:val="single" w:color="auto" w:sz="4" w:space="0"/>
            </w:tcBorders>
            <w:vAlign w:val="top"/>
          </w:tcPr>
          <w:p w14:paraId="46F01E1D">
            <w:pPr>
              <w:spacing w:line="360" w:lineRule="auto"/>
              <w:jc w:val="center"/>
              <w:rPr>
                <w:rFonts w:hint="eastAsia" w:ascii="仿宋" w:hAnsi="仿宋" w:eastAsia="仿宋" w:cs="仿宋"/>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vAlign w:val="top"/>
          </w:tcPr>
          <w:p w14:paraId="0CE3E445">
            <w:pPr>
              <w:spacing w:line="360" w:lineRule="auto"/>
              <w:rPr>
                <w:rFonts w:hint="eastAsia" w:ascii="仿宋" w:hAnsi="仿宋" w:eastAsia="仿宋" w:cs="仿宋"/>
                <w:color w:val="auto"/>
                <w:sz w:val="24"/>
                <w:szCs w:val="24"/>
                <w:highlight w:val="none"/>
              </w:rPr>
            </w:pPr>
          </w:p>
        </w:tc>
        <w:tc>
          <w:tcPr>
            <w:tcW w:w="1957" w:type="dxa"/>
            <w:tcBorders>
              <w:top w:val="single" w:color="auto" w:sz="4" w:space="0"/>
              <w:left w:val="single" w:color="auto" w:sz="4" w:space="0"/>
              <w:bottom w:val="single" w:color="auto" w:sz="4" w:space="0"/>
              <w:right w:val="single" w:color="auto" w:sz="4" w:space="0"/>
            </w:tcBorders>
            <w:vAlign w:val="top"/>
          </w:tcPr>
          <w:p w14:paraId="349E832D">
            <w:pPr>
              <w:spacing w:line="360" w:lineRule="auto"/>
              <w:rPr>
                <w:rFonts w:hint="eastAsia" w:ascii="仿宋" w:hAnsi="仿宋" w:eastAsia="仿宋" w:cs="仿宋"/>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14:paraId="43FB4597">
            <w:pPr>
              <w:spacing w:line="360" w:lineRule="auto"/>
              <w:rPr>
                <w:rFonts w:hint="eastAsia" w:ascii="仿宋" w:hAnsi="仿宋" w:eastAsia="仿宋" w:cs="仿宋"/>
                <w:color w:val="auto"/>
                <w:sz w:val="24"/>
                <w:szCs w:val="24"/>
                <w:highlight w:val="none"/>
              </w:rPr>
            </w:pPr>
          </w:p>
        </w:tc>
        <w:tc>
          <w:tcPr>
            <w:tcW w:w="2524" w:type="dxa"/>
            <w:tcBorders>
              <w:top w:val="single" w:color="auto" w:sz="4" w:space="0"/>
              <w:left w:val="single" w:color="auto" w:sz="4" w:space="0"/>
              <w:bottom w:val="single" w:color="auto" w:sz="4" w:space="0"/>
              <w:right w:val="single" w:color="auto" w:sz="4" w:space="0"/>
            </w:tcBorders>
            <w:vAlign w:val="top"/>
          </w:tcPr>
          <w:p w14:paraId="616C8A07">
            <w:pPr>
              <w:spacing w:line="360" w:lineRule="auto"/>
              <w:rPr>
                <w:rFonts w:hint="eastAsia" w:ascii="仿宋" w:hAnsi="仿宋" w:eastAsia="仿宋" w:cs="仿宋"/>
                <w:color w:val="auto"/>
                <w:sz w:val="24"/>
                <w:szCs w:val="24"/>
                <w:highlight w:val="none"/>
              </w:rPr>
            </w:pPr>
          </w:p>
        </w:tc>
      </w:tr>
      <w:tr w14:paraId="3FD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tcBorders>
              <w:top w:val="single" w:color="auto" w:sz="4" w:space="0"/>
              <w:left w:val="single" w:color="auto" w:sz="4" w:space="0"/>
              <w:bottom w:val="single" w:color="auto" w:sz="4" w:space="0"/>
              <w:right w:val="single" w:color="auto" w:sz="4" w:space="0"/>
            </w:tcBorders>
            <w:vAlign w:val="top"/>
          </w:tcPr>
          <w:p w14:paraId="595DC1D5">
            <w:pPr>
              <w:spacing w:line="360" w:lineRule="auto"/>
              <w:rPr>
                <w:rFonts w:hint="eastAsia" w:ascii="仿宋" w:hAnsi="仿宋" w:eastAsia="仿宋" w:cs="仿宋"/>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vAlign w:val="top"/>
          </w:tcPr>
          <w:p w14:paraId="7859F239">
            <w:pPr>
              <w:spacing w:line="360" w:lineRule="auto"/>
              <w:rPr>
                <w:rFonts w:hint="eastAsia" w:ascii="仿宋" w:hAnsi="仿宋" w:eastAsia="仿宋" w:cs="仿宋"/>
                <w:color w:val="auto"/>
                <w:sz w:val="24"/>
                <w:szCs w:val="24"/>
                <w:highlight w:val="none"/>
              </w:rPr>
            </w:pPr>
          </w:p>
        </w:tc>
        <w:tc>
          <w:tcPr>
            <w:tcW w:w="1957" w:type="dxa"/>
            <w:tcBorders>
              <w:top w:val="single" w:color="auto" w:sz="4" w:space="0"/>
              <w:left w:val="single" w:color="auto" w:sz="4" w:space="0"/>
              <w:bottom w:val="single" w:color="auto" w:sz="4" w:space="0"/>
              <w:right w:val="single" w:color="auto" w:sz="4" w:space="0"/>
            </w:tcBorders>
            <w:vAlign w:val="top"/>
          </w:tcPr>
          <w:p w14:paraId="2A714B9A">
            <w:pPr>
              <w:spacing w:line="360" w:lineRule="auto"/>
              <w:rPr>
                <w:rFonts w:hint="eastAsia" w:ascii="仿宋" w:hAnsi="仿宋" w:eastAsia="仿宋" w:cs="仿宋"/>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14:paraId="563032BB">
            <w:pPr>
              <w:spacing w:line="360" w:lineRule="auto"/>
              <w:rPr>
                <w:rFonts w:hint="eastAsia" w:ascii="仿宋" w:hAnsi="仿宋" w:eastAsia="仿宋" w:cs="仿宋"/>
                <w:color w:val="auto"/>
                <w:sz w:val="24"/>
                <w:szCs w:val="24"/>
                <w:highlight w:val="none"/>
              </w:rPr>
            </w:pPr>
          </w:p>
        </w:tc>
        <w:tc>
          <w:tcPr>
            <w:tcW w:w="2524" w:type="dxa"/>
            <w:tcBorders>
              <w:top w:val="single" w:color="auto" w:sz="4" w:space="0"/>
              <w:left w:val="single" w:color="auto" w:sz="4" w:space="0"/>
              <w:bottom w:val="single" w:color="auto" w:sz="4" w:space="0"/>
              <w:right w:val="single" w:color="auto" w:sz="4" w:space="0"/>
            </w:tcBorders>
            <w:vAlign w:val="top"/>
          </w:tcPr>
          <w:p w14:paraId="5F99184D">
            <w:pPr>
              <w:spacing w:line="360" w:lineRule="auto"/>
              <w:rPr>
                <w:rFonts w:hint="eastAsia" w:ascii="仿宋" w:hAnsi="仿宋" w:eastAsia="仿宋" w:cs="仿宋"/>
                <w:color w:val="auto"/>
                <w:sz w:val="24"/>
                <w:szCs w:val="24"/>
                <w:highlight w:val="none"/>
              </w:rPr>
            </w:pPr>
          </w:p>
        </w:tc>
      </w:tr>
      <w:tr w14:paraId="0A81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878" w:type="dxa"/>
            <w:tcBorders>
              <w:top w:val="single" w:color="auto" w:sz="4" w:space="0"/>
              <w:left w:val="single" w:color="auto" w:sz="4" w:space="0"/>
              <w:bottom w:val="single" w:color="auto" w:sz="4" w:space="0"/>
              <w:right w:val="single" w:color="auto" w:sz="4" w:space="0"/>
            </w:tcBorders>
            <w:vAlign w:val="top"/>
          </w:tcPr>
          <w:p w14:paraId="3FB7A220">
            <w:pPr>
              <w:spacing w:line="360" w:lineRule="auto"/>
              <w:rPr>
                <w:rFonts w:hint="eastAsia" w:ascii="仿宋" w:hAnsi="仿宋" w:eastAsia="仿宋" w:cs="仿宋"/>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vAlign w:val="top"/>
          </w:tcPr>
          <w:p w14:paraId="2A4B70C7">
            <w:pPr>
              <w:spacing w:line="360" w:lineRule="auto"/>
              <w:rPr>
                <w:rFonts w:hint="eastAsia" w:ascii="仿宋" w:hAnsi="仿宋" w:eastAsia="仿宋" w:cs="仿宋"/>
                <w:color w:val="auto"/>
                <w:sz w:val="24"/>
                <w:szCs w:val="24"/>
                <w:highlight w:val="none"/>
              </w:rPr>
            </w:pPr>
          </w:p>
        </w:tc>
        <w:tc>
          <w:tcPr>
            <w:tcW w:w="1957" w:type="dxa"/>
            <w:tcBorders>
              <w:top w:val="single" w:color="auto" w:sz="4" w:space="0"/>
              <w:left w:val="single" w:color="auto" w:sz="4" w:space="0"/>
              <w:bottom w:val="single" w:color="auto" w:sz="4" w:space="0"/>
              <w:right w:val="single" w:color="auto" w:sz="4" w:space="0"/>
            </w:tcBorders>
            <w:vAlign w:val="top"/>
          </w:tcPr>
          <w:p w14:paraId="22926965">
            <w:pPr>
              <w:spacing w:line="360" w:lineRule="auto"/>
              <w:rPr>
                <w:rFonts w:hint="eastAsia" w:ascii="仿宋" w:hAnsi="仿宋" w:eastAsia="仿宋" w:cs="仿宋"/>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14:paraId="4A9F8344">
            <w:pPr>
              <w:spacing w:line="360" w:lineRule="auto"/>
              <w:rPr>
                <w:rFonts w:hint="eastAsia" w:ascii="仿宋" w:hAnsi="仿宋" w:eastAsia="仿宋" w:cs="仿宋"/>
                <w:color w:val="auto"/>
                <w:sz w:val="24"/>
                <w:szCs w:val="24"/>
                <w:highlight w:val="none"/>
              </w:rPr>
            </w:pPr>
          </w:p>
        </w:tc>
        <w:tc>
          <w:tcPr>
            <w:tcW w:w="2524" w:type="dxa"/>
            <w:tcBorders>
              <w:top w:val="single" w:color="auto" w:sz="4" w:space="0"/>
              <w:left w:val="single" w:color="auto" w:sz="4" w:space="0"/>
              <w:bottom w:val="single" w:color="auto" w:sz="4" w:space="0"/>
              <w:right w:val="single" w:color="auto" w:sz="4" w:space="0"/>
            </w:tcBorders>
            <w:vAlign w:val="top"/>
          </w:tcPr>
          <w:p w14:paraId="0A1637DE">
            <w:pPr>
              <w:spacing w:line="360" w:lineRule="auto"/>
              <w:rPr>
                <w:rFonts w:hint="eastAsia" w:ascii="仿宋" w:hAnsi="仿宋" w:eastAsia="仿宋" w:cs="仿宋"/>
                <w:color w:val="auto"/>
                <w:sz w:val="24"/>
                <w:szCs w:val="24"/>
                <w:highlight w:val="none"/>
              </w:rPr>
            </w:pPr>
          </w:p>
        </w:tc>
      </w:tr>
      <w:tr w14:paraId="0F70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78" w:type="dxa"/>
            <w:tcBorders>
              <w:top w:val="single" w:color="auto" w:sz="4" w:space="0"/>
              <w:left w:val="single" w:color="auto" w:sz="4" w:space="0"/>
              <w:bottom w:val="single" w:color="auto" w:sz="4" w:space="0"/>
              <w:right w:val="single" w:color="auto" w:sz="4" w:space="0"/>
            </w:tcBorders>
            <w:vAlign w:val="top"/>
          </w:tcPr>
          <w:p w14:paraId="2B931E15">
            <w:pPr>
              <w:spacing w:line="360" w:lineRule="auto"/>
              <w:rPr>
                <w:rFonts w:hint="eastAsia" w:ascii="仿宋" w:hAnsi="仿宋" w:eastAsia="仿宋" w:cs="仿宋"/>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vAlign w:val="top"/>
          </w:tcPr>
          <w:p w14:paraId="5E9A33BA">
            <w:pPr>
              <w:spacing w:line="360" w:lineRule="auto"/>
              <w:rPr>
                <w:rFonts w:hint="eastAsia" w:ascii="仿宋" w:hAnsi="仿宋" w:eastAsia="仿宋" w:cs="仿宋"/>
                <w:color w:val="auto"/>
                <w:sz w:val="24"/>
                <w:szCs w:val="24"/>
                <w:highlight w:val="none"/>
              </w:rPr>
            </w:pPr>
          </w:p>
        </w:tc>
        <w:tc>
          <w:tcPr>
            <w:tcW w:w="1957" w:type="dxa"/>
            <w:tcBorders>
              <w:top w:val="single" w:color="auto" w:sz="4" w:space="0"/>
              <w:left w:val="single" w:color="auto" w:sz="4" w:space="0"/>
              <w:bottom w:val="single" w:color="auto" w:sz="4" w:space="0"/>
              <w:right w:val="single" w:color="auto" w:sz="4" w:space="0"/>
            </w:tcBorders>
            <w:vAlign w:val="top"/>
          </w:tcPr>
          <w:p w14:paraId="5AFD9FA5">
            <w:pPr>
              <w:spacing w:line="360" w:lineRule="auto"/>
              <w:rPr>
                <w:rFonts w:hint="eastAsia" w:ascii="仿宋" w:hAnsi="仿宋" w:eastAsia="仿宋" w:cs="仿宋"/>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14:paraId="78F4B7D7">
            <w:pPr>
              <w:spacing w:line="360" w:lineRule="auto"/>
              <w:rPr>
                <w:rFonts w:hint="eastAsia" w:ascii="仿宋" w:hAnsi="仿宋" w:eastAsia="仿宋" w:cs="仿宋"/>
                <w:color w:val="auto"/>
                <w:sz w:val="24"/>
                <w:szCs w:val="24"/>
                <w:highlight w:val="none"/>
              </w:rPr>
            </w:pPr>
          </w:p>
        </w:tc>
        <w:tc>
          <w:tcPr>
            <w:tcW w:w="2524" w:type="dxa"/>
            <w:tcBorders>
              <w:top w:val="single" w:color="auto" w:sz="4" w:space="0"/>
              <w:left w:val="single" w:color="auto" w:sz="4" w:space="0"/>
              <w:bottom w:val="single" w:color="auto" w:sz="4" w:space="0"/>
              <w:right w:val="single" w:color="auto" w:sz="4" w:space="0"/>
            </w:tcBorders>
            <w:vAlign w:val="top"/>
          </w:tcPr>
          <w:p w14:paraId="27EDD6A7">
            <w:pPr>
              <w:spacing w:line="360" w:lineRule="auto"/>
              <w:rPr>
                <w:rFonts w:hint="eastAsia" w:ascii="仿宋" w:hAnsi="仿宋" w:eastAsia="仿宋" w:cs="仿宋"/>
                <w:color w:val="auto"/>
                <w:sz w:val="24"/>
                <w:szCs w:val="24"/>
                <w:highlight w:val="none"/>
              </w:rPr>
            </w:pPr>
          </w:p>
        </w:tc>
      </w:tr>
    </w:tbl>
    <w:p w14:paraId="359E7091">
      <w:pPr>
        <w:adjustRightIn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备注：投标人应根据投标设备的性能指标、对照招标文件要求在“偏离情况”栏注明“正偏离”、“负偏离”或“无偏离”。</w:t>
      </w:r>
    </w:p>
    <w:p w14:paraId="07D0066A">
      <w:pPr>
        <w:wordWrap w:val="0"/>
        <w:adjustRightInd w:val="0"/>
        <w:spacing w:line="440" w:lineRule="exact"/>
        <w:jc w:val="right"/>
        <w:rPr>
          <w:rFonts w:hint="eastAsia" w:ascii="仿宋" w:hAnsi="仿宋" w:eastAsia="仿宋" w:cs="仿宋"/>
          <w:color w:val="auto"/>
          <w:sz w:val="24"/>
          <w:szCs w:val="24"/>
          <w:highlight w:val="none"/>
        </w:rPr>
      </w:pPr>
    </w:p>
    <w:p w14:paraId="136EA952">
      <w:pPr>
        <w:adjustRightInd w:val="0"/>
        <w:spacing w:line="440" w:lineRule="exact"/>
        <w:jc w:val="right"/>
        <w:rPr>
          <w:rFonts w:hint="eastAsia" w:ascii="仿宋" w:hAnsi="仿宋" w:eastAsia="仿宋" w:cs="仿宋"/>
          <w:color w:val="auto"/>
          <w:sz w:val="24"/>
          <w:szCs w:val="24"/>
          <w:highlight w:val="none"/>
        </w:rPr>
      </w:pPr>
    </w:p>
    <w:p w14:paraId="440F4232">
      <w:pPr>
        <w:wordWrap w:val="0"/>
        <w:adjustRightInd w:val="0"/>
        <w:spacing w:line="44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投标人（公章）：     </w:t>
      </w:r>
    </w:p>
    <w:p w14:paraId="69730D8F">
      <w:pPr>
        <w:wordWrap w:val="0"/>
        <w:adjustRightInd w:val="0"/>
        <w:spacing w:line="44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法定代表人或授权代表（签字）：     </w:t>
      </w:r>
    </w:p>
    <w:p w14:paraId="1A797874">
      <w:pPr>
        <w:adjustRightIn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日期：20  年  月   日   </w:t>
      </w:r>
    </w:p>
    <w:p w14:paraId="6E6F0FC3">
      <w:pPr>
        <w:pStyle w:val="46"/>
        <w:shd w:val="clear" w:color="auto" w:fill="auto"/>
        <w:ind w:firstLine="480"/>
        <w:jc w:val="right"/>
        <w:rPr>
          <w:rFonts w:hint="eastAsia"/>
          <w:color w:val="auto"/>
          <w:sz w:val="24"/>
          <w:highlight w:val="none"/>
        </w:rPr>
      </w:pPr>
    </w:p>
    <w:p w14:paraId="23D47D02">
      <w:pPr>
        <w:pStyle w:val="46"/>
        <w:shd w:val="clear" w:color="auto" w:fill="auto"/>
        <w:ind w:firstLine="480"/>
        <w:jc w:val="right"/>
        <w:rPr>
          <w:rFonts w:hint="eastAsia"/>
          <w:color w:val="auto"/>
          <w:sz w:val="24"/>
          <w:highlight w:val="none"/>
        </w:rPr>
      </w:pPr>
    </w:p>
    <w:p w14:paraId="5A26B3F7">
      <w:pPr>
        <w:pStyle w:val="46"/>
        <w:shd w:val="clear" w:color="auto" w:fill="auto"/>
        <w:ind w:firstLine="480"/>
        <w:jc w:val="right"/>
        <w:rPr>
          <w:rFonts w:hint="eastAsia"/>
          <w:color w:val="auto"/>
          <w:sz w:val="24"/>
          <w:highlight w:val="none"/>
        </w:rPr>
      </w:pPr>
    </w:p>
    <w:p w14:paraId="541BAD26">
      <w:pPr>
        <w:pStyle w:val="46"/>
        <w:shd w:val="clear" w:color="auto" w:fill="auto"/>
        <w:ind w:firstLine="480"/>
        <w:jc w:val="right"/>
        <w:rPr>
          <w:rFonts w:hint="eastAsia"/>
          <w:color w:val="auto"/>
          <w:sz w:val="24"/>
          <w:highlight w:val="none"/>
        </w:rPr>
      </w:pPr>
    </w:p>
    <w:p w14:paraId="31C7B35E">
      <w:pPr>
        <w:pStyle w:val="46"/>
        <w:shd w:val="clear" w:color="auto" w:fill="auto"/>
        <w:ind w:firstLine="480"/>
        <w:jc w:val="right"/>
        <w:rPr>
          <w:rFonts w:hint="eastAsia"/>
          <w:color w:val="auto"/>
          <w:sz w:val="24"/>
          <w:highlight w:val="none"/>
        </w:rPr>
      </w:pPr>
    </w:p>
    <w:p w14:paraId="5EF1A4DF">
      <w:pPr>
        <w:pStyle w:val="46"/>
        <w:shd w:val="clear" w:color="auto" w:fill="auto"/>
        <w:ind w:firstLine="480"/>
        <w:jc w:val="right"/>
        <w:rPr>
          <w:rFonts w:hint="eastAsia"/>
          <w:color w:val="auto"/>
          <w:sz w:val="24"/>
          <w:highlight w:val="none"/>
        </w:rPr>
      </w:pPr>
    </w:p>
    <w:p w14:paraId="647EC558">
      <w:pPr>
        <w:pStyle w:val="46"/>
        <w:shd w:val="clear" w:color="auto" w:fill="auto"/>
        <w:ind w:firstLine="480"/>
        <w:jc w:val="right"/>
        <w:rPr>
          <w:rFonts w:hint="eastAsia"/>
          <w:color w:val="auto"/>
          <w:sz w:val="24"/>
          <w:highlight w:val="none"/>
        </w:rPr>
      </w:pPr>
    </w:p>
    <w:p w14:paraId="081057AE">
      <w:pPr>
        <w:pStyle w:val="46"/>
        <w:shd w:val="clear" w:color="auto" w:fill="auto"/>
        <w:ind w:firstLine="480"/>
        <w:jc w:val="right"/>
        <w:rPr>
          <w:rFonts w:ascii="仿宋" w:hAnsi="仿宋" w:eastAsia="仿宋"/>
          <w:b/>
          <w:color w:val="auto"/>
          <w:sz w:val="32"/>
          <w:szCs w:val="32"/>
          <w:highlight w:val="none"/>
          <w:lang w:eastAsia="zh-CN"/>
        </w:rPr>
      </w:pPr>
    </w:p>
    <w:p w14:paraId="0F1FC076">
      <w:pPr>
        <w:pStyle w:val="46"/>
        <w:shd w:val="clear" w:color="auto" w:fill="auto"/>
        <w:ind w:firstLine="480"/>
        <w:jc w:val="right"/>
        <w:rPr>
          <w:rFonts w:ascii="仿宋" w:hAnsi="仿宋" w:eastAsia="仿宋"/>
          <w:b/>
          <w:color w:val="auto"/>
          <w:sz w:val="32"/>
          <w:szCs w:val="32"/>
          <w:highlight w:val="none"/>
          <w:lang w:eastAsia="zh-CN"/>
        </w:rPr>
      </w:pPr>
    </w:p>
    <w:p w14:paraId="443D0A6E">
      <w:pPr>
        <w:pStyle w:val="46"/>
        <w:shd w:val="clear" w:color="auto" w:fill="auto"/>
        <w:ind w:firstLine="480"/>
        <w:jc w:val="right"/>
        <w:rPr>
          <w:rFonts w:ascii="仿宋" w:hAnsi="仿宋" w:eastAsia="仿宋"/>
          <w:b/>
          <w:color w:val="auto"/>
          <w:sz w:val="32"/>
          <w:szCs w:val="32"/>
          <w:highlight w:val="none"/>
          <w:lang w:eastAsia="zh-CN"/>
        </w:rPr>
      </w:pPr>
    </w:p>
    <w:p w14:paraId="363D6C1D">
      <w:pPr>
        <w:pStyle w:val="46"/>
        <w:shd w:val="clear" w:color="auto" w:fill="auto"/>
        <w:ind w:firstLine="480"/>
        <w:jc w:val="center"/>
        <w:rPr>
          <w:rFonts w:ascii="仿宋" w:hAnsi="仿宋" w:eastAsia="仿宋"/>
          <w:b/>
          <w:color w:val="auto"/>
          <w:sz w:val="32"/>
          <w:szCs w:val="32"/>
          <w:highlight w:val="none"/>
        </w:rPr>
      </w:pPr>
      <w:r>
        <w:rPr>
          <w:rFonts w:ascii="仿宋" w:hAnsi="仿宋" w:eastAsia="仿宋"/>
          <w:b/>
          <w:color w:val="auto"/>
          <w:sz w:val="32"/>
          <w:szCs w:val="32"/>
          <w:highlight w:val="none"/>
          <w:lang w:eastAsia="zh-CN"/>
        </w:rPr>
        <w:br w:type="page"/>
      </w:r>
      <w:r>
        <w:rPr>
          <w:rFonts w:ascii="仿宋" w:hAnsi="仿宋" w:eastAsia="仿宋"/>
          <w:b/>
          <w:color w:val="auto"/>
          <w:sz w:val="32"/>
          <w:szCs w:val="32"/>
          <w:highlight w:val="none"/>
          <w:lang w:eastAsia="zh-CN"/>
        </w:rPr>
        <w:t>九</w:t>
      </w:r>
      <w:r>
        <w:rPr>
          <w:rFonts w:ascii="仿宋" w:hAnsi="仿宋" w:eastAsia="仿宋"/>
          <w:b/>
          <w:color w:val="auto"/>
          <w:sz w:val="32"/>
          <w:szCs w:val="32"/>
          <w:highlight w:val="none"/>
        </w:rPr>
        <w:t>、评分对应表</w:t>
      </w:r>
    </w:p>
    <w:p w14:paraId="7F51B808">
      <w:pPr>
        <w:pStyle w:val="46"/>
        <w:shd w:val="clear" w:color="auto" w:fill="auto"/>
        <w:spacing w:line="440" w:lineRule="exact"/>
        <w:ind w:firstLine="482"/>
        <w:rPr>
          <w:rFonts w:ascii="仿宋" w:hAnsi="仿宋" w:eastAsia="仿宋"/>
          <w:b/>
          <w:color w:val="auto"/>
          <w:sz w:val="24"/>
          <w:highlight w:val="none"/>
        </w:rPr>
      </w:pPr>
      <w:r>
        <w:rPr>
          <w:rFonts w:ascii="仿宋" w:hAnsi="仿宋" w:eastAsia="仿宋"/>
          <w:b/>
          <w:color w:val="auto"/>
          <w:sz w:val="24"/>
          <w:highlight w:val="none"/>
        </w:rPr>
        <w:t>项目编号：</w:t>
      </w:r>
      <w:r>
        <w:rPr>
          <w:rFonts w:ascii="仿宋" w:hAnsi="仿宋" w:eastAsia="仿宋"/>
          <w:bCs/>
          <w:color w:val="auto"/>
          <w:sz w:val="24"/>
          <w:szCs w:val="24"/>
          <w:highlight w:val="none"/>
        </w:rPr>
        <w:t xml:space="preserve"> </w:t>
      </w:r>
    </w:p>
    <w:tbl>
      <w:tblPr>
        <w:tblStyle w:val="34"/>
        <w:tblW w:w="8569" w:type="dxa"/>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168"/>
        <w:gridCol w:w="1366"/>
        <w:gridCol w:w="3237"/>
        <w:gridCol w:w="2798"/>
      </w:tblGrid>
      <w:tr w14:paraId="2CCD942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77"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563527E6">
            <w:pPr>
              <w:pStyle w:val="65"/>
              <w:shd w:val="clear" w:color="auto" w:fill="auto"/>
              <w:ind w:left="0"/>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序号</w:t>
            </w:r>
          </w:p>
        </w:tc>
        <w:tc>
          <w:tcPr>
            <w:tcW w:w="1366" w:type="dxa"/>
            <w:tcBorders>
              <w:top w:val="single" w:color="auto" w:sz="4" w:space="0"/>
              <w:left w:val="single" w:color="auto" w:sz="4" w:space="0"/>
              <w:bottom w:val="single" w:color="auto" w:sz="4" w:space="0"/>
              <w:right w:val="single" w:color="auto" w:sz="4" w:space="0"/>
            </w:tcBorders>
            <w:vAlign w:val="center"/>
          </w:tcPr>
          <w:p w14:paraId="0F7A738A">
            <w:pPr>
              <w:pStyle w:val="65"/>
              <w:shd w:val="clear" w:color="auto" w:fill="auto"/>
              <w:ind w:left="0"/>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评审内容</w:t>
            </w:r>
          </w:p>
        </w:tc>
        <w:tc>
          <w:tcPr>
            <w:tcW w:w="3237" w:type="dxa"/>
            <w:tcBorders>
              <w:top w:val="single" w:color="auto" w:sz="4" w:space="0"/>
              <w:left w:val="single" w:color="auto" w:sz="4" w:space="0"/>
              <w:bottom w:val="single" w:color="auto" w:sz="4" w:space="0"/>
              <w:right w:val="single" w:color="auto" w:sz="4" w:space="0"/>
            </w:tcBorders>
            <w:vAlign w:val="center"/>
          </w:tcPr>
          <w:p w14:paraId="7A04B161">
            <w:pPr>
              <w:pStyle w:val="65"/>
              <w:shd w:val="clear" w:color="auto" w:fill="auto"/>
              <w:ind w:left="0"/>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评分标准</w:t>
            </w:r>
          </w:p>
        </w:tc>
        <w:tc>
          <w:tcPr>
            <w:tcW w:w="2798" w:type="dxa"/>
            <w:tcBorders>
              <w:top w:val="single" w:color="auto" w:sz="4" w:space="0"/>
              <w:left w:val="single" w:color="auto" w:sz="4" w:space="0"/>
              <w:bottom w:val="single" w:color="auto" w:sz="4" w:space="0"/>
              <w:right w:val="single" w:color="auto" w:sz="4" w:space="0"/>
            </w:tcBorders>
            <w:vAlign w:val="center"/>
          </w:tcPr>
          <w:p w14:paraId="74FF0787">
            <w:pPr>
              <w:pStyle w:val="65"/>
              <w:shd w:val="clear" w:color="auto" w:fill="auto"/>
              <w:ind w:left="0"/>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页码</w:t>
            </w:r>
          </w:p>
        </w:tc>
      </w:tr>
      <w:tr w14:paraId="5E22538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428A3A2E">
            <w:pPr>
              <w:pStyle w:val="65"/>
              <w:shd w:val="clear" w:color="auto" w:fill="auto"/>
              <w:ind w:left="0"/>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一</w:t>
            </w:r>
          </w:p>
        </w:tc>
        <w:tc>
          <w:tcPr>
            <w:tcW w:w="1366" w:type="dxa"/>
            <w:tcBorders>
              <w:top w:val="single" w:color="auto" w:sz="4" w:space="0"/>
              <w:left w:val="single" w:color="auto" w:sz="4" w:space="0"/>
              <w:bottom w:val="single" w:color="auto" w:sz="4" w:space="0"/>
              <w:right w:val="single" w:color="auto" w:sz="4" w:space="0"/>
            </w:tcBorders>
            <w:vAlign w:val="center"/>
          </w:tcPr>
          <w:p w14:paraId="5AD21A00">
            <w:pPr>
              <w:pStyle w:val="65"/>
              <w:shd w:val="clear" w:color="auto" w:fill="auto"/>
              <w:ind w:left="0"/>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技术分</w:t>
            </w:r>
          </w:p>
        </w:tc>
        <w:tc>
          <w:tcPr>
            <w:tcW w:w="3237" w:type="dxa"/>
            <w:tcBorders>
              <w:top w:val="single" w:color="auto" w:sz="4" w:space="0"/>
              <w:left w:val="single" w:color="auto" w:sz="4" w:space="0"/>
              <w:bottom w:val="single" w:color="auto" w:sz="4" w:space="0"/>
              <w:right w:val="single" w:color="auto" w:sz="4" w:space="0"/>
            </w:tcBorders>
            <w:vAlign w:val="center"/>
          </w:tcPr>
          <w:p w14:paraId="5D25DDC1">
            <w:pPr>
              <w:pStyle w:val="65"/>
              <w:shd w:val="clear" w:color="auto" w:fill="auto"/>
              <w:ind w:firstLine="482"/>
              <w:jc w:val="center"/>
              <w:rPr>
                <w:rFonts w:ascii="仿宋" w:hAnsi="仿宋" w:eastAsia="仿宋"/>
                <w:b/>
                <w:bCs/>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7C9B5803">
            <w:pPr>
              <w:pStyle w:val="65"/>
              <w:shd w:val="clear" w:color="auto" w:fill="auto"/>
              <w:jc w:val="center"/>
              <w:rPr>
                <w:rFonts w:ascii="仿宋" w:hAnsi="仿宋" w:eastAsia="仿宋"/>
                <w:b/>
                <w:bCs/>
                <w:color w:val="auto"/>
                <w:sz w:val="24"/>
                <w:szCs w:val="24"/>
                <w:highlight w:val="none"/>
              </w:rPr>
            </w:pPr>
          </w:p>
        </w:tc>
      </w:tr>
      <w:tr w14:paraId="16AA0F0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3FDD7311">
            <w:pPr>
              <w:pStyle w:val="46"/>
              <w:widowControl/>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1</w:t>
            </w:r>
          </w:p>
        </w:tc>
        <w:tc>
          <w:tcPr>
            <w:tcW w:w="1366" w:type="dxa"/>
            <w:tcBorders>
              <w:top w:val="single" w:color="auto" w:sz="4" w:space="0"/>
              <w:left w:val="single" w:color="auto" w:sz="4" w:space="0"/>
              <w:bottom w:val="single" w:color="auto" w:sz="4" w:space="0"/>
              <w:right w:val="single" w:color="auto" w:sz="4" w:space="0"/>
            </w:tcBorders>
            <w:vAlign w:val="center"/>
          </w:tcPr>
          <w:p w14:paraId="74C66CF1">
            <w:pPr>
              <w:pStyle w:val="46"/>
              <w:shd w:val="clear" w:color="auto" w:fill="auto"/>
              <w:jc w:val="center"/>
              <w:rPr>
                <w:rFonts w:ascii="仿宋" w:hAnsi="仿宋" w:eastAsia="仿宋"/>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6C897EE8">
            <w:pPr>
              <w:pStyle w:val="46"/>
              <w:shd w:val="clear" w:color="auto" w:fill="auto"/>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3A4400FB">
            <w:pPr>
              <w:pStyle w:val="46"/>
              <w:shd w:val="clear" w:color="auto" w:fill="auto"/>
              <w:jc w:val="center"/>
              <w:rPr>
                <w:rFonts w:ascii="仿宋" w:hAnsi="仿宋" w:eastAsia="仿宋"/>
                <w:bCs/>
                <w:color w:val="auto"/>
                <w:sz w:val="24"/>
                <w:szCs w:val="24"/>
                <w:highlight w:val="none"/>
              </w:rPr>
            </w:pPr>
          </w:p>
        </w:tc>
      </w:tr>
      <w:tr w14:paraId="34C68E6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6D815334">
            <w:pPr>
              <w:pStyle w:val="46"/>
              <w:widowControl/>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2</w:t>
            </w:r>
          </w:p>
        </w:tc>
        <w:tc>
          <w:tcPr>
            <w:tcW w:w="1366" w:type="dxa"/>
            <w:tcBorders>
              <w:top w:val="single" w:color="auto" w:sz="4" w:space="0"/>
              <w:left w:val="single" w:color="auto" w:sz="4" w:space="0"/>
              <w:bottom w:val="single" w:color="auto" w:sz="4" w:space="0"/>
              <w:right w:val="single" w:color="auto" w:sz="4" w:space="0"/>
            </w:tcBorders>
            <w:vAlign w:val="center"/>
          </w:tcPr>
          <w:p w14:paraId="3476561C">
            <w:pPr>
              <w:pStyle w:val="46"/>
              <w:shd w:val="clear" w:color="auto" w:fill="auto"/>
              <w:spacing w:line="320" w:lineRule="exact"/>
              <w:jc w:val="center"/>
              <w:rPr>
                <w:rFonts w:ascii="仿宋" w:hAnsi="仿宋" w:eastAsia="仿宋"/>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072D39DC">
            <w:pPr>
              <w:pStyle w:val="46"/>
              <w:widowControl/>
              <w:shd w:val="clear" w:color="auto" w:fill="auto"/>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5278F9A2">
            <w:pPr>
              <w:pStyle w:val="46"/>
              <w:shd w:val="clear" w:color="auto" w:fill="auto"/>
              <w:jc w:val="center"/>
              <w:rPr>
                <w:rFonts w:ascii="仿宋" w:hAnsi="仿宋" w:eastAsia="仿宋"/>
                <w:bCs/>
                <w:color w:val="auto"/>
                <w:sz w:val="24"/>
                <w:szCs w:val="24"/>
                <w:highlight w:val="none"/>
              </w:rPr>
            </w:pPr>
          </w:p>
        </w:tc>
      </w:tr>
      <w:tr w14:paraId="0C3A337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2A5CE365">
            <w:pPr>
              <w:pStyle w:val="46"/>
              <w:widowControl/>
              <w:shd w:val="clear" w:color="auto" w:fill="auto"/>
              <w:jc w:val="center"/>
              <w:rPr>
                <w:rFonts w:ascii="仿宋" w:hAnsi="仿宋" w:eastAsia="仿宋"/>
                <w:color w:val="auto"/>
                <w:sz w:val="24"/>
                <w:szCs w:val="24"/>
                <w:highlight w:val="none"/>
              </w:rPr>
            </w:pPr>
            <w:r>
              <w:rPr>
                <w:rFonts w:ascii="仿宋" w:hAnsi="仿宋" w:eastAsia="仿宋"/>
                <w:color w:val="auto"/>
                <w:sz w:val="24"/>
                <w:szCs w:val="24"/>
                <w:highlight w:val="none"/>
              </w:rPr>
              <w:t>……</w:t>
            </w:r>
          </w:p>
        </w:tc>
        <w:tc>
          <w:tcPr>
            <w:tcW w:w="1366" w:type="dxa"/>
            <w:tcBorders>
              <w:top w:val="single" w:color="auto" w:sz="4" w:space="0"/>
              <w:left w:val="single" w:color="auto" w:sz="4" w:space="0"/>
              <w:bottom w:val="single" w:color="auto" w:sz="4" w:space="0"/>
              <w:right w:val="single" w:color="auto" w:sz="4" w:space="0"/>
            </w:tcBorders>
            <w:vAlign w:val="center"/>
          </w:tcPr>
          <w:p w14:paraId="7B2EA00B">
            <w:pPr>
              <w:pStyle w:val="46"/>
              <w:widowControl/>
              <w:shd w:val="clear" w:color="auto" w:fill="auto"/>
              <w:jc w:val="center"/>
              <w:rPr>
                <w:rFonts w:ascii="仿宋" w:hAnsi="仿宋" w:eastAsia="仿宋"/>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173F11BA">
            <w:pPr>
              <w:pStyle w:val="46"/>
              <w:shd w:val="clear" w:color="auto" w:fill="auto"/>
              <w:ind w:left="55"/>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372780F5">
            <w:pPr>
              <w:pStyle w:val="46"/>
              <w:shd w:val="clear" w:color="auto" w:fill="auto"/>
              <w:jc w:val="center"/>
              <w:rPr>
                <w:rFonts w:ascii="仿宋" w:hAnsi="仿宋" w:eastAsia="仿宋"/>
                <w:bCs/>
                <w:color w:val="auto"/>
                <w:sz w:val="24"/>
                <w:szCs w:val="24"/>
                <w:highlight w:val="none"/>
              </w:rPr>
            </w:pPr>
          </w:p>
        </w:tc>
      </w:tr>
      <w:tr w14:paraId="04674D0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3D4BD136">
            <w:pPr>
              <w:pStyle w:val="46"/>
              <w:widowControl/>
              <w:shd w:val="clear" w:color="auto" w:fill="auto"/>
              <w:jc w:val="center"/>
              <w:rPr>
                <w:rFonts w:ascii="仿宋" w:hAnsi="仿宋" w:eastAsia="仿宋"/>
                <w:b/>
                <w:color w:val="auto"/>
                <w:sz w:val="24"/>
                <w:szCs w:val="24"/>
                <w:highlight w:val="none"/>
              </w:rPr>
            </w:pPr>
            <w:r>
              <w:rPr>
                <w:rFonts w:ascii="仿宋" w:hAnsi="仿宋" w:eastAsia="仿宋"/>
                <w:b/>
                <w:color w:val="auto"/>
                <w:sz w:val="24"/>
                <w:szCs w:val="24"/>
                <w:highlight w:val="none"/>
              </w:rPr>
              <w:t>二</w:t>
            </w:r>
          </w:p>
        </w:tc>
        <w:tc>
          <w:tcPr>
            <w:tcW w:w="1366" w:type="dxa"/>
            <w:tcBorders>
              <w:top w:val="single" w:color="auto" w:sz="4" w:space="0"/>
              <w:left w:val="single" w:color="auto" w:sz="4" w:space="0"/>
              <w:bottom w:val="single" w:color="auto" w:sz="4" w:space="0"/>
              <w:right w:val="single" w:color="auto" w:sz="4" w:space="0"/>
            </w:tcBorders>
            <w:vAlign w:val="center"/>
          </w:tcPr>
          <w:p w14:paraId="0BEB5628">
            <w:pPr>
              <w:pStyle w:val="46"/>
              <w:widowControl/>
              <w:shd w:val="clear" w:color="auto" w:fill="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lang w:val="en-US" w:eastAsia="zh-CN"/>
              </w:rPr>
              <w:t>资信</w:t>
            </w:r>
            <w:r>
              <w:rPr>
                <w:rFonts w:ascii="仿宋" w:hAnsi="仿宋" w:eastAsia="仿宋"/>
                <w:b/>
                <w:color w:val="auto"/>
                <w:sz w:val="24"/>
                <w:szCs w:val="24"/>
                <w:highlight w:val="none"/>
              </w:rPr>
              <w:t>分</w:t>
            </w:r>
          </w:p>
        </w:tc>
        <w:tc>
          <w:tcPr>
            <w:tcW w:w="3237" w:type="dxa"/>
            <w:tcBorders>
              <w:top w:val="single" w:color="auto" w:sz="4" w:space="0"/>
              <w:left w:val="single" w:color="auto" w:sz="4" w:space="0"/>
              <w:bottom w:val="single" w:color="auto" w:sz="4" w:space="0"/>
              <w:right w:val="single" w:color="auto" w:sz="4" w:space="0"/>
            </w:tcBorders>
            <w:vAlign w:val="center"/>
          </w:tcPr>
          <w:p w14:paraId="1C33FD03">
            <w:pPr>
              <w:pStyle w:val="65"/>
              <w:shd w:val="clear" w:color="auto" w:fill="auto"/>
              <w:jc w:val="center"/>
              <w:rPr>
                <w:rFonts w:ascii="仿宋" w:hAnsi="仿宋" w:eastAsia="仿宋"/>
                <w:b/>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75A7B9F0">
            <w:pPr>
              <w:pStyle w:val="65"/>
              <w:shd w:val="clear" w:color="auto" w:fill="auto"/>
              <w:jc w:val="center"/>
              <w:rPr>
                <w:rFonts w:ascii="仿宋" w:hAnsi="仿宋" w:eastAsia="仿宋"/>
                <w:b/>
                <w:color w:val="auto"/>
                <w:sz w:val="24"/>
                <w:szCs w:val="24"/>
                <w:highlight w:val="none"/>
              </w:rPr>
            </w:pPr>
          </w:p>
        </w:tc>
      </w:tr>
      <w:tr w14:paraId="3651BA1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2FD15B80">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70E550CD">
            <w:pPr>
              <w:pStyle w:val="46"/>
              <w:shd w:val="clear" w:color="auto" w:fill="auto"/>
              <w:spacing w:line="320" w:lineRule="exact"/>
              <w:jc w:val="center"/>
              <w:rPr>
                <w:rFonts w:ascii="仿宋" w:hAnsi="仿宋" w:eastAsia="仿宋"/>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231E4005">
            <w:pPr>
              <w:pStyle w:val="46"/>
              <w:shd w:val="clear" w:color="auto" w:fill="auto"/>
              <w:spacing w:line="320" w:lineRule="exact"/>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2B46334B">
            <w:pPr>
              <w:pStyle w:val="46"/>
              <w:shd w:val="clear" w:color="auto" w:fill="auto"/>
              <w:rPr>
                <w:rFonts w:ascii="仿宋" w:hAnsi="仿宋" w:eastAsia="仿宋"/>
                <w:bCs/>
                <w:color w:val="auto"/>
                <w:sz w:val="24"/>
                <w:szCs w:val="24"/>
                <w:highlight w:val="none"/>
              </w:rPr>
            </w:pPr>
          </w:p>
        </w:tc>
      </w:tr>
      <w:tr w14:paraId="0F61975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460C388D">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6136C80D">
            <w:pPr>
              <w:pStyle w:val="46"/>
              <w:shd w:val="clear" w:color="auto" w:fill="auto"/>
              <w:jc w:val="center"/>
              <w:rPr>
                <w:rFonts w:ascii="仿宋" w:hAnsi="仿宋" w:eastAsia="仿宋"/>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601AF9D3">
            <w:pPr>
              <w:pStyle w:val="46"/>
              <w:shd w:val="clear" w:color="auto" w:fill="auto"/>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3BF69C89">
            <w:pPr>
              <w:pStyle w:val="65"/>
              <w:shd w:val="clear" w:color="auto" w:fill="auto"/>
              <w:jc w:val="center"/>
              <w:rPr>
                <w:rFonts w:ascii="仿宋" w:hAnsi="仿宋" w:eastAsia="仿宋"/>
                <w:color w:val="auto"/>
                <w:sz w:val="24"/>
                <w:szCs w:val="24"/>
                <w:highlight w:val="none"/>
              </w:rPr>
            </w:pPr>
          </w:p>
        </w:tc>
      </w:tr>
      <w:tr w14:paraId="3E84022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27993F96">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14B8F50C">
            <w:pPr>
              <w:pStyle w:val="46"/>
              <w:shd w:val="clear" w:color="auto" w:fill="auto"/>
              <w:jc w:val="center"/>
              <w:rPr>
                <w:rFonts w:ascii="仿宋" w:hAnsi="仿宋" w:eastAsia="仿宋"/>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04342D86">
            <w:pPr>
              <w:pStyle w:val="46"/>
              <w:shd w:val="clear" w:color="auto" w:fill="auto"/>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1A6A6325">
            <w:pPr>
              <w:pStyle w:val="65"/>
              <w:shd w:val="clear" w:color="auto" w:fill="auto"/>
              <w:jc w:val="center"/>
              <w:rPr>
                <w:rFonts w:ascii="仿宋" w:hAnsi="仿宋" w:eastAsia="仿宋"/>
                <w:color w:val="auto"/>
                <w:sz w:val="24"/>
                <w:szCs w:val="24"/>
                <w:highlight w:val="none"/>
              </w:rPr>
            </w:pPr>
          </w:p>
        </w:tc>
      </w:tr>
      <w:tr w14:paraId="03D1096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1EA7F37C">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7E0E1E62">
            <w:pPr>
              <w:pStyle w:val="46"/>
              <w:widowControl/>
              <w:shd w:val="clear" w:color="auto" w:fill="auto"/>
              <w:jc w:val="center"/>
              <w:rPr>
                <w:rFonts w:ascii="仿宋" w:hAnsi="仿宋" w:eastAsia="仿宋"/>
                <w:b/>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5C8EA076">
            <w:pPr>
              <w:pStyle w:val="65"/>
              <w:shd w:val="clear" w:color="auto" w:fill="auto"/>
              <w:jc w:val="center"/>
              <w:rPr>
                <w:rFonts w:ascii="仿宋" w:hAnsi="仿宋" w:eastAsia="仿宋"/>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6A6E4364">
            <w:pPr>
              <w:pStyle w:val="46"/>
              <w:widowControl/>
              <w:shd w:val="clear" w:color="auto" w:fill="auto"/>
              <w:jc w:val="center"/>
              <w:rPr>
                <w:rFonts w:ascii="仿宋" w:hAnsi="仿宋" w:eastAsia="仿宋"/>
                <w:b/>
                <w:color w:val="auto"/>
                <w:sz w:val="24"/>
                <w:szCs w:val="24"/>
                <w:highlight w:val="none"/>
              </w:rPr>
            </w:pPr>
          </w:p>
        </w:tc>
      </w:tr>
      <w:tr w14:paraId="7DC4F5E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6BDC93ED">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24EDB075">
            <w:pPr>
              <w:pStyle w:val="46"/>
              <w:shd w:val="clear" w:color="auto" w:fill="auto"/>
              <w:spacing w:line="320" w:lineRule="exact"/>
              <w:jc w:val="center"/>
              <w:rPr>
                <w:rFonts w:ascii="仿宋" w:hAnsi="仿宋" w:eastAsia="仿宋"/>
                <w:bCs/>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7A1C36C6">
            <w:pPr>
              <w:pStyle w:val="46"/>
              <w:shd w:val="clear" w:color="auto" w:fill="auto"/>
              <w:jc w:val="center"/>
              <w:rPr>
                <w:rFonts w:ascii="仿宋" w:hAnsi="仿宋" w:eastAsia="仿宋"/>
                <w:bCs/>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15B75A4F">
            <w:pPr>
              <w:pStyle w:val="46"/>
              <w:shd w:val="clear" w:color="auto" w:fill="auto"/>
              <w:jc w:val="center"/>
              <w:rPr>
                <w:rFonts w:ascii="仿宋" w:hAnsi="仿宋" w:eastAsia="仿宋"/>
                <w:bCs/>
                <w:color w:val="auto"/>
                <w:sz w:val="24"/>
                <w:szCs w:val="24"/>
                <w:highlight w:val="none"/>
              </w:rPr>
            </w:pPr>
          </w:p>
        </w:tc>
      </w:tr>
      <w:tr w14:paraId="6EC5FCD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26709108">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36204EB1">
            <w:pPr>
              <w:pStyle w:val="46"/>
              <w:shd w:val="clear" w:color="auto" w:fill="auto"/>
              <w:spacing w:line="320" w:lineRule="exact"/>
              <w:jc w:val="center"/>
              <w:rPr>
                <w:rFonts w:ascii="仿宋" w:hAnsi="仿宋" w:eastAsia="仿宋"/>
                <w:bCs/>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5ED1D868">
            <w:pPr>
              <w:pStyle w:val="46"/>
              <w:shd w:val="clear" w:color="auto" w:fill="auto"/>
              <w:jc w:val="center"/>
              <w:rPr>
                <w:rFonts w:ascii="仿宋" w:hAnsi="仿宋" w:eastAsia="仿宋"/>
                <w:bCs/>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36179E58">
            <w:pPr>
              <w:pStyle w:val="46"/>
              <w:shd w:val="clear" w:color="auto" w:fill="auto"/>
              <w:jc w:val="center"/>
              <w:rPr>
                <w:rFonts w:ascii="仿宋" w:hAnsi="仿宋" w:eastAsia="仿宋"/>
                <w:bCs/>
                <w:color w:val="auto"/>
                <w:sz w:val="24"/>
                <w:szCs w:val="24"/>
                <w:highlight w:val="none"/>
              </w:rPr>
            </w:pPr>
          </w:p>
        </w:tc>
      </w:tr>
      <w:tr w14:paraId="58A8AD4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cantSplit/>
          <w:trHeight w:val="61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07F64A4D">
            <w:pPr>
              <w:pStyle w:val="46"/>
              <w:widowControl/>
              <w:shd w:val="clear" w:color="auto" w:fill="auto"/>
              <w:jc w:val="center"/>
              <w:rPr>
                <w:rFonts w:ascii="仿宋" w:hAnsi="仿宋" w:eastAsia="仿宋"/>
                <w:color w:val="auto"/>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69F04676">
            <w:pPr>
              <w:pStyle w:val="46"/>
              <w:shd w:val="clear" w:color="auto" w:fill="auto"/>
              <w:spacing w:line="320" w:lineRule="exact"/>
              <w:jc w:val="center"/>
              <w:rPr>
                <w:rFonts w:ascii="仿宋" w:hAnsi="仿宋" w:eastAsia="仿宋"/>
                <w:bCs/>
                <w:color w:val="auto"/>
                <w:sz w:val="24"/>
                <w:szCs w:val="24"/>
                <w:highlight w:val="none"/>
              </w:rPr>
            </w:pPr>
          </w:p>
        </w:tc>
        <w:tc>
          <w:tcPr>
            <w:tcW w:w="3237" w:type="dxa"/>
            <w:tcBorders>
              <w:top w:val="single" w:color="auto" w:sz="4" w:space="0"/>
              <w:left w:val="single" w:color="auto" w:sz="4" w:space="0"/>
              <w:bottom w:val="single" w:color="auto" w:sz="4" w:space="0"/>
              <w:right w:val="single" w:color="auto" w:sz="4" w:space="0"/>
            </w:tcBorders>
            <w:vAlign w:val="center"/>
          </w:tcPr>
          <w:p w14:paraId="619AE23B">
            <w:pPr>
              <w:pStyle w:val="46"/>
              <w:shd w:val="clear" w:color="auto" w:fill="auto"/>
              <w:jc w:val="center"/>
              <w:rPr>
                <w:rFonts w:ascii="仿宋" w:hAnsi="仿宋" w:eastAsia="仿宋"/>
                <w:bCs/>
                <w:color w:val="auto"/>
                <w:sz w:val="24"/>
                <w:szCs w:val="24"/>
                <w:highlight w:val="none"/>
              </w:rPr>
            </w:pPr>
          </w:p>
        </w:tc>
        <w:tc>
          <w:tcPr>
            <w:tcW w:w="2798" w:type="dxa"/>
            <w:tcBorders>
              <w:top w:val="single" w:color="auto" w:sz="4" w:space="0"/>
              <w:left w:val="single" w:color="auto" w:sz="4" w:space="0"/>
              <w:bottom w:val="single" w:color="auto" w:sz="4" w:space="0"/>
              <w:right w:val="single" w:color="auto" w:sz="4" w:space="0"/>
            </w:tcBorders>
            <w:vAlign w:val="center"/>
          </w:tcPr>
          <w:p w14:paraId="513088F7">
            <w:pPr>
              <w:pStyle w:val="46"/>
              <w:shd w:val="clear" w:color="auto" w:fill="auto"/>
              <w:jc w:val="center"/>
              <w:rPr>
                <w:rFonts w:ascii="仿宋" w:hAnsi="仿宋" w:eastAsia="仿宋"/>
                <w:bCs/>
                <w:color w:val="auto"/>
                <w:sz w:val="24"/>
                <w:szCs w:val="24"/>
                <w:highlight w:val="none"/>
              </w:rPr>
            </w:pPr>
          </w:p>
        </w:tc>
      </w:tr>
    </w:tbl>
    <w:p w14:paraId="733913A5">
      <w:pPr>
        <w:pStyle w:val="46"/>
        <w:shd w:val="clear" w:color="auto" w:fill="auto"/>
        <w:spacing w:before="50" w:after="50"/>
        <w:ind w:firstLine="480"/>
        <w:rPr>
          <w:rFonts w:ascii="仿宋" w:hAnsi="仿宋" w:eastAsia="仿宋"/>
          <w:color w:val="auto"/>
          <w:sz w:val="24"/>
          <w:highlight w:val="none"/>
        </w:rPr>
      </w:pPr>
      <w:r>
        <w:rPr>
          <w:rFonts w:ascii="仿宋" w:hAnsi="仿宋" w:eastAsia="仿宋"/>
          <w:color w:val="auto"/>
          <w:sz w:val="24"/>
          <w:highlight w:val="none"/>
        </w:rPr>
        <w:t>注：评分对应表主要用于作为专家评分的一个参考及查阅依据。</w:t>
      </w:r>
    </w:p>
    <w:p w14:paraId="6C161828">
      <w:pPr>
        <w:pStyle w:val="46"/>
        <w:shd w:val="clear" w:color="auto" w:fill="auto"/>
        <w:jc w:val="center"/>
        <w:rPr>
          <w:rFonts w:ascii="仿宋" w:hAnsi="仿宋" w:eastAsia="仿宋"/>
          <w:b/>
          <w:color w:val="auto"/>
          <w:sz w:val="30"/>
          <w:szCs w:val="30"/>
          <w:highlight w:val="none"/>
          <w:lang w:val="en-US" w:eastAsia="zh-CN"/>
        </w:rPr>
        <w:sectPr>
          <w:pgSz w:w="11906" w:h="16838"/>
          <w:pgMar w:top="1531" w:right="1587" w:bottom="1531" w:left="1587" w:header="851" w:footer="601" w:gutter="0"/>
          <w:cols w:space="720" w:num="1"/>
          <w:docGrid w:linePitch="360" w:charSpace="0"/>
        </w:sectPr>
      </w:pPr>
    </w:p>
    <w:p w14:paraId="2D4A7B61">
      <w:pPr>
        <w:pStyle w:val="46"/>
        <w:shd w:val="clear" w:color="auto" w:fill="auto"/>
        <w:ind w:firstLine="602"/>
        <w:jc w:val="center"/>
        <w:rPr>
          <w:rFonts w:ascii="仿宋" w:hAnsi="仿宋" w:eastAsia="仿宋"/>
          <w:b/>
          <w:color w:val="auto"/>
          <w:sz w:val="30"/>
          <w:szCs w:val="30"/>
          <w:highlight w:val="none"/>
        </w:rPr>
      </w:pPr>
      <w:r>
        <w:rPr>
          <w:rFonts w:ascii="仿宋" w:hAnsi="仿宋" w:eastAsia="仿宋"/>
          <w:b/>
          <w:color w:val="auto"/>
          <w:sz w:val="30"/>
          <w:szCs w:val="30"/>
          <w:highlight w:val="none"/>
          <w:lang w:eastAsia="zh-CN"/>
        </w:rPr>
        <w:t>十</w:t>
      </w:r>
      <w:r>
        <w:rPr>
          <w:rFonts w:ascii="仿宋" w:hAnsi="仿宋" w:eastAsia="仿宋"/>
          <w:b/>
          <w:color w:val="auto"/>
          <w:sz w:val="30"/>
          <w:szCs w:val="30"/>
          <w:highlight w:val="none"/>
        </w:rPr>
        <w:t>、投标文件外层包装封面（格式供参考）</w:t>
      </w:r>
    </w:p>
    <w:p w14:paraId="2F47AA1D">
      <w:pPr>
        <w:pStyle w:val="46"/>
        <w:widowControl w:val="0"/>
        <w:shd w:val="clear" w:color="auto" w:fill="auto"/>
        <w:spacing w:line="360" w:lineRule="auto"/>
        <w:ind w:firstLine="602"/>
        <w:rPr>
          <w:rFonts w:ascii="仿宋" w:hAnsi="仿宋" w:eastAsia="仿宋"/>
          <w:b/>
          <w:color w:val="auto"/>
          <w:sz w:val="30"/>
          <w:szCs w:val="30"/>
          <w:highlight w:val="none"/>
        </w:rPr>
      </w:pPr>
      <w:bookmarkStart w:id="26" w:name="_Toc297472064"/>
    </w:p>
    <w:p w14:paraId="0183B03F">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1、报价文件外层包装封面</w:t>
      </w:r>
    </w:p>
    <w:p w14:paraId="4D2A5721">
      <w:pPr>
        <w:pStyle w:val="46"/>
        <w:widowControl w:val="0"/>
        <w:shd w:val="clear" w:color="auto" w:fill="auto"/>
        <w:spacing w:line="360" w:lineRule="auto"/>
        <w:ind w:firstLine="602"/>
        <w:jc w:val="center"/>
        <w:rPr>
          <w:rFonts w:ascii="仿宋" w:hAnsi="仿宋" w:eastAsia="仿宋"/>
          <w:b/>
          <w:color w:val="auto"/>
          <w:sz w:val="30"/>
          <w:szCs w:val="30"/>
          <w:highlight w:val="none"/>
        </w:rPr>
      </w:pPr>
      <w:bookmarkStart w:id="27" w:name="_Toc297472068"/>
      <w:r>
        <w:rPr>
          <w:rFonts w:ascii="仿宋" w:hAnsi="仿宋" w:eastAsia="仿宋"/>
          <w:b/>
          <w:color w:val="auto"/>
          <w:sz w:val="30"/>
          <w:szCs w:val="30"/>
          <w:highlight w:val="none"/>
        </w:rPr>
        <w:t>报价文件</w:t>
      </w:r>
      <w:bookmarkEnd w:id="27"/>
    </w:p>
    <w:p w14:paraId="77BA75F0">
      <w:pPr>
        <w:pStyle w:val="46"/>
        <w:widowControl w:val="0"/>
        <w:shd w:val="clear" w:color="auto" w:fill="auto"/>
        <w:spacing w:line="360" w:lineRule="auto"/>
        <w:ind w:firstLine="602"/>
        <w:jc w:val="center"/>
        <w:rPr>
          <w:rFonts w:ascii="仿宋" w:hAnsi="仿宋" w:eastAsia="仿宋"/>
          <w:b/>
          <w:color w:val="auto"/>
          <w:sz w:val="30"/>
          <w:szCs w:val="30"/>
          <w:highlight w:val="none"/>
        </w:rPr>
      </w:pPr>
      <w:bookmarkStart w:id="28" w:name="_Toc297472069"/>
      <w:r>
        <w:rPr>
          <w:rFonts w:ascii="仿宋" w:hAnsi="仿宋" w:eastAsia="仿宋"/>
          <w:b/>
          <w:color w:val="auto"/>
          <w:sz w:val="30"/>
          <w:szCs w:val="30"/>
          <w:highlight w:val="none"/>
        </w:rPr>
        <w:t>(唱标时启封)</w:t>
      </w:r>
      <w:bookmarkEnd w:id="28"/>
    </w:p>
    <w:p w14:paraId="12EC57D5">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项目名称：</w:t>
      </w:r>
      <w:r>
        <w:rPr>
          <w:rFonts w:ascii="仿宋" w:hAnsi="仿宋" w:eastAsia="仿宋"/>
          <w:b/>
          <w:color w:val="auto"/>
          <w:sz w:val="30"/>
          <w:szCs w:val="30"/>
          <w:highlight w:val="none"/>
          <w:u w:val="single"/>
        </w:rPr>
        <w:t xml:space="preserve">                                    </w:t>
      </w:r>
    </w:p>
    <w:p w14:paraId="7A4B2E7F">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项目编号：</w:t>
      </w:r>
      <w:r>
        <w:rPr>
          <w:rFonts w:ascii="仿宋" w:hAnsi="仿宋" w:eastAsia="仿宋"/>
          <w:b/>
          <w:color w:val="auto"/>
          <w:sz w:val="30"/>
          <w:szCs w:val="30"/>
          <w:highlight w:val="none"/>
          <w:u w:val="single"/>
        </w:rPr>
        <w:t xml:space="preserve">                                    </w:t>
      </w:r>
    </w:p>
    <w:p w14:paraId="5E14E83B">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投标人名称（盖章）：</w:t>
      </w:r>
      <w:r>
        <w:rPr>
          <w:rFonts w:ascii="仿宋" w:hAnsi="仿宋" w:eastAsia="仿宋"/>
          <w:b/>
          <w:color w:val="auto"/>
          <w:sz w:val="30"/>
          <w:szCs w:val="30"/>
          <w:highlight w:val="none"/>
          <w:u w:val="single"/>
        </w:rPr>
        <w:t xml:space="preserve">                           </w:t>
      </w:r>
      <w:r>
        <w:rPr>
          <w:rFonts w:ascii="仿宋" w:hAnsi="仿宋" w:eastAsia="仿宋"/>
          <w:b/>
          <w:color w:val="auto"/>
          <w:sz w:val="30"/>
          <w:szCs w:val="30"/>
          <w:highlight w:val="none"/>
        </w:rPr>
        <w:t xml:space="preserve">  </w:t>
      </w:r>
    </w:p>
    <w:p w14:paraId="45C4209C">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在    年    月     日     时     分之前不得启封</w:t>
      </w:r>
    </w:p>
    <w:p w14:paraId="3A7A51CB">
      <w:pPr>
        <w:pStyle w:val="46"/>
        <w:widowControl w:val="0"/>
        <w:shd w:val="clear" w:color="auto" w:fill="auto"/>
        <w:spacing w:line="360" w:lineRule="auto"/>
        <w:ind w:firstLine="602"/>
        <w:rPr>
          <w:rFonts w:ascii="仿宋" w:hAnsi="仿宋" w:eastAsia="仿宋"/>
          <w:b/>
          <w:color w:val="auto"/>
          <w:sz w:val="30"/>
          <w:szCs w:val="30"/>
          <w:highlight w:val="none"/>
        </w:rPr>
      </w:pPr>
    </w:p>
    <w:p w14:paraId="7B21CCCA">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2、</w:t>
      </w:r>
      <w:r>
        <w:rPr>
          <w:rFonts w:hint="eastAsia" w:ascii="仿宋" w:hAnsi="仿宋" w:eastAsia="仿宋"/>
          <w:b/>
          <w:color w:val="auto"/>
          <w:sz w:val="30"/>
          <w:szCs w:val="30"/>
          <w:highlight w:val="none"/>
          <w:lang w:val="en-US" w:eastAsia="zh-CN"/>
        </w:rPr>
        <w:t>资信</w:t>
      </w:r>
      <w:r>
        <w:rPr>
          <w:rFonts w:ascii="仿宋" w:hAnsi="仿宋" w:eastAsia="仿宋"/>
          <w:b/>
          <w:color w:val="auto"/>
          <w:sz w:val="30"/>
          <w:szCs w:val="30"/>
          <w:highlight w:val="none"/>
        </w:rPr>
        <w:t>/技术文件外层包装封面</w:t>
      </w:r>
      <w:bookmarkEnd w:id="26"/>
    </w:p>
    <w:p w14:paraId="3DDD5051">
      <w:pPr>
        <w:pStyle w:val="46"/>
        <w:widowControl w:val="0"/>
        <w:shd w:val="clear" w:color="auto" w:fill="auto"/>
        <w:spacing w:line="360" w:lineRule="auto"/>
        <w:ind w:firstLine="602"/>
        <w:jc w:val="center"/>
        <w:rPr>
          <w:rFonts w:ascii="仿宋" w:hAnsi="仿宋" w:eastAsia="仿宋"/>
          <w:b/>
          <w:color w:val="auto"/>
          <w:sz w:val="30"/>
          <w:szCs w:val="30"/>
          <w:highlight w:val="none"/>
        </w:rPr>
      </w:pPr>
      <w:bookmarkStart w:id="29" w:name="_Toc297472065"/>
      <w:r>
        <w:rPr>
          <w:rFonts w:hint="eastAsia" w:ascii="仿宋" w:hAnsi="仿宋" w:eastAsia="仿宋"/>
          <w:b/>
          <w:color w:val="auto"/>
          <w:sz w:val="30"/>
          <w:szCs w:val="30"/>
          <w:highlight w:val="none"/>
          <w:lang w:val="en-US" w:eastAsia="zh-CN"/>
        </w:rPr>
        <w:t>资信</w:t>
      </w:r>
      <w:r>
        <w:rPr>
          <w:rFonts w:ascii="仿宋" w:hAnsi="仿宋" w:eastAsia="仿宋"/>
          <w:b/>
          <w:color w:val="auto"/>
          <w:sz w:val="30"/>
          <w:szCs w:val="30"/>
          <w:highlight w:val="none"/>
        </w:rPr>
        <w:t>/技术文件</w:t>
      </w:r>
      <w:bookmarkEnd w:id="29"/>
    </w:p>
    <w:p w14:paraId="6697ECC0">
      <w:pPr>
        <w:pStyle w:val="46"/>
        <w:widowControl w:val="0"/>
        <w:shd w:val="clear" w:color="auto" w:fill="auto"/>
        <w:spacing w:line="360" w:lineRule="auto"/>
        <w:ind w:firstLine="602"/>
        <w:jc w:val="center"/>
        <w:rPr>
          <w:rFonts w:ascii="仿宋" w:hAnsi="仿宋" w:eastAsia="仿宋"/>
          <w:b/>
          <w:color w:val="auto"/>
          <w:sz w:val="30"/>
          <w:szCs w:val="30"/>
          <w:highlight w:val="none"/>
        </w:rPr>
      </w:pPr>
      <w:bookmarkStart w:id="30" w:name="_Toc297472066"/>
      <w:r>
        <w:rPr>
          <w:rFonts w:ascii="仿宋" w:hAnsi="仿宋" w:eastAsia="仿宋"/>
          <w:b/>
          <w:color w:val="auto"/>
          <w:sz w:val="30"/>
          <w:szCs w:val="30"/>
          <w:highlight w:val="none"/>
        </w:rPr>
        <w:t>(开标时启封)</w:t>
      </w:r>
      <w:bookmarkEnd w:id="30"/>
    </w:p>
    <w:p w14:paraId="6F7B351E">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项目名称：</w:t>
      </w:r>
      <w:r>
        <w:rPr>
          <w:rFonts w:ascii="仿宋" w:hAnsi="仿宋" w:eastAsia="仿宋"/>
          <w:b/>
          <w:color w:val="auto"/>
          <w:sz w:val="30"/>
          <w:szCs w:val="30"/>
          <w:highlight w:val="none"/>
          <w:u w:val="single"/>
        </w:rPr>
        <w:t xml:space="preserve">                                    </w:t>
      </w:r>
    </w:p>
    <w:p w14:paraId="4D456AEA">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项目编号：</w:t>
      </w:r>
      <w:r>
        <w:rPr>
          <w:rFonts w:ascii="仿宋" w:hAnsi="仿宋" w:eastAsia="仿宋"/>
          <w:b/>
          <w:color w:val="auto"/>
          <w:sz w:val="30"/>
          <w:szCs w:val="30"/>
          <w:highlight w:val="none"/>
          <w:u w:val="single"/>
        </w:rPr>
        <w:t xml:space="preserve">                                    </w:t>
      </w:r>
    </w:p>
    <w:p w14:paraId="4B73B43C">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投标人名称（盖章）：</w:t>
      </w:r>
      <w:r>
        <w:rPr>
          <w:rFonts w:ascii="仿宋" w:hAnsi="仿宋" w:eastAsia="仿宋"/>
          <w:b/>
          <w:color w:val="auto"/>
          <w:sz w:val="30"/>
          <w:szCs w:val="30"/>
          <w:highlight w:val="none"/>
          <w:u w:val="single"/>
        </w:rPr>
        <w:t xml:space="preserve">                           </w:t>
      </w:r>
      <w:r>
        <w:rPr>
          <w:rFonts w:ascii="仿宋" w:hAnsi="仿宋" w:eastAsia="仿宋"/>
          <w:b/>
          <w:color w:val="auto"/>
          <w:sz w:val="30"/>
          <w:szCs w:val="30"/>
          <w:highlight w:val="none"/>
        </w:rPr>
        <w:t xml:space="preserve">  </w:t>
      </w:r>
    </w:p>
    <w:p w14:paraId="46B63742">
      <w:pPr>
        <w:pStyle w:val="46"/>
        <w:widowControl w:val="0"/>
        <w:shd w:val="clear" w:color="auto" w:fill="auto"/>
        <w:spacing w:line="360" w:lineRule="auto"/>
        <w:ind w:firstLine="602"/>
        <w:rPr>
          <w:rFonts w:ascii="仿宋" w:hAnsi="仿宋" w:eastAsia="仿宋"/>
          <w:b/>
          <w:color w:val="auto"/>
          <w:sz w:val="30"/>
          <w:szCs w:val="30"/>
          <w:highlight w:val="none"/>
        </w:rPr>
      </w:pPr>
      <w:r>
        <w:rPr>
          <w:rFonts w:ascii="仿宋" w:hAnsi="仿宋" w:eastAsia="仿宋"/>
          <w:b/>
          <w:color w:val="auto"/>
          <w:sz w:val="30"/>
          <w:szCs w:val="30"/>
          <w:highlight w:val="none"/>
        </w:rPr>
        <w:t>在    年    月     日     时     分之前不得启封</w:t>
      </w:r>
    </w:p>
    <w:p w14:paraId="54F4F337">
      <w:pPr>
        <w:pStyle w:val="46"/>
        <w:shd w:val="clear" w:color="auto" w:fill="auto"/>
        <w:ind w:firstLine="602"/>
        <w:jc w:val="center"/>
        <w:rPr>
          <w:rFonts w:ascii="仿宋" w:hAnsi="仿宋" w:eastAsia="仿宋"/>
          <w:b/>
          <w:color w:val="auto"/>
          <w:sz w:val="32"/>
          <w:szCs w:val="32"/>
          <w:highlight w:val="none"/>
        </w:rPr>
      </w:pPr>
      <w:r>
        <w:rPr>
          <w:rFonts w:ascii="仿宋" w:hAnsi="仿宋" w:eastAsia="仿宋"/>
          <w:b/>
          <w:color w:val="auto"/>
          <w:sz w:val="30"/>
          <w:szCs w:val="30"/>
          <w:highlight w:val="none"/>
        </w:rPr>
        <w:br w:type="page"/>
      </w:r>
      <w:r>
        <w:rPr>
          <w:rFonts w:ascii="仿宋" w:hAnsi="仿宋" w:eastAsia="仿宋"/>
          <w:b/>
          <w:color w:val="auto"/>
          <w:sz w:val="32"/>
          <w:szCs w:val="32"/>
          <w:highlight w:val="none"/>
          <w:lang w:eastAsia="zh-CN"/>
        </w:rPr>
        <w:t>十一</w:t>
      </w:r>
      <w:r>
        <w:rPr>
          <w:rFonts w:ascii="仿宋" w:hAnsi="仿宋" w:eastAsia="仿宋"/>
          <w:b/>
          <w:color w:val="auto"/>
          <w:sz w:val="32"/>
          <w:szCs w:val="32"/>
          <w:highlight w:val="none"/>
        </w:rPr>
        <w:t>、投标文件封面（格式供参考）</w:t>
      </w:r>
    </w:p>
    <w:p w14:paraId="5BCC4E8A">
      <w:pPr>
        <w:pStyle w:val="46"/>
        <w:shd w:val="clear" w:color="auto" w:fill="auto"/>
        <w:spacing w:line="360" w:lineRule="auto"/>
        <w:ind w:firstLine="643"/>
        <w:rPr>
          <w:rFonts w:ascii="仿宋" w:hAnsi="仿宋" w:eastAsia="仿宋"/>
          <w:b/>
          <w:color w:val="auto"/>
          <w:sz w:val="32"/>
          <w:szCs w:val="32"/>
          <w:highlight w:val="none"/>
        </w:rPr>
      </w:pPr>
    </w:p>
    <w:p w14:paraId="159B0D03">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1、报价文件封面</w:t>
      </w:r>
    </w:p>
    <w:p w14:paraId="3D86BDA0">
      <w:pPr>
        <w:pStyle w:val="46"/>
        <w:shd w:val="clear" w:color="auto" w:fill="auto"/>
        <w:spacing w:line="360" w:lineRule="auto"/>
        <w:ind w:firstLine="562"/>
        <w:jc w:val="right"/>
        <w:rPr>
          <w:rFonts w:ascii="仿宋" w:hAnsi="仿宋" w:eastAsia="仿宋"/>
          <w:b/>
          <w:color w:val="auto"/>
          <w:sz w:val="28"/>
          <w:szCs w:val="28"/>
          <w:highlight w:val="none"/>
        </w:rPr>
      </w:pPr>
      <w:r>
        <w:rPr>
          <w:rFonts w:ascii="仿宋" w:hAnsi="仿宋" w:eastAsia="仿宋"/>
          <w:b/>
          <w:color w:val="auto"/>
          <w:sz w:val="28"/>
          <w:szCs w:val="28"/>
          <w:highlight w:val="none"/>
        </w:rPr>
        <w:t>正本/副本</w:t>
      </w:r>
    </w:p>
    <w:p w14:paraId="11BAD9EB">
      <w:pPr>
        <w:pStyle w:val="46"/>
        <w:shd w:val="clear" w:color="auto" w:fill="auto"/>
        <w:spacing w:line="360" w:lineRule="auto"/>
        <w:ind w:firstLine="643"/>
        <w:jc w:val="center"/>
        <w:rPr>
          <w:rFonts w:ascii="仿宋" w:hAnsi="仿宋" w:eastAsia="仿宋"/>
          <w:b/>
          <w:color w:val="auto"/>
          <w:sz w:val="32"/>
          <w:szCs w:val="32"/>
          <w:highlight w:val="none"/>
        </w:rPr>
      </w:pPr>
      <w:r>
        <w:rPr>
          <w:rFonts w:ascii="仿宋" w:hAnsi="仿宋" w:eastAsia="仿宋"/>
          <w:b/>
          <w:color w:val="auto"/>
          <w:sz w:val="32"/>
          <w:szCs w:val="32"/>
          <w:highlight w:val="none"/>
        </w:rPr>
        <w:t>报价文件</w:t>
      </w:r>
    </w:p>
    <w:p w14:paraId="7A5EA6D4">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项目名称：</w:t>
      </w:r>
      <w:r>
        <w:rPr>
          <w:rFonts w:ascii="仿宋" w:hAnsi="仿宋" w:eastAsia="仿宋"/>
          <w:b/>
          <w:color w:val="auto"/>
          <w:sz w:val="32"/>
          <w:szCs w:val="32"/>
          <w:highlight w:val="none"/>
          <w:u w:val="single"/>
        </w:rPr>
        <w:t xml:space="preserve">                                    </w:t>
      </w:r>
    </w:p>
    <w:p w14:paraId="141E0CB0">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项目编号：</w:t>
      </w:r>
      <w:r>
        <w:rPr>
          <w:rFonts w:ascii="仿宋" w:hAnsi="仿宋" w:eastAsia="仿宋"/>
          <w:b/>
          <w:color w:val="auto"/>
          <w:sz w:val="32"/>
          <w:szCs w:val="32"/>
          <w:highlight w:val="none"/>
          <w:u w:val="single"/>
        </w:rPr>
        <w:t xml:space="preserve">                                    </w:t>
      </w:r>
    </w:p>
    <w:p w14:paraId="69638BD8">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投标人名称（盖章）：</w:t>
      </w:r>
      <w:r>
        <w:rPr>
          <w:rFonts w:ascii="仿宋" w:hAnsi="仿宋" w:eastAsia="仿宋"/>
          <w:b/>
          <w:color w:val="auto"/>
          <w:sz w:val="32"/>
          <w:szCs w:val="32"/>
          <w:highlight w:val="none"/>
          <w:u w:val="single"/>
        </w:rPr>
        <w:t xml:space="preserve">                           </w:t>
      </w:r>
      <w:bookmarkStart w:id="31" w:name="_Toc339872474"/>
    </w:p>
    <w:p w14:paraId="2D841349">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法定代表人或授权代表签字：</w:t>
      </w:r>
      <w:bookmarkEnd w:id="31"/>
      <w:r>
        <w:rPr>
          <w:rFonts w:ascii="仿宋" w:hAnsi="仿宋" w:eastAsia="仿宋"/>
          <w:b/>
          <w:color w:val="auto"/>
          <w:sz w:val="32"/>
          <w:szCs w:val="32"/>
          <w:highlight w:val="none"/>
          <w:u w:val="single"/>
        </w:rPr>
        <w:t xml:space="preserve">                    </w:t>
      </w:r>
      <w:r>
        <w:rPr>
          <w:rFonts w:ascii="仿宋" w:hAnsi="仿宋" w:eastAsia="仿宋"/>
          <w:b/>
          <w:color w:val="auto"/>
          <w:sz w:val="32"/>
          <w:szCs w:val="32"/>
          <w:highlight w:val="none"/>
        </w:rPr>
        <w:t xml:space="preserve"> </w:t>
      </w:r>
    </w:p>
    <w:p w14:paraId="77EC1D39">
      <w:pPr>
        <w:pStyle w:val="46"/>
        <w:shd w:val="clear" w:color="auto" w:fill="auto"/>
        <w:spacing w:line="360" w:lineRule="auto"/>
        <w:ind w:firstLine="643"/>
        <w:rPr>
          <w:rFonts w:ascii="仿宋" w:hAnsi="仿宋" w:eastAsia="仿宋"/>
          <w:b/>
          <w:color w:val="auto"/>
          <w:sz w:val="32"/>
          <w:szCs w:val="32"/>
          <w:highlight w:val="none"/>
        </w:rPr>
      </w:pPr>
    </w:p>
    <w:p w14:paraId="1EB517ED">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2、</w:t>
      </w:r>
      <w:r>
        <w:rPr>
          <w:rFonts w:hint="eastAsia" w:ascii="仿宋" w:hAnsi="仿宋" w:eastAsia="仿宋"/>
          <w:b/>
          <w:color w:val="auto"/>
          <w:sz w:val="32"/>
          <w:szCs w:val="32"/>
          <w:highlight w:val="none"/>
          <w:lang w:val="en-US" w:eastAsia="zh-CN"/>
        </w:rPr>
        <w:t>资信</w:t>
      </w:r>
      <w:r>
        <w:rPr>
          <w:rFonts w:ascii="仿宋" w:hAnsi="仿宋" w:eastAsia="仿宋"/>
          <w:b/>
          <w:color w:val="auto"/>
          <w:sz w:val="32"/>
          <w:szCs w:val="32"/>
          <w:highlight w:val="none"/>
        </w:rPr>
        <w:t>/技术文件封面</w:t>
      </w:r>
    </w:p>
    <w:p w14:paraId="7B634ED1">
      <w:pPr>
        <w:pStyle w:val="46"/>
        <w:shd w:val="clear" w:color="auto" w:fill="auto"/>
        <w:spacing w:line="360" w:lineRule="auto"/>
        <w:ind w:firstLine="562"/>
        <w:jc w:val="right"/>
        <w:rPr>
          <w:rFonts w:ascii="仿宋" w:hAnsi="仿宋" w:eastAsia="仿宋"/>
          <w:b/>
          <w:color w:val="auto"/>
          <w:sz w:val="28"/>
          <w:szCs w:val="28"/>
          <w:highlight w:val="none"/>
        </w:rPr>
      </w:pPr>
      <w:r>
        <w:rPr>
          <w:rFonts w:ascii="仿宋" w:hAnsi="仿宋" w:eastAsia="仿宋"/>
          <w:b/>
          <w:color w:val="auto"/>
          <w:sz w:val="28"/>
          <w:szCs w:val="28"/>
          <w:highlight w:val="none"/>
        </w:rPr>
        <w:t>正本/副本</w:t>
      </w:r>
    </w:p>
    <w:p w14:paraId="368E938B">
      <w:pPr>
        <w:pStyle w:val="46"/>
        <w:shd w:val="clear" w:color="auto" w:fill="auto"/>
        <w:spacing w:line="360" w:lineRule="auto"/>
        <w:ind w:firstLine="643"/>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资信</w:t>
      </w:r>
      <w:r>
        <w:rPr>
          <w:rFonts w:ascii="仿宋" w:hAnsi="仿宋" w:eastAsia="仿宋"/>
          <w:b/>
          <w:color w:val="auto"/>
          <w:sz w:val="32"/>
          <w:szCs w:val="32"/>
          <w:highlight w:val="none"/>
        </w:rPr>
        <w:t>/技术文件</w:t>
      </w:r>
    </w:p>
    <w:p w14:paraId="4D6F8A5E">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项目名称：</w:t>
      </w:r>
      <w:r>
        <w:rPr>
          <w:rFonts w:ascii="仿宋" w:hAnsi="仿宋" w:eastAsia="仿宋"/>
          <w:b/>
          <w:color w:val="auto"/>
          <w:sz w:val="32"/>
          <w:szCs w:val="32"/>
          <w:highlight w:val="none"/>
          <w:u w:val="single"/>
        </w:rPr>
        <w:t xml:space="preserve">                                    </w:t>
      </w:r>
    </w:p>
    <w:p w14:paraId="7123A523">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项目编号：</w:t>
      </w:r>
      <w:r>
        <w:rPr>
          <w:rFonts w:ascii="仿宋" w:hAnsi="仿宋" w:eastAsia="仿宋"/>
          <w:b/>
          <w:color w:val="auto"/>
          <w:sz w:val="32"/>
          <w:szCs w:val="32"/>
          <w:highlight w:val="none"/>
          <w:u w:val="single"/>
        </w:rPr>
        <w:t xml:space="preserve">                                    </w:t>
      </w:r>
    </w:p>
    <w:p w14:paraId="4367E7FB">
      <w:pPr>
        <w:pStyle w:val="46"/>
        <w:shd w:val="clear" w:color="auto" w:fill="auto"/>
        <w:spacing w:line="360" w:lineRule="auto"/>
        <w:ind w:firstLine="643"/>
        <w:rPr>
          <w:rFonts w:ascii="仿宋" w:hAnsi="仿宋" w:eastAsia="仿宋"/>
          <w:b/>
          <w:color w:val="auto"/>
          <w:sz w:val="32"/>
          <w:szCs w:val="32"/>
          <w:highlight w:val="none"/>
        </w:rPr>
      </w:pPr>
      <w:r>
        <w:rPr>
          <w:rFonts w:ascii="仿宋" w:hAnsi="仿宋" w:eastAsia="仿宋"/>
          <w:b/>
          <w:color w:val="auto"/>
          <w:sz w:val="32"/>
          <w:szCs w:val="32"/>
          <w:highlight w:val="none"/>
        </w:rPr>
        <w:t>投标人名称（盖章）：</w:t>
      </w:r>
      <w:r>
        <w:rPr>
          <w:rFonts w:ascii="仿宋" w:hAnsi="仿宋" w:eastAsia="仿宋"/>
          <w:b/>
          <w:color w:val="auto"/>
          <w:sz w:val="32"/>
          <w:szCs w:val="32"/>
          <w:highlight w:val="none"/>
          <w:u w:val="single"/>
        </w:rPr>
        <w:t xml:space="preserve">                           </w:t>
      </w:r>
    </w:p>
    <w:p w14:paraId="18B10CD1">
      <w:pPr>
        <w:pStyle w:val="46"/>
        <w:shd w:val="clear" w:color="auto" w:fill="auto"/>
        <w:spacing w:line="360" w:lineRule="auto"/>
        <w:ind w:firstLine="643"/>
        <w:rPr>
          <w:rFonts w:ascii="仿宋" w:hAnsi="仿宋" w:eastAsia="仿宋"/>
          <w:b/>
          <w:color w:val="auto"/>
          <w:sz w:val="32"/>
          <w:szCs w:val="32"/>
          <w:highlight w:val="none"/>
          <w:u w:val="single"/>
        </w:rPr>
      </w:pPr>
      <w:r>
        <w:rPr>
          <w:rFonts w:ascii="仿宋" w:hAnsi="仿宋" w:eastAsia="仿宋"/>
          <w:b/>
          <w:color w:val="auto"/>
          <w:sz w:val="32"/>
          <w:szCs w:val="32"/>
          <w:highlight w:val="none"/>
        </w:rPr>
        <w:t xml:space="preserve">法定代表人或授权代表签字： </w:t>
      </w:r>
      <w:r>
        <w:rPr>
          <w:rFonts w:ascii="仿宋" w:hAnsi="仿宋" w:eastAsia="仿宋"/>
          <w:b/>
          <w:color w:val="auto"/>
          <w:sz w:val="32"/>
          <w:szCs w:val="32"/>
          <w:highlight w:val="none"/>
          <w:u w:val="single"/>
        </w:rPr>
        <w:t xml:space="preserve">                   </w:t>
      </w:r>
    </w:p>
    <w:sectPr>
      <w:pgSz w:w="11906" w:h="16838"/>
      <w:pgMar w:top="1531" w:right="1587" w:bottom="1531" w:left="1587" w:header="851" w:footer="601"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EE5E">
    <w:pPr>
      <w:pStyle w:val="62"/>
    </w:pPr>
    <w:r>
      <w:rPr>
        <w:rFonts w:ascii="Times New Roman" w:hAnsi="Times New Roman" w:eastAsia="宋体" w:cs="Times New Roman"/>
        <w:color w:val="auto"/>
        <w:spacing w:val="0"/>
        <w:positio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A890840">
                          <w:pPr>
                            <w:pStyle w:val="62"/>
                            <w:tabs>
                              <w:tab w:val="clear" w:pos="4153"/>
                              <w:tab w:val="clear" w:pos="8306"/>
                            </w:tabs>
                          </w:pPr>
                          <w:r>
                            <w:fldChar w:fldCharType="begin"/>
                          </w:r>
                          <w:r>
                            <w:instrText xml:space="preserve"> PAGE  \* MERGEFORMAT </w:instrText>
                          </w:r>
                          <w:r>
                            <w:fldChar w:fldCharType="separate"/>
                          </w:r>
                          <w:r>
                            <w:t>1</w:t>
                          </w:r>
                          <w:r>
                            <w:fldChar w:fldCharType="end"/>
                          </w:r>
                        </w:p>
                        <w:p w14:paraId="4C87217F">
                          <w:pPr>
                            <w:pStyle w:val="46"/>
                          </w:pPr>
                        </w:p>
                      </w:txbxContent>
                    </wps:txbx>
                    <wps:bodyPr lIns="0" tIns="0" rIns="0" bIns="0" upright="1"/>
                  </wps:wsp>
                </a:graphicData>
              </a:graphic>
            </wp:anchor>
          </w:drawing>
        </mc:Choice>
        <mc:Fallback>
          <w:pict>
            <v:rect id="矩形 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mtmPLTAAAABQEAAA8A&#10;AAAAAAAAAQAgAAAAIgAAAGRycy9kb3ducmV2LnhtbFBLAQIUABQAAAAIAIdO4kCmlyMPqgEAAGYD&#10;AAAOAAAAAAAAAAEAIAAAACIBAABkcnMvZTJvRG9jLnhtbFBLBQYAAAAABgAGAFkBAAA+BQAAAAA=&#10;">
              <v:fill on="f" focussize="0,0"/>
              <v:stroke on="f"/>
              <v:imagedata o:title=""/>
              <o:lock v:ext="edit" aspectratio="f"/>
              <v:textbox inset="0mm,0mm,0mm,0mm">
                <w:txbxContent>
                  <w:p w14:paraId="7A890840">
                    <w:pPr>
                      <w:pStyle w:val="62"/>
                      <w:tabs>
                        <w:tab w:val="clear" w:pos="4153"/>
                        <w:tab w:val="clear" w:pos="8306"/>
                      </w:tabs>
                    </w:pPr>
                    <w:r>
                      <w:fldChar w:fldCharType="begin"/>
                    </w:r>
                    <w:r>
                      <w:instrText xml:space="preserve"> PAGE  \* MERGEFORMAT </w:instrText>
                    </w:r>
                    <w:r>
                      <w:fldChar w:fldCharType="separate"/>
                    </w:r>
                    <w:r>
                      <w:t>1</w:t>
                    </w:r>
                    <w:r>
                      <w:fldChar w:fldCharType="end"/>
                    </w:r>
                  </w:p>
                  <w:p w14:paraId="4C87217F">
                    <w:pPr>
                      <w:pStyle w:val="46"/>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BCBD">
    <w:pPr>
      <w:pStyle w:val="62"/>
      <w:jc w:val="center"/>
      <w:rPr>
        <w:b/>
        <w:sz w:val="21"/>
      </w:rPr>
    </w:pPr>
    <w:r>
      <w:rPr>
        <w:rFonts w:ascii="Times New Roman" w:hAnsi="Times New Roman" w:eastAsia="宋体" w:cs="Times New Roman"/>
        <w:color w:val="auto"/>
        <w:spacing w:val="0"/>
        <w:position w:val="0"/>
        <w:sz w:val="21"/>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2BFD1D7">
                          <w:pPr>
                            <w:pStyle w:val="62"/>
                            <w:tabs>
                              <w:tab w:val="clear" w:pos="4153"/>
                              <w:tab w:val="clear" w:pos="8306"/>
                            </w:tabs>
                          </w:pPr>
                          <w:r>
                            <w:fldChar w:fldCharType="begin"/>
                          </w:r>
                          <w:r>
                            <w:instrText xml:space="preserve"> PAGE  \* MERGEFORMAT </w:instrText>
                          </w:r>
                          <w:r>
                            <w:fldChar w:fldCharType="separate"/>
                          </w:r>
                          <w:r>
                            <w:t>19</w:t>
                          </w:r>
                          <w:r>
                            <w:fldChar w:fldCharType="end"/>
                          </w:r>
                        </w:p>
                        <w:p w14:paraId="48B061EB">
                          <w:pPr>
                            <w:pStyle w:val="46"/>
                          </w:pPr>
                        </w:p>
                      </w:txbxContent>
                    </wps:txbx>
                    <wps:bodyPr lIns="0" tIns="0" rIns="0" bIns="0" upright="1"/>
                  </wps:wsp>
                </a:graphicData>
              </a:graphic>
            </wp:anchor>
          </w:drawing>
        </mc:Choice>
        <mc:Fallback>
          <w:pict>
            <v:rect id="矩形 3"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ZrZjy0wAAAAUBAAAP&#10;AAAAAAAAAAEAIAAAACIAAABkcnMvZG93bnJldi54bWxQSwECFAAUAAAACACHTuJAmaEPwasBAABm&#10;AwAADgAAAAAAAAABACAAAAAiAQAAZHJzL2Uyb0RvYy54bWxQSwUGAAAAAAYABgBZAQAAPwUAAAAA&#10;">
              <v:fill on="f" focussize="0,0"/>
              <v:stroke on="f"/>
              <v:imagedata o:title=""/>
              <o:lock v:ext="edit" aspectratio="f"/>
              <v:textbox inset="0mm,0mm,0mm,0mm">
                <w:txbxContent>
                  <w:p w14:paraId="02BFD1D7">
                    <w:pPr>
                      <w:pStyle w:val="62"/>
                      <w:tabs>
                        <w:tab w:val="clear" w:pos="4153"/>
                        <w:tab w:val="clear" w:pos="8306"/>
                      </w:tabs>
                    </w:pPr>
                    <w:r>
                      <w:fldChar w:fldCharType="begin"/>
                    </w:r>
                    <w:r>
                      <w:instrText xml:space="preserve"> PAGE  \* MERGEFORMAT </w:instrText>
                    </w:r>
                    <w:r>
                      <w:fldChar w:fldCharType="separate"/>
                    </w:r>
                    <w:r>
                      <w:t>19</w:t>
                    </w:r>
                    <w:r>
                      <w:fldChar w:fldCharType="end"/>
                    </w:r>
                  </w:p>
                  <w:p w14:paraId="48B061EB">
                    <w:pPr>
                      <w:pStyle w:val="46"/>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202D">
    <w:pPr>
      <w:pStyle w:val="63"/>
      <w:pBdr>
        <w:bottom w:val="none" w:color="000000"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1368">
    <w:pPr>
      <w:pStyle w:val="63"/>
      <w:pBdr>
        <w:bottom w:val="none" w:color="000000" w:sz="0" w:space="5"/>
      </w:pBd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CEA6B"/>
    <w:multiLevelType w:val="singleLevel"/>
    <w:tmpl w:val="670CEA6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NTZjYjM5YTdhODQyMzc4ZDdjNDcwZmRhNTQ5OTkifQ=="/>
  </w:docVars>
  <w:rsids>
    <w:rsidRoot w:val="00000000"/>
    <w:rsid w:val="002255D1"/>
    <w:rsid w:val="008977E1"/>
    <w:rsid w:val="019B2E86"/>
    <w:rsid w:val="02853958"/>
    <w:rsid w:val="02F923D6"/>
    <w:rsid w:val="038569B8"/>
    <w:rsid w:val="040C25C7"/>
    <w:rsid w:val="04766183"/>
    <w:rsid w:val="05AB50DB"/>
    <w:rsid w:val="067C7825"/>
    <w:rsid w:val="077A3CEC"/>
    <w:rsid w:val="08006665"/>
    <w:rsid w:val="091524E7"/>
    <w:rsid w:val="09253D69"/>
    <w:rsid w:val="097A0481"/>
    <w:rsid w:val="09E22B15"/>
    <w:rsid w:val="0A7622CA"/>
    <w:rsid w:val="0A8D3D36"/>
    <w:rsid w:val="0AFF4C18"/>
    <w:rsid w:val="0C41302A"/>
    <w:rsid w:val="0DA46025"/>
    <w:rsid w:val="0F5F09C4"/>
    <w:rsid w:val="100E76C7"/>
    <w:rsid w:val="10AA6985"/>
    <w:rsid w:val="11F62C07"/>
    <w:rsid w:val="121D1E44"/>
    <w:rsid w:val="132B7F0A"/>
    <w:rsid w:val="14503CE0"/>
    <w:rsid w:val="16AE0A39"/>
    <w:rsid w:val="170A775C"/>
    <w:rsid w:val="172B5EBE"/>
    <w:rsid w:val="18322A41"/>
    <w:rsid w:val="18A361F8"/>
    <w:rsid w:val="18D019BE"/>
    <w:rsid w:val="1AC84534"/>
    <w:rsid w:val="1B1A1616"/>
    <w:rsid w:val="1B9B2064"/>
    <w:rsid w:val="1C694E1C"/>
    <w:rsid w:val="1C984EE8"/>
    <w:rsid w:val="1D0419A1"/>
    <w:rsid w:val="1D7B132A"/>
    <w:rsid w:val="1E9215E7"/>
    <w:rsid w:val="1FAF511A"/>
    <w:rsid w:val="1FFE44C9"/>
    <w:rsid w:val="20A17C71"/>
    <w:rsid w:val="21076199"/>
    <w:rsid w:val="212812A8"/>
    <w:rsid w:val="213136D2"/>
    <w:rsid w:val="226C1AC8"/>
    <w:rsid w:val="22AC5478"/>
    <w:rsid w:val="232E21AC"/>
    <w:rsid w:val="23B26C79"/>
    <w:rsid w:val="23CA651B"/>
    <w:rsid w:val="23DD2BE2"/>
    <w:rsid w:val="242C0559"/>
    <w:rsid w:val="245C425C"/>
    <w:rsid w:val="25C44863"/>
    <w:rsid w:val="26E4249A"/>
    <w:rsid w:val="27525189"/>
    <w:rsid w:val="27533EE6"/>
    <w:rsid w:val="28C3705C"/>
    <w:rsid w:val="29127ABD"/>
    <w:rsid w:val="291F7AD4"/>
    <w:rsid w:val="2A4B3D96"/>
    <w:rsid w:val="2B877213"/>
    <w:rsid w:val="2C0B2FE1"/>
    <w:rsid w:val="2D7921CC"/>
    <w:rsid w:val="2EC36993"/>
    <w:rsid w:val="2FAB5B0C"/>
    <w:rsid w:val="306D65BB"/>
    <w:rsid w:val="31C21EE4"/>
    <w:rsid w:val="329141CF"/>
    <w:rsid w:val="32E46512"/>
    <w:rsid w:val="33101F2A"/>
    <w:rsid w:val="34976CD4"/>
    <w:rsid w:val="34C957E7"/>
    <w:rsid w:val="380A1B7E"/>
    <w:rsid w:val="38445964"/>
    <w:rsid w:val="399170F7"/>
    <w:rsid w:val="3A131814"/>
    <w:rsid w:val="3A136311"/>
    <w:rsid w:val="3C4E187E"/>
    <w:rsid w:val="3D4679AC"/>
    <w:rsid w:val="3DBC303C"/>
    <w:rsid w:val="3E29699B"/>
    <w:rsid w:val="3EB2553E"/>
    <w:rsid w:val="3F2B5857"/>
    <w:rsid w:val="401F120F"/>
    <w:rsid w:val="42936744"/>
    <w:rsid w:val="43DF2E82"/>
    <w:rsid w:val="44F33EBC"/>
    <w:rsid w:val="45633DC6"/>
    <w:rsid w:val="46D1739A"/>
    <w:rsid w:val="478F6EF7"/>
    <w:rsid w:val="481F3548"/>
    <w:rsid w:val="49484000"/>
    <w:rsid w:val="4B2056E8"/>
    <w:rsid w:val="4B241572"/>
    <w:rsid w:val="4B50081C"/>
    <w:rsid w:val="4DF25B2A"/>
    <w:rsid w:val="4EBE143F"/>
    <w:rsid w:val="4EE80B08"/>
    <w:rsid w:val="4F381487"/>
    <w:rsid w:val="500A22BE"/>
    <w:rsid w:val="512B6A21"/>
    <w:rsid w:val="53051C89"/>
    <w:rsid w:val="531E2D4A"/>
    <w:rsid w:val="53E93358"/>
    <w:rsid w:val="54680721"/>
    <w:rsid w:val="54D748BD"/>
    <w:rsid w:val="56484CE8"/>
    <w:rsid w:val="5791383A"/>
    <w:rsid w:val="57E37015"/>
    <w:rsid w:val="57E86021"/>
    <w:rsid w:val="583B305B"/>
    <w:rsid w:val="58C72362"/>
    <w:rsid w:val="58CB318E"/>
    <w:rsid w:val="59B166C6"/>
    <w:rsid w:val="5CFA22ED"/>
    <w:rsid w:val="5F425A7B"/>
    <w:rsid w:val="5FED5F7E"/>
    <w:rsid w:val="62226676"/>
    <w:rsid w:val="625C006D"/>
    <w:rsid w:val="639842C4"/>
    <w:rsid w:val="63AF6C16"/>
    <w:rsid w:val="64CE4341"/>
    <w:rsid w:val="65152444"/>
    <w:rsid w:val="652E506F"/>
    <w:rsid w:val="6628715E"/>
    <w:rsid w:val="671C3FB3"/>
    <w:rsid w:val="671E17F2"/>
    <w:rsid w:val="67D15A64"/>
    <w:rsid w:val="693169DF"/>
    <w:rsid w:val="69DD3FFB"/>
    <w:rsid w:val="69E3340B"/>
    <w:rsid w:val="6A537326"/>
    <w:rsid w:val="6A71485D"/>
    <w:rsid w:val="6B4275BD"/>
    <w:rsid w:val="6B77760C"/>
    <w:rsid w:val="6CC638D7"/>
    <w:rsid w:val="6D3A775B"/>
    <w:rsid w:val="6DDD22AC"/>
    <w:rsid w:val="6E4827D4"/>
    <w:rsid w:val="6E7D2BC3"/>
    <w:rsid w:val="6EBB30B8"/>
    <w:rsid w:val="71114361"/>
    <w:rsid w:val="72227F86"/>
    <w:rsid w:val="73D1398C"/>
    <w:rsid w:val="74E219D2"/>
    <w:rsid w:val="74F6547D"/>
    <w:rsid w:val="75590960"/>
    <w:rsid w:val="75A44ED9"/>
    <w:rsid w:val="7760028C"/>
    <w:rsid w:val="777E3405"/>
    <w:rsid w:val="77F9150C"/>
    <w:rsid w:val="78245629"/>
    <w:rsid w:val="785F70EA"/>
    <w:rsid w:val="79BF22E2"/>
    <w:rsid w:val="79E55730"/>
    <w:rsid w:val="79FD4EAF"/>
    <w:rsid w:val="7A6936C9"/>
    <w:rsid w:val="7ACD1F7D"/>
    <w:rsid w:val="7C19416C"/>
    <w:rsid w:val="7D80167E"/>
    <w:rsid w:val="7EEE184F"/>
    <w:rsid w:val="7F117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
    <w:name w:val="heading 1"/>
    <w:basedOn w:val="1"/>
    <w:next w:val="1"/>
    <w:link w:val="105"/>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480" w:beforeAutospacing="0" w:after="200" w:afterAutospacing="0" w:line="240" w:lineRule="auto"/>
      <w:ind w:left="0" w:right="0" w:firstLine="0"/>
      <w:jc w:val="left"/>
      <w:outlineLvl w:val="0"/>
    </w:pPr>
    <w:rPr>
      <w:rFonts w:ascii="Arial" w:hAnsi="Arial" w:eastAsia="Arial" w:cs="Arial"/>
      <w:color w:val="auto"/>
      <w:spacing w:val="0"/>
      <w:position w:val="0"/>
      <w:sz w:val="40"/>
      <w:szCs w:val="40"/>
      <w:lang w:val="en-US" w:eastAsia="en-US" w:bidi="en-US"/>
    </w:rPr>
  </w:style>
  <w:style w:type="paragraph" w:styleId="3">
    <w:name w:val="heading 2"/>
    <w:basedOn w:val="1"/>
    <w:next w:val="1"/>
    <w:link w:val="106"/>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beforeAutospacing="0" w:after="200" w:afterAutospacing="0" w:line="240" w:lineRule="auto"/>
      <w:ind w:left="0" w:right="0" w:firstLine="0"/>
      <w:jc w:val="left"/>
      <w:outlineLvl w:val="1"/>
    </w:pPr>
    <w:rPr>
      <w:rFonts w:ascii="Arial" w:hAnsi="Arial" w:eastAsia="Arial" w:cs="Arial"/>
      <w:color w:val="auto"/>
      <w:spacing w:val="0"/>
      <w:position w:val="0"/>
      <w:sz w:val="34"/>
      <w:szCs w:val="22"/>
      <w:lang w:val="en-US" w:eastAsia="en-US" w:bidi="en-US"/>
    </w:rPr>
  </w:style>
  <w:style w:type="paragraph" w:styleId="4">
    <w:name w:val="heading 3"/>
    <w:next w:val="1"/>
    <w:link w:val="107"/>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2"/>
    </w:pPr>
    <w:rPr>
      <w:rFonts w:ascii="Arial" w:hAnsi="Arial" w:eastAsia="Arial" w:cs="Arial"/>
      <w:color w:val="auto"/>
      <w:spacing w:val="0"/>
      <w:position w:val="0"/>
      <w:sz w:val="30"/>
      <w:szCs w:val="30"/>
      <w:lang w:val="en-US" w:eastAsia="en-US" w:bidi="en-US"/>
    </w:rPr>
  </w:style>
  <w:style w:type="paragraph" w:styleId="5">
    <w:name w:val="heading 4"/>
    <w:next w:val="1"/>
    <w:link w:val="108"/>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3"/>
    </w:pPr>
    <w:rPr>
      <w:rFonts w:ascii="Arial" w:hAnsi="Arial" w:eastAsia="Arial" w:cs="Arial"/>
      <w:b/>
      <w:bCs/>
      <w:color w:val="auto"/>
      <w:spacing w:val="0"/>
      <w:position w:val="0"/>
      <w:sz w:val="26"/>
      <w:szCs w:val="26"/>
      <w:lang w:val="en-US" w:eastAsia="en-US" w:bidi="en-US"/>
    </w:rPr>
  </w:style>
  <w:style w:type="paragraph" w:styleId="6">
    <w:name w:val="heading 5"/>
    <w:next w:val="1"/>
    <w:link w:val="109"/>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4"/>
    </w:pPr>
    <w:rPr>
      <w:rFonts w:ascii="Arial" w:hAnsi="Arial" w:eastAsia="Arial" w:cs="Arial"/>
      <w:b/>
      <w:bCs/>
      <w:color w:val="auto"/>
      <w:spacing w:val="0"/>
      <w:position w:val="0"/>
      <w:sz w:val="24"/>
      <w:szCs w:val="24"/>
      <w:lang w:val="en-US" w:eastAsia="en-US" w:bidi="en-US"/>
    </w:rPr>
  </w:style>
  <w:style w:type="paragraph" w:styleId="7">
    <w:name w:val="heading 6"/>
    <w:next w:val="1"/>
    <w:link w:val="110"/>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5"/>
    </w:pPr>
    <w:rPr>
      <w:rFonts w:ascii="Arial" w:hAnsi="Arial" w:eastAsia="Arial" w:cs="Arial"/>
      <w:b/>
      <w:bCs/>
      <w:color w:val="auto"/>
      <w:spacing w:val="0"/>
      <w:position w:val="0"/>
      <w:sz w:val="22"/>
      <w:szCs w:val="22"/>
      <w:lang w:val="en-US" w:eastAsia="en-US" w:bidi="en-US"/>
    </w:rPr>
  </w:style>
  <w:style w:type="paragraph" w:styleId="8">
    <w:name w:val="heading 7"/>
    <w:next w:val="1"/>
    <w:link w:val="111"/>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6"/>
    </w:pPr>
    <w:rPr>
      <w:rFonts w:ascii="Arial" w:hAnsi="Arial" w:eastAsia="Arial" w:cs="Arial"/>
      <w:b/>
      <w:bCs/>
      <w:i/>
      <w:iCs/>
      <w:color w:val="auto"/>
      <w:spacing w:val="0"/>
      <w:position w:val="0"/>
      <w:sz w:val="22"/>
      <w:szCs w:val="22"/>
      <w:lang w:val="en-US" w:eastAsia="en-US" w:bidi="en-US"/>
    </w:rPr>
  </w:style>
  <w:style w:type="paragraph" w:styleId="9">
    <w:name w:val="heading 8"/>
    <w:next w:val="1"/>
    <w:link w:val="112"/>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7"/>
    </w:pPr>
    <w:rPr>
      <w:rFonts w:ascii="Arial" w:hAnsi="Arial" w:eastAsia="Arial" w:cs="Arial"/>
      <w:i/>
      <w:iCs/>
      <w:color w:val="auto"/>
      <w:spacing w:val="0"/>
      <w:position w:val="0"/>
      <w:sz w:val="22"/>
      <w:szCs w:val="22"/>
      <w:lang w:val="en-US" w:eastAsia="en-US" w:bidi="en-US"/>
    </w:rPr>
  </w:style>
  <w:style w:type="paragraph" w:styleId="10">
    <w:name w:val="heading 9"/>
    <w:next w:val="1"/>
    <w:link w:val="113"/>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8"/>
    </w:pPr>
    <w:rPr>
      <w:rFonts w:ascii="Arial" w:hAnsi="Arial" w:eastAsia="Arial" w:cs="Arial"/>
      <w:i/>
      <w:iCs/>
      <w:color w:val="auto"/>
      <w:spacing w:val="0"/>
      <w:position w:val="0"/>
      <w:sz w:val="21"/>
      <w:szCs w:val="21"/>
      <w:lang w:val="en-US" w:eastAsia="en-US" w:bidi="en-US"/>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701"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2">
    <w:name w:val="caption"/>
    <w:next w:val="1"/>
    <w:unhideWhenUsed/>
    <w:qFormat/>
    <w:uiPriority w:val="35"/>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76" w:lineRule="auto"/>
      <w:ind w:left="0" w:right="0" w:firstLine="0"/>
      <w:jc w:val="left"/>
    </w:pPr>
    <w:rPr>
      <w:rFonts w:ascii="Times New Roman" w:hAnsi="Times New Roman" w:eastAsia="宋体" w:cs="Times New Roman"/>
      <w:b/>
      <w:bCs/>
      <w:color w:val="4F81BD"/>
      <w:spacing w:val="0"/>
      <w:position w:val="0"/>
      <w:sz w:val="18"/>
      <w:szCs w:val="18"/>
      <w:lang w:val="en-US" w:eastAsia="en-US" w:bidi="en-US"/>
    </w:rPr>
  </w:style>
  <w:style w:type="paragraph" w:styleId="13">
    <w:name w:val="annotation text"/>
    <w:basedOn w:val="1"/>
    <w:semiHidden/>
    <w:qFormat/>
    <w:uiPriority w:val="0"/>
    <w:pPr>
      <w:jc w:val="left"/>
    </w:pPr>
  </w:style>
  <w:style w:type="paragraph" w:styleId="14">
    <w:name w:val="Body Text"/>
    <w:basedOn w:val="1"/>
    <w:next w:val="15"/>
    <w:qFormat/>
    <w:uiPriority w:val="0"/>
    <w:rPr>
      <w:sz w:val="32"/>
    </w:rPr>
  </w:style>
  <w:style w:type="paragraph" w:styleId="15">
    <w:name w:val="Body Text First Indent"/>
    <w:basedOn w:val="14"/>
    <w:qFormat/>
    <w:uiPriority w:val="0"/>
    <w:pPr>
      <w:ind w:firstLine="420"/>
    </w:pPr>
    <w:rPr>
      <w:rFonts w:hAnsi="Calibri" w:cs="Times New Roman"/>
      <w:szCs w:val="20"/>
    </w:rPr>
  </w:style>
  <w:style w:type="paragraph" w:styleId="16">
    <w:name w:val="Body Text Indent"/>
    <w:basedOn w:val="1"/>
    <w:qFormat/>
    <w:uiPriority w:val="0"/>
    <w:pPr>
      <w:ind w:firstLine="645"/>
    </w:pPr>
    <w:rPr>
      <w:sz w:val="28"/>
    </w:rPr>
  </w:style>
  <w:style w:type="paragraph" w:styleId="17">
    <w:name w:val="toc 5"/>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134"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8">
    <w:name w:val="toc 3"/>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567"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9">
    <w:name w:val="Plain Text"/>
    <w:basedOn w:val="1"/>
    <w:qFormat/>
    <w:uiPriority w:val="0"/>
    <w:rPr>
      <w:rFonts w:ascii="宋体" w:hAnsi="Courier New"/>
      <w:szCs w:val="20"/>
    </w:rPr>
  </w:style>
  <w:style w:type="paragraph" w:styleId="20">
    <w:name w:val="toc 8"/>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984"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1">
    <w:name w:val="endnote text"/>
    <w:link w:val="122"/>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2">
    <w:name w:val="footer"/>
    <w:basedOn w:val="1"/>
    <w:link w:val="120"/>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3">
    <w:name w:val="header"/>
    <w:basedOn w:val="1"/>
    <w:link w:val="118"/>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4">
    <w:name w:val="toc 1"/>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5">
    <w:name w:val="toc 4"/>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85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6">
    <w:name w:val="Subtitle"/>
    <w:link w:val="115"/>
    <w:qFormat/>
    <w:uiPriority w:val="1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00" w:beforeAutospacing="0" w:after="200" w:afterAutospacing="0" w:line="240" w:lineRule="auto"/>
      <w:ind w:left="0" w:right="0" w:firstLine="0"/>
      <w:jc w:val="left"/>
    </w:pPr>
    <w:rPr>
      <w:rFonts w:ascii="Times New Roman" w:hAnsi="Times New Roman" w:eastAsia="宋体" w:cs="Times New Roman"/>
      <w:color w:val="auto"/>
      <w:spacing w:val="0"/>
      <w:position w:val="0"/>
      <w:sz w:val="24"/>
      <w:szCs w:val="24"/>
      <w:lang w:val="en-US" w:eastAsia="en-US" w:bidi="en-US"/>
    </w:rPr>
  </w:style>
  <w:style w:type="paragraph" w:styleId="27">
    <w:name w:val="footnote text"/>
    <w:link w:val="12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40" w:afterAutospacing="0" w:line="240" w:lineRule="auto"/>
      <w:ind w:left="0" w:right="0" w:firstLine="0"/>
      <w:jc w:val="left"/>
    </w:pPr>
    <w:rPr>
      <w:rFonts w:ascii="Times New Roman" w:hAnsi="Times New Roman" w:eastAsia="宋体" w:cs="Times New Roman"/>
      <w:color w:val="auto"/>
      <w:spacing w:val="0"/>
      <w:position w:val="0"/>
      <w:sz w:val="18"/>
      <w:szCs w:val="22"/>
      <w:lang w:val="en-US" w:eastAsia="en-US" w:bidi="en-US"/>
    </w:rPr>
  </w:style>
  <w:style w:type="paragraph" w:styleId="28">
    <w:name w:val="toc 6"/>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417"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9">
    <w:name w:val="toc 2"/>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283"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30">
    <w:name w:val="toc 9"/>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2268"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Title"/>
    <w:link w:val="114"/>
    <w:qFormat/>
    <w:uiPriority w:val="1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beforeAutospacing="0" w:after="200" w:afterAutospacing="0" w:line="240" w:lineRule="auto"/>
      <w:ind w:left="0" w:right="0" w:firstLine="0"/>
      <w:contextualSpacing/>
      <w:jc w:val="left"/>
    </w:pPr>
    <w:rPr>
      <w:rFonts w:ascii="Times New Roman" w:hAnsi="Times New Roman" w:eastAsia="宋体" w:cs="Times New Roman"/>
      <w:color w:val="auto"/>
      <w:spacing w:val="0"/>
      <w:position w:val="0"/>
      <w:sz w:val="48"/>
      <w:szCs w:val="48"/>
      <w:lang w:val="en-US" w:eastAsia="en-US" w:bidi="en-US"/>
    </w:rPr>
  </w:style>
  <w:style w:type="paragraph" w:styleId="33">
    <w:name w:val="Body Text First Indent 2"/>
    <w:basedOn w:val="16"/>
    <w:qFormat/>
    <w:uiPriority w:val="0"/>
    <w:pPr>
      <w:adjustRightInd/>
      <w:spacing w:after="120" w:line="240" w:lineRule="auto"/>
      <w:ind w:left="420" w:leftChars="200" w:firstLine="210"/>
    </w:pPr>
    <w:rPr>
      <w:sz w:val="21"/>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unhideWhenUsed/>
    <w:qFormat/>
    <w:uiPriority w:val="99"/>
    <w:rPr>
      <w:vertAlign w:val="superscript"/>
    </w:rPr>
  </w:style>
  <w:style w:type="character" w:styleId="38">
    <w:name w:val="page number"/>
    <w:basedOn w:val="36"/>
    <w:unhideWhenUsed/>
    <w:qFormat/>
    <w:uiPriority w:val="99"/>
    <w:rPr>
      <w:rFonts w:ascii="Times New Roman" w:hAnsi="Times New Roman" w:eastAsia="宋体" w:cs="Times New Roman"/>
    </w:rPr>
  </w:style>
  <w:style w:type="character" w:styleId="39">
    <w:name w:val="Hyperlink"/>
    <w:unhideWhenUsed/>
    <w:qFormat/>
    <w:uiPriority w:val="99"/>
    <w:rPr>
      <w:color w:val="0000FF"/>
      <w:u w:val="single"/>
    </w:rPr>
  </w:style>
  <w:style w:type="character" w:styleId="40">
    <w:name w:val="footnote reference"/>
    <w:unhideWhenUsed/>
    <w:qFormat/>
    <w:uiPriority w:val="99"/>
    <w:rPr>
      <w:vertAlign w:val="superscript"/>
    </w:rPr>
  </w:style>
  <w:style w:type="paragraph" w:customStyle="1" w:styleId="41">
    <w:name w:val="List Paragraph"/>
    <w:basedOn w:val="1"/>
    <w:qFormat/>
    <w:uiPriority w:val="34"/>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720" w:right="0" w:firstLine="0"/>
      <w:contextualSpacing/>
      <w:jc w:val="left"/>
    </w:pPr>
    <w:rPr>
      <w:rFonts w:ascii="Times New Roman" w:hAnsi="Times New Roman" w:eastAsia="宋体" w:cs="Times New Roman"/>
      <w:color w:val="auto"/>
      <w:spacing w:val="0"/>
      <w:position w:val="0"/>
      <w:sz w:val="20"/>
      <w:szCs w:val="22"/>
      <w:lang w:val="en-US" w:eastAsia="en-US" w:bidi="en-US"/>
    </w:rPr>
  </w:style>
  <w:style w:type="paragraph" w:customStyle="1"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43">
    <w:name w:val="Quote"/>
    <w:link w:val="116"/>
    <w:qFormat/>
    <w:uiPriority w:val="2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720" w:right="720" w:firstLine="0"/>
      <w:jc w:val="left"/>
    </w:pPr>
    <w:rPr>
      <w:rFonts w:ascii="Times New Roman" w:hAnsi="Times New Roman" w:eastAsia="宋体" w:cs="Times New Roman"/>
      <w:i/>
      <w:color w:val="auto"/>
      <w:spacing w:val="0"/>
      <w:position w:val="0"/>
      <w:sz w:val="20"/>
      <w:szCs w:val="22"/>
      <w:lang w:val="en-US" w:eastAsia="en-US" w:bidi="en-US"/>
    </w:rPr>
  </w:style>
  <w:style w:type="paragraph" w:customStyle="1" w:styleId="44">
    <w:name w:val="Intense Quote"/>
    <w:link w:val="117"/>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spacing w:before="0" w:beforeAutospacing="0" w:after="0" w:afterAutospacing="0" w:line="240" w:lineRule="auto"/>
      <w:ind w:left="720" w:right="720" w:firstLine="0"/>
      <w:jc w:val="left"/>
    </w:pPr>
    <w:rPr>
      <w:rFonts w:ascii="Times New Roman" w:hAnsi="Times New Roman" w:eastAsia="宋体" w:cs="Times New Roman"/>
      <w:i/>
      <w:color w:val="auto"/>
      <w:spacing w:val="0"/>
      <w:position w:val="0"/>
      <w:sz w:val="20"/>
      <w:szCs w:val="22"/>
      <w:lang w:val="en-US" w:eastAsia="en-US" w:bidi="en-US"/>
    </w:rPr>
  </w:style>
  <w:style w:type="paragraph" w:customStyle="1" w:styleId="4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46">
    <w:name w:val="正文11"/>
    <w:next w:val="47"/>
    <w:link w:val="197"/>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ascii="Times New Roman" w:hAnsi="Times New Roman" w:eastAsia="宋体" w:cs="Times New Roman"/>
      <w:color w:val="auto"/>
      <w:spacing w:val="0"/>
      <w:position w:val="0"/>
      <w:sz w:val="21"/>
      <w:szCs w:val="22"/>
      <w:lang w:val="en-US" w:eastAsia="zh-CN" w:bidi="ar-SA"/>
    </w:rPr>
  </w:style>
  <w:style w:type="paragraph" w:customStyle="1" w:styleId="47">
    <w:name w:val="标题 21"/>
    <w:basedOn w:val="46"/>
    <w:next w:val="46"/>
    <w:link w:val="124"/>
    <w:qFormat/>
    <w:uiPriority w:val="0"/>
    <w:pPr>
      <w:keepNext/>
      <w:keepLines/>
      <w:spacing w:before="260" w:after="260" w:line="413" w:lineRule="auto"/>
      <w:outlineLvl w:val="1"/>
    </w:pPr>
    <w:rPr>
      <w:rFonts w:ascii="Cambria" w:hAnsi="Cambria" w:eastAsia="宋体"/>
      <w:b/>
      <w:bCs/>
      <w:sz w:val="32"/>
      <w:szCs w:val="32"/>
    </w:rPr>
  </w:style>
  <w:style w:type="paragraph" w:customStyle="1" w:styleId="48">
    <w:name w:val="标题 11"/>
    <w:basedOn w:val="46"/>
    <w:next w:val="46"/>
    <w:link w:val="125"/>
    <w:qFormat/>
    <w:uiPriority w:val="0"/>
    <w:pPr>
      <w:keepNext/>
      <w:keepLines/>
      <w:spacing w:before="340" w:after="330" w:line="576" w:lineRule="auto"/>
      <w:outlineLvl w:val="0"/>
    </w:pPr>
    <w:rPr>
      <w:rFonts w:ascii="Times New Roman" w:hAnsi="Times New Roman" w:eastAsia="华文仿宋"/>
      <w:b/>
      <w:bCs/>
      <w:sz w:val="44"/>
      <w:szCs w:val="44"/>
    </w:rPr>
  </w:style>
  <w:style w:type="paragraph" w:customStyle="1" w:styleId="49">
    <w:name w:val="_Style 2"/>
    <w:basedOn w:val="46"/>
    <w:link w:val="123"/>
    <w:qFormat/>
    <w:uiPriority w:val="0"/>
    <w:rPr>
      <w:rFonts w:ascii="仿宋_GB2312" w:hAnsi="Times New Roman" w:eastAsia="宋体"/>
      <w:b/>
    </w:rPr>
  </w:style>
  <w:style w:type="paragraph" w:customStyle="1" w:styleId="50">
    <w:name w:val="正文缩进11"/>
    <w:basedOn w:val="46"/>
    <w:qFormat/>
    <w:uiPriority w:val="0"/>
    <w:pPr>
      <w:ind w:firstLine="420"/>
    </w:pPr>
    <w:rPr>
      <w:rFonts w:ascii="Times New Roman" w:hAnsi="Times New Roman" w:eastAsia="宋体"/>
      <w:sz w:val="20"/>
      <w:szCs w:val="20"/>
    </w:rPr>
  </w:style>
  <w:style w:type="paragraph" w:customStyle="1" w:styleId="51">
    <w:name w:val="批注文字1"/>
    <w:basedOn w:val="46"/>
    <w:link w:val="126"/>
    <w:qFormat/>
    <w:uiPriority w:val="0"/>
    <w:pPr>
      <w:jc w:val="left"/>
    </w:pPr>
    <w:rPr>
      <w:rFonts w:ascii="Times New Roman" w:hAnsi="Times New Roman" w:eastAsia="宋体"/>
      <w:sz w:val="24"/>
      <w:szCs w:val="24"/>
    </w:rPr>
  </w:style>
  <w:style w:type="paragraph" w:customStyle="1" w:styleId="52">
    <w:name w:val="正文文本 31"/>
    <w:basedOn w:val="46"/>
    <w:link w:val="127"/>
    <w:qFormat/>
    <w:uiPriority w:val="0"/>
    <w:pPr>
      <w:spacing w:after="120"/>
    </w:pPr>
    <w:rPr>
      <w:rFonts w:ascii="Times New Roman" w:hAnsi="Times New Roman" w:eastAsia="宋体"/>
      <w:sz w:val="16"/>
      <w:szCs w:val="16"/>
    </w:rPr>
  </w:style>
  <w:style w:type="paragraph" w:customStyle="1" w:styleId="53">
    <w:name w:val="正文文本1"/>
    <w:basedOn w:val="46"/>
    <w:next w:val="54"/>
    <w:link w:val="128"/>
    <w:qFormat/>
    <w:uiPriority w:val="0"/>
    <w:rPr>
      <w:rFonts w:ascii="Times New Roman" w:hAnsi="Times New Roman" w:eastAsia="宋体"/>
      <w:sz w:val="32"/>
    </w:rPr>
  </w:style>
  <w:style w:type="paragraph" w:customStyle="1" w:styleId="54">
    <w:name w:val="正文首行缩进1"/>
    <w:basedOn w:val="53"/>
    <w:qFormat/>
    <w:uiPriority w:val="0"/>
    <w:pPr>
      <w:spacing w:line="360" w:lineRule="auto"/>
      <w:ind w:firstLine="420"/>
    </w:pPr>
    <w:rPr>
      <w:rFonts w:ascii="宋体" w:hAnsi="Calibri" w:eastAsia="宋体"/>
      <w:sz w:val="20"/>
      <w:szCs w:val="20"/>
      <w:lang w:val="zh-CN"/>
    </w:rPr>
  </w:style>
  <w:style w:type="paragraph" w:customStyle="1" w:styleId="55">
    <w:name w:val="正文文本缩进1"/>
    <w:basedOn w:val="46"/>
    <w:next w:val="56"/>
    <w:link w:val="129"/>
    <w:qFormat/>
    <w:uiPriority w:val="0"/>
    <w:pPr>
      <w:ind w:firstLine="645"/>
    </w:pPr>
    <w:rPr>
      <w:rFonts w:ascii="Times New Roman" w:hAnsi="Times New Roman" w:eastAsia="宋体"/>
      <w:sz w:val="28"/>
    </w:rPr>
  </w:style>
  <w:style w:type="paragraph" w:customStyle="1" w:styleId="56">
    <w:name w:val="正文首行缩进 21"/>
    <w:basedOn w:val="55"/>
    <w:qFormat/>
    <w:uiPriority w:val="0"/>
    <w:pPr>
      <w:spacing w:after="0" w:line="200" w:lineRule="atLeast"/>
      <w:ind w:left="0" w:firstLine="420"/>
    </w:pPr>
    <w:rPr>
      <w:rFonts w:ascii="宋体" w:hAnsi="Courier New" w:eastAsia="宋体"/>
      <w:spacing w:val="-4"/>
      <w:sz w:val="18"/>
      <w:szCs w:val="20"/>
    </w:rPr>
  </w:style>
  <w:style w:type="paragraph" w:customStyle="1" w:styleId="57">
    <w:name w:val="目录 31"/>
    <w:basedOn w:val="46"/>
    <w:next w:val="46"/>
    <w:qFormat/>
    <w:uiPriority w:val="0"/>
    <w:pPr>
      <w:widowControl/>
      <w:spacing w:after="100" w:line="276" w:lineRule="auto"/>
      <w:ind w:left="440"/>
      <w:jc w:val="left"/>
    </w:pPr>
    <w:rPr>
      <w:rFonts w:ascii="Times New Roman" w:hAnsi="Times New Roman" w:eastAsia="宋体"/>
      <w:sz w:val="22"/>
    </w:rPr>
  </w:style>
  <w:style w:type="paragraph" w:customStyle="1" w:styleId="58">
    <w:name w:val="纯文本11"/>
    <w:basedOn w:val="46"/>
    <w:next w:val="46"/>
    <w:link w:val="130"/>
    <w:qFormat/>
    <w:uiPriority w:val="0"/>
    <w:rPr>
      <w:rFonts w:ascii="宋体" w:hAnsi="Courier New" w:eastAsia="宋体"/>
      <w:sz w:val="20"/>
      <w:szCs w:val="20"/>
    </w:rPr>
  </w:style>
  <w:style w:type="paragraph" w:customStyle="1" w:styleId="59">
    <w:name w:val="日期1"/>
    <w:basedOn w:val="46"/>
    <w:next w:val="46"/>
    <w:link w:val="131"/>
    <w:qFormat/>
    <w:uiPriority w:val="0"/>
    <w:pPr>
      <w:ind w:left="100"/>
    </w:pPr>
    <w:rPr>
      <w:rFonts w:ascii="Times New Roman" w:hAnsi="Times New Roman" w:eastAsia="宋体"/>
      <w:sz w:val="28"/>
      <w:szCs w:val="20"/>
    </w:rPr>
  </w:style>
  <w:style w:type="paragraph" w:customStyle="1" w:styleId="60">
    <w:name w:val="正文文本缩进 21"/>
    <w:basedOn w:val="46"/>
    <w:link w:val="132"/>
    <w:qFormat/>
    <w:uiPriority w:val="0"/>
    <w:pPr>
      <w:ind w:left="360"/>
    </w:pPr>
    <w:rPr>
      <w:rFonts w:ascii="宋体" w:hAnsi="宋体" w:eastAsia="宋体"/>
      <w:sz w:val="32"/>
    </w:rPr>
  </w:style>
  <w:style w:type="paragraph" w:customStyle="1" w:styleId="61">
    <w:name w:val="批注框文本1"/>
    <w:basedOn w:val="46"/>
    <w:link w:val="133"/>
    <w:qFormat/>
    <w:uiPriority w:val="0"/>
    <w:rPr>
      <w:rFonts w:ascii="Times New Roman" w:hAnsi="Times New Roman" w:eastAsia="宋体"/>
      <w:sz w:val="18"/>
      <w:szCs w:val="18"/>
    </w:rPr>
  </w:style>
  <w:style w:type="paragraph" w:customStyle="1" w:styleId="62">
    <w:name w:val="页脚1"/>
    <w:basedOn w:val="46"/>
    <w:link w:val="134"/>
    <w:qFormat/>
    <w:uiPriority w:val="0"/>
    <w:pPr>
      <w:tabs>
        <w:tab w:val="center" w:pos="4153"/>
        <w:tab w:val="right" w:pos="8306"/>
      </w:tabs>
      <w:jc w:val="left"/>
    </w:pPr>
    <w:rPr>
      <w:rFonts w:ascii="Times New Roman" w:hAnsi="Times New Roman" w:eastAsia="宋体"/>
      <w:sz w:val="18"/>
      <w:szCs w:val="18"/>
    </w:rPr>
  </w:style>
  <w:style w:type="paragraph" w:customStyle="1" w:styleId="63">
    <w:name w:val="页眉1"/>
    <w:basedOn w:val="46"/>
    <w:link w:val="135"/>
    <w:qFormat/>
    <w:uiPriority w:val="0"/>
    <w:pPr>
      <w:pBdr>
        <w:bottom w:val="single" w:color="000000" w:sz="6" w:space="1"/>
      </w:pBdr>
      <w:tabs>
        <w:tab w:val="center" w:pos="4153"/>
        <w:tab w:val="right" w:pos="8306"/>
      </w:tabs>
      <w:jc w:val="center"/>
    </w:pPr>
    <w:rPr>
      <w:rFonts w:ascii="Times New Roman" w:hAnsi="Times New Roman" w:eastAsia="宋体"/>
      <w:sz w:val="18"/>
      <w:szCs w:val="18"/>
    </w:rPr>
  </w:style>
  <w:style w:type="paragraph" w:customStyle="1" w:styleId="64">
    <w:name w:val="目录 11"/>
    <w:basedOn w:val="46"/>
    <w:next w:val="46"/>
    <w:qFormat/>
    <w:uiPriority w:val="0"/>
    <w:pPr>
      <w:widowControl/>
      <w:spacing w:after="100" w:line="276" w:lineRule="auto"/>
      <w:jc w:val="left"/>
    </w:pPr>
    <w:rPr>
      <w:rFonts w:ascii="Times New Roman" w:hAnsi="Times New Roman" w:eastAsia="宋体"/>
      <w:sz w:val="22"/>
    </w:rPr>
  </w:style>
  <w:style w:type="paragraph" w:customStyle="1" w:styleId="65">
    <w:name w:val="正文文本缩进 31"/>
    <w:basedOn w:val="46"/>
    <w:link w:val="136"/>
    <w:qFormat/>
    <w:uiPriority w:val="0"/>
    <w:pPr>
      <w:ind w:left="420"/>
    </w:pPr>
    <w:rPr>
      <w:rFonts w:ascii="宋体" w:hAnsi="宋体" w:eastAsia="宋体"/>
      <w:sz w:val="32"/>
    </w:rPr>
  </w:style>
  <w:style w:type="paragraph" w:customStyle="1" w:styleId="66">
    <w:name w:val="目录 21"/>
    <w:basedOn w:val="46"/>
    <w:next w:val="46"/>
    <w:qFormat/>
    <w:uiPriority w:val="0"/>
    <w:pPr>
      <w:widowControl/>
      <w:spacing w:after="100" w:line="276" w:lineRule="auto"/>
      <w:ind w:left="220"/>
      <w:jc w:val="left"/>
    </w:pPr>
    <w:rPr>
      <w:rFonts w:ascii="Times New Roman" w:hAnsi="Times New Roman" w:eastAsia="宋体"/>
      <w:sz w:val="22"/>
    </w:rPr>
  </w:style>
  <w:style w:type="paragraph" w:customStyle="1" w:styleId="67">
    <w:name w:val="正文文本 21"/>
    <w:basedOn w:val="46"/>
    <w:link w:val="137"/>
    <w:qFormat/>
    <w:uiPriority w:val="0"/>
    <w:pPr>
      <w:spacing w:after="120" w:line="480" w:lineRule="auto"/>
    </w:pPr>
    <w:rPr>
      <w:rFonts w:ascii="Times New Roman" w:hAnsi="Times New Roman" w:eastAsia="宋体"/>
    </w:rPr>
  </w:style>
  <w:style w:type="paragraph" w:customStyle="1" w:styleId="68">
    <w:name w:val="HTML 预设格式1"/>
    <w:basedOn w:val="46"/>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sz w:val="24"/>
      <w:szCs w:val="24"/>
    </w:rPr>
  </w:style>
  <w:style w:type="paragraph" w:customStyle="1" w:styleId="69">
    <w:name w:val="普通(网站)1"/>
    <w:basedOn w:val="46"/>
    <w:qFormat/>
    <w:uiPriority w:val="0"/>
    <w:pPr>
      <w:widowControl/>
      <w:spacing w:before="100" w:beforeAutospacing="1" w:after="100" w:afterAutospacing="1"/>
      <w:jc w:val="left"/>
    </w:pPr>
    <w:rPr>
      <w:rFonts w:ascii="宋体" w:hAnsi="宋体" w:eastAsia="宋体"/>
      <w:sz w:val="24"/>
    </w:rPr>
  </w:style>
  <w:style w:type="paragraph" w:customStyle="1" w:styleId="70">
    <w:name w:val="标题1"/>
    <w:basedOn w:val="46"/>
    <w:next w:val="46"/>
    <w:link w:val="139"/>
    <w:qFormat/>
    <w:uiPriority w:val="0"/>
    <w:pPr>
      <w:spacing w:before="240" w:after="60"/>
      <w:jc w:val="center"/>
      <w:outlineLvl w:val="0"/>
    </w:pPr>
    <w:rPr>
      <w:rFonts w:ascii="Cambria" w:hAnsi="Cambria" w:eastAsia="宋体"/>
      <w:b/>
      <w:bCs/>
      <w:sz w:val="32"/>
      <w:szCs w:val="32"/>
    </w:rPr>
  </w:style>
  <w:style w:type="paragraph" w:customStyle="1" w:styleId="71">
    <w:name w:val="批注主题1"/>
    <w:basedOn w:val="51"/>
    <w:next w:val="51"/>
    <w:link w:val="140"/>
    <w:qFormat/>
    <w:uiPriority w:val="0"/>
    <w:rPr>
      <w:rFonts w:ascii="Times New Roman" w:hAnsi="Times New Roman" w:eastAsia="宋体"/>
      <w:b/>
      <w:bCs/>
      <w:sz w:val="22"/>
      <w:szCs w:val="22"/>
    </w:rPr>
  </w:style>
  <w:style w:type="paragraph" w:customStyle="1" w:styleId="72">
    <w:name w:val="无间隔"/>
    <w:link w:val="150"/>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2"/>
      <w:szCs w:val="22"/>
      <w:lang w:val="en-US" w:eastAsia="zh-CN" w:bidi="ar-SA"/>
    </w:rPr>
  </w:style>
  <w:style w:type="paragraph" w:customStyle="1" w:styleId="73">
    <w:name w:val="正文2"/>
    <w:basedOn w:val="46"/>
    <w:link w:val="176"/>
    <w:qFormat/>
    <w:uiPriority w:val="0"/>
    <w:pPr>
      <w:spacing w:before="156" w:line="360" w:lineRule="auto"/>
      <w:ind w:firstLine="510"/>
    </w:pPr>
    <w:rPr>
      <w:rFonts w:ascii="Calibri" w:hAnsi="Calibri" w:eastAsia="宋体"/>
      <w:sz w:val="24"/>
      <w:szCs w:val="20"/>
    </w:rPr>
  </w:style>
  <w:style w:type="paragraph" w:customStyle="1" w:styleId="74">
    <w:name w:val="正文缩进1"/>
    <w:basedOn w:val="46"/>
    <w:next w:val="75"/>
    <w:qFormat/>
    <w:uiPriority w:val="0"/>
    <w:pPr>
      <w:spacing w:after="120" w:line="360" w:lineRule="auto"/>
      <w:ind w:left="420" w:firstLine="480"/>
    </w:pPr>
    <w:rPr>
      <w:rFonts w:ascii="Times New Roman" w:hAnsi="Times New Roman" w:eastAsia="宋体"/>
      <w:sz w:val="24"/>
      <w:szCs w:val="21"/>
    </w:rPr>
  </w:style>
  <w:style w:type="paragraph" w:customStyle="1" w:styleId="75">
    <w:name w:val="正文文本首行缩进 2"/>
    <w:basedOn w:val="74"/>
    <w:qFormat/>
    <w:uiPriority w:val="99"/>
    <w:pPr>
      <w:spacing w:line="200" w:lineRule="atLeast"/>
      <w:ind w:firstLine="420"/>
    </w:pPr>
    <w:rPr>
      <w:rFonts w:ascii="宋体" w:hAnsi="Courier New"/>
      <w:spacing w:val="-4"/>
      <w:sz w:val="18"/>
    </w:rPr>
  </w:style>
  <w:style w:type="paragraph" w:customStyle="1" w:styleId="76">
    <w:name w:val="z-窗体底端"/>
    <w:basedOn w:val="46"/>
    <w:next w:val="46"/>
    <w:qFormat/>
    <w:uiPriority w:val="0"/>
    <w:pPr>
      <w:pBdr>
        <w:top w:val="single" w:color="000000" w:sz="6" w:space="1"/>
      </w:pBdr>
      <w:jc w:val="center"/>
    </w:pPr>
    <w:rPr>
      <w:rFonts w:ascii="Arial" w:hAnsi="Times New Roman" w:eastAsia="宋体"/>
      <w:vanish/>
      <w:sz w:val="16"/>
    </w:rPr>
  </w:style>
  <w:style w:type="paragraph" w:customStyle="1" w:styleId="77">
    <w:name w:val="纯文本1"/>
    <w:basedOn w:val="46"/>
    <w:qFormat/>
    <w:uiPriority w:val="0"/>
    <w:pPr>
      <w:spacing w:line="400" w:lineRule="exact"/>
    </w:pPr>
    <w:rPr>
      <w:rFonts w:ascii="Times New Roman" w:hAnsi="Courier New" w:eastAsia="宋体"/>
      <w:sz w:val="24"/>
      <w:szCs w:val="24"/>
      <w:lang w:val="zh-CN"/>
    </w:rPr>
  </w:style>
  <w:style w:type="paragraph" w:customStyle="1" w:styleId="78">
    <w:name w:val="2"/>
    <w:basedOn w:val="46"/>
    <w:next w:val="46"/>
    <w:qFormat/>
    <w:uiPriority w:val="0"/>
    <w:rPr>
      <w:rFonts w:ascii="Times New Roman" w:hAnsi="Times New Roman" w:eastAsia="仿宋_GB2312"/>
      <w:sz w:val="18"/>
      <w:szCs w:val="20"/>
    </w:rPr>
  </w:style>
  <w:style w:type="paragraph" w:customStyle="1" w:styleId="79">
    <w:name w:val=" Char1"/>
    <w:basedOn w:val="46"/>
    <w:qFormat/>
    <w:uiPriority w:val="0"/>
    <w:rPr>
      <w:rFonts w:ascii="Times New Roman" w:hAnsi="Times New Roman" w:eastAsia="宋体"/>
    </w:rPr>
  </w:style>
  <w:style w:type="paragraph" w:customStyle="1" w:styleId="80">
    <w:name w:val="样式 正文文本缩进 2 + Times New Roman 首行缩进:  1.06 厘米 行距: 固定值 30 磅"/>
    <w:basedOn w:val="60"/>
    <w:qFormat/>
    <w:uiPriority w:val="0"/>
    <w:pPr>
      <w:spacing w:line="540" w:lineRule="exact"/>
      <w:ind w:firstLine="601"/>
    </w:pPr>
    <w:rPr>
      <w:rFonts w:ascii="Times New Roman" w:hAnsi="Times New Roman" w:eastAsia="宋体"/>
      <w:spacing w:val="0"/>
      <w:sz w:val="28"/>
      <w:szCs w:val="28"/>
    </w:rPr>
  </w:style>
  <w:style w:type="paragraph" w:customStyle="1" w:styleId="81">
    <w:name w:val="正文1"/>
    <w:next w:val="4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tLeast"/>
      <w:ind w:left="0" w:right="0" w:firstLine="0"/>
      <w:jc w:val="both"/>
    </w:pPr>
    <w:rPr>
      <w:rFonts w:ascii="宋体" w:hAnsi="Times New Roman" w:eastAsia="宋体" w:cs="Times New Roman"/>
      <w:color w:val="auto"/>
      <w:spacing w:val="0"/>
      <w:position w:val="0"/>
      <w:sz w:val="34"/>
      <w:szCs w:val="22"/>
      <w:lang w:val="en-US" w:eastAsia="zh-CN" w:bidi="ar-SA"/>
    </w:rPr>
  </w:style>
  <w:style w:type="paragraph" w:customStyle="1" w:styleId="82">
    <w:name w:val="style11"/>
    <w:basedOn w:val="46"/>
    <w:qFormat/>
    <w:uiPriority w:val="0"/>
    <w:pPr>
      <w:widowControl/>
      <w:spacing w:before="100" w:beforeAutospacing="1" w:after="100" w:afterAutospacing="1"/>
      <w:jc w:val="left"/>
    </w:pPr>
    <w:rPr>
      <w:rFonts w:ascii="宋体" w:hAnsi="宋体" w:eastAsia="宋体"/>
      <w:sz w:val="24"/>
    </w:rPr>
  </w:style>
  <w:style w:type="paragraph" w:customStyle="1" w:styleId="83">
    <w:name w:val="style17"/>
    <w:basedOn w:val="46"/>
    <w:qFormat/>
    <w:uiPriority w:val="0"/>
    <w:pPr>
      <w:widowControl/>
      <w:spacing w:before="100" w:beforeAutospacing="1" w:after="100" w:afterAutospacing="1"/>
      <w:jc w:val="left"/>
    </w:pPr>
    <w:rPr>
      <w:rFonts w:ascii="宋体" w:hAnsi="宋体" w:eastAsia="宋体"/>
      <w:b/>
      <w:bCs/>
      <w:color w:val="000000"/>
      <w:sz w:val="24"/>
    </w:rPr>
  </w:style>
  <w:style w:type="paragraph" w:customStyle="1" w:styleId="84">
    <w:name w:val="部分1"/>
    <w:basedOn w:val="46"/>
    <w:qFormat/>
    <w:uiPriority w:val="0"/>
    <w:pPr>
      <w:keepNext/>
      <w:pageBreakBefore/>
      <w:tabs>
        <w:tab w:val="left" w:pos="720"/>
      </w:tabs>
      <w:spacing w:line="360" w:lineRule="auto"/>
      <w:jc w:val="center"/>
      <w:outlineLvl w:val="0"/>
    </w:pPr>
    <w:rPr>
      <w:rFonts w:ascii="Times New Roman" w:hAnsi="Times New Roman" w:eastAsia="黑体"/>
      <w:b/>
      <w:sz w:val="36"/>
      <w:szCs w:val="20"/>
    </w:rPr>
  </w:style>
  <w:style w:type="paragraph" w:customStyle="1" w:styleId="85">
    <w:name w:val="Char"/>
    <w:basedOn w:val="46"/>
    <w:qFormat/>
    <w:uiPriority w:val="0"/>
    <w:rPr>
      <w:rFonts w:ascii="Tahoma" w:hAnsi="Tahoma" w:eastAsia="宋体"/>
      <w:sz w:val="24"/>
      <w:szCs w:val="20"/>
    </w:rPr>
  </w:style>
  <w:style w:type="paragraph" w:customStyle="1" w:styleId="86">
    <w:name w:val="样式1"/>
    <w:basedOn w:val="63"/>
    <w:qFormat/>
    <w:uiPriority w:val="0"/>
    <w:pPr>
      <w:jc w:val="center"/>
    </w:pPr>
    <w:rPr>
      <w:rFonts w:ascii="Times New Roman" w:hAnsi="Times New Roman" w:eastAsia="黑体"/>
    </w:rPr>
  </w:style>
  <w:style w:type="paragraph" w:customStyle="1" w:styleId="87">
    <w:name w:val="_Style 43"/>
    <w:basedOn w:val="46"/>
    <w:qFormat/>
    <w:uiPriority w:val="0"/>
    <w:rPr>
      <w:rFonts w:ascii="Tahoma" w:hAnsi="Tahoma" w:eastAsia="宋体"/>
      <w:sz w:val="24"/>
      <w:szCs w:val="20"/>
    </w:rPr>
  </w:style>
  <w:style w:type="paragraph" w:customStyle="1" w:styleId="88">
    <w:name w:val=" Char"/>
    <w:basedOn w:val="46"/>
    <w:qFormat/>
    <w:uiPriority w:val="0"/>
    <w:rPr>
      <w:rFonts w:ascii="Tahoma" w:hAnsi="Tahoma" w:eastAsia="宋体"/>
      <w:sz w:val="24"/>
      <w:szCs w:val="20"/>
    </w:rPr>
  </w:style>
  <w:style w:type="paragraph" w:customStyle="1" w:styleId="89">
    <w:name w:val="z-窗体顶端"/>
    <w:basedOn w:val="46"/>
    <w:next w:val="46"/>
    <w:qFormat/>
    <w:uiPriority w:val="0"/>
    <w:pPr>
      <w:pBdr>
        <w:bottom w:val="single" w:color="000000" w:sz="6" w:space="1"/>
      </w:pBdr>
      <w:jc w:val="center"/>
    </w:pPr>
    <w:rPr>
      <w:rFonts w:ascii="Arial" w:hAnsi="Times New Roman" w:eastAsia="宋体"/>
      <w:vanish/>
      <w:sz w:val="16"/>
    </w:rPr>
  </w:style>
  <w:style w:type="paragraph" w:customStyle="1" w:styleId="90">
    <w:name w:val="font7"/>
    <w:basedOn w:val="46"/>
    <w:qFormat/>
    <w:uiPriority w:val="0"/>
    <w:pPr>
      <w:widowControl/>
      <w:spacing w:before="100" w:beforeAutospacing="1" w:after="100" w:afterAutospacing="1"/>
      <w:jc w:val="left"/>
    </w:pPr>
    <w:rPr>
      <w:rFonts w:ascii="Times New Roman" w:hAnsi="Times New Roman" w:eastAsia="宋体"/>
      <w:sz w:val="20"/>
      <w:szCs w:val="20"/>
    </w:rPr>
  </w:style>
  <w:style w:type="paragraph" w:customStyle="1" w:styleId="91">
    <w:name w:val="TOC 标题"/>
    <w:basedOn w:val="48"/>
    <w:next w:val="46"/>
    <w:qFormat/>
    <w:uiPriority w:val="0"/>
    <w:pPr>
      <w:widowControl/>
      <w:spacing w:before="480" w:after="0" w:line="276" w:lineRule="auto"/>
      <w:jc w:val="left"/>
      <w:outlineLvl w:val="9"/>
    </w:pPr>
    <w:rPr>
      <w:rFonts w:ascii="Cambria" w:hAnsi="Cambria" w:eastAsia="宋体"/>
      <w:color w:val="365F91"/>
      <w:sz w:val="28"/>
      <w:szCs w:val="28"/>
    </w:rPr>
  </w:style>
  <w:style w:type="paragraph" w:customStyle="1" w:styleId="92">
    <w:name w:val="1册标题1"/>
    <w:basedOn w:val="46"/>
    <w:next w:val="46"/>
    <w:qFormat/>
    <w:uiPriority w:val="0"/>
    <w:pPr>
      <w:spacing w:before="156" w:after="156" w:line="300" w:lineRule="auto"/>
      <w:jc w:val="center"/>
      <w:outlineLvl w:val="0"/>
    </w:pPr>
    <w:rPr>
      <w:rFonts w:ascii="Arial" w:hAnsi="Arial" w:eastAsia="黑体"/>
      <w:b/>
      <w:bCs/>
      <w:sz w:val="48"/>
      <w:szCs w:val="20"/>
    </w:rPr>
  </w:style>
  <w:style w:type="paragraph" w:customStyle="1" w:styleId="93">
    <w:name w:val=" Char Char4 Char"/>
    <w:basedOn w:val="46"/>
    <w:qFormat/>
    <w:uiPriority w:val="0"/>
    <w:rPr>
      <w:rFonts w:ascii="Times New Roman" w:hAnsi="Times New Roman" w:eastAsia="宋体"/>
      <w:sz w:val="21"/>
      <w:szCs w:val="21"/>
    </w:rPr>
  </w:style>
  <w:style w:type="paragraph" w:customStyle="1" w:styleId="94">
    <w:name w:val="Char Char Char"/>
    <w:basedOn w:val="46"/>
    <w:qFormat/>
    <w:uiPriority w:val="0"/>
    <w:rPr>
      <w:rFonts w:ascii="Times New Roman" w:hAnsi="Times New Roman" w:eastAsia="宋体"/>
    </w:rPr>
  </w:style>
  <w:style w:type="paragraph" w:customStyle="1" w:styleId="95">
    <w:name w:val="Char2"/>
    <w:basedOn w:val="46"/>
    <w:qFormat/>
    <w:uiPriority w:val="0"/>
    <w:rPr>
      <w:rFonts w:ascii="仿宋_GB2312" w:hAnsi="Times New Roman" w:eastAsia="仿宋_GB2312"/>
      <w:b/>
      <w:sz w:val="32"/>
      <w:szCs w:val="32"/>
    </w:rPr>
  </w:style>
  <w:style w:type="paragraph" w:customStyle="1" w:styleId="96">
    <w:name w:val=" Char Char Char Char Char Char Char"/>
    <w:basedOn w:val="46"/>
    <w:qFormat/>
    <w:uiPriority w:val="0"/>
    <w:rPr>
      <w:rFonts w:ascii="仿宋_GB2312" w:hAnsi="Times New Roman" w:eastAsia="仿宋_GB2312"/>
      <w:b/>
      <w:sz w:val="32"/>
      <w:szCs w:val="32"/>
    </w:rPr>
  </w:style>
  <w:style w:type="paragraph" w:customStyle="1" w:styleId="97">
    <w:name w:val="_Style 7"/>
    <w:basedOn w:val="46"/>
    <w:qFormat/>
    <w:uiPriority w:val="0"/>
    <w:rPr>
      <w:rFonts w:ascii="Times New Roman" w:hAnsi="Times New Roman" w:eastAsia="宋体"/>
    </w:rPr>
  </w:style>
  <w:style w:type="paragraph" w:customStyle="1" w:styleId="98">
    <w:name w:val=" Char2"/>
    <w:basedOn w:val="46"/>
    <w:qFormat/>
    <w:uiPriority w:val="0"/>
    <w:rPr>
      <w:rFonts w:ascii="仿宋_GB2312" w:hAnsi="Times New Roman" w:eastAsia="仿宋_GB2312"/>
      <w:b/>
      <w:sz w:val="32"/>
      <w:szCs w:val="32"/>
    </w:rPr>
  </w:style>
  <w:style w:type="paragraph" w:customStyle="1" w:styleId="99">
    <w:name w:val=" Char Char Char Char"/>
    <w:basedOn w:val="46"/>
    <w:qFormat/>
    <w:uiPriority w:val="0"/>
    <w:rPr>
      <w:rFonts w:ascii="Tahoma" w:hAnsi="Tahoma" w:eastAsia="宋体"/>
      <w:sz w:val="24"/>
      <w:szCs w:val="20"/>
    </w:rPr>
  </w:style>
  <w:style w:type="paragraph" w:customStyle="1" w:styleId="100">
    <w:name w:val="_Style 9"/>
    <w:basedOn w:val="46"/>
    <w:next w:val="46"/>
    <w:qFormat/>
    <w:uiPriority w:val="0"/>
    <w:pPr>
      <w:pBdr>
        <w:bottom w:val="single" w:color="000000" w:sz="6" w:space="1"/>
      </w:pBdr>
      <w:jc w:val="center"/>
    </w:pPr>
    <w:rPr>
      <w:rFonts w:ascii="Arial" w:hAnsi="Arial" w:eastAsia="宋体"/>
      <w:vanish/>
      <w:sz w:val="16"/>
      <w:szCs w:val="16"/>
    </w:rPr>
  </w:style>
  <w:style w:type="paragraph" w:customStyle="1" w:styleId="101">
    <w:name w:val="p0"/>
    <w:basedOn w:val="46"/>
    <w:qFormat/>
    <w:uiPriority w:val="0"/>
    <w:pPr>
      <w:widowControl/>
      <w:spacing w:before="100" w:beforeAutospacing="1" w:after="100" w:afterAutospacing="1"/>
      <w:jc w:val="left"/>
    </w:pPr>
    <w:rPr>
      <w:rFonts w:ascii="宋体" w:hAnsi="宋体" w:eastAsia="宋体"/>
      <w:sz w:val="24"/>
      <w:szCs w:val="24"/>
    </w:rPr>
  </w:style>
  <w:style w:type="paragraph" w:customStyle="1" w:styleId="102">
    <w:name w:val="_Style 11"/>
    <w:basedOn w:val="46"/>
    <w:next w:val="46"/>
    <w:qFormat/>
    <w:uiPriority w:val="0"/>
    <w:pPr>
      <w:pBdr>
        <w:bottom w:val="single" w:color="000000" w:sz="6" w:space="1"/>
      </w:pBdr>
      <w:jc w:val="center"/>
    </w:pPr>
    <w:rPr>
      <w:rFonts w:ascii="Arial" w:hAnsi="Arial" w:eastAsia="宋体"/>
      <w:vanish/>
      <w:sz w:val="16"/>
      <w:szCs w:val="16"/>
    </w:rPr>
  </w:style>
  <w:style w:type="paragraph" w:customStyle="1" w:styleId="103">
    <w:name w:val="[Normal]"/>
    <w:qFormat/>
    <w:uiPriority w:val="0"/>
    <w:rPr>
      <w:rFonts w:ascii="宋体" w:hAnsi="宋体" w:eastAsia="宋体" w:cs="Times New Roman"/>
      <w:sz w:val="24"/>
      <w:szCs w:val="22"/>
      <w:lang w:val="zh-CN" w:eastAsia="zh-CN" w:bidi="ar-SA"/>
    </w:rPr>
  </w:style>
  <w:style w:type="paragraph" w:customStyle="1" w:styleId="104">
    <w:name w:val="Table Paragraph"/>
    <w:basedOn w:val="1"/>
    <w:qFormat/>
    <w:uiPriority w:val="1"/>
    <w:rPr>
      <w:rFonts w:ascii="宋体" w:hAnsi="宋体" w:eastAsia="宋体" w:cs="宋体"/>
      <w:lang w:val="zh-CN" w:eastAsia="zh-CN" w:bidi="zh-CN"/>
    </w:rPr>
  </w:style>
  <w:style w:type="character" w:customStyle="1" w:styleId="105">
    <w:name w:val="Heading 1 Char"/>
    <w:link w:val="2"/>
    <w:qFormat/>
    <w:uiPriority w:val="9"/>
    <w:rPr>
      <w:rFonts w:ascii="Arial" w:hAnsi="Arial" w:eastAsia="Arial" w:cs="Arial"/>
      <w:sz w:val="40"/>
      <w:szCs w:val="40"/>
    </w:rPr>
  </w:style>
  <w:style w:type="character" w:customStyle="1" w:styleId="106">
    <w:name w:val="Heading 2 Char"/>
    <w:link w:val="3"/>
    <w:qFormat/>
    <w:uiPriority w:val="9"/>
    <w:rPr>
      <w:rFonts w:ascii="Arial" w:hAnsi="Arial" w:eastAsia="Arial" w:cs="Arial"/>
      <w:sz w:val="34"/>
    </w:rPr>
  </w:style>
  <w:style w:type="character" w:customStyle="1" w:styleId="107">
    <w:name w:val="Heading 3 Char"/>
    <w:link w:val="4"/>
    <w:qFormat/>
    <w:uiPriority w:val="9"/>
    <w:rPr>
      <w:rFonts w:ascii="Arial" w:hAnsi="Arial" w:eastAsia="Arial" w:cs="Arial"/>
      <w:sz w:val="30"/>
      <w:szCs w:val="30"/>
    </w:rPr>
  </w:style>
  <w:style w:type="character" w:customStyle="1" w:styleId="108">
    <w:name w:val="Heading 4 Char"/>
    <w:link w:val="5"/>
    <w:qFormat/>
    <w:uiPriority w:val="9"/>
    <w:rPr>
      <w:rFonts w:ascii="Arial" w:hAnsi="Arial" w:eastAsia="Arial" w:cs="Arial"/>
      <w:b/>
      <w:bCs/>
      <w:sz w:val="26"/>
      <w:szCs w:val="26"/>
    </w:rPr>
  </w:style>
  <w:style w:type="character" w:customStyle="1" w:styleId="109">
    <w:name w:val="Heading 5 Char"/>
    <w:link w:val="6"/>
    <w:qFormat/>
    <w:uiPriority w:val="9"/>
    <w:rPr>
      <w:rFonts w:ascii="Arial" w:hAnsi="Arial" w:eastAsia="Arial" w:cs="Arial"/>
      <w:b/>
      <w:bCs/>
      <w:sz w:val="24"/>
      <w:szCs w:val="24"/>
    </w:rPr>
  </w:style>
  <w:style w:type="character" w:customStyle="1" w:styleId="110">
    <w:name w:val="Heading 6 Char"/>
    <w:link w:val="7"/>
    <w:qFormat/>
    <w:uiPriority w:val="9"/>
    <w:rPr>
      <w:rFonts w:ascii="Arial" w:hAnsi="Arial" w:eastAsia="Arial" w:cs="Arial"/>
      <w:b/>
      <w:bCs/>
      <w:sz w:val="22"/>
      <w:szCs w:val="22"/>
    </w:rPr>
  </w:style>
  <w:style w:type="character" w:customStyle="1" w:styleId="111">
    <w:name w:val="Heading 7 Char"/>
    <w:link w:val="8"/>
    <w:qFormat/>
    <w:uiPriority w:val="9"/>
    <w:rPr>
      <w:rFonts w:ascii="Arial" w:hAnsi="Arial" w:eastAsia="Arial" w:cs="Arial"/>
      <w:b/>
      <w:bCs/>
      <w:i/>
      <w:iCs/>
      <w:sz w:val="22"/>
      <w:szCs w:val="22"/>
    </w:rPr>
  </w:style>
  <w:style w:type="character" w:customStyle="1" w:styleId="112">
    <w:name w:val="Heading 8 Char"/>
    <w:link w:val="9"/>
    <w:qFormat/>
    <w:uiPriority w:val="9"/>
    <w:rPr>
      <w:rFonts w:ascii="Arial" w:hAnsi="Arial" w:eastAsia="Arial" w:cs="Arial"/>
      <w:i/>
      <w:iCs/>
      <w:sz w:val="22"/>
      <w:szCs w:val="22"/>
    </w:rPr>
  </w:style>
  <w:style w:type="character" w:customStyle="1" w:styleId="113">
    <w:name w:val="Heading 9 Char"/>
    <w:link w:val="10"/>
    <w:qFormat/>
    <w:uiPriority w:val="9"/>
    <w:rPr>
      <w:rFonts w:ascii="Arial" w:hAnsi="Arial" w:eastAsia="Arial" w:cs="Arial"/>
      <w:i/>
      <w:iCs/>
      <w:sz w:val="21"/>
      <w:szCs w:val="21"/>
    </w:rPr>
  </w:style>
  <w:style w:type="character" w:customStyle="1" w:styleId="114">
    <w:name w:val="Title Char"/>
    <w:link w:val="32"/>
    <w:qFormat/>
    <w:uiPriority w:val="10"/>
    <w:rPr>
      <w:sz w:val="48"/>
      <w:szCs w:val="48"/>
    </w:rPr>
  </w:style>
  <w:style w:type="character" w:customStyle="1" w:styleId="115">
    <w:name w:val="Subtitle Char"/>
    <w:link w:val="26"/>
    <w:qFormat/>
    <w:uiPriority w:val="11"/>
    <w:rPr>
      <w:sz w:val="24"/>
      <w:szCs w:val="24"/>
    </w:rPr>
  </w:style>
  <w:style w:type="character" w:customStyle="1" w:styleId="116">
    <w:name w:val="Quote Char"/>
    <w:link w:val="43"/>
    <w:qFormat/>
    <w:uiPriority w:val="29"/>
    <w:rPr>
      <w:i/>
    </w:rPr>
  </w:style>
  <w:style w:type="character" w:customStyle="1" w:styleId="117">
    <w:name w:val="Intense Quote Char"/>
    <w:link w:val="44"/>
    <w:qFormat/>
    <w:uiPriority w:val="30"/>
    <w:rPr>
      <w:i/>
    </w:rPr>
  </w:style>
  <w:style w:type="character" w:customStyle="1" w:styleId="118">
    <w:name w:val="Header Char"/>
    <w:link w:val="23"/>
    <w:qFormat/>
    <w:uiPriority w:val="99"/>
  </w:style>
  <w:style w:type="character" w:customStyle="1" w:styleId="119">
    <w:name w:val="Footer Char"/>
    <w:link w:val="22"/>
    <w:qFormat/>
    <w:uiPriority w:val="99"/>
  </w:style>
  <w:style w:type="character" w:customStyle="1" w:styleId="120">
    <w:name w:val="Caption Char"/>
    <w:link w:val="22"/>
    <w:qFormat/>
    <w:uiPriority w:val="99"/>
  </w:style>
  <w:style w:type="character" w:customStyle="1" w:styleId="121">
    <w:name w:val="Footnote Text Char"/>
    <w:link w:val="27"/>
    <w:qFormat/>
    <w:uiPriority w:val="99"/>
    <w:rPr>
      <w:sz w:val="18"/>
    </w:rPr>
  </w:style>
  <w:style w:type="character" w:customStyle="1" w:styleId="122">
    <w:name w:val="Endnote Text Char"/>
    <w:link w:val="21"/>
    <w:qFormat/>
    <w:uiPriority w:val="99"/>
    <w:rPr>
      <w:sz w:val="20"/>
    </w:rPr>
  </w:style>
  <w:style w:type="character" w:customStyle="1" w:styleId="123">
    <w:name w:val="默认段落字体1"/>
    <w:link w:val="49"/>
    <w:qFormat/>
    <w:uiPriority w:val="0"/>
    <w:rPr>
      <w:rFonts w:ascii="仿宋_GB2312" w:hAnsi="Times New Roman" w:eastAsia="宋体"/>
      <w:b/>
    </w:rPr>
  </w:style>
  <w:style w:type="character" w:customStyle="1" w:styleId="124">
    <w:name w:val="标题 2 字符"/>
    <w:link w:val="47"/>
    <w:qFormat/>
    <w:uiPriority w:val="0"/>
    <w:rPr>
      <w:rFonts w:ascii="Cambria" w:hAnsi="Cambria" w:eastAsia="宋体"/>
      <w:b/>
      <w:bCs/>
      <w:sz w:val="32"/>
      <w:szCs w:val="32"/>
    </w:rPr>
  </w:style>
  <w:style w:type="character" w:customStyle="1" w:styleId="125">
    <w:name w:val="标题 1 字符"/>
    <w:link w:val="48"/>
    <w:qFormat/>
    <w:uiPriority w:val="0"/>
    <w:rPr>
      <w:rFonts w:ascii="Times New Roman" w:hAnsi="Times New Roman" w:eastAsia="华文仿宋"/>
      <w:b/>
      <w:bCs/>
      <w:sz w:val="44"/>
      <w:szCs w:val="44"/>
    </w:rPr>
  </w:style>
  <w:style w:type="character" w:customStyle="1" w:styleId="126">
    <w:name w:val="批注文字 字符"/>
    <w:link w:val="51"/>
    <w:qFormat/>
    <w:uiPriority w:val="0"/>
    <w:rPr>
      <w:rFonts w:ascii="Times New Roman" w:hAnsi="Times New Roman" w:eastAsia="宋体"/>
      <w:sz w:val="21"/>
      <w:szCs w:val="24"/>
    </w:rPr>
  </w:style>
  <w:style w:type="character" w:customStyle="1" w:styleId="127">
    <w:name w:val="正文文本 3 字符"/>
    <w:link w:val="52"/>
    <w:qFormat/>
    <w:uiPriority w:val="0"/>
    <w:rPr>
      <w:rFonts w:ascii="Times New Roman" w:hAnsi="Times New Roman" w:eastAsia="宋体"/>
      <w:sz w:val="16"/>
      <w:szCs w:val="16"/>
    </w:rPr>
  </w:style>
  <w:style w:type="character" w:customStyle="1" w:styleId="128">
    <w:name w:val="正文文本 字符"/>
    <w:link w:val="53"/>
    <w:qFormat/>
    <w:uiPriority w:val="0"/>
    <w:rPr>
      <w:rFonts w:ascii="Times New Roman" w:hAnsi="Times New Roman" w:eastAsia="宋体"/>
      <w:sz w:val="32"/>
      <w:szCs w:val="22"/>
    </w:rPr>
  </w:style>
  <w:style w:type="character" w:customStyle="1" w:styleId="129">
    <w:name w:val="正文文本缩进 字符"/>
    <w:link w:val="55"/>
    <w:qFormat/>
    <w:uiPriority w:val="0"/>
    <w:rPr>
      <w:rFonts w:ascii="Times New Roman" w:hAnsi="Times New Roman" w:eastAsia="宋体"/>
      <w:sz w:val="28"/>
      <w:szCs w:val="22"/>
    </w:rPr>
  </w:style>
  <w:style w:type="character" w:customStyle="1" w:styleId="130">
    <w:name w:val="纯文本 字符"/>
    <w:link w:val="58"/>
    <w:qFormat/>
    <w:uiPriority w:val="0"/>
    <w:rPr>
      <w:rFonts w:ascii="宋体" w:hAnsi="Courier New" w:eastAsia="宋体"/>
      <w:sz w:val="21"/>
    </w:rPr>
  </w:style>
  <w:style w:type="character" w:customStyle="1" w:styleId="131">
    <w:name w:val="日期 字符"/>
    <w:link w:val="59"/>
    <w:qFormat/>
    <w:uiPriority w:val="0"/>
    <w:rPr>
      <w:rFonts w:ascii="Times New Roman" w:hAnsi="Times New Roman" w:eastAsia="宋体"/>
      <w:sz w:val="28"/>
    </w:rPr>
  </w:style>
  <w:style w:type="character" w:customStyle="1" w:styleId="132">
    <w:name w:val="正文文本缩进 2 字符"/>
    <w:link w:val="60"/>
    <w:qFormat/>
    <w:uiPriority w:val="0"/>
    <w:rPr>
      <w:rFonts w:ascii="宋体" w:hAnsi="宋体" w:eastAsia="宋体"/>
      <w:sz w:val="32"/>
      <w:szCs w:val="22"/>
    </w:rPr>
  </w:style>
  <w:style w:type="character" w:customStyle="1" w:styleId="133">
    <w:name w:val="批注框文本 字符"/>
    <w:link w:val="61"/>
    <w:qFormat/>
    <w:uiPriority w:val="0"/>
    <w:rPr>
      <w:rFonts w:ascii="Times New Roman" w:hAnsi="Times New Roman" w:eastAsia="宋体"/>
      <w:sz w:val="18"/>
      <w:szCs w:val="18"/>
    </w:rPr>
  </w:style>
  <w:style w:type="character" w:customStyle="1" w:styleId="134">
    <w:name w:val="页脚 字符"/>
    <w:link w:val="62"/>
    <w:qFormat/>
    <w:uiPriority w:val="0"/>
    <w:rPr>
      <w:rFonts w:ascii="Times New Roman" w:hAnsi="Times New Roman" w:eastAsia="宋体"/>
      <w:sz w:val="18"/>
      <w:szCs w:val="18"/>
    </w:rPr>
  </w:style>
  <w:style w:type="character" w:customStyle="1" w:styleId="135">
    <w:name w:val="页眉 字符"/>
    <w:link w:val="63"/>
    <w:qFormat/>
    <w:uiPriority w:val="0"/>
    <w:rPr>
      <w:rFonts w:ascii="Times New Roman" w:hAnsi="Times New Roman" w:eastAsia="宋体"/>
      <w:sz w:val="18"/>
      <w:szCs w:val="18"/>
    </w:rPr>
  </w:style>
  <w:style w:type="character" w:customStyle="1" w:styleId="136">
    <w:name w:val="正文文本缩进 3 字符"/>
    <w:link w:val="65"/>
    <w:qFormat/>
    <w:uiPriority w:val="0"/>
    <w:rPr>
      <w:rFonts w:ascii="宋体" w:hAnsi="宋体" w:eastAsia="宋体"/>
      <w:sz w:val="32"/>
      <w:szCs w:val="22"/>
    </w:rPr>
  </w:style>
  <w:style w:type="character" w:customStyle="1" w:styleId="137">
    <w:name w:val="正文文本 2 字符"/>
    <w:link w:val="67"/>
    <w:qFormat/>
    <w:uiPriority w:val="0"/>
    <w:rPr>
      <w:rFonts w:ascii="Times New Roman" w:hAnsi="Times New Roman" w:eastAsia="宋体"/>
      <w:sz w:val="21"/>
      <w:szCs w:val="22"/>
    </w:rPr>
  </w:style>
  <w:style w:type="character" w:customStyle="1" w:styleId="138">
    <w:name w:val="HTML 预设格式 字符"/>
    <w:link w:val="68"/>
    <w:qFormat/>
    <w:uiPriority w:val="0"/>
    <w:rPr>
      <w:rFonts w:ascii="Arial" w:hAnsi="Arial" w:eastAsia="宋体"/>
      <w:sz w:val="24"/>
      <w:szCs w:val="24"/>
    </w:rPr>
  </w:style>
  <w:style w:type="character" w:customStyle="1" w:styleId="139">
    <w:name w:val="标题 字符"/>
    <w:link w:val="70"/>
    <w:qFormat/>
    <w:uiPriority w:val="0"/>
    <w:rPr>
      <w:rFonts w:ascii="Cambria" w:hAnsi="Cambria" w:eastAsia="宋体"/>
      <w:b/>
      <w:bCs/>
      <w:sz w:val="32"/>
      <w:szCs w:val="32"/>
    </w:rPr>
  </w:style>
  <w:style w:type="character" w:customStyle="1" w:styleId="140">
    <w:name w:val="批注主题 字符"/>
    <w:link w:val="71"/>
    <w:qFormat/>
    <w:uiPriority w:val="0"/>
    <w:rPr>
      <w:rFonts w:ascii="Times New Roman" w:hAnsi="Times New Roman" w:eastAsia="宋体"/>
      <w:b/>
      <w:bCs/>
      <w:sz w:val="21"/>
      <w:szCs w:val="22"/>
    </w:rPr>
  </w:style>
  <w:style w:type="character" w:customStyle="1" w:styleId="141">
    <w:name w:val="要点1"/>
    <w:link w:val="46"/>
    <w:qFormat/>
    <w:uiPriority w:val="0"/>
    <w:rPr>
      <w:rFonts w:ascii="Times New Roman" w:hAnsi="Times New Roman" w:eastAsia="宋体"/>
      <w:b/>
      <w:bCs/>
    </w:rPr>
  </w:style>
  <w:style w:type="character" w:customStyle="1" w:styleId="142">
    <w:name w:val="页码1"/>
    <w:basedOn w:val="123"/>
    <w:link w:val="46"/>
    <w:qFormat/>
    <w:uiPriority w:val="0"/>
    <w:rPr>
      <w:rFonts w:ascii="Times New Roman" w:hAnsi="Times New Roman" w:eastAsia="宋体"/>
    </w:rPr>
  </w:style>
  <w:style w:type="character" w:customStyle="1" w:styleId="143">
    <w:name w:val="已访问的超链接1"/>
    <w:link w:val="46"/>
    <w:qFormat/>
    <w:uiPriority w:val="0"/>
    <w:rPr>
      <w:rFonts w:ascii="Times New Roman" w:hAnsi="Times New Roman" w:eastAsia="宋体"/>
      <w:color w:val="3E3E3E"/>
      <w:u w:val="none"/>
    </w:rPr>
  </w:style>
  <w:style w:type="character" w:customStyle="1" w:styleId="144">
    <w:name w:val="强调1"/>
    <w:basedOn w:val="123"/>
    <w:link w:val="46"/>
    <w:qFormat/>
    <w:uiPriority w:val="0"/>
    <w:rPr>
      <w:rFonts w:ascii="Times New Roman" w:hAnsi="Times New Roman" w:eastAsia="宋体"/>
    </w:rPr>
  </w:style>
  <w:style w:type="character" w:customStyle="1" w:styleId="145">
    <w:name w:val="HTML 定义1"/>
    <w:basedOn w:val="123"/>
    <w:link w:val="46"/>
    <w:qFormat/>
    <w:uiPriority w:val="0"/>
    <w:rPr>
      <w:rFonts w:ascii="Times New Roman" w:hAnsi="Times New Roman" w:eastAsia="宋体"/>
    </w:rPr>
  </w:style>
  <w:style w:type="character" w:customStyle="1" w:styleId="146">
    <w:name w:val="HTML 变量1"/>
    <w:basedOn w:val="123"/>
    <w:link w:val="46"/>
    <w:qFormat/>
    <w:uiPriority w:val="0"/>
    <w:rPr>
      <w:rFonts w:ascii="Times New Roman" w:hAnsi="Times New Roman" w:eastAsia="宋体"/>
    </w:rPr>
  </w:style>
  <w:style w:type="character" w:customStyle="1" w:styleId="147">
    <w:name w:val="超链接1"/>
    <w:link w:val="46"/>
    <w:qFormat/>
    <w:uiPriority w:val="0"/>
    <w:rPr>
      <w:rFonts w:ascii="Times New Roman" w:hAnsi="Times New Roman" w:eastAsia="宋体"/>
      <w:color w:val="3E3E3E"/>
      <w:sz w:val="21"/>
      <w:szCs w:val="21"/>
      <w:u w:val="none"/>
    </w:rPr>
  </w:style>
  <w:style w:type="character" w:customStyle="1" w:styleId="148">
    <w:name w:val="批注引用1"/>
    <w:link w:val="46"/>
    <w:qFormat/>
    <w:uiPriority w:val="0"/>
    <w:rPr>
      <w:rFonts w:ascii="Times New Roman" w:hAnsi="Times New Roman" w:eastAsia="宋体"/>
      <w:sz w:val="21"/>
      <w:szCs w:val="21"/>
    </w:rPr>
  </w:style>
  <w:style w:type="character" w:customStyle="1" w:styleId="149">
    <w:name w:val="HTML 引文1"/>
    <w:basedOn w:val="123"/>
    <w:link w:val="46"/>
    <w:qFormat/>
    <w:uiPriority w:val="0"/>
    <w:rPr>
      <w:rFonts w:ascii="Times New Roman" w:hAnsi="Times New Roman" w:eastAsia="宋体"/>
    </w:rPr>
  </w:style>
  <w:style w:type="character" w:customStyle="1" w:styleId="150">
    <w:name w:val="无间隔 字符"/>
    <w:link w:val="72"/>
    <w:qFormat/>
    <w:uiPriority w:val="0"/>
    <w:rPr>
      <w:rFonts w:ascii="Times New Roman" w:hAnsi="Times New Roman" w:eastAsia="宋体"/>
      <w:sz w:val="22"/>
      <w:szCs w:val="22"/>
      <w:lang w:val="en-US" w:eastAsia="zh-CN" w:bidi="ar-SA"/>
    </w:rPr>
  </w:style>
  <w:style w:type="character" w:customStyle="1" w:styleId="151">
    <w:name w:val="font171"/>
    <w:link w:val="46"/>
    <w:qFormat/>
    <w:uiPriority w:val="0"/>
    <w:rPr>
      <w:rFonts w:ascii="Arial" w:hAnsi="Arial" w:eastAsia="宋体"/>
      <w:color w:val="000000"/>
      <w:sz w:val="20"/>
      <w:szCs w:val="20"/>
      <w:u w:val="none"/>
    </w:rPr>
  </w:style>
  <w:style w:type="character" w:customStyle="1" w:styleId="152">
    <w:name w:val="checkbox1"/>
    <w:basedOn w:val="123"/>
    <w:link w:val="46"/>
    <w:qFormat/>
    <w:uiPriority w:val="0"/>
    <w:rPr>
      <w:rFonts w:ascii="Times New Roman" w:hAnsi="Times New Roman" w:eastAsia="宋体"/>
      <w:color w:val="666666"/>
    </w:rPr>
  </w:style>
  <w:style w:type="character" w:customStyle="1" w:styleId="153">
    <w:name w:val="font161"/>
    <w:link w:val="46"/>
    <w:qFormat/>
    <w:uiPriority w:val="0"/>
    <w:rPr>
      <w:rFonts w:ascii="楷体" w:hAnsi="楷体" w:eastAsia="楷体"/>
      <w:color w:val="000000"/>
      <w:sz w:val="18"/>
      <w:szCs w:val="18"/>
      <w:u w:val="none"/>
    </w:rPr>
  </w:style>
  <w:style w:type="character" w:customStyle="1" w:styleId="154">
    <w:name w:val="纯文本 Char2"/>
    <w:link w:val="46"/>
    <w:qFormat/>
    <w:uiPriority w:val="0"/>
    <w:rPr>
      <w:rFonts w:ascii="宋体" w:hAnsi="Courier New" w:eastAsia="宋体"/>
      <w:sz w:val="21"/>
    </w:rPr>
  </w:style>
  <w:style w:type="character" w:customStyle="1" w:styleId="155">
    <w:name w:val="jedateymchok"/>
    <w:basedOn w:val="123"/>
    <w:link w:val="46"/>
    <w:qFormat/>
    <w:uiPriority w:val="0"/>
    <w:rPr>
      <w:rFonts w:ascii="Times New Roman" w:hAnsi="Times New Roman" w:eastAsia="宋体"/>
      <w:color w:val="FFFFFF"/>
      <w:sz w:val="18"/>
      <w:szCs w:val="18"/>
      <w:shd w:val="clear" w:color="auto" w:fill="1065C2"/>
    </w:rPr>
  </w:style>
  <w:style w:type="character" w:customStyle="1" w:styleId="156">
    <w:name w:val="style191"/>
    <w:link w:val="46"/>
    <w:qFormat/>
    <w:uiPriority w:val="0"/>
    <w:rPr>
      <w:rFonts w:ascii="Times New Roman" w:hAnsi="Times New Roman" w:eastAsia="宋体"/>
      <w:b/>
      <w:bCs/>
      <w:sz w:val="21"/>
      <w:szCs w:val="21"/>
    </w:rPr>
  </w:style>
  <w:style w:type="character" w:customStyle="1" w:styleId="157">
    <w:name w:val="批注文字 Char1"/>
    <w:link w:val="46"/>
    <w:qFormat/>
    <w:uiPriority w:val="0"/>
    <w:rPr>
      <w:rFonts w:ascii="Times New Roman" w:hAnsi="Times New Roman" w:eastAsia="宋体"/>
      <w:sz w:val="21"/>
      <w:szCs w:val="22"/>
    </w:rPr>
  </w:style>
  <w:style w:type="character" w:customStyle="1" w:styleId="158">
    <w:name w:val="style171"/>
    <w:link w:val="46"/>
    <w:qFormat/>
    <w:uiPriority w:val="0"/>
    <w:rPr>
      <w:rFonts w:ascii="Times New Roman" w:hAnsi="Times New Roman" w:eastAsia="宋体"/>
      <w:b/>
      <w:bCs/>
      <w:color w:val="000000"/>
    </w:rPr>
  </w:style>
  <w:style w:type="character" w:customStyle="1" w:styleId="159">
    <w:name w:val="radio"/>
    <w:basedOn w:val="123"/>
    <w:link w:val="46"/>
    <w:qFormat/>
    <w:uiPriority w:val="0"/>
    <w:rPr>
      <w:rFonts w:ascii="Times New Roman" w:hAnsi="Times New Roman" w:eastAsia="宋体"/>
      <w:color w:val="666666"/>
    </w:rPr>
  </w:style>
  <w:style w:type="character" w:customStyle="1" w:styleId="160">
    <w:name w:val="font191"/>
    <w:link w:val="46"/>
    <w:qFormat/>
    <w:uiPriority w:val="0"/>
    <w:rPr>
      <w:rFonts w:ascii="楷体" w:hAnsi="楷体" w:eastAsia="楷体"/>
      <w:b/>
      <w:color w:val="000000"/>
      <w:sz w:val="20"/>
      <w:szCs w:val="20"/>
      <w:u w:val="none"/>
    </w:rPr>
  </w:style>
  <w:style w:type="character" w:customStyle="1" w:styleId="161">
    <w:name w:val="font211"/>
    <w:link w:val="46"/>
    <w:qFormat/>
    <w:uiPriority w:val="0"/>
    <w:rPr>
      <w:rFonts w:ascii="楷体" w:hAnsi="楷体" w:eastAsia="楷体"/>
      <w:color w:val="000000"/>
      <w:sz w:val="18"/>
      <w:szCs w:val="18"/>
      <w:u w:val="none"/>
    </w:rPr>
  </w:style>
  <w:style w:type="character" w:customStyle="1" w:styleId="162">
    <w:name w:val="text"/>
    <w:link w:val="46"/>
    <w:qFormat/>
    <w:uiPriority w:val="0"/>
    <w:rPr>
      <w:rFonts w:ascii="Times New Roman" w:hAnsi="Times New Roman" w:eastAsia="宋体"/>
    </w:rPr>
  </w:style>
  <w:style w:type="character" w:customStyle="1" w:styleId="163">
    <w:name w:val="bds_more2"/>
    <w:basedOn w:val="123"/>
    <w:link w:val="46"/>
    <w:qFormat/>
    <w:uiPriority w:val="0"/>
    <w:rPr>
      <w:rFonts w:ascii="Times New Roman" w:hAnsi="Times New Roman" w:eastAsia="宋体"/>
    </w:rPr>
  </w:style>
  <w:style w:type="character" w:customStyle="1" w:styleId="164">
    <w:name w:val="font201"/>
    <w:link w:val="46"/>
    <w:qFormat/>
    <w:uiPriority w:val="0"/>
    <w:rPr>
      <w:rFonts w:ascii="宋体" w:hAnsi="宋体" w:eastAsia="宋体"/>
      <w:color w:val="000000"/>
      <w:sz w:val="20"/>
      <w:szCs w:val="20"/>
      <w:u w:val="none"/>
    </w:rPr>
  </w:style>
  <w:style w:type="character" w:customStyle="1" w:styleId="165">
    <w:name w:val="font31"/>
    <w:link w:val="46"/>
    <w:qFormat/>
    <w:uiPriority w:val="0"/>
    <w:rPr>
      <w:rFonts w:ascii="楷体" w:hAnsi="楷体" w:eastAsia="楷体"/>
      <w:color w:val="000000"/>
      <w:sz w:val="20"/>
      <w:szCs w:val="20"/>
      <w:u w:val="none"/>
    </w:rPr>
  </w:style>
  <w:style w:type="character" w:customStyle="1" w:styleId="166">
    <w:name w:val="jedateymchri"/>
    <w:basedOn w:val="123"/>
    <w:link w:val="46"/>
    <w:qFormat/>
    <w:uiPriority w:val="0"/>
    <w:rPr>
      <w:rFonts w:ascii="Times New Roman" w:hAnsi="Times New Roman" w:eastAsia="宋体"/>
      <w:color w:val="1F547E"/>
      <w:sz w:val="24"/>
      <w:szCs w:val="24"/>
      <w:shd w:val="clear" w:color="auto" w:fill="ECF4FB"/>
    </w:rPr>
  </w:style>
  <w:style w:type="character" w:customStyle="1" w:styleId="167">
    <w:name w:val="time"/>
    <w:link w:val="46"/>
    <w:qFormat/>
    <w:uiPriority w:val="0"/>
    <w:rPr>
      <w:rFonts w:ascii="Times New Roman" w:hAnsi="Times New Roman" w:eastAsia="宋体"/>
      <w:color w:val="769199"/>
    </w:rPr>
  </w:style>
  <w:style w:type="character" w:customStyle="1" w:styleId="168">
    <w:name w:val="标题 Char1"/>
    <w:link w:val="46"/>
    <w:qFormat/>
    <w:uiPriority w:val="0"/>
    <w:rPr>
      <w:rFonts w:ascii="Cambria" w:hAnsi="Cambria" w:eastAsia="宋体"/>
      <w:b/>
      <w:bCs/>
      <w:sz w:val="32"/>
      <w:szCs w:val="32"/>
    </w:rPr>
  </w:style>
  <w:style w:type="character" w:customStyle="1" w:styleId="169">
    <w:name w:val="_Style 3"/>
    <w:basedOn w:val="123"/>
    <w:link w:val="46"/>
    <w:qFormat/>
    <w:uiPriority w:val="0"/>
    <w:rPr>
      <w:rFonts w:ascii="Times New Roman" w:hAnsi="Times New Roman" w:eastAsia="宋体"/>
      <w:i/>
      <w:iCs/>
      <w:color w:val="808080"/>
    </w:rPr>
  </w:style>
  <w:style w:type="character" w:customStyle="1" w:styleId="170">
    <w:name w:val="user"/>
    <w:basedOn w:val="123"/>
    <w:link w:val="46"/>
    <w:qFormat/>
    <w:uiPriority w:val="0"/>
    <w:rPr>
      <w:rFonts w:ascii="Times New Roman" w:hAnsi="Times New Roman" w:eastAsia="宋体"/>
      <w:bCs/>
      <w:color w:val="1065C2"/>
    </w:rPr>
  </w:style>
  <w:style w:type="character" w:customStyle="1" w:styleId="171">
    <w:name w:val="font11"/>
    <w:basedOn w:val="36"/>
    <w:link w:val="46"/>
    <w:qFormat/>
    <w:uiPriority w:val="0"/>
    <w:rPr>
      <w:rFonts w:ascii="宋体" w:hAnsi="宋体" w:eastAsia="宋体"/>
      <w:color w:val="000000"/>
      <w:sz w:val="22"/>
      <w:szCs w:val="22"/>
      <w:u w:val="none"/>
    </w:rPr>
  </w:style>
  <w:style w:type="character" w:customStyle="1" w:styleId="172">
    <w:name w:val="标题 1 Char Char"/>
    <w:link w:val="46"/>
    <w:qFormat/>
    <w:uiPriority w:val="0"/>
    <w:rPr>
      <w:rFonts w:ascii="Times New Roman" w:hAnsi="Times New Roman" w:eastAsia="宋体"/>
      <w:b/>
      <w:spacing w:val="-2"/>
      <w:sz w:val="24"/>
      <w:lang w:val="en-US" w:eastAsia="zh-CN" w:bidi="ar-SA"/>
    </w:rPr>
  </w:style>
  <w:style w:type="character" w:customStyle="1" w:styleId="173">
    <w:name w:val="bds_nopic2"/>
    <w:basedOn w:val="123"/>
    <w:link w:val="46"/>
    <w:qFormat/>
    <w:uiPriority w:val="0"/>
    <w:rPr>
      <w:rFonts w:ascii="Times New Roman" w:hAnsi="Times New Roman" w:eastAsia="宋体"/>
    </w:rPr>
  </w:style>
  <w:style w:type="character" w:customStyle="1" w:styleId="174">
    <w:name w:val="font21"/>
    <w:basedOn w:val="123"/>
    <w:link w:val="46"/>
    <w:qFormat/>
    <w:uiPriority w:val="0"/>
    <w:rPr>
      <w:rFonts w:ascii="宋体" w:hAnsi="宋体" w:eastAsia="宋体"/>
      <w:bCs/>
      <w:color w:val="000000"/>
      <w:sz w:val="22"/>
      <w:szCs w:val="22"/>
      <w:u w:val="none"/>
    </w:rPr>
  </w:style>
  <w:style w:type="character" w:customStyle="1" w:styleId="175">
    <w:name w:val="bds_nopic"/>
    <w:basedOn w:val="123"/>
    <w:link w:val="46"/>
    <w:qFormat/>
    <w:uiPriority w:val="0"/>
    <w:rPr>
      <w:rFonts w:ascii="Times New Roman" w:hAnsi="Times New Roman" w:eastAsia="宋体"/>
    </w:rPr>
  </w:style>
  <w:style w:type="character" w:customStyle="1" w:styleId="176">
    <w:name w:val="正文2 Char"/>
    <w:link w:val="73"/>
    <w:qFormat/>
    <w:uiPriority w:val="0"/>
    <w:rPr>
      <w:rFonts w:ascii="Calibri" w:hAnsi="Calibri" w:eastAsia="宋体"/>
      <w:sz w:val="24"/>
      <w:lang w:val="en-US" w:eastAsia="zh-CN" w:bidi="ar-SA"/>
    </w:rPr>
  </w:style>
  <w:style w:type="character" w:customStyle="1" w:styleId="177">
    <w:name w:val="纯文本 Char1"/>
    <w:link w:val="46"/>
    <w:qFormat/>
    <w:uiPriority w:val="0"/>
    <w:rPr>
      <w:rFonts w:ascii="宋体" w:hAnsi="Courier New" w:eastAsia="宋体"/>
      <w:sz w:val="20"/>
      <w:szCs w:val="20"/>
    </w:rPr>
  </w:style>
  <w:style w:type="character" w:customStyle="1" w:styleId="178">
    <w:name w:val="first-child"/>
    <w:basedOn w:val="123"/>
    <w:link w:val="46"/>
    <w:qFormat/>
    <w:uiPriority w:val="0"/>
    <w:rPr>
      <w:rFonts w:ascii="Times New Roman" w:hAnsi="Times New Roman" w:eastAsia="宋体"/>
    </w:rPr>
  </w:style>
  <w:style w:type="character" w:customStyle="1" w:styleId="179">
    <w:name w:val=" Char Char5"/>
    <w:link w:val="46"/>
    <w:qFormat/>
    <w:uiPriority w:val="0"/>
    <w:rPr>
      <w:rFonts w:ascii="Times New Roman" w:hAnsi="Times New Roman" w:eastAsia="宋体"/>
      <w:sz w:val="21"/>
      <w:szCs w:val="24"/>
    </w:rPr>
  </w:style>
  <w:style w:type="character" w:customStyle="1" w:styleId="180">
    <w:name w:val="jedateymchle"/>
    <w:basedOn w:val="123"/>
    <w:link w:val="46"/>
    <w:qFormat/>
    <w:uiPriority w:val="0"/>
    <w:rPr>
      <w:rFonts w:ascii="Times New Roman" w:hAnsi="Times New Roman" w:eastAsia="宋体"/>
      <w:color w:val="1F547E"/>
      <w:sz w:val="24"/>
      <w:szCs w:val="24"/>
      <w:shd w:val="clear" w:color="auto" w:fill="ECF4FB"/>
    </w:rPr>
  </w:style>
  <w:style w:type="character" w:customStyle="1" w:styleId="181">
    <w:name w:val="font41"/>
    <w:basedOn w:val="123"/>
    <w:link w:val="46"/>
    <w:qFormat/>
    <w:uiPriority w:val="0"/>
    <w:rPr>
      <w:rFonts w:ascii="宋体" w:hAnsi="宋体" w:eastAsia="宋体"/>
      <w:bCs/>
      <w:color w:val="000000"/>
      <w:sz w:val="22"/>
      <w:szCs w:val="22"/>
      <w:u w:val="none"/>
    </w:rPr>
  </w:style>
  <w:style w:type="character" w:customStyle="1" w:styleId="182">
    <w:name w:val="swzz"/>
    <w:basedOn w:val="123"/>
    <w:link w:val="46"/>
    <w:qFormat/>
    <w:uiPriority w:val="0"/>
    <w:rPr>
      <w:rFonts w:ascii="Times New Roman" w:hAnsi="Times New Roman" w:eastAsia="宋体"/>
      <w:color w:val="F39800"/>
    </w:rPr>
  </w:style>
  <w:style w:type="character" w:customStyle="1" w:styleId="183">
    <w:name w:val="font91"/>
    <w:link w:val="46"/>
    <w:qFormat/>
    <w:uiPriority w:val="0"/>
    <w:rPr>
      <w:rFonts w:ascii="Times New Roman" w:hAnsi="Times New Roman" w:eastAsia="宋体"/>
      <w:color w:val="000000"/>
      <w:sz w:val="21"/>
      <w:szCs w:val="21"/>
    </w:rPr>
  </w:style>
  <w:style w:type="character" w:customStyle="1" w:styleId="184">
    <w:name w:val="layui-layer-tabnow"/>
    <w:basedOn w:val="123"/>
    <w:link w:val="46"/>
    <w:qFormat/>
    <w:uiPriority w:val="0"/>
    <w:rPr>
      <w:rFonts w:ascii="Times New Roman" w:hAnsi="Times New Roman" w:eastAsia="宋体"/>
      <w:shd w:val="clear" w:color="auto" w:fill="FFFFFF"/>
    </w:rPr>
  </w:style>
  <w:style w:type="character" w:customStyle="1" w:styleId="185">
    <w:name w:val="margin"/>
    <w:basedOn w:val="123"/>
    <w:link w:val="46"/>
    <w:qFormat/>
    <w:uiPriority w:val="0"/>
    <w:rPr>
      <w:rFonts w:ascii="Times New Roman" w:hAnsi="Times New Roman" w:eastAsia="宋体"/>
      <w:color w:val="666666"/>
    </w:rPr>
  </w:style>
  <w:style w:type="character" w:customStyle="1" w:styleId="186">
    <w:name w:val="bds_more1"/>
    <w:link w:val="46"/>
    <w:qFormat/>
    <w:uiPriority w:val="0"/>
    <w:rPr>
      <w:rFonts w:ascii="宋体" w:hAnsi="宋体" w:eastAsia="宋体"/>
    </w:rPr>
  </w:style>
  <w:style w:type="character" w:customStyle="1" w:styleId="187">
    <w:name w:val="zbggmain style9"/>
    <w:basedOn w:val="123"/>
    <w:link w:val="46"/>
    <w:qFormat/>
    <w:uiPriority w:val="0"/>
    <w:rPr>
      <w:rFonts w:ascii="Times New Roman" w:hAnsi="Times New Roman" w:eastAsia="宋体"/>
    </w:rPr>
  </w:style>
  <w:style w:type="character" w:customStyle="1" w:styleId="188">
    <w:name w:val="font01"/>
    <w:basedOn w:val="123"/>
    <w:link w:val="46"/>
    <w:qFormat/>
    <w:uiPriority w:val="0"/>
    <w:rPr>
      <w:rFonts w:ascii="宋体" w:hAnsi="宋体" w:eastAsia="宋体"/>
      <w:color w:val="000000"/>
      <w:sz w:val="22"/>
      <w:szCs w:val="22"/>
      <w:u w:val="none"/>
    </w:rPr>
  </w:style>
  <w:style w:type="character" w:customStyle="1" w:styleId="189">
    <w:name w:val="bds_nopic1"/>
    <w:basedOn w:val="123"/>
    <w:link w:val="46"/>
    <w:qFormat/>
    <w:uiPriority w:val="0"/>
    <w:rPr>
      <w:rFonts w:ascii="Times New Roman" w:hAnsi="Times New Roman" w:eastAsia="宋体"/>
    </w:rPr>
  </w:style>
  <w:style w:type="character" w:customStyle="1" w:styleId="190">
    <w:name w:val="font151"/>
    <w:link w:val="46"/>
    <w:qFormat/>
    <w:uiPriority w:val="0"/>
    <w:rPr>
      <w:rFonts w:ascii="楷体" w:hAnsi="楷体" w:eastAsia="楷体"/>
      <w:color w:val="000000"/>
      <w:sz w:val="22"/>
      <w:szCs w:val="22"/>
      <w:u w:val="none"/>
      <w:vertAlign w:val="superscript"/>
    </w:rPr>
  </w:style>
  <w:style w:type="character" w:customStyle="1" w:styleId="191">
    <w:name w:val="pubtime"/>
    <w:link w:val="46"/>
    <w:qFormat/>
    <w:uiPriority w:val="0"/>
    <w:rPr>
      <w:rFonts w:ascii="Times New Roman" w:hAnsi="Times New Roman" w:eastAsia="宋体"/>
      <w:color w:val="000000"/>
      <w:sz w:val="12"/>
      <w:szCs w:val="12"/>
    </w:rPr>
  </w:style>
  <w:style w:type="character" w:customStyle="1" w:styleId="192">
    <w:name w:val="样式 黑色"/>
    <w:link w:val="46"/>
    <w:qFormat/>
    <w:uiPriority w:val="0"/>
    <w:rPr>
      <w:rFonts w:ascii="Times New Roman" w:hAnsi="Times New Roman" w:eastAsia="宋体"/>
      <w:color w:val="000000"/>
      <w:spacing w:val="4"/>
    </w:rPr>
  </w:style>
  <w:style w:type="character" w:customStyle="1" w:styleId="193">
    <w:name w:val="style2 bin1"/>
    <w:basedOn w:val="123"/>
    <w:link w:val="46"/>
    <w:qFormat/>
    <w:uiPriority w:val="0"/>
    <w:rPr>
      <w:rFonts w:ascii="Times New Roman" w:hAnsi="Times New Roman" w:eastAsia="宋体"/>
    </w:rPr>
  </w:style>
  <w:style w:type="character" w:customStyle="1" w:styleId="194">
    <w:name w:val="checkbox"/>
    <w:basedOn w:val="123"/>
    <w:link w:val="46"/>
    <w:qFormat/>
    <w:uiPriority w:val="0"/>
    <w:rPr>
      <w:rFonts w:ascii="Times New Roman" w:hAnsi="Times New Roman" w:eastAsia="宋体"/>
      <w:color w:val="666666"/>
    </w:rPr>
  </w:style>
  <w:style w:type="character" w:customStyle="1" w:styleId="195">
    <w:name w:val="bds_more"/>
    <w:basedOn w:val="123"/>
    <w:link w:val="46"/>
    <w:qFormat/>
    <w:uiPriority w:val="0"/>
    <w:rPr>
      <w:rFonts w:ascii="Times New Roman" w:hAnsi="Times New Roman" w:eastAsia="宋体"/>
    </w:rPr>
  </w:style>
  <w:style w:type="character" w:customStyle="1" w:styleId="196">
    <w:name w:val="first-child1"/>
    <w:basedOn w:val="123"/>
    <w:link w:val="46"/>
    <w:qFormat/>
    <w:uiPriority w:val="0"/>
    <w:rPr>
      <w:rFonts w:ascii="Times New Roman" w:hAnsi="Times New Roman" w:eastAsia="宋体"/>
    </w:rPr>
  </w:style>
  <w:style w:type="character" w:customStyle="1" w:styleId="197">
    <w:name w:val="more"/>
    <w:basedOn w:val="123"/>
    <w:link w:val="46"/>
    <w:qFormat/>
    <w:uiPriority w:val="0"/>
    <w:rPr>
      <w:rFonts w:ascii="Times New Roman" w:hAnsi="Times New Roman" w:eastAsia="宋体"/>
    </w:rPr>
  </w:style>
  <w:style w:type="table" w:customStyle="1" w:styleId="198">
    <w:name w:val="Table Grid Light"/>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199">
    <w:name w:val="Plain Table 1"/>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cPr>
    </w:tblStylePr>
    <w:tblStylePr w:type="band1Horz">
      <w:tcPr>
        <w:shd w:val="clear" w:color="auto" w:fill="F1F1F1"/>
      </w:tcPr>
    </w:tblStylePr>
  </w:style>
  <w:style w:type="table" w:customStyle="1" w:styleId="200">
    <w:name w:val="Plain Table 2"/>
    <w:qFormat/>
    <w:uiPriority w:val="59"/>
    <w:pPr>
      <w:spacing w:after="0" w:line="240" w:lineRule="auto"/>
    </w:p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201">
    <w:name w:val="Plain Table 3"/>
    <w:qFormat/>
    <w:uiPriority w:val="99"/>
    <w:pPr>
      <w:spacing w:after="0" w:line="240" w:lineRule="auto"/>
    </w:pPr>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202">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203">
    <w:name w:val="Plain Table 5"/>
    <w:qFormat/>
    <w:uiPriority w:val="99"/>
    <w:pPr>
      <w:spacing w:after="0" w:line="240" w:lineRule="auto"/>
    </w:pPr>
    <w:tblStylePr w:type="firstRow">
      <w:rPr>
        <w:i/>
        <w:color w:val="404040"/>
      </w:rPr>
      <w:tcPr>
        <w:tcBorders>
          <w:top w:val="nil"/>
          <w:left w:val="nil"/>
          <w:bottom w:val="single" w:color="404040" w:sz="4" w:space="0"/>
          <w:right w:val="nil"/>
          <w:insideH w:val="nil"/>
          <w:insideV w:val="nil"/>
          <w:tl2br w:val="nil"/>
          <w:tr2bl w:val="nil"/>
        </w:tcBorders>
        <w:shd w:val="clear" w:color="auto" w:fill="FFFFFF"/>
      </w:tcPr>
    </w:tblStylePr>
    <w:tblStylePr w:type="lastRow">
      <w:rPr>
        <w:i/>
        <w:color w:val="404040"/>
      </w:rPr>
      <w:tcPr>
        <w:tcBorders>
          <w:top w:val="single" w:color="404040" w:sz="4" w:space="0"/>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auto" w:fill="FFFFFF"/>
      </w:tcPr>
    </w:tblStylePr>
    <w:tblStylePr w:type="lastCol">
      <w:rPr>
        <w:i/>
        <w:color w:val="404040"/>
      </w:rPr>
      <w:tcPr>
        <w:tcBorders>
          <w:top w:val="nil"/>
          <w:left w:val="single" w:color="404040" w:sz="4" w:space="0"/>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204">
    <w:name w:val="Grid Table 1 Light"/>
    <w:qFormat/>
    <w:uiPriority w:val="99"/>
    <w:pPr>
      <w:spacing w:after="0" w:line="240" w:lineRule="auto"/>
    </w:p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205">
    <w:name w:val="Grid Table 1 Light - Accent 1"/>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206">
    <w:name w:val="Grid Table 1 Light - Accent 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07">
    <w:name w:val="Grid Table 1 Light - Accent 3"/>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208">
    <w:name w:val="Grid Table 1 Light - Accent 4"/>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209">
    <w:name w:val="Grid Table 1 Light - Accent 5"/>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210">
    <w:name w:val="Grid Table 1 Light - Accent 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11">
    <w:name w:val="Grid Table 2"/>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insideH w:val="nil"/>
          <w:insideV w:val="nil"/>
          <w:tl2br w:val="nil"/>
          <w:tr2bl w:val="nil"/>
        </w:tcBorders>
        <w:shd w:val="clear" w:color="auto" w:fill="FFFFFF"/>
      </w:tcPr>
    </w:tblStylePr>
    <w:tblStylePr w:type="lastRow">
      <w:rPr>
        <w:b/>
        <w:color w:val="404040"/>
      </w:rPr>
      <w:tcPr>
        <w:tcBorders>
          <w:top w:val="single" w:color="696969"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212">
    <w:name w:val="Grid Table 2 - Accent 1"/>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single" w:color="5D8BC2" w:sz="12" w:space="0"/>
          <w:right w:val="nil"/>
          <w:insideH w:val="nil"/>
          <w:insideV w:val="nil"/>
          <w:tl2br w:val="nil"/>
          <w:tr2bl w:val="nil"/>
        </w:tcBorders>
        <w:shd w:val="clear" w:color="auto" w:fill="FFFFFF"/>
      </w:tcPr>
    </w:tblStylePr>
    <w:tblStylePr w:type="lastRow">
      <w:rPr>
        <w:b/>
        <w:color w:val="404040"/>
      </w:rPr>
      <w:tcPr>
        <w:tcBorders>
          <w:top w:val="single" w:color="5D8BC2"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cPr>
    </w:tblStylePr>
    <w:tblStylePr w:type="band1Horz">
      <w:rPr>
        <w:rFonts w:ascii="Arial" w:hAnsi="Arial"/>
        <w:color w:val="404040"/>
        <w:sz w:val="22"/>
      </w:rPr>
      <w:tcPr>
        <w:shd w:val="clear" w:color="auto" w:fill="DBE5F1"/>
      </w:tcPr>
    </w:tblStylePr>
  </w:style>
  <w:style w:type="table" w:customStyle="1" w:styleId="213">
    <w:name w:val="Grid Table 2 - Accent 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single" w:color="D99795" w:sz="12" w:space="0"/>
          <w:right w:val="nil"/>
          <w:insideH w:val="nil"/>
          <w:insideV w:val="nil"/>
          <w:tl2br w:val="nil"/>
          <w:tr2bl w:val="nil"/>
        </w:tcBorders>
        <w:shd w:val="clear" w:color="auto" w:fill="FFFFFF"/>
      </w:tcPr>
    </w:tblStylePr>
    <w:tblStylePr w:type="lastRow">
      <w:rPr>
        <w:b/>
        <w:color w:val="404040"/>
      </w:rPr>
      <w:tcPr>
        <w:tcBorders>
          <w:top w:val="single" w:color="D99795"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214">
    <w:name w:val="Grid Table 2 - Accent 3"/>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single" w:color="9BBB59" w:sz="12" w:space="0"/>
          <w:right w:val="nil"/>
          <w:insideH w:val="nil"/>
          <w:insideV w:val="nil"/>
          <w:tl2br w:val="nil"/>
          <w:tr2bl w:val="nil"/>
        </w:tcBorders>
        <w:shd w:val="clear" w:color="auto" w:fill="FFFFFF"/>
      </w:tcPr>
    </w:tblStylePr>
    <w:tblStylePr w:type="lastRow">
      <w:rPr>
        <w:b/>
        <w:color w:val="404040"/>
      </w:rPr>
      <w:tcPr>
        <w:tcBorders>
          <w:top w:val="single" w:color="9BBB59"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215">
    <w:name w:val="Grid Table 2 - Accent 4"/>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insideH w:val="nil"/>
          <w:insideV w:val="nil"/>
          <w:tl2br w:val="nil"/>
          <w:tr2bl w:val="nil"/>
        </w:tcBorders>
        <w:shd w:val="clear" w:color="auto" w:fill="FFFFFF"/>
      </w:tcPr>
    </w:tblStylePr>
    <w:tblStylePr w:type="lastRow">
      <w:rPr>
        <w:b/>
        <w:color w:val="404040"/>
      </w:rPr>
      <w:tcPr>
        <w:tcBorders>
          <w:top w:val="single" w:color="B2A1C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216">
    <w:name w:val="Grid Table 2 - Accent 5"/>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insideH w:val="nil"/>
          <w:insideV w:val="nil"/>
          <w:tl2br w:val="nil"/>
          <w:tr2bl w:val="nil"/>
        </w:tcBorders>
        <w:shd w:val="clear" w:color="auto" w:fill="FFFFFF"/>
      </w:tcPr>
    </w:tblStylePr>
    <w:tblStylePr w:type="lastRow">
      <w:rPr>
        <w:b/>
        <w:color w:val="404040"/>
      </w:rPr>
      <w:tcPr>
        <w:tcBorders>
          <w:top w:val="single" w:color="4BACC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217">
    <w:name w:val="Grid Table 2 - Accent 6"/>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insideH w:val="nil"/>
          <w:insideV w:val="nil"/>
          <w:tl2br w:val="nil"/>
          <w:tr2bl w:val="nil"/>
        </w:tcBorders>
        <w:shd w:val="clear" w:color="auto" w:fill="FFFFFF"/>
      </w:tcPr>
    </w:tblStylePr>
    <w:tblStylePr w:type="lastRow">
      <w:rPr>
        <w:b/>
        <w:color w:val="404040"/>
      </w:rPr>
      <w:tcPr>
        <w:tcBorders>
          <w:top w:val="single" w:color="F7964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218">
    <w:name w:val="Grid Table 3"/>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219">
    <w:name w:val="Grid Table 3 - Accent 1"/>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DBE5F1"/>
      </w:tcPr>
    </w:tblStylePr>
    <w:tblStylePr w:type="band1Horz">
      <w:rPr>
        <w:rFonts w:ascii="Arial" w:hAnsi="Arial"/>
        <w:color w:val="404040"/>
        <w:sz w:val="22"/>
      </w:rPr>
      <w:tcPr>
        <w:shd w:val="clear" w:color="auto" w:fill="DBE5F1"/>
      </w:tcPr>
    </w:tblStylePr>
  </w:style>
  <w:style w:type="table" w:customStyle="1" w:styleId="220">
    <w:name w:val="Grid Table 3 - Accent 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221">
    <w:name w:val="Grid Table 3 - Accent 3"/>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222">
    <w:name w:val="Grid Table 3 - Accent 4"/>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223">
    <w:name w:val="Grid Table 3 - Accent 5"/>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224">
    <w:name w:val="Grid Table 3 - Accent 6"/>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225">
    <w:name w:val="Grid Table 4"/>
    <w:qFormat/>
    <w:uiPriority w:val="59"/>
    <w:pPr>
      <w:spacing w:after="0" w:line="240" w:lineRule="auto"/>
    </w:p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226">
    <w:name w:val="Grid Table 4 - Accent 1"/>
    <w:qFormat/>
    <w:uiPriority w:val="5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auto"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cPr>
    </w:tblStylePr>
    <w:tblStylePr w:type="band1Horz">
      <w:rPr>
        <w:rFonts w:ascii="Arial" w:hAnsi="Arial"/>
        <w:color w:val="404040"/>
        <w:sz w:val="22"/>
      </w:rPr>
      <w:tcPr>
        <w:shd w:val="clear" w:color="auto" w:fill="DCE6F2"/>
      </w:tcPr>
    </w:tblStylePr>
  </w:style>
  <w:style w:type="table" w:customStyle="1" w:styleId="227">
    <w:name w:val="Grid Table 4 - Accent 2"/>
    <w:qFormat/>
    <w:uiPriority w:val="5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auto"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228">
    <w:name w:val="Grid Table 4 - Accent 3"/>
    <w:qFormat/>
    <w:uiPriority w:val="5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auto"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229">
    <w:name w:val="Grid Table 4 - Accent 4"/>
    <w:qFormat/>
    <w:uiPriority w:val="5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auto"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230">
    <w:name w:val="Grid Table 4 - Accent 5"/>
    <w:qFormat/>
    <w:uiPriority w:val="5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231">
    <w:name w:val="Grid Table 4 - Accent 6"/>
    <w:qFormat/>
    <w:uiPriority w:val="5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auto"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232">
    <w:name w:val="Grid Table 5 Dark"/>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000000"/>
      </w:tcPr>
    </w:tblStylePr>
    <w:tblStylePr w:type="firstCol">
      <w:rPr>
        <w:rFonts w:ascii="Arial" w:hAnsi="Arial"/>
        <w:b/>
        <w:color w:val="FFFFFF"/>
        <w:sz w:val="22"/>
      </w:rPr>
      <w:tcPr>
        <w:shd w:val="clear" w:color="auto" w:fill="000000"/>
      </w:tcPr>
    </w:tblStylePr>
    <w:tblStylePr w:type="lastCol">
      <w:rPr>
        <w:rFonts w:ascii="Arial" w:hAnsi="Arial"/>
        <w:b/>
        <w:color w:val="FFFFFF"/>
        <w:sz w:val="22"/>
      </w:rPr>
      <w:tcPr>
        <w:shd w:val="clear" w:color="auto" w:fill="000000"/>
      </w:tcPr>
    </w:tblStylePr>
    <w:tblStylePr w:type="band1Vert">
      <w:tcPr>
        <w:shd w:val="clear" w:color="auto" w:fill="898989"/>
      </w:tcPr>
    </w:tblStylePr>
    <w:tblStylePr w:type="band1Horz">
      <w:tcPr>
        <w:shd w:val="clear" w:color="auto" w:fill="898989"/>
      </w:tcPr>
    </w:tblStylePr>
  </w:style>
  <w:style w:type="table" w:customStyle="1" w:styleId="233">
    <w:name w:val="Grid Table 5 Dark- Accent 1"/>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4F81B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4F81BD"/>
      </w:tcPr>
    </w:tblStylePr>
    <w:tblStylePr w:type="firstCol">
      <w:rPr>
        <w:rFonts w:ascii="Arial" w:hAnsi="Arial"/>
        <w:b/>
        <w:color w:val="FFFFFF"/>
        <w:sz w:val="22"/>
      </w:rPr>
      <w:tcPr>
        <w:shd w:val="clear" w:color="auto" w:fill="4F81BD"/>
      </w:tcPr>
    </w:tblStylePr>
    <w:tblStylePr w:type="lastCol">
      <w:rPr>
        <w:rFonts w:ascii="Arial" w:hAnsi="Arial"/>
        <w:b/>
        <w:color w:val="FFFFFF"/>
        <w:sz w:val="22"/>
      </w:rPr>
      <w:tcPr>
        <w:shd w:val="clear" w:color="auto" w:fill="4F81BD"/>
      </w:tcPr>
    </w:tblStylePr>
    <w:tblStylePr w:type="band1Vert">
      <w:tcPr>
        <w:shd w:val="clear" w:color="auto" w:fill="AEC5E0"/>
      </w:tcPr>
    </w:tblStylePr>
    <w:tblStylePr w:type="band1Horz">
      <w:tcPr>
        <w:shd w:val="clear" w:color="auto" w:fill="AEC5E0"/>
      </w:tcPr>
    </w:tblStylePr>
  </w:style>
  <w:style w:type="table" w:customStyle="1" w:styleId="234">
    <w:name w:val="Grid Table 5 Dark - Accent 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C0504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C0504D"/>
      </w:tcPr>
    </w:tblStylePr>
    <w:tblStylePr w:type="firstCol">
      <w:rPr>
        <w:rFonts w:ascii="Arial" w:hAnsi="Arial"/>
        <w:b/>
        <w:color w:val="FFFFFF"/>
        <w:sz w:val="22"/>
      </w:rPr>
      <w:tcPr>
        <w:shd w:val="clear" w:color="auto" w:fill="C0504D"/>
      </w:tcPr>
    </w:tblStylePr>
    <w:tblStylePr w:type="lastCol">
      <w:rPr>
        <w:rFonts w:ascii="Arial" w:hAnsi="Arial"/>
        <w:b/>
        <w:color w:val="FFFFFF"/>
        <w:sz w:val="22"/>
      </w:rPr>
      <w:tcPr>
        <w:shd w:val="clear" w:color="auto" w:fill="C0504D"/>
      </w:tcPr>
    </w:tblStylePr>
    <w:tblStylePr w:type="band1Vert">
      <w:tcPr>
        <w:shd w:val="clear" w:color="auto" w:fill="E2AEAD"/>
      </w:tcPr>
    </w:tblStylePr>
    <w:tblStylePr w:type="band1Horz">
      <w:tcPr>
        <w:shd w:val="clear" w:color="auto" w:fill="E2AEAD"/>
      </w:tcPr>
    </w:tblStylePr>
  </w:style>
  <w:style w:type="table" w:customStyle="1" w:styleId="235">
    <w:name w:val="Grid Table 5 Dark - Accent 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9BBB59"/>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9BBB59"/>
      </w:tcPr>
    </w:tblStylePr>
    <w:tblStylePr w:type="firstCol">
      <w:rPr>
        <w:rFonts w:ascii="Arial" w:hAnsi="Arial"/>
        <w:b/>
        <w:color w:val="FFFFFF"/>
        <w:sz w:val="22"/>
      </w:rPr>
      <w:tcPr>
        <w:shd w:val="clear" w:color="auto" w:fill="9BBB59"/>
      </w:tcPr>
    </w:tblStylePr>
    <w:tblStylePr w:type="lastCol">
      <w:rPr>
        <w:rFonts w:ascii="Arial" w:hAnsi="Arial"/>
        <w:b/>
        <w:color w:val="FFFFFF"/>
        <w:sz w:val="22"/>
      </w:rPr>
      <w:tcPr>
        <w:shd w:val="clear" w:color="auto" w:fill="9BBB59"/>
      </w:tcPr>
    </w:tblStylePr>
    <w:tblStylePr w:type="band1Vert">
      <w:tcPr>
        <w:shd w:val="clear" w:color="auto" w:fill="D1DFB2"/>
      </w:tcPr>
    </w:tblStylePr>
    <w:tblStylePr w:type="band1Horz">
      <w:tcPr>
        <w:shd w:val="clear" w:color="auto" w:fill="D1DFB2"/>
      </w:tcPr>
    </w:tblStylePr>
  </w:style>
  <w:style w:type="table" w:customStyle="1" w:styleId="236">
    <w:name w:val="Grid Table 5 Dark- Accent 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8064A2"/>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8064A2"/>
      </w:tcPr>
    </w:tblStylePr>
    <w:tblStylePr w:type="firstCol">
      <w:rPr>
        <w:rFonts w:ascii="Arial" w:hAnsi="Arial"/>
        <w:b/>
        <w:color w:val="FFFFFF"/>
        <w:sz w:val="22"/>
      </w:rPr>
      <w:tcPr>
        <w:shd w:val="clear" w:color="auto" w:fill="8064A2"/>
      </w:tcPr>
    </w:tblStylePr>
    <w:tblStylePr w:type="lastCol">
      <w:rPr>
        <w:rFonts w:ascii="Arial" w:hAnsi="Arial"/>
        <w:b/>
        <w:color w:val="FFFFFF"/>
        <w:sz w:val="22"/>
      </w:rPr>
      <w:tcPr>
        <w:shd w:val="clear" w:color="auto" w:fill="8064A2"/>
      </w:tcPr>
    </w:tblStylePr>
    <w:tblStylePr w:type="band1Vert">
      <w:tcPr>
        <w:shd w:val="clear" w:color="auto" w:fill="C4B7D4"/>
      </w:tcPr>
    </w:tblStylePr>
    <w:tblStylePr w:type="band1Horz">
      <w:tcPr>
        <w:shd w:val="clear" w:color="auto" w:fill="C4B7D4"/>
      </w:tcPr>
    </w:tblStylePr>
  </w:style>
  <w:style w:type="table" w:customStyle="1" w:styleId="237">
    <w:name w:val="Grid Table 5 Dark - Accent 5"/>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4BACC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4BACC6"/>
      </w:tcPr>
    </w:tblStylePr>
    <w:tblStylePr w:type="firstCol">
      <w:rPr>
        <w:rFonts w:ascii="Arial" w:hAnsi="Arial"/>
        <w:b/>
        <w:color w:val="FFFFFF"/>
        <w:sz w:val="22"/>
      </w:rPr>
      <w:tcPr>
        <w:shd w:val="clear" w:color="auto" w:fill="4BACC6"/>
      </w:tcPr>
    </w:tblStylePr>
    <w:tblStylePr w:type="lastCol">
      <w:rPr>
        <w:rFonts w:ascii="Arial" w:hAnsi="Arial"/>
        <w:b/>
        <w:color w:val="FFFFFF"/>
        <w:sz w:val="22"/>
      </w:rPr>
      <w:tcPr>
        <w:shd w:val="clear" w:color="auto" w:fill="4BACC6"/>
      </w:tcPr>
    </w:tblStylePr>
    <w:tblStylePr w:type="band1Vert">
      <w:tcPr>
        <w:shd w:val="clear" w:color="auto" w:fill="ACD8E4"/>
      </w:tcPr>
    </w:tblStylePr>
    <w:tblStylePr w:type="band1Horz">
      <w:tcPr>
        <w:shd w:val="clear" w:color="auto" w:fill="ACD8E4"/>
      </w:tcPr>
    </w:tblStylePr>
  </w:style>
  <w:style w:type="table" w:customStyle="1" w:styleId="238">
    <w:name w:val="Grid Table 5 Dark - Accent 6"/>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uto" w:fill="F7964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F79646"/>
      </w:tcPr>
    </w:tblStylePr>
    <w:tblStylePr w:type="firstCol">
      <w:rPr>
        <w:rFonts w:ascii="Arial" w:hAnsi="Arial"/>
        <w:b/>
        <w:color w:val="FFFFFF"/>
        <w:sz w:val="22"/>
      </w:rPr>
      <w:tcPr>
        <w:shd w:val="clear" w:color="auto" w:fill="F79646"/>
      </w:tcPr>
    </w:tblStylePr>
    <w:tblStylePr w:type="lastCol">
      <w:rPr>
        <w:rFonts w:ascii="Arial" w:hAnsi="Arial"/>
        <w:b/>
        <w:color w:val="FFFFFF"/>
        <w:sz w:val="22"/>
      </w:rPr>
      <w:tcPr>
        <w:shd w:val="clear" w:color="auto" w:fill="F79646"/>
      </w:tcPr>
    </w:tblStylePr>
    <w:tblStylePr w:type="band1Vert">
      <w:tcPr>
        <w:shd w:val="clear" w:color="auto" w:fill="FBCEAA"/>
      </w:tcPr>
    </w:tblStylePr>
    <w:tblStylePr w:type="band1Horz">
      <w:tcPr>
        <w:shd w:val="clear" w:color="auto" w:fill="FBCEAA"/>
      </w:tcPr>
    </w:tblStylePr>
  </w:style>
  <w:style w:type="table" w:customStyle="1" w:styleId="239">
    <w:name w:val="Grid Table 6 Colorful"/>
    <w:qFormat/>
    <w:uiPriority w:val="99"/>
    <w:pPr>
      <w:spacing w:after="0" w:line="240" w:lineRule="auto"/>
    </w:p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C7C7C"/>
      </w:rPr>
      <w:tcPr>
        <w:tcBorders>
          <w:top w:val="nil"/>
          <w:left w:val="nil"/>
          <w:bottom w:val="single" w:color="7E7E7E" w:sz="12" w:space="0"/>
          <w:right w:val="nil"/>
          <w:insideH w:val="nil"/>
          <w:insideV w:val="nil"/>
          <w:tl2br w:val="nil"/>
          <w:tr2bl w:val="nil"/>
        </w:tcBorders>
      </w:tcPr>
    </w:tblStylePr>
    <w:tblStylePr w:type="lastRow">
      <w:rPr>
        <w:b/>
        <w:color w:val="7C7C7C"/>
      </w:rPr>
    </w:tblStylePr>
    <w:tblStylePr w:type="firstCol">
      <w:rPr>
        <w:b/>
        <w:color w:val="7C7C7C"/>
      </w:rPr>
    </w:tblStylePr>
    <w:tblStylePr w:type="lastCol">
      <w:rPr>
        <w:b/>
        <w:color w:val="7C7C7C"/>
      </w:rPr>
    </w:tblStylePr>
    <w:tblStylePr w:type="band1Vert">
      <w:tcPr>
        <w:shd w:val="clear" w:color="auto" w:fill="CACACA"/>
      </w:tcPr>
    </w:tblStylePr>
    <w:tblStylePr w:type="band1Horz">
      <w:rPr>
        <w:rFonts w:ascii="Arial" w:hAnsi="Arial"/>
        <w:color w:val="7C7C7C"/>
        <w:sz w:val="22"/>
      </w:rPr>
      <w:tcPr>
        <w:shd w:val="clear" w:color="auto" w:fill="CACACA"/>
      </w:tcPr>
    </w:tblStylePr>
    <w:tblStylePr w:type="band2Horz">
      <w:rPr>
        <w:rFonts w:ascii="Arial" w:hAnsi="Arial"/>
        <w:color w:val="7C7C7C"/>
        <w:sz w:val="22"/>
      </w:rPr>
    </w:tblStylePr>
  </w:style>
  <w:style w:type="table" w:customStyle="1" w:styleId="240">
    <w:name w:val="Grid Table 6 Colorful - Accent 1"/>
    <w:qFormat/>
    <w:uiPriority w:val="99"/>
    <w:pPr>
      <w:spacing w:after="0" w:line="240" w:lineRule="auto"/>
    </w:p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2BDDC"/>
      </w:rPr>
      <w:tcPr>
        <w:tcBorders>
          <w:top w:val="nil"/>
          <w:left w:val="nil"/>
          <w:bottom w:val="single" w:color="A6BFDD" w:sz="12" w:space="0"/>
          <w:right w:val="nil"/>
          <w:insideH w:val="nil"/>
          <w:insideV w:val="nil"/>
          <w:tl2br w:val="nil"/>
          <w:tr2bl w:val="nil"/>
        </w:tcBorders>
      </w:tcPr>
    </w:tblStylePr>
    <w:tblStylePr w:type="lastRow">
      <w:rPr>
        <w:b/>
        <w:color w:val="A2BDDC"/>
      </w:rPr>
    </w:tblStylePr>
    <w:tblStylePr w:type="firstCol">
      <w:rPr>
        <w:b/>
        <w:color w:val="A2BDDC"/>
      </w:rPr>
    </w:tblStylePr>
    <w:tblStylePr w:type="lastCol">
      <w:rPr>
        <w:b/>
        <w:color w:val="A2BDDC"/>
      </w:rPr>
    </w:tblStylePr>
    <w:tblStylePr w:type="band1Vert">
      <w:tcPr>
        <w:shd w:val="clear" w:color="auto" w:fill="DBE5F1"/>
      </w:tcPr>
    </w:tblStylePr>
    <w:tblStylePr w:type="band1Horz">
      <w:rPr>
        <w:rFonts w:ascii="Arial" w:hAnsi="Arial"/>
        <w:color w:val="A2BDDC"/>
        <w:sz w:val="22"/>
      </w:rPr>
      <w:tcPr>
        <w:shd w:val="clear" w:color="auto" w:fill="DBE5F1"/>
      </w:tcPr>
    </w:tblStylePr>
    <w:tblStylePr w:type="band2Horz">
      <w:rPr>
        <w:rFonts w:ascii="Arial" w:hAnsi="Arial"/>
        <w:color w:val="A2BDDC"/>
        <w:sz w:val="22"/>
      </w:rPr>
    </w:tblStylePr>
  </w:style>
  <w:style w:type="table" w:customStyle="1" w:styleId="241">
    <w:name w:val="Grid Table 6 Colorful - Accent 2"/>
    <w:qFormat/>
    <w:uiPriority w:val="99"/>
    <w:pPr>
      <w:spacing w:after="0" w:line="240" w:lineRule="auto"/>
    </w:p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D99492"/>
      </w:rPr>
      <w:tcPr>
        <w:tcBorders>
          <w:top w:val="nil"/>
          <w:left w:val="nil"/>
          <w:bottom w:val="single" w:color="D99795" w:sz="12" w:space="0"/>
          <w:right w:val="nil"/>
          <w:insideH w:val="nil"/>
          <w:insideV w:val="nil"/>
          <w:tl2br w:val="nil"/>
          <w:tr2bl w:val="nil"/>
        </w:tcBorders>
      </w:tcPr>
    </w:tblStylePr>
    <w:tblStylePr w:type="lastRow">
      <w:rPr>
        <w:b/>
        <w:color w:val="D99492"/>
      </w:rPr>
    </w:tblStylePr>
    <w:tblStylePr w:type="firstCol">
      <w:rPr>
        <w:b/>
        <w:color w:val="D99492"/>
      </w:rPr>
    </w:tblStylePr>
    <w:tblStylePr w:type="lastCol">
      <w:rPr>
        <w:b/>
        <w:color w:val="D99492"/>
      </w:rPr>
    </w:tblStylePr>
    <w:tblStylePr w:type="band1Vert">
      <w:tcPr>
        <w:shd w:val="clear" w:color="auto" w:fill="F2DCDC"/>
      </w:tcPr>
    </w:tblStylePr>
    <w:tblStylePr w:type="band1Horz">
      <w:rPr>
        <w:rFonts w:ascii="Arial" w:hAnsi="Arial"/>
        <w:color w:val="D99492"/>
        <w:sz w:val="22"/>
      </w:rPr>
      <w:tcPr>
        <w:shd w:val="clear" w:color="auto" w:fill="F2DCDC"/>
      </w:tcPr>
    </w:tblStylePr>
    <w:tblStylePr w:type="band2Horz">
      <w:rPr>
        <w:rFonts w:ascii="Arial" w:hAnsi="Arial"/>
        <w:color w:val="D99492"/>
        <w:sz w:val="22"/>
      </w:rPr>
    </w:tblStylePr>
  </w:style>
  <w:style w:type="table" w:customStyle="1" w:styleId="242">
    <w:name w:val="Grid Table 6 Colorful - Accent 3"/>
    <w:qFormat/>
    <w:uiPriority w:val="99"/>
    <w:pPr>
      <w:spacing w:after="0" w:line="240" w:lineRule="auto"/>
    </w:p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auto" w:fill="EAF1DD"/>
      </w:tcPr>
    </w:tblStylePr>
    <w:tblStylePr w:type="band1Horz">
      <w:rPr>
        <w:rFonts w:ascii="Arial" w:hAnsi="Arial"/>
        <w:color w:val="9BBB59"/>
        <w:sz w:val="22"/>
      </w:rPr>
      <w:tcPr>
        <w:shd w:val="clear" w:color="auto" w:fill="EAF1DD"/>
      </w:tcPr>
    </w:tblStylePr>
    <w:tblStylePr w:type="band2Horz">
      <w:rPr>
        <w:rFonts w:ascii="Arial" w:hAnsi="Arial"/>
        <w:color w:val="9BBB59"/>
        <w:sz w:val="22"/>
      </w:rPr>
    </w:tblStylePr>
  </w:style>
  <w:style w:type="table" w:customStyle="1" w:styleId="243">
    <w:name w:val="Grid Table 6 Colorful - Accent 4"/>
    <w:qFormat/>
    <w:uiPriority w:val="99"/>
    <w:pPr>
      <w:spacing w:after="0" w:line="240" w:lineRule="auto"/>
    </w:p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0C7"/>
      </w:rPr>
      <w:tcPr>
        <w:tcBorders>
          <w:top w:val="nil"/>
          <w:left w:val="nil"/>
          <w:bottom w:val="single" w:color="B2A1C6" w:sz="12" w:space="0"/>
          <w:right w:val="nil"/>
          <w:insideH w:val="nil"/>
          <w:insideV w:val="nil"/>
          <w:tl2br w:val="nil"/>
          <w:tr2bl w:val="nil"/>
        </w:tcBorders>
      </w:tcPr>
    </w:tblStylePr>
    <w:tblStylePr w:type="lastRow">
      <w:rPr>
        <w:b/>
        <w:color w:val="B2A0C7"/>
      </w:rPr>
    </w:tblStylePr>
    <w:tblStylePr w:type="firstCol">
      <w:rPr>
        <w:b/>
        <w:color w:val="B2A0C7"/>
      </w:rPr>
    </w:tblStylePr>
    <w:tblStylePr w:type="lastCol">
      <w:rPr>
        <w:b/>
        <w:color w:val="B2A0C7"/>
      </w:rPr>
    </w:tblStylePr>
    <w:tblStylePr w:type="band1Vert">
      <w:tcPr>
        <w:shd w:val="clear" w:color="auto" w:fill="E5DFEC"/>
      </w:tcPr>
    </w:tblStylePr>
    <w:tblStylePr w:type="band1Horz">
      <w:rPr>
        <w:rFonts w:ascii="Arial" w:hAnsi="Arial"/>
        <w:color w:val="B2A0C7"/>
        <w:sz w:val="22"/>
      </w:rPr>
      <w:tcPr>
        <w:shd w:val="clear" w:color="auto" w:fill="E5DFEC"/>
      </w:tcPr>
    </w:tblStylePr>
    <w:tblStylePr w:type="band2Horz">
      <w:rPr>
        <w:rFonts w:ascii="Arial" w:hAnsi="Arial"/>
        <w:color w:val="B2A0C7"/>
        <w:sz w:val="22"/>
      </w:rPr>
    </w:tblStylePr>
  </w:style>
  <w:style w:type="table" w:customStyle="1" w:styleId="244">
    <w:name w:val="Grid Table 6 Colorful - Accent 5"/>
    <w:qFormat/>
    <w:uiPriority w:val="99"/>
    <w:pPr>
      <w:spacing w:after="0" w:line="240" w:lineRule="auto"/>
    </w:p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678"/>
      </w:rPr>
      <w:tcPr>
        <w:tcBorders>
          <w:top w:val="nil"/>
          <w:left w:val="nil"/>
          <w:bottom w:val="single" w:color="4BACC6" w:sz="12" w:space="0"/>
          <w:right w:val="nil"/>
          <w:insideH w:val="nil"/>
          <w:insideV w:val="nil"/>
          <w:tl2br w:val="nil"/>
          <w:tr2bl w:val="nil"/>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auto" w:fill="DAEEF3"/>
      </w:tcPr>
    </w:tblStylePr>
    <w:tblStylePr w:type="band1Horz">
      <w:rPr>
        <w:rFonts w:ascii="Arial" w:hAnsi="Arial"/>
        <w:color w:val="266678"/>
        <w:sz w:val="22"/>
      </w:rPr>
      <w:tcPr>
        <w:shd w:val="clear" w:color="auto" w:fill="DAEEF3"/>
      </w:tcPr>
    </w:tblStylePr>
    <w:tblStylePr w:type="band2Horz">
      <w:rPr>
        <w:rFonts w:ascii="Arial" w:hAnsi="Arial"/>
        <w:color w:val="266678"/>
        <w:sz w:val="22"/>
      </w:rPr>
    </w:tblStylePr>
  </w:style>
  <w:style w:type="table" w:customStyle="1" w:styleId="245">
    <w:name w:val="Grid Table 6 Colorful - Accent 6"/>
    <w:qFormat/>
    <w:uiPriority w:val="99"/>
    <w:pPr>
      <w:spacing w:after="0" w:line="240" w:lineRule="auto"/>
    </w:p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678"/>
      </w:rPr>
      <w:tcPr>
        <w:tcBorders>
          <w:top w:val="nil"/>
          <w:left w:val="nil"/>
          <w:bottom w:val="single" w:color="F79646" w:sz="12" w:space="0"/>
          <w:right w:val="nil"/>
          <w:insideH w:val="nil"/>
          <w:insideV w:val="nil"/>
          <w:tl2br w:val="nil"/>
          <w:tr2bl w:val="nil"/>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auto" w:fill="FDE9D9"/>
      </w:tcPr>
    </w:tblStylePr>
    <w:tblStylePr w:type="band1Horz">
      <w:rPr>
        <w:rFonts w:ascii="Arial" w:hAnsi="Arial"/>
        <w:color w:val="266678"/>
        <w:sz w:val="22"/>
      </w:rPr>
      <w:tcPr>
        <w:shd w:val="clear" w:color="auto" w:fill="FDE9D9"/>
      </w:tcPr>
    </w:tblStylePr>
    <w:tblStylePr w:type="band2Horz">
      <w:rPr>
        <w:rFonts w:ascii="Arial" w:hAnsi="Arial"/>
        <w:color w:val="266678"/>
        <w:sz w:val="22"/>
      </w:rPr>
    </w:tblStylePr>
  </w:style>
  <w:style w:type="table" w:customStyle="1" w:styleId="246">
    <w:name w:val="Grid Table 7 Colorful"/>
    <w:qFormat/>
    <w:uiPriority w:val="99"/>
    <w:pPr>
      <w:spacing w:after="0" w:line="240" w:lineRule="auto"/>
    </w:pPr>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C7C7C"/>
        <w:sz w:val="22"/>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Arial" w:hAnsi="Arial"/>
        <w:b/>
        <w:color w:val="7C7C7C"/>
        <w:sz w:val="22"/>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7C7C7C"/>
        <w:sz w:val="22"/>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Arial" w:hAnsi="Arial"/>
        <w:i/>
        <w:color w:val="7C7C7C"/>
        <w:sz w:val="22"/>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F1F1F1"/>
      </w:tcPr>
    </w:tblStylePr>
    <w:tblStylePr w:type="band1Horz">
      <w:rPr>
        <w:rFonts w:ascii="Arial" w:hAnsi="Arial"/>
        <w:color w:val="7C7C7C"/>
        <w:sz w:val="22"/>
      </w:rPr>
      <w:tcPr>
        <w:shd w:val="clear" w:color="auto" w:fill="F1F1F1"/>
      </w:tcPr>
    </w:tblStylePr>
    <w:tblStylePr w:type="band2Horz">
      <w:rPr>
        <w:rFonts w:ascii="Arial" w:hAnsi="Arial"/>
        <w:color w:val="7C7C7C"/>
        <w:sz w:val="22"/>
      </w:rPr>
    </w:tblStylePr>
  </w:style>
  <w:style w:type="table" w:customStyle="1" w:styleId="247">
    <w:name w:val="Grid Table 7 Colorful - Accent 1"/>
    <w:qFormat/>
    <w:uiPriority w:val="99"/>
    <w:pPr>
      <w:spacing w:after="0" w:line="240" w:lineRule="auto"/>
    </w:pPr>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2BDDC"/>
        <w:sz w:val="22"/>
      </w:rPr>
      <w:tcPr>
        <w:tcBorders>
          <w:top w:val="nil"/>
          <w:left w:val="nil"/>
          <w:bottom w:val="single" w:color="A6BFDD" w:sz="4" w:space="0"/>
          <w:right w:val="nil"/>
          <w:insideH w:val="nil"/>
          <w:insideV w:val="nil"/>
          <w:tl2br w:val="nil"/>
          <w:tr2bl w:val="nil"/>
        </w:tcBorders>
        <w:shd w:val="clear" w:color="auto" w:fill="FFFFFF"/>
      </w:tcPr>
    </w:tblStylePr>
    <w:tblStylePr w:type="lastRow">
      <w:rPr>
        <w:rFonts w:ascii="Arial" w:hAnsi="Arial"/>
        <w:b/>
        <w:color w:val="A2BDDC"/>
        <w:sz w:val="22"/>
      </w:rPr>
      <w:tcPr>
        <w:tcBorders>
          <w:top w:val="single" w:color="A6BFDD"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A2BDDC"/>
        <w:sz w:val="22"/>
      </w:rPr>
      <w:tcPr>
        <w:tcBorders>
          <w:top w:val="nil"/>
          <w:left w:val="nil"/>
          <w:bottom w:val="nil"/>
          <w:right w:val="single" w:color="A6BFDD" w:sz="4" w:space="0"/>
          <w:insideH w:val="nil"/>
          <w:insideV w:val="nil"/>
          <w:tl2br w:val="nil"/>
          <w:tr2bl w:val="nil"/>
        </w:tcBorders>
        <w:shd w:val="clear" w:color="auto" w:fill="FFFFFF"/>
      </w:tcPr>
    </w:tblStylePr>
    <w:tblStylePr w:type="lastCol">
      <w:rPr>
        <w:rFonts w:ascii="Arial" w:hAnsi="Arial"/>
        <w:i/>
        <w:color w:val="A2BDDC"/>
        <w:sz w:val="22"/>
      </w:rPr>
      <w:tcPr>
        <w:tcBorders>
          <w:top w:val="nil"/>
          <w:left w:val="single" w:color="A6BFDD" w:sz="4" w:space="0"/>
          <w:bottom w:val="nil"/>
          <w:right w:val="nil"/>
          <w:insideH w:val="nil"/>
          <w:insideV w:val="nil"/>
          <w:tl2br w:val="nil"/>
          <w:tr2bl w:val="nil"/>
        </w:tcBorders>
        <w:shd w:val="clear" w:color="auto" w:fill="FFFFFF"/>
      </w:tcPr>
    </w:tblStylePr>
    <w:tblStylePr w:type="band1Vert">
      <w:tcPr>
        <w:shd w:val="clear" w:color="auto" w:fill="DBE5F1"/>
      </w:tcPr>
    </w:tblStylePr>
    <w:tblStylePr w:type="band1Horz">
      <w:rPr>
        <w:rFonts w:ascii="Arial" w:hAnsi="Arial"/>
        <w:color w:val="A2BDDC"/>
        <w:sz w:val="22"/>
      </w:rPr>
      <w:tcPr>
        <w:shd w:val="clear" w:color="auto" w:fill="DBE5F1"/>
      </w:tcPr>
    </w:tblStylePr>
    <w:tblStylePr w:type="band2Horz">
      <w:rPr>
        <w:rFonts w:ascii="Arial" w:hAnsi="Arial"/>
        <w:color w:val="A2BDDC"/>
        <w:sz w:val="22"/>
      </w:rPr>
    </w:tblStylePr>
  </w:style>
  <w:style w:type="table" w:customStyle="1" w:styleId="248">
    <w:name w:val="Grid Table 7 Colorful - Accent 2"/>
    <w:qFormat/>
    <w:uiPriority w:val="99"/>
    <w:pPr>
      <w:spacing w:after="0" w:line="240" w:lineRule="auto"/>
    </w:pPr>
    <w:tblPr>
      <w:tblBorders>
        <w:bottom w:val="single" w:color="D99795" w:sz="4" w:space="0"/>
        <w:right w:val="single" w:color="D99795" w:sz="4" w:space="0"/>
        <w:insideH w:val="single" w:color="D99795" w:sz="4" w:space="0"/>
        <w:insideV w:val="single" w:color="D99795" w:sz="4" w:space="0"/>
      </w:tblBorders>
    </w:tblPr>
    <w:tblStylePr w:type="firstRow">
      <w:rPr>
        <w:rFonts w:ascii="Arial" w:hAnsi="Arial"/>
        <w:b/>
        <w:color w:val="D99492"/>
        <w:sz w:val="22"/>
      </w:rPr>
      <w:tcPr>
        <w:tcBorders>
          <w:top w:val="nil"/>
          <w:left w:val="nil"/>
          <w:bottom w:val="single" w:color="D99795" w:sz="4" w:space="0"/>
          <w:right w:val="nil"/>
          <w:insideH w:val="nil"/>
          <w:insideV w:val="nil"/>
          <w:tl2br w:val="nil"/>
          <w:tr2bl w:val="nil"/>
        </w:tcBorders>
        <w:shd w:val="clear" w:color="auto" w:fill="FFFFFF"/>
      </w:tcPr>
    </w:tblStylePr>
    <w:tblStylePr w:type="lastRow">
      <w:rPr>
        <w:rFonts w:ascii="Arial" w:hAnsi="Arial"/>
        <w:b/>
        <w:color w:val="D99492"/>
        <w:sz w:val="22"/>
      </w:rPr>
      <w:tcPr>
        <w:tcBorders>
          <w:top w:val="single" w:color="D99795"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D99492"/>
        <w:sz w:val="22"/>
      </w:rPr>
      <w:tcPr>
        <w:tcBorders>
          <w:top w:val="nil"/>
          <w:left w:val="nil"/>
          <w:bottom w:val="nil"/>
          <w:right w:val="single" w:color="D99795" w:sz="4" w:space="0"/>
          <w:insideH w:val="nil"/>
          <w:insideV w:val="nil"/>
          <w:tl2br w:val="nil"/>
          <w:tr2bl w:val="nil"/>
        </w:tcBorders>
        <w:shd w:val="clear" w:color="auto" w:fill="FFFFFF"/>
      </w:tcPr>
    </w:tblStylePr>
    <w:tblStylePr w:type="lastCol">
      <w:rPr>
        <w:rFonts w:ascii="Arial" w:hAnsi="Arial"/>
        <w:i/>
        <w:color w:val="D99492"/>
        <w:sz w:val="22"/>
      </w:rPr>
      <w:tcPr>
        <w:tcBorders>
          <w:top w:val="nil"/>
          <w:left w:val="single" w:color="D99795" w:sz="4" w:space="0"/>
          <w:bottom w:val="nil"/>
          <w:right w:val="nil"/>
          <w:insideH w:val="nil"/>
          <w:insideV w:val="nil"/>
          <w:tl2br w:val="nil"/>
          <w:tr2bl w:val="nil"/>
        </w:tcBorders>
        <w:shd w:val="clear" w:color="auto" w:fill="FFFFFF"/>
      </w:tcPr>
    </w:tblStylePr>
    <w:tblStylePr w:type="band1Vert">
      <w:tcPr>
        <w:shd w:val="clear" w:color="auto" w:fill="F2DCDC"/>
      </w:tcPr>
    </w:tblStylePr>
    <w:tblStylePr w:type="band1Horz">
      <w:rPr>
        <w:rFonts w:ascii="Arial" w:hAnsi="Arial"/>
        <w:color w:val="D99492"/>
        <w:sz w:val="22"/>
      </w:rPr>
      <w:tcPr>
        <w:shd w:val="clear" w:color="auto" w:fill="F2DCDC"/>
      </w:tcPr>
    </w:tblStylePr>
    <w:tblStylePr w:type="band2Horz">
      <w:rPr>
        <w:rFonts w:ascii="Arial" w:hAnsi="Arial"/>
        <w:color w:val="D99492"/>
        <w:sz w:val="22"/>
      </w:rPr>
    </w:tblStylePr>
  </w:style>
  <w:style w:type="table" w:customStyle="1" w:styleId="249">
    <w:name w:val="Grid Table 7 Colorful - Accent 3"/>
    <w:qFormat/>
    <w:uiPriority w:val="99"/>
    <w:pPr>
      <w:spacing w:after="0" w:line="240" w:lineRule="auto"/>
    </w:pPr>
    <w:tblPr>
      <w:tblBorders>
        <w:bottom w:val="single" w:color="9BBB59" w:sz="4" w:space="0"/>
        <w:right w:val="single" w:color="9BBB59" w:sz="4" w:space="0"/>
        <w:insideH w:val="single" w:color="9BBB59" w:sz="4" w:space="0"/>
        <w:insideV w:val="single" w:color="9BBB59" w:sz="4" w:space="0"/>
      </w:tblBorders>
    </w:tblPr>
    <w:tblStylePr w:type="firstRow">
      <w:rPr>
        <w:rFonts w:ascii="Arial" w:hAnsi="Arial"/>
        <w:b/>
        <w:color w:val="9BBB59"/>
        <w:sz w:val="22"/>
      </w:rPr>
      <w:tcPr>
        <w:tcBorders>
          <w:top w:val="nil"/>
          <w:left w:val="nil"/>
          <w:bottom w:val="single" w:color="9BBB59" w:sz="4" w:space="0"/>
          <w:right w:val="nil"/>
          <w:insideH w:val="nil"/>
          <w:insideV w:val="nil"/>
          <w:tl2br w:val="nil"/>
          <w:tr2bl w:val="nil"/>
        </w:tcBorders>
        <w:shd w:val="clear" w:color="auto" w:fill="FFFFFF"/>
      </w:tcPr>
    </w:tblStylePr>
    <w:tblStylePr w:type="lastRow">
      <w:rPr>
        <w:rFonts w:ascii="Arial" w:hAnsi="Arial"/>
        <w:b/>
        <w:color w:val="9BBB59"/>
        <w:sz w:val="22"/>
      </w:rPr>
      <w:tcPr>
        <w:tcBorders>
          <w:top w:val="single" w:color="9BBB59"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9BBB59"/>
        <w:sz w:val="22"/>
      </w:rPr>
      <w:tcPr>
        <w:tcBorders>
          <w:top w:val="nil"/>
          <w:left w:val="nil"/>
          <w:bottom w:val="nil"/>
          <w:right w:val="single" w:color="9BBB59" w:sz="4" w:space="0"/>
          <w:insideH w:val="nil"/>
          <w:insideV w:val="nil"/>
          <w:tl2br w:val="nil"/>
          <w:tr2bl w:val="nil"/>
        </w:tcBorders>
        <w:shd w:val="clear" w:color="auto" w:fill="FFFFFF"/>
      </w:tcPr>
    </w:tblStylePr>
    <w:tblStylePr w:type="lastCol">
      <w:rPr>
        <w:rFonts w:ascii="Arial" w:hAnsi="Arial"/>
        <w:i/>
        <w:color w:val="9BBB59"/>
        <w:sz w:val="22"/>
      </w:rPr>
      <w:tcPr>
        <w:tcBorders>
          <w:top w:val="nil"/>
          <w:left w:val="single" w:color="9BBB59" w:sz="4" w:space="0"/>
          <w:bottom w:val="nil"/>
          <w:right w:val="nil"/>
          <w:insideH w:val="nil"/>
          <w:insideV w:val="nil"/>
          <w:tl2br w:val="nil"/>
          <w:tr2bl w:val="nil"/>
        </w:tcBorders>
        <w:shd w:val="clear" w:color="auto" w:fill="FFFFFF"/>
      </w:tcPr>
    </w:tblStylePr>
    <w:tblStylePr w:type="band1Vert">
      <w:tcPr>
        <w:shd w:val="clear" w:color="auto" w:fill="EAF1DD"/>
      </w:tcPr>
    </w:tblStylePr>
    <w:tblStylePr w:type="band1Horz">
      <w:rPr>
        <w:rFonts w:ascii="Arial" w:hAnsi="Arial"/>
        <w:color w:val="9BBB59"/>
        <w:sz w:val="22"/>
      </w:rPr>
      <w:tcPr>
        <w:shd w:val="clear" w:color="auto" w:fill="EAF1DD"/>
      </w:tcPr>
    </w:tblStylePr>
    <w:tblStylePr w:type="band2Horz">
      <w:rPr>
        <w:rFonts w:ascii="Arial" w:hAnsi="Arial"/>
        <w:color w:val="9BBB59"/>
        <w:sz w:val="22"/>
      </w:rPr>
    </w:tblStylePr>
  </w:style>
  <w:style w:type="table" w:customStyle="1" w:styleId="250">
    <w:name w:val="Grid Table 7 Colorful - Accent 4"/>
    <w:qFormat/>
    <w:uiPriority w:val="99"/>
    <w:pPr>
      <w:spacing w:after="0" w:line="240" w:lineRule="auto"/>
    </w:pPr>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0C7"/>
        <w:sz w:val="22"/>
      </w:rPr>
      <w:tcPr>
        <w:tcBorders>
          <w:top w:val="nil"/>
          <w:left w:val="nil"/>
          <w:bottom w:val="single" w:color="B2A1C6" w:sz="4" w:space="0"/>
          <w:right w:val="nil"/>
          <w:insideH w:val="nil"/>
          <w:insideV w:val="nil"/>
          <w:tl2br w:val="nil"/>
          <w:tr2bl w:val="nil"/>
        </w:tcBorders>
        <w:shd w:val="clear" w:color="auto" w:fill="FFFFFF"/>
      </w:tcPr>
    </w:tblStylePr>
    <w:tblStylePr w:type="lastRow">
      <w:rPr>
        <w:rFonts w:ascii="Arial" w:hAnsi="Arial"/>
        <w:b/>
        <w:color w:val="B2A0C7"/>
        <w:sz w:val="22"/>
      </w:rPr>
      <w:tcPr>
        <w:tcBorders>
          <w:top w:val="single" w:color="B2A1C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2A0C7"/>
        <w:sz w:val="22"/>
      </w:rPr>
      <w:tcPr>
        <w:tcBorders>
          <w:top w:val="nil"/>
          <w:left w:val="nil"/>
          <w:bottom w:val="nil"/>
          <w:right w:val="single" w:color="B2A1C6" w:sz="4" w:space="0"/>
          <w:insideH w:val="nil"/>
          <w:insideV w:val="nil"/>
          <w:tl2br w:val="nil"/>
          <w:tr2bl w:val="nil"/>
        </w:tcBorders>
        <w:shd w:val="clear" w:color="auto" w:fill="FFFFFF"/>
      </w:tcPr>
    </w:tblStylePr>
    <w:tblStylePr w:type="lastCol">
      <w:rPr>
        <w:rFonts w:ascii="Arial" w:hAnsi="Arial"/>
        <w:i/>
        <w:color w:val="B2A0C7"/>
        <w:sz w:val="22"/>
      </w:rPr>
      <w:tcPr>
        <w:tcBorders>
          <w:top w:val="nil"/>
          <w:left w:val="single" w:color="B2A1C6" w:sz="4" w:space="0"/>
          <w:bottom w:val="nil"/>
          <w:right w:val="nil"/>
          <w:insideH w:val="nil"/>
          <w:insideV w:val="nil"/>
          <w:tl2br w:val="nil"/>
          <w:tr2bl w:val="nil"/>
        </w:tcBorders>
        <w:shd w:val="clear" w:color="auto" w:fill="FFFFFF"/>
      </w:tcPr>
    </w:tblStylePr>
    <w:tblStylePr w:type="band1Vert">
      <w:tcPr>
        <w:shd w:val="clear" w:color="auto" w:fill="E5DFEC"/>
      </w:tcPr>
    </w:tblStylePr>
    <w:tblStylePr w:type="band1Horz">
      <w:rPr>
        <w:rFonts w:ascii="Arial" w:hAnsi="Arial"/>
        <w:color w:val="B2A0C7"/>
        <w:sz w:val="22"/>
      </w:rPr>
      <w:tcPr>
        <w:shd w:val="clear" w:color="auto" w:fill="E5DFEC"/>
      </w:tcPr>
    </w:tblStylePr>
    <w:tblStylePr w:type="band2Horz">
      <w:rPr>
        <w:rFonts w:ascii="Arial" w:hAnsi="Arial"/>
        <w:color w:val="B2A0C7"/>
        <w:sz w:val="22"/>
      </w:rPr>
    </w:tblStylePr>
  </w:style>
  <w:style w:type="table" w:customStyle="1" w:styleId="251">
    <w:name w:val="Grid Table 7 Colorful - Accent 5"/>
    <w:qFormat/>
    <w:uiPriority w:val="99"/>
    <w:pPr>
      <w:spacing w:after="0" w:line="240" w:lineRule="auto"/>
    </w:pPr>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678"/>
        <w:sz w:val="22"/>
      </w:rPr>
      <w:tcPr>
        <w:tcBorders>
          <w:top w:val="nil"/>
          <w:left w:val="nil"/>
          <w:bottom w:val="single" w:color="99D0DE" w:sz="4" w:space="0"/>
          <w:right w:val="nil"/>
          <w:insideH w:val="nil"/>
          <w:insideV w:val="nil"/>
          <w:tl2br w:val="nil"/>
          <w:tr2bl w:val="nil"/>
        </w:tcBorders>
        <w:shd w:val="clear" w:color="auto" w:fill="FFFFFF"/>
      </w:tcPr>
    </w:tblStylePr>
    <w:tblStylePr w:type="lastRow">
      <w:rPr>
        <w:rFonts w:ascii="Arial" w:hAnsi="Arial"/>
        <w:b/>
        <w:color w:val="266678"/>
        <w:sz w:val="22"/>
      </w:rPr>
      <w:tcPr>
        <w:tcBorders>
          <w:top w:val="single" w:color="99D0D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266678"/>
        <w:sz w:val="22"/>
      </w:rPr>
      <w:tcPr>
        <w:tcBorders>
          <w:top w:val="nil"/>
          <w:left w:val="nil"/>
          <w:bottom w:val="nil"/>
          <w:right w:val="single" w:color="99D0DE" w:sz="4" w:space="0"/>
          <w:insideH w:val="nil"/>
          <w:insideV w:val="nil"/>
          <w:tl2br w:val="nil"/>
          <w:tr2bl w:val="nil"/>
        </w:tcBorders>
        <w:shd w:val="clear" w:color="auto" w:fill="FFFFFF"/>
      </w:tcPr>
    </w:tblStylePr>
    <w:tblStylePr w:type="lastCol">
      <w:rPr>
        <w:rFonts w:ascii="Arial" w:hAnsi="Arial"/>
        <w:i/>
        <w:color w:val="266678"/>
        <w:sz w:val="22"/>
      </w:rPr>
      <w:tcPr>
        <w:tcBorders>
          <w:top w:val="nil"/>
          <w:left w:val="single" w:color="99D0DE" w:sz="4" w:space="0"/>
          <w:bottom w:val="nil"/>
          <w:right w:val="nil"/>
          <w:insideH w:val="nil"/>
          <w:insideV w:val="nil"/>
          <w:tl2br w:val="nil"/>
          <w:tr2bl w:val="nil"/>
        </w:tcBorders>
        <w:shd w:val="clear" w:color="auto" w:fill="FFFFFF"/>
      </w:tcPr>
    </w:tblStylePr>
    <w:tblStylePr w:type="band1Vert">
      <w:tcPr>
        <w:shd w:val="clear" w:color="auto" w:fill="DAEEF3"/>
      </w:tcPr>
    </w:tblStylePr>
    <w:tblStylePr w:type="band1Horz">
      <w:rPr>
        <w:rFonts w:ascii="Arial" w:hAnsi="Arial"/>
        <w:color w:val="266678"/>
        <w:sz w:val="22"/>
      </w:rPr>
      <w:tcPr>
        <w:shd w:val="clear" w:color="auto" w:fill="DAEEF3"/>
      </w:tcPr>
    </w:tblStylePr>
    <w:tblStylePr w:type="band2Horz">
      <w:rPr>
        <w:rFonts w:ascii="Arial" w:hAnsi="Arial"/>
        <w:color w:val="266678"/>
        <w:sz w:val="22"/>
      </w:rPr>
    </w:tblStylePr>
  </w:style>
  <w:style w:type="table" w:customStyle="1" w:styleId="252">
    <w:name w:val="Grid Table 7 Colorful - Accent 6"/>
    <w:qFormat/>
    <w:uiPriority w:val="99"/>
    <w:pPr>
      <w:spacing w:after="0" w:line="240" w:lineRule="auto"/>
    </w:pPr>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05307"/>
        <w:sz w:val="22"/>
      </w:rPr>
      <w:tcPr>
        <w:tcBorders>
          <w:top w:val="nil"/>
          <w:left w:val="nil"/>
          <w:bottom w:val="single" w:color="FAC396" w:sz="4" w:space="0"/>
          <w:right w:val="nil"/>
          <w:insideH w:val="nil"/>
          <w:insideV w:val="nil"/>
          <w:tl2br w:val="nil"/>
          <w:tr2bl w:val="nil"/>
        </w:tcBorders>
        <w:shd w:val="clear" w:color="auto" w:fill="FFFFFF"/>
      </w:tcPr>
    </w:tblStylePr>
    <w:tblStylePr w:type="lastRow">
      <w:rPr>
        <w:rFonts w:ascii="Arial" w:hAnsi="Arial"/>
        <w:b/>
        <w:color w:val="B05307"/>
        <w:sz w:val="22"/>
      </w:rPr>
      <w:tcPr>
        <w:tcBorders>
          <w:top w:val="single" w:color="FAC39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05307"/>
        <w:sz w:val="22"/>
      </w:rPr>
      <w:tcPr>
        <w:tcBorders>
          <w:top w:val="nil"/>
          <w:left w:val="nil"/>
          <w:bottom w:val="nil"/>
          <w:right w:val="single" w:color="FAC396" w:sz="4" w:space="0"/>
          <w:insideH w:val="nil"/>
          <w:insideV w:val="nil"/>
          <w:tl2br w:val="nil"/>
          <w:tr2bl w:val="nil"/>
        </w:tcBorders>
        <w:shd w:val="clear" w:color="auto" w:fill="FFFFFF"/>
      </w:tcPr>
    </w:tblStylePr>
    <w:tblStylePr w:type="lastCol">
      <w:rPr>
        <w:rFonts w:ascii="Arial" w:hAnsi="Arial"/>
        <w:i/>
        <w:color w:val="B05307"/>
        <w:sz w:val="22"/>
      </w:rPr>
      <w:tcPr>
        <w:tcBorders>
          <w:top w:val="nil"/>
          <w:left w:val="single" w:color="FAC396" w:sz="4" w:space="0"/>
          <w:bottom w:val="nil"/>
          <w:right w:val="nil"/>
          <w:insideH w:val="nil"/>
          <w:insideV w:val="nil"/>
          <w:tl2br w:val="nil"/>
          <w:tr2bl w:val="nil"/>
        </w:tcBorders>
        <w:shd w:val="clear" w:color="auto" w:fill="FFFFFF"/>
      </w:tcPr>
    </w:tblStylePr>
    <w:tblStylePr w:type="band1Vert">
      <w:tcPr>
        <w:shd w:val="clear" w:color="auto" w:fill="FDE9D9"/>
      </w:tcPr>
    </w:tblStylePr>
    <w:tblStylePr w:type="band1Horz">
      <w:rPr>
        <w:rFonts w:ascii="Arial" w:hAnsi="Arial"/>
        <w:color w:val="B05307"/>
        <w:sz w:val="22"/>
      </w:rPr>
      <w:tcPr>
        <w:shd w:val="clear" w:color="auto" w:fill="FDE9D9"/>
      </w:tcPr>
    </w:tblStylePr>
    <w:tblStylePr w:type="band2Horz">
      <w:rPr>
        <w:rFonts w:ascii="Arial" w:hAnsi="Arial"/>
        <w:color w:val="B05307"/>
        <w:sz w:val="22"/>
      </w:rPr>
    </w:tblStylePr>
  </w:style>
  <w:style w:type="table" w:customStyle="1" w:styleId="253">
    <w:name w:val="List Table 1 Light"/>
    <w:qFormat/>
    <w:uiPriority w:val="99"/>
    <w:pPr>
      <w:spacing w:after="0" w:line="240" w:lineRule="auto"/>
    </w:pPr>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BEBEBE"/>
      </w:tcPr>
    </w:tblStylePr>
    <w:tblStylePr w:type="band1Horz">
      <w:tcPr>
        <w:shd w:val="clear" w:color="auto" w:fill="BEBEBE"/>
      </w:tcPr>
    </w:tblStylePr>
  </w:style>
  <w:style w:type="table" w:customStyle="1" w:styleId="254">
    <w:name w:val="List Table 1 Light - Accent 1"/>
    <w:qFormat/>
    <w:uiPriority w:val="99"/>
    <w:pPr>
      <w:spacing w:after="0" w:line="240" w:lineRule="auto"/>
    </w:pPr>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2DFEE"/>
      </w:tcPr>
    </w:tblStylePr>
    <w:tblStylePr w:type="band1Horz">
      <w:tcPr>
        <w:shd w:val="clear" w:color="auto" w:fill="D2DFEE"/>
      </w:tcPr>
    </w:tblStylePr>
  </w:style>
  <w:style w:type="table" w:customStyle="1" w:styleId="255">
    <w:name w:val="List Table 1 Light - Accent 2"/>
    <w:qFormat/>
    <w:uiPriority w:val="99"/>
    <w:pPr>
      <w:spacing w:after="0" w:line="240" w:lineRule="auto"/>
    </w:pPr>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EFD3D2"/>
      </w:tcPr>
    </w:tblStylePr>
    <w:tblStylePr w:type="band1Horz">
      <w:tcPr>
        <w:shd w:val="clear" w:color="auto" w:fill="EFD3D2"/>
      </w:tcPr>
    </w:tblStylePr>
  </w:style>
  <w:style w:type="table" w:customStyle="1" w:styleId="256">
    <w:name w:val="List Table 1 Light - Accent 3"/>
    <w:qFormat/>
    <w:uiPriority w:val="99"/>
    <w:pPr>
      <w:spacing w:after="0" w:line="240" w:lineRule="auto"/>
    </w:pPr>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E5EDD5"/>
      </w:tcPr>
    </w:tblStylePr>
    <w:tblStylePr w:type="band1Horz">
      <w:tcPr>
        <w:shd w:val="clear" w:color="auto" w:fill="E5EDD5"/>
      </w:tcPr>
    </w:tblStylePr>
  </w:style>
  <w:style w:type="table" w:customStyle="1" w:styleId="257">
    <w:name w:val="List Table 1 Light - Accent 4"/>
    <w:qFormat/>
    <w:uiPriority w:val="99"/>
    <w:pPr>
      <w:spacing w:after="0" w:line="240" w:lineRule="auto"/>
    </w:pPr>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FD8E7"/>
      </w:tcPr>
    </w:tblStylePr>
    <w:tblStylePr w:type="band1Horz">
      <w:tcPr>
        <w:shd w:val="clear" w:color="auto" w:fill="DFD8E7"/>
      </w:tcPr>
    </w:tblStylePr>
  </w:style>
  <w:style w:type="table" w:customStyle="1" w:styleId="258">
    <w:name w:val="List Table 1 Light - Accent 5"/>
    <w:qFormat/>
    <w:uiPriority w:val="99"/>
    <w:pPr>
      <w:spacing w:after="0" w:line="240" w:lineRule="auto"/>
    </w:pPr>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1EAF0"/>
      </w:tcPr>
    </w:tblStylePr>
    <w:tblStylePr w:type="band1Horz">
      <w:tcPr>
        <w:shd w:val="clear" w:color="auto" w:fill="D1EAF0"/>
      </w:tcPr>
    </w:tblStylePr>
  </w:style>
  <w:style w:type="table" w:customStyle="1" w:styleId="259">
    <w:name w:val="List Table 1 Light - Accent 6"/>
    <w:qFormat/>
    <w:uiPriority w:val="99"/>
    <w:pPr>
      <w:spacing w:after="0" w:line="240" w:lineRule="auto"/>
    </w:pPr>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FCE4D0"/>
      </w:tcPr>
    </w:tblStylePr>
    <w:tblStylePr w:type="band1Horz">
      <w:tcPr>
        <w:shd w:val="clear" w:color="auto" w:fill="FCE4D0"/>
      </w:tcPr>
    </w:tblStylePr>
  </w:style>
  <w:style w:type="table" w:customStyle="1" w:styleId="260">
    <w:name w:val="List Table 2"/>
    <w:qFormat/>
    <w:uiPriority w:val="99"/>
    <w:pPr>
      <w:spacing w:after="0" w:line="240" w:lineRule="auto"/>
    </w:pPr>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cPr>
    </w:tblStylePr>
    <w:tblStylePr w:type="band1Horz">
      <w:rPr>
        <w:rFonts w:ascii="Arial" w:hAnsi="Arial"/>
        <w:color w:val="404040"/>
        <w:sz w:val="22"/>
      </w:rPr>
      <w:tcPr>
        <w:shd w:val="clear" w:color="auto" w:fill="BEBEBE"/>
      </w:tcPr>
    </w:tblStylePr>
  </w:style>
  <w:style w:type="table" w:customStyle="1" w:styleId="261">
    <w:name w:val="List Table 2 - Accent 1"/>
    <w:qFormat/>
    <w:uiPriority w:val="99"/>
    <w:pPr>
      <w:spacing w:after="0" w:line="240" w:lineRule="auto"/>
    </w:pPr>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cPr>
    </w:tblStylePr>
    <w:tblStylePr w:type="band1Horz">
      <w:rPr>
        <w:rFonts w:ascii="Arial" w:hAnsi="Arial"/>
        <w:color w:val="404040"/>
        <w:sz w:val="22"/>
      </w:rPr>
      <w:tcPr>
        <w:shd w:val="clear" w:color="auto" w:fill="D2DFEE"/>
      </w:tcPr>
    </w:tblStylePr>
  </w:style>
  <w:style w:type="table" w:customStyle="1" w:styleId="262">
    <w:name w:val="List Table 2 - Accent 2"/>
    <w:qFormat/>
    <w:uiPriority w:val="99"/>
    <w:pPr>
      <w:spacing w:after="0" w:line="240" w:lineRule="auto"/>
    </w:pPr>
    <w:tblPr>
      <w:tblBorders>
        <w:top w:val="single" w:color="DB9C9A" w:sz="4" w:space="0"/>
        <w:bottom w:val="single" w:color="DB9C9A" w:sz="4" w:space="0"/>
        <w:insideH w:val="single" w:color="DB9C9A" w:sz="4" w:space="0"/>
      </w:tblBorders>
    </w:tblPr>
    <w:tblStylePr w:type="fir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cPr>
    </w:tblStylePr>
    <w:tblStylePr w:type="band1Horz">
      <w:rPr>
        <w:rFonts w:ascii="Arial" w:hAnsi="Arial"/>
        <w:color w:val="404040"/>
        <w:sz w:val="22"/>
      </w:rPr>
      <w:tcPr>
        <w:shd w:val="clear" w:color="auto" w:fill="EFD3D2"/>
      </w:tcPr>
    </w:tblStylePr>
  </w:style>
  <w:style w:type="table" w:customStyle="1" w:styleId="263">
    <w:name w:val="List Table 2 - Accent 3"/>
    <w:qFormat/>
    <w:uiPriority w:val="99"/>
    <w:pPr>
      <w:spacing w:after="0" w:line="240" w:lineRule="auto"/>
    </w:pPr>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cPr>
    </w:tblStylePr>
    <w:tblStylePr w:type="band1Horz">
      <w:rPr>
        <w:rFonts w:ascii="Arial" w:hAnsi="Arial"/>
        <w:color w:val="404040"/>
        <w:sz w:val="22"/>
      </w:rPr>
      <w:tcPr>
        <w:shd w:val="clear" w:color="auto" w:fill="E5EDD5"/>
      </w:tcPr>
    </w:tblStylePr>
  </w:style>
  <w:style w:type="table" w:customStyle="1" w:styleId="264">
    <w:name w:val="List Table 2 - Accent 4"/>
    <w:qFormat/>
    <w:uiPriority w:val="99"/>
    <w:pPr>
      <w:spacing w:after="0" w:line="240" w:lineRule="auto"/>
    </w:pPr>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cPr>
    </w:tblStylePr>
    <w:tblStylePr w:type="band1Horz">
      <w:rPr>
        <w:rFonts w:ascii="Arial" w:hAnsi="Arial"/>
        <w:color w:val="404040"/>
        <w:sz w:val="22"/>
      </w:rPr>
      <w:tcPr>
        <w:shd w:val="clear" w:color="auto" w:fill="DFD8E7"/>
      </w:tcPr>
    </w:tblStylePr>
  </w:style>
  <w:style w:type="table" w:customStyle="1" w:styleId="265">
    <w:name w:val="List Table 2 - Accent 5"/>
    <w:qFormat/>
    <w:uiPriority w:val="99"/>
    <w:pPr>
      <w:spacing w:after="0" w:line="240" w:lineRule="auto"/>
    </w:pPr>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cPr>
    </w:tblStylePr>
    <w:tblStylePr w:type="band1Horz">
      <w:rPr>
        <w:rFonts w:ascii="Arial" w:hAnsi="Arial"/>
        <w:color w:val="404040"/>
        <w:sz w:val="22"/>
      </w:rPr>
      <w:tcPr>
        <w:shd w:val="clear" w:color="auto" w:fill="D1EAF0"/>
      </w:tcPr>
    </w:tblStylePr>
  </w:style>
  <w:style w:type="table" w:customStyle="1" w:styleId="266">
    <w:name w:val="List Table 2 - Accent 6"/>
    <w:qFormat/>
    <w:uiPriority w:val="99"/>
    <w:pPr>
      <w:spacing w:after="0" w:line="240" w:lineRule="auto"/>
    </w:pPr>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cPr>
    </w:tblStylePr>
    <w:tblStylePr w:type="band1Horz">
      <w:rPr>
        <w:rFonts w:ascii="Arial" w:hAnsi="Arial"/>
        <w:color w:val="404040"/>
        <w:sz w:val="22"/>
      </w:rPr>
      <w:tcPr>
        <w:shd w:val="clear" w:color="auto" w:fill="FCE4D0"/>
      </w:tcPr>
    </w:tblStylePr>
  </w:style>
  <w:style w:type="table" w:customStyle="1" w:styleId="267">
    <w:name w:val="List Table 3"/>
    <w:qFormat/>
    <w:uiPriority w:val="99"/>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268">
    <w:name w:val="List Table 3 - Accent 1"/>
    <w:qFormat/>
    <w:uiPriority w:val="99"/>
    <w:pPr>
      <w:spacing w:after="0" w:line="240" w:lineRule="auto"/>
    </w:pPr>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Arial" w:hAnsi="Arial"/>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269">
    <w:name w:val="List Table 3 - Accent 2"/>
    <w:qFormat/>
    <w:uiPriority w:val="99"/>
    <w:pPr>
      <w:spacing w:after="0" w:line="240" w:lineRule="auto"/>
    </w:pPr>
    <w:tblPr>
      <w:tblBorders>
        <w:top w:val="single" w:color="D99795" w:sz="4" w:space="0"/>
        <w:left w:val="single" w:color="D99795" w:sz="4" w:space="0"/>
        <w:bottom w:val="single" w:color="D99795" w:sz="4" w:space="0"/>
        <w:right w:val="single" w:color="D99795" w:sz="4" w:space="0"/>
      </w:tblBorders>
    </w:tblPr>
    <w:tblStylePr w:type="firstRow">
      <w:rPr>
        <w:rFonts w:ascii="Arial" w:hAnsi="Arial"/>
        <w:b/>
        <w:color w:val="FFFFFF"/>
        <w:sz w:val="22"/>
      </w:rPr>
      <w:tcPr>
        <w:shd w:val="clear" w:color="auto"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Arial" w:hAnsi="Arial"/>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270">
    <w:name w:val="List Table 3 - Accent 3"/>
    <w:qFormat/>
    <w:uiPriority w:val="99"/>
    <w:pPr>
      <w:spacing w:after="0" w:line="240" w:lineRule="auto"/>
    </w:pPr>
    <w:tblPr>
      <w:tblBorders>
        <w:top w:val="single" w:color="C3D69C" w:sz="4" w:space="0"/>
        <w:left w:val="single" w:color="C3D69C" w:sz="4" w:space="0"/>
        <w:bottom w:val="single" w:color="C3D69C" w:sz="4" w:space="0"/>
        <w:right w:val="single" w:color="C3D69C" w:sz="4" w:space="0"/>
      </w:tblBorders>
    </w:tblPr>
    <w:tblStylePr w:type="firstRow">
      <w:rPr>
        <w:rFonts w:ascii="Arial" w:hAnsi="Arial"/>
        <w:b/>
        <w:color w:val="FFFFFF"/>
        <w:sz w:val="22"/>
      </w:rPr>
      <w:tcPr>
        <w:shd w:val="clear" w:color="auto"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Arial" w:hAnsi="Arial"/>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271">
    <w:name w:val="List Table 3 - Accent 4"/>
    <w:qFormat/>
    <w:uiPriority w:val="99"/>
    <w:pPr>
      <w:spacing w:after="0" w:line="240" w:lineRule="auto"/>
    </w:pPr>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Arial" w:hAnsi="Arial"/>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272">
    <w:name w:val="List Table 3 - Accent 5"/>
    <w:qFormat/>
    <w:uiPriority w:val="99"/>
    <w:pPr>
      <w:spacing w:after="0" w:line="240" w:lineRule="auto"/>
    </w:pPr>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Arial" w:hAnsi="Arial"/>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273">
    <w:name w:val="List Table 3 - Accent 6"/>
    <w:qFormat/>
    <w:uiPriority w:val="99"/>
    <w:pPr>
      <w:spacing w:after="0" w:line="240" w:lineRule="auto"/>
    </w:pPr>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Arial" w:hAnsi="Arial"/>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274">
    <w:name w:val="List Table 4"/>
    <w:qFormat/>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cPr>
    </w:tblStylePr>
    <w:tblStylePr w:type="band1Horz">
      <w:rPr>
        <w:rFonts w:ascii="Arial" w:hAnsi="Arial"/>
        <w:color w:val="404040"/>
        <w:sz w:val="22"/>
      </w:rPr>
      <w:tcPr>
        <w:shd w:val="clear" w:color="auto" w:fill="BEBEBE"/>
      </w:tcPr>
    </w:tblStylePr>
  </w:style>
  <w:style w:type="table" w:customStyle="1" w:styleId="275">
    <w:name w:val="List Table 4 - Accent 1"/>
    <w:qFormat/>
    <w:uiPriority w:val="9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cPr>
    </w:tblStylePr>
    <w:tblStylePr w:type="band1Horz">
      <w:rPr>
        <w:rFonts w:ascii="Arial" w:hAnsi="Arial"/>
        <w:color w:val="404040"/>
        <w:sz w:val="22"/>
      </w:rPr>
      <w:tcPr>
        <w:shd w:val="clear" w:color="auto" w:fill="D2DFEE"/>
      </w:tcPr>
    </w:tblStylePr>
  </w:style>
  <w:style w:type="table" w:customStyle="1" w:styleId="276">
    <w:name w:val="List Table 4 - Accent 2"/>
    <w:qFormat/>
    <w:uiPriority w:val="9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rFonts w:ascii="Arial" w:hAnsi="Arial"/>
        <w:b/>
        <w:color w:val="FFFFFF"/>
        <w:sz w:val="22"/>
      </w:r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cPr>
    </w:tblStylePr>
    <w:tblStylePr w:type="band1Horz">
      <w:rPr>
        <w:rFonts w:ascii="Arial" w:hAnsi="Arial"/>
        <w:color w:val="404040"/>
        <w:sz w:val="22"/>
      </w:rPr>
      <w:tcPr>
        <w:shd w:val="clear" w:color="auto" w:fill="EFD3D2"/>
      </w:tcPr>
    </w:tblStylePr>
  </w:style>
  <w:style w:type="table" w:customStyle="1" w:styleId="277">
    <w:name w:val="List Table 4 - Accent 3"/>
    <w:qFormat/>
    <w:uiPriority w:val="9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cPr>
    </w:tblStylePr>
    <w:tblStylePr w:type="band1Horz">
      <w:rPr>
        <w:rFonts w:ascii="Arial" w:hAnsi="Arial"/>
        <w:color w:val="404040"/>
        <w:sz w:val="22"/>
      </w:rPr>
      <w:tcPr>
        <w:shd w:val="clear" w:color="auto" w:fill="E5EDD5"/>
      </w:tcPr>
    </w:tblStylePr>
  </w:style>
  <w:style w:type="table" w:customStyle="1" w:styleId="278">
    <w:name w:val="List Table 4 - Accent 4"/>
    <w:qFormat/>
    <w:uiPriority w:val="9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cPr>
    </w:tblStylePr>
    <w:tblStylePr w:type="band1Horz">
      <w:rPr>
        <w:rFonts w:ascii="Arial" w:hAnsi="Arial"/>
        <w:color w:val="404040"/>
        <w:sz w:val="22"/>
      </w:rPr>
      <w:tcPr>
        <w:shd w:val="clear" w:color="auto" w:fill="DFD8E7"/>
      </w:tcPr>
    </w:tblStylePr>
  </w:style>
  <w:style w:type="table" w:customStyle="1" w:styleId="279">
    <w:name w:val="List Table 4 - Accent 5"/>
    <w:qFormat/>
    <w:uiPriority w:val="9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cPr>
    </w:tblStylePr>
    <w:tblStylePr w:type="band1Horz">
      <w:rPr>
        <w:rFonts w:ascii="Arial" w:hAnsi="Arial"/>
        <w:color w:val="404040"/>
        <w:sz w:val="22"/>
      </w:rPr>
      <w:tcPr>
        <w:shd w:val="clear" w:color="auto" w:fill="D1EAF0"/>
      </w:tcPr>
    </w:tblStylePr>
  </w:style>
  <w:style w:type="table" w:customStyle="1" w:styleId="280">
    <w:name w:val="List Table 4 - Accent 6"/>
    <w:qFormat/>
    <w:uiPriority w:val="9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cPr>
    </w:tblStylePr>
    <w:tblStylePr w:type="band1Horz">
      <w:rPr>
        <w:rFonts w:ascii="Arial" w:hAnsi="Arial"/>
        <w:color w:val="404040"/>
        <w:sz w:val="22"/>
      </w:rPr>
      <w:tcPr>
        <w:shd w:val="clear" w:color="auto" w:fill="FCE4D0"/>
      </w:tcPr>
    </w:tblStylePr>
  </w:style>
  <w:style w:type="table" w:customStyle="1" w:styleId="281">
    <w:name w:val="List Table 5 Dark"/>
    <w:qFormat/>
    <w:uiPriority w:val="99"/>
    <w:pPr>
      <w:spacing w:after="0" w:line="240" w:lineRule="auto"/>
    </w:pPr>
    <w:tblPr>
      <w:tblBorders>
        <w:top w:val="single" w:color="7E7E7E" w:sz="32" w:space="0"/>
        <w:left w:val="single" w:color="7E7E7E" w:sz="32" w:space="0"/>
        <w:bottom w:val="single" w:color="7E7E7E" w:sz="32" w:space="0"/>
        <w:right w:val="single" w:color="7E7E7E" w:sz="32" w:space="0"/>
      </w:tblBorders>
    </w:tbl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auto"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7E7E7E"/>
      </w:tcPr>
    </w:tblStylePr>
  </w:style>
  <w:style w:type="table" w:customStyle="1" w:styleId="282">
    <w:name w:val="List Table 5 Dark - Accent 1"/>
    <w:qFormat/>
    <w:uiPriority w:val="99"/>
    <w:pPr>
      <w:spacing w:after="0" w:line="240" w:lineRule="auto"/>
    </w:pPr>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left w:val="nil"/>
          <w:bottom w:val="single" w:color="FFFFFF" w:sz="12" w:space="0"/>
          <w:right w:val="nil"/>
          <w:insideH w:val="nil"/>
          <w:insideV w:val="nil"/>
          <w:tl2br w:val="nil"/>
          <w:tr2bl w:val="nil"/>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4F81BD"/>
      </w:tcPr>
    </w:tblStylePr>
  </w:style>
  <w:style w:type="table" w:customStyle="1" w:styleId="283">
    <w:name w:val="List Table 5 Dark - Accent 2"/>
    <w:qFormat/>
    <w:uiPriority w:val="99"/>
    <w:pPr>
      <w:spacing w:after="0" w:line="240" w:lineRule="auto"/>
    </w:pPr>
    <w:tblPr>
      <w:tblBorders>
        <w:top w:val="single" w:color="D99795" w:sz="32" w:space="0"/>
        <w:left w:val="single" w:color="D99795" w:sz="32" w:space="0"/>
        <w:bottom w:val="single" w:color="D99795" w:sz="32" w:space="0"/>
        <w:right w:val="single" w:color="D99795" w:sz="32" w:space="0"/>
      </w:tblBorders>
    </w:tblPr>
    <w:tblStylePr w:type="firstRow">
      <w:rPr>
        <w:rFonts w:ascii="Arial" w:hAnsi="Arial"/>
        <w:b/>
        <w:color w:val="FFFFFF"/>
        <w:sz w:val="22"/>
      </w:rPr>
      <w:tcPr>
        <w:tcBorders>
          <w:top w:val="single" w:color="D99795" w:sz="32" w:space="0"/>
          <w:left w:val="nil"/>
          <w:bottom w:val="single" w:color="FFFFFF" w:sz="12" w:space="0"/>
          <w:right w:val="nil"/>
          <w:insideH w:val="nil"/>
          <w:insideV w:val="nil"/>
          <w:tl2br w:val="nil"/>
          <w:tr2bl w:val="nil"/>
        </w:tcBorders>
        <w:shd w:val="clear" w:color="auto" w:fill="D9979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D99795"/>
      </w:tcPr>
    </w:tblStylePr>
  </w:style>
  <w:style w:type="table" w:customStyle="1" w:styleId="284">
    <w:name w:val="List Table 5 Dark - Accent 3"/>
    <w:qFormat/>
    <w:uiPriority w:val="99"/>
    <w:pPr>
      <w:spacing w:after="0" w:line="240" w:lineRule="auto"/>
    </w:pPr>
    <w:tblPr>
      <w:tblBorders>
        <w:top w:val="single" w:color="C3D69C" w:sz="32" w:space="0"/>
        <w:left w:val="single" w:color="C3D69C" w:sz="32" w:space="0"/>
        <w:bottom w:val="single" w:color="C3D69C" w:sz="32" w:space="0"/>
        <w:right w:val="single" w:color="C3D69C" w:sz="32" w:space="0"/>
      </w:tblBorders>
    </w:tblPr>
    <w:tblStylePr w:type="firstRow">
      <w:rPr>
        <w:rFonts w:ascii="Arial" w:hAnsi="Arial"/>
        <w:b/>
        <w:color w:val="FFFFFF"/>
        <w:sz w:val="22"/>
      </w:rPr>
      <w:tcPr>
        <w:tcBorders>
          <w:top w:val="single" w:color="C3D69C" w:sz="32" w:space="0"/>
          <w:left w:val="nil"/>
          <w:bottom w:val="single" w:color="FFFFFF" w:sz="12" w:space="0"/>
          <w:right w:val="nil"/>
          <w:insideH w:val="nil"/>
          <w:insideV w:val="nil"/>
          <w:tl2br w:val="nil"/>
          <w:tr2bl w:val="nil"/>
        </w:tcBorders>
        <w:shd w:val="clear" w:color="auto" w:fill="C3D69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C3D69C"/>
      </w:tcPr>
    </w:tblStylePr>
  </w:style>
  <w:style w:type="table" w:customStyle="1" w:styleId="285">
    <w:name w:val="List Table 5 Dark - Accent 4"/>
    <w:qFormat/>
    <w:uiPriority w:val="99"/>
    <w:pPr>
      <w:spacing w:after="0" w:line="240" w:lineRule="auto"/>
    </w:pPr>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left w:val="nil"/>
          <w:bottom w:val="single" w:color="FFFFFF" w:sz="12" w:space="0"/>
          <w:right w:val="nil"/>
          <w:insideH w:val="nil"/>
          <w:insideV w:val="nil"/>
          <w:tl2br w:val="nil"/>
          <w:tr2bl w:val="nil"/>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B2A1C6"/>
      </w:tcPr>
    </w:tblStylePr>
  </w:style>
  <w:style w:type="table" w:customStyle="1" w:styleId="286">
    <w:name w:val="List Table 5 Dark - Accent 5"/>
    <w:qFormat/>
    <w:uiPriority w:val="99"/>
    <w:pPr>
      <w:spacing w:after="0" w:line="240" w:lineRule="auto"/>
    </w:pPr>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left w:val="nil"/>
          <w:bottom w:val="single" w:color="FFFFFF" w:sz="12" w:space="0"/>
          <w:right w:val="nil"/>
          <w:insideH w:val="nil"/>
          <w:insideV w:val="nil"/>
          <w:tl2br w:val="nil"/>
          <w:tr2bl w:val="nil"/>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92CCDC"/>
      </w:tcPr>
    </w:tblStylePr>
  </w:style>
  <w:style w:type="table" w:customStyle="1" w:styleId="287">
    <w:name w:val="List Table 5 Dark - Accent 6"/>
    <w:qFormat/>
    <w:uiPriority w:val="99"/>
    <w:pPr>
      <w:spacing w:after="0" w:line="240" w:lineRule="auto"/>
    </w:pPr>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left w:val="nil"/>
          <w:bottom w:val="single" w:color="FFFFFF" w:sz="12" w:space="0"/>
          <w:right w:val="nil"/>
          <w:insideH w:val="nil"/>
          <w:insideV w:val="nil"/>
          <w:tl2br w:val="nil"/>
          <w:tr2bl w:val="nil"/>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FAC090"/>
      </w:tcPr>
    </w:tblStylePr>
  </w:style>
  <w:style w:type="table" w:customStyle="1" w:styleId="288">
    <w:name w:val="List Table 6 Colorful"/>
    <w:qFormat/>
    <w:uiPriority w:val="99"/>
    <w:pPr>
      <w:spacing w:after="0" w:line="240" w:lineRule="auto"/>
    </w:pPr>
    <w:tblPr>
      <w:tblBorders>
        <w:top w:val="single" w:color="7E7E7E" w:sz="4" w:space="0"/>
        <w:bottom w:val="single" w:color="7E7E7E" w:sz="4" w:space="0"/>
      </w:tblBorders>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auto" w:fill="BEBEBE"/>
      </w:tcPr>
    </w:tblStylePr>
    <w:tblStylePr w:type="band1Horz">
      <w:rPr>
        <w:rFonts w:ascii="Arial" w:hAnsi="Arial"/>
        <w:color w:val="000000"/>
        <w:sz w:val="22"/>
      </w:rPr>
      <w:tcPr>
        <w:shd w:val="clear" w:color="auto" w:fill="BEBEBE"/>
      </w:tcPr>
    </w:tblStylePr>
    <w:tblStylePr w:type="band2Horz">
      <w:rPr>
        <w:rFonts w:ascii="Arial" w:hAnsi="Arial"/>
        <w:color w:val="000000"/>
        <w:sz w:val="22"/>
      </w:rPr>
    </w:tblStylePr>
  </w:style>
  <w:style w:type="table" w:customStyle="1" w:styleId="289">
    <w:name w:val="List Table 6 Colorful - Accent 1"/>
    <w:qFormat/>
    <w:uiPriority w:val="99"/>
    <w:pPr>
      <w:spacing w:after="0" w:line="240" w:lineRule="auto"/>
    </w:pPr>
    <w:tblPr>
      <w:tblBorders>
        <w:top w:val="single" w:color="4F81BD" w:sz="4" w:space="0"/>
        <w:bottom w:val="single" w:color="4F81BD" w:sz="4" w:space="0"/>
      </w:tblBorders>
    </w:tblPr>
    <w:tblStylePr w:type="firstRow">
      <w:rPr>
        <w:b/>
        <w:color w:val="2A4A71"/>
      </w:rPr>
      <w:tcPr>
        <w:tcBorders>
          <w:top w:val="nil"/>
          <w:left w:val="nil"/>
          <w:bottom w:val="single" w:color="4F81BD" w:sz="4" w:space="0"/>
          <w:right w:val="nil"/>
          <w:insideH w:val="nil"/>
          <w:insideV w:val="nil"/>
          <w:tl2br w:val="nil"/>
          <w:tr2bl w:val="nil"/>
        </w:tcBorders>
      </w:tcPr>
    </w:tblStylePr>
    <w:tblStylePr w:type="lastRow">
      <w:rPr>
        <w:b/>
        <w:color w:val="2A4A71"/>
      </w:rPr>
      <w:tcPr>
        <w:tcBorders>
          <w:top w:val="single" w:color="4F81BD" w:sz="4" w:space="0"/>
          <w:left w:val="nil"/>
          <w:bottom w:val="nil"/>
          <w:right w:val="nil"/>
          <w:insideH w:val="nil"/>
          <w:insideV w:val="nil"/>
          <w:tl2br w:val="nil"/>
          <w:tr2bl w:val="nil"/>
        </w:tcBorders>
      </w:tcPr>
    </w:tblStylePr>
    <w:tblStylePr w:type="firstCol">
      <w:rPr>
        <w:b/>
        <w:color w:val="2A4A71"/>
      </w:rPr>
    </w:tblStylePr>
    <w:tblStylePr w:type="lastCol">
      <w:rPr>
        <w:b/>
        <w:color w:val="2A4A71"/>
      </w:rPr>
    </w:tblStylePr>
    <w:tblStylePr w:type="band1Vert">
      <w:tcPr>
        <w:shd w:val="clear" w:color="auto" w:fill="D2DFEE"/>
      </w:tcPr>
    </w:tblStylePr>
    <w:tblStylePr w:type="band1Horz">
      <w:rPr>
        <w:rFonts w:ascii="Arial" w:hAnsi="Arial"/>
        <w:color w:val="2A4A71"/>
        <w:sz w:val="22"/>
      </w:rPr>
      <w:tcPr>
        <w:shd w:val="clear" w:color="auto" w:fill="D2DFEE"/>
      </w:tcPr>
    </w:tblStylePr>
    <w:tblStylePr w:type="band2Horz">
      <w:rPr>
        <w:rFonts w:ascii="Arial" w:hAnsi="Arial"/>
        <w:color w:val="2A4A71"/>
        <w:sz w:val="22"/>
      </w:rPr>
    </w:tblStylePr>
  </w:style>
  <w:style w:type="table" w:customStyle="1" w:styleId="290">
    <w:name w:val="List Table 6 Colorful - Accent 2"/>
    <w:qFormat/>
    <w:uiPriority w:val="99"/>
    <w:pPr>
      <w:spacing w:after="0" w:line="240" w:lineRule="auto"/>
    </w:pPr>
    <w:tblPr>
      <w:tblBorders>
        <w:top w:val="single" w:color="D99795" w:sz="4" w:space="0"/>
        <w:bottom w:val="single" w:color="D99795" w:sz="4" w:space="0"/>
      </w:tblBorders>
    </w:tblPr>
    <w:tblStylePr w:type="firstRow">
      <w:rPr>
        <w:b/>
        <w:color w:val="D99492"/>
      </w:rPr>
      <w:tcPr>
        <w:tcBorders>
          <w:top w:val="nil"/>
          <w:left w:val="nil"/>
          <w:bottom w:val="single" w:color="D99795" w:sz="4" w:space="0"/>
          <w:right w:val="nil"/>
          <w:insideH w:val="nil"/>
          <w:insideV w:val="nil"/>
          <w:tl2br w:val="nil"/>
          <w:tr2bl w:val="nil"/>
        </w:tcBorders>
      </w:tcPr>
    </w:tblStylePr>
    <w:tblStylePr w:type="lastRow">
      <w:rPr>
        <w:b/>
        <w:color w:val="D99492"/>
      </w:rPr>
      <w:tcPr>
        <w:tcBorders>
          <w:top w:val="single" w:color="D99795" w:sz="4" w:space="0"/>
          <w:left w:val="nil"/>
          <w:bottom w:val="nil"/>
          <w:right w:val="nil"/>
          <w:insideH w:val="nil"/>
          <w:insideV w:val="nil"/>
          <w:tl2br w:val="nil"/>
          <w:tr2bl w:val="nil"/>
        </w:tcBorders>
      </w:tcPr>
    </w:tblStylePr>
    <w:tblStylePr w:type="firstCol">
      <w:rPr>
        <w:b/>
        <w:color w:val="D99492"/>
      </w:rPr>
    </w:tblStylePr>
    <w:tblStylePr w:type="lastCol">
      <w:rPr>
        <w:b/>
        <w:color w:val="D99492"/>
      </w:rPr>
    </w:tblStylePr>
    <w:tblStylePr w:type="band1Vert">
      <w:tcPr>
        <w:shd w:val="clear" w:color="auto" w:fill="EFD3D2"/>
      </w:tcPr>
    </w:tblStylePr>
    <w:tblStylePr w:type="band1Horz">
      <w:rPr>
        <w:rFonts w:ascii="Arial" w:hAnsi="Arial"/>
        <w:color w:val="D99492"/>
        <w:sz w:val="22"/>
      </w:rPr>
      <w:tcPr>
        <w:shd w:val="clear" w:color="auto" w:fill="EFD3D2"/>
      </w:tcPr>
    </w:tblStylePr>
    <w:tblStylePr w:type="band2Horz">
      <w:rPr>
        <w:rFonts w:ascii="Arial" w:hAnsi="Arial"/>
        <w:color w:val="D99492"/>
        <w:sz w:val="22"/>
      </w:rPr>
    </w:tblStylePr>
  </w:style>
  <w:style w:type="table" w:customStyle="1" w:styleId="291">
    <w:name w:val="List Table 6 Colorful - Accent 3"/>
    <w:qFormat/>
    <w:uiPriority w:val="99"/>
    <w:pPr>
      <w:spacing w:after="0" w:line="240" w:lineRule="auto"/>
    </w:pPr>
    <w:tblPr>
      <w:tblBorders>
        <w:top w:val="single" w:color="C3D69C" w:sz="4" w:space="0"/>
        <w:bottom w:val="single" w:color="C3D69C" w:sz="4" w:space="0"/>
      </w:tblBorders>
    </w:tblPr>
    <w:tblStylePr w:type="firstRow">
      <w:rPr>
        <w:b/>
        <w:color w:val="C2D59B"/>
      </w:rPr>
      <w:tcPr>
        <w:tcBorders>
          <w:top w:val="nil"/>
          <w:left w:val="nil"/>
          <w:bottom w:val="single" w:color="C3D69C" w:sz="4" w:space="0"/>
          <w:right w:val="nil"/>
          <w:insideH w:val="nil"/>
          <w:insideV w:val="nil"/>
          <w:tl2br w:val="nil"/>
          <w:tr2bl w:val="nil"/>
        </w:tcBorders>
      </w:tcPr>
    </w:tblStylePr>
    <w:tblStylePr w:type="lastRow">
      <w:rPr>
        <w:b/>
        <w:color w:val="C2D59B"/>
      </w:rPr>
      <w:tcPr>
        <w:tcBorders>
          <w:top w:val="single" w:color="C3D69C" w:sz="4" w:space="0"/>
          <w:left w:val="nil"/>
          <w:bottom w:val="nil"/>
          <w:right w:val="nil"/>
          <w:insideH w:val="nil"/>
          <w:insideV w:val="nil"/>
          <w:tl2br w:val="nil"/>
          <w:tr2bl w:val="nil"/>
        </w:tcBorders>
      </w:tcPr>
    </w:tblStylePr>
    <w:tblStylePr w:type="firstCol">
      <w:rPr>
        <w:b/>
        <w:color w:val="C2D59B"/>
      </w:rPr>
    </w:tblStylePr>
    <w:tblStylePr w:type="lastCol">
      <w:rPr>
        <w:b/>
        <w:color w:val="C2D59B"/>
      </w:rPr>
    </w:tblStylePr>
    <w:tblStylePr w:type="band1Vert">
      <w:tcPr>
        <w:shd w:val="clear" w:color="auto" w:fill="E5EDD5"/>
      </w:tcPr>
    </w:tblStylePr>
    <w:tblStylePr w:type="band1Horz">
      <w:rPr>
        <w:rFonts w:ascii="Arial" w:hAnsi="Arial"/>
        <w:color w:val="C2D59B"/>
        <w:sz w:val="22"/>
      </w:rPr>
      <w:tcPr>
        <w:shd w:val="clear" w:color="auto" w:fill="E5EDD5"/>
      </w:tcPr>
    </w:tblStylePr>
    <w:tblStylePr w:type="band2Horz">
      <w:rPr>
        <w:rFonts w:ascii="Arial" w:hAnsi="Arial"/>
        <w:color w:val="C2D59B"/>
        <w:sz w:val="22"/>
      </w:rPr>
    </w:tblStylePr>
  </w:style>
  <w:style w:type="table" w:customStyle="1" w:styleId="292">
    <w:name w:val="List Table 6 Colorful - Accent 4"/>
    <w:qFormat/>
    <w:uiPriority w:val="99"/>
    <w:pPr>
      <w:spacing w:after="0" w:line="240" w:lineRule="auto"/>
    </w:pPr>
    <w:tblPr>
      <w:tblBorders>
        <w:top w:val="single" w:color="B2A1C6" w:sz="4" w:space="0"/>
        <w:bottom w:val="single" w:color="B2A1C6" w:sz="4" w:space="0"/>
      </w:tblBorders>
    </w:tblPr>
    <w:tblStylePr w:type="firstRow">
      <w:rPr>
        <w:b/>
        <w:color w:val="B2A0C7"/>
      </w:rPr>
      <w:tcPr>
        <w:tcBorders>
          <w:top w:val="nil"/>
          <w:left w:val="nil"/>
          <w:bottom w:val="single" w:color="B2A1C6" w:sz="4" w:space="0"/>
          <w:right w:val="nil"/>
          <w:insideH w:val="nil"/>
          <w:insideV w:val="nil"/>
          <w:tl2br w:val="nil"/>
          <w:tr2bl w:val="nil"/>
        </w:tcBorders>
      </w:tcPr>
    </w:tblStylePr>
    <w:tblStylePr w:type="lastRow">
      <w:rPr>
        <w:b/>
        <w:color w:val="B2A0C7"/>
      </w:rPr>
      <w:tcPr>
        <w:tcBorders>
          <w:top w:val="single" w:color="B2A1C6" w:sz="4" w:space="0"/>
          <w:left w:val="nil"/>
          <w:bottom w:val="nil"/>
          <w:right w:val="nil"/>
          <w:insideH w:val="nil"/>
          <w:insideV w:val="nil"/>
          <w:tl2br w:val="nil"/>
          <w:tr2bl w:val="nil"/>
        </w:tcBorders>
      </w:tcPr>
    </w:tblStylePr>
    <w:tblStylePr w:type="firstCol">
      <w:rPr>
        <w:b/>
        <w:color w:val="B2A0C7"/>
      </w:rPr>
    </w:tblStylePr>
    <w:tblStylePr w:type="lastCol">
      <w:rPr>
        <w:b/>
        <w:color w:val="B2A0C7"/>
      </w:rPr>
    </w:tblStylePr>
    <w:tblStylePr w:type="band1Vert">
      <w:tcPr>
        <w:shd w:val="clear" w:color="auto" w:fill="DFD8E7"/>
      </w:tcPr>
    </w:tblStylePr>
    <w:tblStylePr w:type="band1Horz">
      <w:rPr>
        <w:rFonts w:ascii="Arial" w:hAnsi="Arial"/>
        <w:color w:val="B2A0C7"/>
        <w:sz w:val="22"/>
      </w:rPr>
      <w:tcPr>
        <w:shd w:val="clear" w:color="auto" w:fill="DFD8E7"/>
      </w:tcPr>
    </w:tblStylePr>
    <w:tblStylePr w:type="band2Horz">
      <w:rPr>
        <w:rFonts w:ascii="Arial" w:hAnsi="Arial"/>
        <w:color w:val="B2A0C7"/>
        <w:sz w:val="22"/>
      </w:rPr>
    </w:tblStylePr>
  </w:style>
  <w:style w:type="table" w:customStyle="1" w:styleId="293">
    <w:name w:val="List Table 6 Colorful - Accent 5"/>
    <w:qFormat/>
    <w:uiPriority w:val="99"/>
    <w:pPr>
      <w:spacing w:after="0" w:line="240" w:lineRule="auto"/>
    </w:pPr>
    <w:tblPr>
      <w:tblBorders>
        <w:top w:val="single" w:color="92CCDC" w:sz="4" w:space="0"/>
        <w:bottom w:val="single" w:color="92CCDC" w:sz="4" w:space="0"/>
      </w:tblBorders>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auto" w:fill="D1EAF0"/>
      </w:tcPr>
    </w:tblStylePr>
    <w:tblStylePr w:type="band1Horz">
      <w:rPr>
        <w:rFonts w:ascii="Arial" w:hAnsi="Arial"/>
        <w:color w:val="92CCDC"/>
        <w:sz w:val="22"/>
      </w:rPr>
      <w:tcPr>
        <w:shd w:val="clear" w:color="auto" w:fill="D1EAF0"/>
      </w:tcPr>
    </w:tblStylePr>
    <w:tblStylePr w:type="band2Horz">
      <w:rPr>
        <w:rFonts w:ascii="Arial" w:hAnsi="Arial"/>
        <w:color w:val="92CCDC"/>
        <w:sz w:val="22"/>
      </w:rPr>
    </w:tblStylePr>
  </w:style>
  <w:style w:type="table" w:customStyle="1" w:styleId="294">
    <w:name w:val="List Table 6 Colorful - Accent 6"/>
    <w:qFormat/>
    <w:uiPriority w:val="99"/>
    <w:pPr>
      <w:spacing w:after="0" w:line="240" w:lineRule="auto"/>
    </w:pPr>
    <w:tblPr>
      <w:tblBorders>
        <w:top w:val="single" w:color="FAC090" w:sz="4" w:space="0"/>
        <w:bottom w:val="single" w:color="FAC090" w:sz="4" w:space="0"/>
      </w:tblBorders>
    </w:tblPr>
    <w:tblStylePr w:type="firstRow">
      <w:rPr>
        <w:b/>
        <w:color w:val="FABF8E"/>
      </w:rPr>
      <w:tcPr>
        <w:tcBorders>
          <w:top w:val="nil"/>
          <w:left w:val="nil"/>
          <w:bottom w:val="single" w:color="FAC090" w:sz="4" w:space="0"/>
          <w:right w:val="nil"/>
          <w:insideH w:val="nil"/>
          <w:insideV w:val="nil"/>
          <w:tl2br w:val="nil"/>
          <w:tr2bl w:val="nil"/>
        </w:tcBorders>
      </w:tcPr>
    </w:tblStylePr>
    <w:tblStylePr w:type="lastRow">
      <w:rPr>
        <w:b/>
        <w:color w:val="FABF8E"/>
      </w:rPr>
      <w:tcPr>
        <w:tcBorders>
          <w:top w:val="single" w:color="FAC090" w:sz="4" w:space="0"/>
          <w:left w:val="nil"/>
          <w:bottom w:val="nil"/>
          <w:right w:val="nil"/>
          <w:insideH w:val="nil"/>
          <w:insideV w:val="nil"/>
          <w:tl2br w:val="nil"/>
          <w:tr2bl w:val="nil"/>
        </w:tcBorders>
      </w:tcPr>
    </w:tblStylePr>
    <w:tblStylePr w:type="firstCol">
      <w:rPr>
        <w:b/>
        <w:color w:val="FABF8E"/>
      </w:rPr>
    </w:tblStylePr>
    <w:tblStylePr w:type="lastCol">
      <w:rPr>
        <w:b/>
        <w:color w:val="FABF8E"/>
      </w:rPr>
    </w:tblStylePr>
    <w:tblStylePr w:type="band1Vert">
      <w:tcPr>
        <w:shd w:val="clear" w:color="auto" w:fill="FCE4D0"/>
      </w:tcPr>
    </w:tblStylePr>
    <w:tblStylePr w:type="band1Horz">
      <w:rPr>
        <w:rFonts w:ascii="Arial" w:hAnsi="Arial"/>
        <w:color w:val="FABF8E"/>
        <w:sz w:val="22"/>
      </w:rPr>
      <w:tcPr>
        <w:shd w:val="clear" w:color="auto" w:fill="FCE4D0"/>
      </w:tcPr>
    </w:tblStylePr>
    <w:tblStylePr w:type="band2Horz">
      <w:rPr>
        <w:rFonts w:ascii="Arial" w:hAnsi="Arial"/>
        <w:color w:val="FABF8E"/>
        <w:sz w:val="22"/>
      </w:rPr>
    </w:tblStylePr>
  </w:style>
  <w:style w:type="table" w:customStyle="1" w:styleId="295">
    <w:name w:val="List Table 7 Colorful"/>
    <w:qFormat/>
    <w:uiPriority w:val="99"/>
    <w:pPr>
      <w:spacing w:after="0" w:line="240" w:lineRule="auto"/>
    </w:pPr>
    <w:tblPr>
      <w:tblBorders>
        <w:right w:val="single" w:color="7E7E7E" w:sz="4" w:space="0"/>
      </w:tblBorders>
    </w:tblPr>
    <w:tblStylePr w:type="firstRow">
      <w:rPr>
        <w:rFonts w:ascii="Arial" w:hAnsi="Arial"/>
        <w:i/>
        <w:color w:val="7C7C7C"/>
        <w:sz w:val="22"/>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Arial" w:hAnsi="Arial"/>
        <w:i/>
        <w:color w:val="7C7C7C"/>
        <w:sz w:val="22"/>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7C7C7C"/>
        <w:sz w:val="22"/>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Arial" w:hAnsi="Arial"/>
        <w:i/>
        <w:color w:val="7C7C7C"/>
        <w:sz w:val="22"/>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BEBEBE"/>
      </w:tcPr>
    </w:tblStylePr>
    <w:tblStylePr w:type="band1Horz">
      <w:rPr>
        <w:rFonts w:ascii="Arial" w:hAnsi="Arial"/>
        <w:color w:val="7C7C7C"/>
        <w:sz w:val="22"/>
      </w:rPr>
      <w:tcPr>
        <w:shd w:val="clear" w:color="auto" w:fill="BEBEBE"/>
      </w:tcPr>
    </w:tblStylePr>
    <w:tblStylePr w:type="band2Horz">
      <w:rPr>
        <w:rFonts w:ascii="Arial" w:hAnsi="Arial"/>
        <w:color w:val="7C7C7C"/>
        <w:sz w:val="22"/>
      </w:rPr>
    </w:tblStylePr>
  </w:style>
  <w:style w:type="table" w:customStyle="1" w:styleId="296">
    <w:name w:val="List Table 7 Colorful - Accent 1"/>
    <w:qFormat/>
    <w:uiPriority w:val="99"/>
    <w:pPr>
      <w:spacing w:after="0" w:line="240" w:lineRule="auto"/>
    </w:pPr>
    <w:tblPr>
      <w:tblBorders>
        <w:right w:val="single" w:color="4F81BD" w:sz="4" w:space="0"/>
      </w:tblBorders>
    </w:tblPr>
    <w:tblStylePr w:type="firstRow">
      <w:rPr>
        <w:rFonts w:ascii="Arial" w:hAnsi="Arial"/>
        <w:i/>
        <w:color w:val="2A4A71"/>
        <w:sz w:val="22"/>
      </w:rPr>
      <w:tcPr>
        <w:tcBorders>
          <w:top w:val="nil"/>
          <w:left w:val="nil"/>
          <w:bottom w:val="single" w:color="4F81BD" w:sz="4" w:space="0"/>
          <w:right w:val="nil"/>
          <w:insideH w:val="nil"/>
          <w:insideV w:val="nil"/>
          <w:tl2br w:val="nil"/>
          <w:tr2bl w:val="nil"/>
        </w:tcBorders>
        <w:shd w:val="clear" w:color="auto" w:fill="FFFFFF"/>
      </w:tcPr>
    </w:tblStylePr>
    <w:tblStylePr w:type="lastRow">
      <w:rPr>
        <w:rFonts w:ascii="Arial" w:hAnsi="Arial"/>
        <w:i/>
        <w:color w:val="2A4A71"/>
        <w:sz w:val="22"/>
      </w:rPr>
      <w:tcPr>
        <w:tcBorders>
          <w:top w:val="single" w:color="4F81BD"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2A4A71"/>
        <w:sz w:val="22"/>
      </w:rPr>
      <w:tcPr>
        <w:tcBorders>
          <w:top w:val="nil"/>
          <w:left w:val="nil"/>
          <w:bottom w:val="nil"/>
          <w:right w:val="single" w:color="4F81BD" w:sz="4" w:space="0"/>
          <w:insideH w:val="nil"/>
          <w:insideV w:val="nil"/>
          <w:tl2br w:val="nil"/>
          <w:tr2bl w:val="nil"/>
        </w:tcBorders>
        <w:shd w:val="clear" w:color="auto" w:fill="FFFFFF"/>
      </w:tcPr>
    </w:tblStylePr>
    <w:tblStylePr w:type="lastCol">
      <w:rPr>
        <w:rFonts w:ascii="Arial" w:hAnsi="Arial"/>
        <w:i/>
        <w:color w:val="2A4A71"/>
        <w:sz w:val="22"/>
      </w:rPr>
      <w:tcPr>
        <w:tcBorders>
          <w:top w:val="nil"/>
          <w:left w:val="single" w:color="4F81BD" w:sz="4" w:space="0"/>
          <w:bottom w:val="nil"/>
          <w:right w:val="nil"/>
          <w:insideH w:val="nil"/>
          <w:insideV w:val="nil"/>
          <w:tl2br w:val="nil"/>
          <w:tr2bl w:val="nil"/>
        </w:tcBorders>
        <w:shd w:val="clear" w:color="auto" w:fill="FFFFFF"/>
      </w:tcPr>
    </w:tblStylePr>
    <w:tblStylePr w:type="band1Vert">
      <w:tcPr>
        <w:shd w:val="clear" w:color="auto" w:fill="D2DFEE"/>
      </w:tcPr>
    </w:tblStylePr>
    <w:tblStylePr w:type="band1Horz">
      <w:rPr>
        <w:rFonts w:ascii="Arial" w:hAnsi="Arial"/>
        <w:color w:val="2A4A71"/>
        <w:sz w:val="22"/>
      </w:rPr>
      <w:tcPr>
        <w:shd w:val="clear" w:color="auto" w:fill="D2DFEE"/>
      </w:tcPr>
    </w:tblStylePr>
    <w:tblStylePr w:type="band2Horz">
      <w:rPr>
        <w:rFonts w:ascii="Arial" w:hAnsi="Arial"/>
        <w:color w:val="2A4A71"/>
        <w:sz w:val="22"/>
      </w:rPr>
    </w:tblStylePr>
  </w:style>
  <w:style w:type="table" w:customStyle="1" w:styleId="297">
    <w:name w:val="List Table 7 Colorful - Accent 2"/>
    <w:qFormat/>
    <w:uiPriority w:val="99"/>
    <w:pPr>
      <w:spacing w:after="0" w:line="240" w:lineRule="auto"/>
    </w:pPr>
    <w:tblPr>
      <w:tblBorders>
        <w:right w:val="single" w:color="D99795" w:sz="4" w:space="0"/>
      </w:tblBorders>
    </w:tblPr>
    <w:tblStylePr w:type="firstRow">
      <w:rPr>
        <w:rFonts w:ascii="Arial" w:hAnsi="Arial"/>
        <w:i/>
        <w:color w:val="D99492"/>
        <w:sz w:val="22"/>
      </w:rPr>
      <w:tcPr>
        <w:tcBorders>
          <w:top w:val="nil"/>
          <w:left w:val="nil"/>
          <w:bottom w:val="single" w:color="D99795" w:sz="4" w:space="0"/>
          <w:right w:val="nil"/>
          <w:insideH w:val="nil"/>
          <w:insideV w:val="nil"/>
          <w:tl2br w:val="nil"/>
          <w:tr2bl w:val="nil"/>
        </w:tcBorders>
        <w:shd w:val="clear" w:color="auto" w:fill="FFFFFF"/>
      </w:tcPr>
    </w:tblStylePr>
    <w:tblStylePr w:type="lastRow">
      <w:rPr>
        <w:rFonts w:ascii="Arial" w:hAnsi="Arial"/>
        <w:i/>
        <w:color w:val="D99492"/>
        <w:sz w:val="22"/>
      </w:rPr>
      <w:tcPr>
        <w:tcBorders>
          <w:top w:val="single" w:color="D99795"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D99492"/>
        <w:sz w:val="22"/>
      </w:rPr>
      <w:tcPr>
        <w:tcBorders>
          <w:top w:val="nil"/>
          <w:left w:val="nil"/>
          <w:bottom w:val="nil"/>
          <w:right w:val="single" w:color="D99795" w:sz="4" w:space="0"/>
          <w:insideH w:val="nil"/>
          <w:insideV w:val="nil"/>
          <w:tl2br w:val="nil"/>
          <w:tr2bl w:val="nil"/>
        </w:tcBorders>
        <w:shd w:val="clear" w:color="auto" w:fill="FFFFFF"/>
      </w:tcPr>
    </w:tblStylePr>
    <w:tblStylePr w:type="lastCol">
      <w:rPr>
        <w:rFonts w:ascii="Arial" w:hAnsi="Arial"/>
        <w:i/>
        <w:color w:val="D99492"/>
        <w:sz w:val="22"/>
      </w:rPr>
      <w:tcPr>
        <w:tcBorders>
          <w:top w:val="nil"/>
          <w:left w:val="single" w:color="D99795" w:sz="4" w:space="0"/>
          <w:bottom w:val="nil"/>
          <w:right w:val="nil"/>
          <w:insideH w:val="nil"/>
          <w:insideV w:val="nil"/>
          <w:tl2br w:val="nil"/>
          <w:tr2bl w:val="nil"/>
        </w:tcBorders>
        <w:shd w:val="clear" w:color="auto" w:fill="FFFFFF"/>
      </w:tcPr>
    </w:tblStylePr>
    <w:tblStylePr w:type="band1Vert">
      <w:tcPr>
        <w:shd w:val="clear" w:color="auto" w:fill="EFD3D2"/>
      </w:tcPr>
    </w:tblStylePr>
    <w:tblStylePr w:type="band1Horz">
      <w:rPr>
        <w:rFonts w:ascii="Arial" w:hAnsi="Arial"/>
        <w:color w:val="D99492"/>
        <w:sz w:val="22"/>
      </w:rPr>
      <w:tcPr>
        <w:shd w:val="clear" w:color="auto" w:fill="EFD3D2"/>
      </w:tcPr>
    </w:tblStylePr>
    <w:tblStylePr w:type="band2Horz">
      <w:rPr>
        <w:rFonts w:ascii="Arial" w:hAnsi="Arial"/>
        <w:color w:val="D99492"/>
        <w:sz w:val="22"/>
      </w:rPr>
    </w:tblStylePr>
  </w:style>
  <w:style w:type="table" w:customStyle="1" w:styleId="298">
    <w:name w:val="List Table 7 Colorful - Accent 3"/>
    <w:qFormat/>
    <w:uiPriority w:val="99"/>
    <w:pPr>
      <w:spacing w:after="0" w:line="240" w:lineRule="auto"/>
    </w:pPr>
    <w:tblPr>
      <w:tblBorders>
        <w:right w:val="single" w:color="C3D69C" w:sz="4" w:space="0"/>
      </w:tblBorders>
    </w:tblPr>
    <w:tblStylePr w:type="firstRow">
      <w:rPr>
        <w:rFonts w:ascii="Arial" w:hAnsi="Arial"/>
        <w:i/>
        <w:color w:val="C2D59B"/>
        <w:sz w:val="22"/>
      </w:rPr>
      <w:tcPr>
        <w:tcBorders>
          <w:top w:val="nil"/>
          <w:left w:val="nil"/>
          <w:bottom w:val="single" w:color="C3D69C" w:sz="4" w:space="0"/>
          <w:right w:val="nil"/>
          <w:insideH w:val="nil"/>
          <w:insideV w:val="nil"/>
          <w:tl2br w:val="nil"/>
          <w:tr2bl w:val="nil"/>
        </w:tcBorders>
        <w:shd w:val="clear" w:color="auto" w:fill="FFFFFF"/>
      </w:tcPr>
    </w:tblStylePr>
    <w:tblStylePr w:type="lastRow">
      <w:rPr>
        <w:rFonts w:ascii="Arial" w:hAnsi="Arial"/>
        <w:i/>
        <w:color w:val="C2D59B"/>
        <w:sz w:val="22"/>
      </w:rPr>
      <w:tcPr>
        <w:tcBorders>
          <w:top w:val="single" w:color="C3D69C"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C2D59B"/>
        <w:sz w:val="22"/>
      </w:rPr>
      <w:tcPr>
        <w:tcBorders>
          <w:top w:val="nil"/>
          <w:left w:val="nil"/>
          <w:bottom w:val="nil"/>
          <w:right w:val="single" w:color="C3D69C" w:sz="4" w:space="0"/>
          <w:insideH w:val="nil"/>
          <w:insideV w:val="nil"/>
          <w:tl2br w:val="nil"/>
          <w:tr2bl w:val="nil"/>
        </w:tcBorders>
        <w:shd w:val="clear" w:color="auto" w:fill="FFFFFF"/>
      </w:tcPr>
    </w:tblStylePr>
    <w:tblStylePr w:type="lastCol">
      <w:rPr>
        <w:rFonts w:ascii="Arial" w:hAnsi="Arial"/>
        <w:i/>
        <w:color w:val="C2D59B"/>
        <w:sz w:val="22"/>
      </w:rPr>
      <w:tcPr>
        <w:tcBorders>
          <w:top w:val="nil"/>
          <w:left w:val="single" w:color="C3D69C" w:sz="4" w:space="0"/>
          <w:bottom w:val="nil"/>
          <w:right w:val="nil"/>
          <w:insideH w:val="nil"/>
          <w:insideV w:val="nil"/>
          <w:tl2br w:val="nil"/>
          <w:tr2bl w:val="nil"/>
        </w:tcBorders>
        <w:shd w:val="clear" w:color="auto" w:fill="FFFFFF"/>
      </w:tcPr>
    </w:tblStylePr>
    <w:tblStylePr w:type="band1Vert">
      <w:tcPr>
        <w:shd w:val="clear" w:color="auto" w:fill="E5EDD5"/>
      </w:tcPr>
    </w:tblStylePr>
    <w:tblStylePr w:type="band1Horz">
      <w:rPr>
        <w:rFonts w:ascii="Arial" w:hAnsi="Arial"/>
        <w:color w:val="C2D59B"/>
        <w:sz w:val="22"/>
      </w:rPr>
      <w:tcPr>
        <w:shd w:val="clear" w:color="auto" w:fill="E5EDD5"/>
      </w:tcPr>
    </w:tblStylePr>
    <w:tblStylePr w:type="band2Horz">
      <w:rPr>
        <w:rFonts w:ascii="Arial" w:hAnsi="Arial"/>
        <w:color w:val="C2D59B"/>
        <w:sz w:val="22"/>
      </w:rPr>
    </w:tblStylePr>
  </w:style>
  <w:style w:type="table" w:customStyle="1" w:styleId="299">
    <w:name w:val="List Table 7 Colorful - Accent 4"/>
    <w:qFormat/>
    <w:uiPriority w:val="99"/>
    <w:pPr>
      <w:spacing w:after="0" w:line="240" w:lineRule="auto"/>
    </w:pPr>
    <w:tblPr>
      <w:tblBorders>
        <w:right w:val="single" w:color="B2A1C6" w:sz="4" w:space="0"/>
      </w:tblBorders>
    </w:tblPr>
    <w:tblStylePr w:type="firstRow">
      <w:rPr>
        <w:rFonts w:ascii="Arial" w:hAnsi="Arial"/>
        <w:i/>
        <w:color w:val="B2A0C7"/>
        <w:sz w:val="22"/>
      </w:rPr>
      <w:tcPr>
        <w:tcBorders>
          <w:top w:val="nil"/>
          <w:left w:val="nil"/>
          <w:bottom w:val="single" w:color="B2A1C6" w:sz="4" w:space="0"/>
          <w:right w:val="nil"/>
          <w:insideH w:val="nil"/>
          <w:insideV w:val="nil"/>
          <w:tl2br w:val="nil"/>
          <w:tr2bl w:val="nil"/>
        </w:tcBorders>
        <w:shd w:val="clear" w:color="auto" w:fill="FFFFFF"/>
      </w:tcPr>
    </w:tblStylePr>
    <w:tblStylePr w:type="lastRow">
      <w:rPr>
        <w:rFonts w:ascii="Arial" w:hAnsi="Arial"/>
        <w:i/>
        <w:color w:val="B2A0C7"/>
        <w:sz w:val="22"/>
      </w:rPr>
      <w:tcPr>
        <w:tcBorders>
          <w:top w:val="single" w:color="B2A1C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2A0C7"/>
        <w:sz w:val="22"/>
      </w:rPr>
      <w:tcPr>
        <w:tcBorders>
          <w:top w:val="nil"/>
          <w:left w:val="nil"/>
          <w:bottom w:val="nil"/>
          <w:right w:val="single" w:color="B2A1C6" w:sz="4" w:space="0"/>
          <w:insideH w:val="nil"/>
          <w:insideV w:val="nil"/>
          <w:tl2br w:val="nil"/>
          <w:tr2bl w:val="nil"/>
        </w:tcBorders>
        <w:shd w:val="clear" w:color="auto" w:fill="FFFFFF"/>
      </w:tcPr>
    </w:tblStylePr>
    <w:tblStylePr w:type="lastCol">
      <w:rPr>
        <w:rFonts w:ascii="Arial" w:hAnsi="Arial"/>
        <w:i/>
        <w:color w:val="B2A0C7"/>
        <w:sz w:val="22"/>
      </w:rPr>
      <w:tcPr>
        <w:tcBorders>
          <w:top w:val="nil"/>
          <w:left w:val="single" w:color="B2A1C6" w:sz="4" w:space="0"/>
          <w:bottom w:val="nil"/>
          <w:right w:val="nil"/>
          <w:insideH w:val="nil"/>
          <w:insideV w:val="nil"/>
          <w:tl2br w:val="nil"/>
          <w:tr2bl w:val="nil"/>
        </w:tcBorders>
        <w:shd w:val="clear" w:color="auto" w:fill="FFFFFF"/>
      </w:tcPr>
    </w:tblStylePr>
    <w:tblStylePr w:type="band1Vert">
      <w:tcPr>
        <w:shd w:val="clear" w:color="auto" w:fill="DFD8E7"/>
      </w:tcPr>
    </w:tblStylePr>
    <w:tblStylePr w:type="band1Horz">
      <w:rPr>
        <w:rFonts w:ascii="Arial" w:hAnsi="Arial"/>
        <w:color w:val="B2A0C7"/>
        <w:sz w:val="22"/>
      </w:rPr>
      <w:tcPr>
        <w:shd w:val="clear" w:color="auto" w:fill="DFD8E7"/>
      </w:tcPr>
    </w:tblStylePr>
    <w:tblStylePr w:type="band2Horz">
      <w:rPr>
        <w:rFonts w:ascii="Arial" w:hAnsi="Arial"/>
        <w:color w:val="B2A0C7"/>
        <w:sz w:val="22"/>
      </w:rPr>
    </w:tblStylePr>
  </w:style>
  <w:style w:type="table" w:customStyle="1" w:styleId="300">
    <w:name w:val="List Table 7 Colorful - Accent 5"/>
    <w:qFormat/>
    <w:uiPriority w:val="99"/>
    <w:pPr>
      <w:spacing w:after="0" w:line="240" w:lineRule="auto"/>
    </w:pPr>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insideH w:val="nil"/>
          <w:insideV w:val="nil"/>
          <w:tl2br w:val="nil"/>
          <w:tr2bl w:val="nil"/>
        </w:tcBorders>
        <w:shd w:val="clear" w:color="auto" w:fill="FFFFFF"/>
      </w:tcPr>
    </w:tblStylePr>
    <w:tblStylePr w:type="lastRow">
      <w:rPr>
        <w:rFonts w:ascii="Arial" w:hAnsi="Arial"/>
        <w:i/>
        <w:color w:val="92CCDC"/>
        <w:sz w:val="22"/>
      </w:rPr>
      <w:tcPr>
        <w:tcBorders>
          <w:top w:val="single" w:color="92CCDC"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92CCDC"/>
        <w:sz w:val="22"/>
      </w:rPr>
      <w:tcPr>
        <w:tcBorders>
          <w:top w:val="nil"/>
          <w:left w:val="nil"/>
          <w:bottom w:val="nil"/>
          <w:right w:val="single" w:color="92CCDC" w:sz="4" w:space="0"/>
          <w:insideH w:val="nil"/>
          <w:insideV w:val="nil"/>
          <w:tl2br w:val="nil"/>
          <w:tr2bl w:val="nil"/>
        </w:tcBorders>
        <w:shd w:val="clear" w:color="auto" w:fill="FFFFFF"/>
      </w:tcPr>
    </w:tblStylePr>
    <w:tblStylePr w:type="lastCol">
      <w:rPr>
        <w:rFonts w:ascii="Arial" w:hAnsi="Arial"/>
        <w:i/>
        <w:color w:val="92CCDC"/>
        <w:sz w:val="22"/>
      </w:rPr>
      <w:tcPr>
        <w:tcBorders>
          <w:top w:val="nil"/>
          <w:left w:val="single" w:color="92CCDC" w:sz="4" w:space="0"/>
          <w:bottom w:val="nil"/>
          <w:right w:val="nil"/>
          <w:insideH w:val="nil"/>
          <w:insideV w:val="nil"/>
          <w:tl2br w:val="nil"/>
          <w:tr2bl w:val="nil"/>
        </w:tcBorders>
        <w:shd w:val="clear" w:color="auto" w:fill="FFFFFF"/>
      </w:tcPr>
    </w:tblStylePr>
    <w:tblStylePr w:type="band1Vert">
      <w:tcPr>
        <w:shd w:val="clear" w:color="auto" w:fill="D1EAF0"/>
      </w:tcPr>
    </w:tblStylePr>
    <w:tblStylePr w:type="band1Horz">
      <w:rPr>
        <w:rFonts w:ascii="Arial" w:hAnsi="Arial"/>
        <w:color w:val="92CCDC"/>
        <w:sz w:val="22"/>
      </w:rPr>
      <w:tcPr>
        <w:shd w:val="clear" w:color="auto" w:fill="D1EAF0"/>
      </w:tcPr>
    </w:tblStylePr>
    <w:tblStylePr w:type="band2Horz">
      <w:rPr>
        <w:rFonts w:ascii="Arial" w:hAnsi="Arial"/>
        <w:color w:val="92CCDC"/>
        <w:sz w:val="22"/>
      </w:rPr>
    </w:tblStylePr>
  </w:style>
  <w:style w:type="table" w:customStyle="1" w:styleId="301">
    <w:name w:val="List Table 7 Colorful - Accent 6"/>
    <w:qFormat/>
    <w:uiPriority w:val="99"/>
    <w:pPr>
      <w:spacing w:after="0" w:line="240" w:lineRule="auto"/>
    </w:pPr>
    <w:tblPr>
      <w:tblBorders>
        <w:right w:val="single" w:color="FAC090" w:sz="4" w:space="0"/>
      </w:tblBorders>
    </w:tblPr>
    <w:tblStylePr w:type="firstRow">
      <w:rPr>
        <w:rFonts w:ascii="Arial" w:hAnsi="Arial"/>
        <w:i/>
        <w:color w:val="FABF8E"/>
        <w:sz w:val="22"/>
      </w:rPr>
      <w:tcPr>
        <w:tcBorders>
          <w:top w:val="nil"/>
          <w:left w:val="nil"/>
          <w:bottom w:val="single" w:color="FAC090" w:sz="4" w:space="0"/>
          <w:right w:val="nil"/>
          <w:insideH w:val="nil"/>
          <w:insideV w:val="nil"/>
          <w:tl2br w:val="nil"/>
          <w:tr2bl w:val="nil"/>
        </w:tcBorders>
        <w:shd w:val="clear" w:color="auto" w:fill="FFFFFF"/>
      </w:tcPr>
    </w:tblStylePr>
    <w:tblStylePr w:type="lastRow">
      <w:rPr>
        <w:rFonts w:ascii="Arial" w:hAnsi="Arial"/>
        <w:i/>
        <w:color w:val="FABF8E"/>
        <w:sz w:val="22"/>
      </w:rPr>
      <w:tcPr>
        <w:tcBorders>
          <w:top w:val="single" w:color="FAC090"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FABF8E"/>
        <w:sz w:val="22"/>
      </w:rPr>
      <w:tcPr>
        <w:tcBorders>
          <w:top w:val="nil"/>
          <w:left w:val="nil"/>
          <w:bottom w:val="nil"/>
          <w:right w:val="single" w:color="FAC090" w:sz="4" w:space="0"/>
          <w:insideH w:val="nil"/>
          <w:insideV w:val="nil"/>
          <w:tl2br w:val="nil"/>
          <w:tr2bl w:val="nil"/>
        </w:tcBorders>
        <w:shd w:val="clear" w:color="auto" w:fill="FFFFFF"/>
      </w:tcPr>
    </w:tblStylePr>
    <w:tblStylePr w:type="lastCol">
      <w:rPr>
        <w:rFonts w:ascii="Arial" w:hAnsi="Arial"/>
        <w:i/>
        <w:color w:val="FABF8E"/>
        <w:sz w:val="22"/>
      </w:rPr>
      <w:tcPr>
        <w:tcBorders>
          <w:top w:val="nil"/>
          <w:left w:val="single" w:color="FAC090" w:sz="4" w:space="0"/>
          <w:bottom w:val="nil"/>
          <w:right w:val="nil"/>
          <w:insideH w:val="nil"/>
          <w:insideV w:val="nil"/>
          <w:tl2br w:val="nil"/>
          <w:tr2bl w:val="nil"/>
        </w:tcBorders>
        <w:shd w:val="clear" w:color="auto" w:fill="FFFFFF"/>
      </w:tcPr>
    </w:tblStylePr>
    <w:tblStylePr w:type="band1Vert">
      <w:tcPr>
        <w:shd w:val="clear" w:color="auto" w:fill="FCE4D0"/>
      </w:tcPr>
    </w:tblStylePr>
    <w:tblStylePr w:type="band1Horz">
      <w:rPr>
        <w:rFonts w:ascii="Arial" w:hAnsi="Arial"/>
        <w:color w:val="FABF8E"/>
        <w:sz w:val="22"/>
      </w:rPr>
      <w:tcPr>
        <w:shd w:val="clear" w:color="auto" w:fill="FCE4D0"/>
      </w:tcPr>
    </w:tblStylePr>
    <w:tblStylePr w:type="band2Horz">
      <w:rPr>
        <w:rFonts w:ascii="Arial" w:hAnsi="Arial"/>
        <w:color w:val="FABF8E"/>
        <w:sz w:val="22"/>
      </w:rPr>
    </w:tblStylePr>
  </w:style>
  <w:style w:type="table" w:customStyle="1" w:styleId="302">
    <w:name w:val="Lined - Accent"/>
    <w:qFormat/>
    <w:uiPriority w:val="99"/>
    <w:pPr>
      <w:spacing w:after="0" w:line="240" w:lineRule="auto"/>
    </w:pPr>
    <w:rPr>
      <w:color w:val="404040"/>
    </w:rPr>
    <w:tblStylePr w:type="firstRow">
      <w:rPr>
        <w:rFonts w:ascii="Arial" w:hAnsi="Arial"/>
        <w:color w:val="F2F2F2"/>
        <w:sz w:val="22"/>
      </w:rPr>
      <w:tcPr>
        <w:shd w:val="clear" w:color="auto" w:fill="7E7E7E"/>
      </w:tcPr>
    </w:tblStylePr>
    <w:tblStylePr w:type="lastRow">
      <w:rPr>
        <w:rFonts w:ascii="Arial" w:hAnsi="Arial"/>
        <w:color w:val="F2F2F2"/>
        <w:sz w:val="22"/>
      </w:rPr>
      <w:tcPr>
        <w:shd w:val="clear" w:color="auto" w:fill="7E7E7E"/>
      </w:tcPr>
    </w:tblStylePr>
    <w:tblStylePr w:type="firstCol">
      <w:rPr>
        <w:rFonts w:ascii="Arial" w:hAnsi="Arial"/>
        <w:color w:val="F2F2F2"/>
        <w:sz w:val="22"/>
      </w:rPr>
      <w:tcPr>
        <w:shd w:val="clear" w:color="auto" w:fill="7E7E7E"/>
      </w:tcPr>
    </w:tblStylePr>
    <w:tblStylePr w:type="lastCol">
      <w:rPr>
        <w:rFonts w:ascii="Arial" w:hAnsi="Arial"/>
        <w:color w:val="F2F2F2"/>
        <w:sz w:val="22"/>
      </w:rPr>
      <w:tcPr>
        <w:shd w:val="clear" w:color="auto" w:fill="7E7E7E"/>
      </w:tcPr>
    </w:tblStylePr>
    <w:tblStylePr w:type="band1Vert">
      <w:rPr>
        <w:rFonts w:ascii="Arial" w:hAnsi="Arial"/>
        <w:color w:val="404040"/>
        <w:sz w:val="22"/>
      </w:rPr>
    </w:tblStylePr>
    <w:tblStylePr w:type="band2Vert">
      <w:rPr>
        <w:rFonts w:ascii="Arial" w:hAnsi="Arial"/>
        <w:color w:val="404040"/>
        <w:sz w:val="22"/>
      </w:rPr>
      <w:tcPr>
        <w:shd w:val="clear" w:color="auto" w:fill="F1F1F1"/>
      </w:tcPr>
    </w:tblStylePr>
    <w:tblStylePr w:type="band1Horz">
      <w:rPr>
        <w:rFonts w:ascii="Arial" w:hAnsi="Arial"/>
        <w:color w:val="404040"/>
        <w:sz w:val="22"/>
      </w:rPr>
    </w:tblStylePr>
    <w:tblStylePr w:type="band2Horz">
      <w:rPr>
        <w:rFonts w:ascii="Arial" w:hAnsi="Arial"/>
        <w:color w:val="404040"/>
        <w:sz w:val="22"/>
      </w:rPr>
      <w:tcPr>
        <w:shd w:val="clear" w:color="auto" w:fill="F1F1F1"/>
      </w:tcPr>
    </w:tblStylePr>
  </w:style>
  <w:style w:type="table" w:customStyle="1" w:styleId="303">
    <w:name w:val="Lined - Accent 1"/>
    <w:qFormat/>
    <w:uiPriority w:val="99"/>
    <w:pPr>
      <w:spacing w:after="0" w:line="240" w:lineRule="auto"/>
    </w:pPr>
    <w:rPr>
      <w:color w:val="404040"/>
    </w:rPr>
    <w:tblStylePr w:type="firstRow">
      <w:rPr>
        <w:rFonts w:ascii="Arial" w:hAnsi="Arial"/>
        <w:color w:val="F2F2F2"/>
        <w:sz w:val="22"/>
      </w:rPr>
      <w:tcPr>
        <w:shd w:val="clear" w:color="auto" w:fill="5D8BC2"/>
      </w:tcPr>
    </w:tblStylePr>
    <w:tblStylePr w:type="lastRow">
      <w:rPr>
        <w:rFonts w:ascii="Arial" w:hAnsi="Arial"/>
        <w:color w:val="F2F2F2"/>
        <w:sz w:val="22"/>
      </w:rPr>
      <w:tcPr>
        <w:shd w:val="clear" w:color="auto" w:fill="5D8BC2"/>
      </w:tcPr>
    </w:tblStylePr>
    <w:tblStylePr w:type="firstCol">
      <w:rPr>
        <w:rFonts w:ascii="Arial" w:hAnsi="Arial"/>
        <w:color w:val="F2F2F2"/>
        <w:sz w:val="22"/>
      </w:rPr>
      <w:tcPr>
        <w:shd w:val="clear" w:color="auto" w:fill="5D8BC2"/>
      </w:tcPr>
    </w:tblStylePr>
    <w:tblStylePr w:type="lastCol">
      <w:rPr>
        <w:rFonts w:ascii="Arial" w:hAnsi="Arial"/>
        <w:color w:val="F2F2F2"/>
        <w:sz w:val="22"/>
      </w:rPr>
      <w:tcPr>
        <w:shd w:val="clear" w:color="auto" w:fill="5D8BC2"/>
      </w:tcPr>
    </w:tblStylePr>
    <w:tblStylePr w:type="band1Vert">
      <w:rPr>
        <w:rFonts w:ascii="Arial" w:hAnsi="Arial"/>
        <w:color w:val="404040"/>
        <w:sz w:val="22"/>
      </w:rPr>
    </w:tblStylePr>
    <w:tblStylePr w:type="band2Vert">
      <w:rPr>
        <w:rFonts w:ascii="Arial" w:hAnsi="Arial"/>
        <w:color w:val="404040"/>
        <w:sz w:val="22"/>
      </w:rPr>
      <w:tcPr>
        <w:shd w:val="clear" w:color="auto" w:fill="C7D7EA"/>
      </w:tcPr>
    </w:tblStylePr>
    <w:tblStylePr w:type="band1Horz">
      <w:rPr>
        <w:rFonts w:ascii="Arial" w:hAnsi="Arial"/>
        <w:color w:val="404040"/>
        <w:sz w:val="22"/>
      </w:rPr>
    </w:tblStylePr>
    <w:tblStylePr w:type="band2Horz">
      <w:rPr>
        <w:rFonts w:ascii="Arial" w:hAnsi="Arial"/>
        <w:color w:val="404040"/>
        <w:sz w:val="22"/>
      </w:rPr>
      <w:tcPr>
        <w:shd w:val="clear" w:color="auto" w:fill="C7D7EA"/>
      </w:tcPr>
    </w:tblStylePr>
  </w:style>
  <w:style w:type="table" w:customStyle="1" w:styleId="304">
    <w:name w:val="Lined - Accent 2"/>
    <w:qFormat/>
    <w:uiPriority w:val="99"/>
    <w:pPr>
      <w:spacing w:after="0" w:line="240" w:lineRule="auto"/>
    </w:pPr>
    <w:rPr>
      <w:color w:val="404040"/>
    </w:rPr>
    <w:tblStylePr w:type="firstRow">
      <w:rPr>
        <w:rFonts w:ascii="Arial" w:hAnsi="Arial"/>
        <w:color w:val="F2F2F2"/>
        <w:sz w:val="22"/>
      </w:rPr>
      <w:tcPr>
        <w:shd w:val="clear" w:color="auto" w:fill="D99795"/>
      </w:tcPr>
    </w:tblStylePr>
    <w:tblStylePr w:type="lastRow">
      <w:rPr>
        <w:rFonts w:ascii="Arial" w:hAnsi="Arial"/>
        <w:color w:val="F2F2F2"/>
        <w:sz w:val="22"/>
      </w:rPr>
      <w:tcPr>
        <w:shd w:val="clear" w:color="auto" w:fill="D99795"/>
      </w:tcPr>
    </w:tblStylePr>
    <w:tblStylePr w:type="firstCol">
      <w:rPr>
        <w:rFonts w:ascii="Arial" w:hAnsi="Arial"/>
        <w:color w:val="F2F2F2"/>
        <w:sz w:val="22"/>
      </w:rPr>
      <w:tcPr>
        <w:shd w:val="clear" w:color="auto" w:fill="D99795"/>
      </w:tcPr>
    </w:tblStylePr>
    <w:tblStylePr w:type="lastCol">
      <w:rPr>
        <w:rFonts w:ascii="Arial" w:hAnsi="Arial"/>
        <w:color w:val="F2F2F2"/>
        <w:sz w:val="22"/>
      </w:rPr>
      <w:tcPr>
        <w:shd w:val="clear" w:color="auto" w:fill="D99795"/>
      </w:tcPr>
    </w:tblStylePr>
    <w:tblStylePr w:type="band1Vert">
      <w:rPr>
        <w:rFonts w:ascii="Arial" w:hAnsi="Arial"/>
        <w:color w:val="404040"/>
        <w:sz w:val="22"/>
      </w:rPr>
    </w:tblStylePr>
    <w:tblStylePr w:type="band2Vert">
      <w:rPr>
        <w:rFonts w:ascii="Arial" w:hAnsi="Arial"/>
        <w:color w:val="404040"/>
        <w:sz w:val="22"/>
      </w:rPr>
      <w:tcPr>
        <w:shd w:val="clear" w:color="auto" w:fill="F2DCDC"/>
      </w:tcPr>
    </w:tblStylePr>
    <w:tblStylePr w:type="band1Horz">
      <w:rPr>
        <w:rFonts w:ascii="Arial" w:hAnsi="Arial"/>
        <w:color w:val="404040"/>
        <w:sz w:val="22"/>
      </w:rPr>
    </w:tblStylePr>
    <w:tblStylePr w:type="band2Horz">
      <w:rPr>
        <w:rFonts w:ascii="Arial" w:hAnsi="Arial"/>
        <w:color w:val="404040"/>
        <w:sz w:val="22"/>
      </w:rPr>
      <w:tcPr>
        <w:shd w:val="clear" w:color="auto" w:fill="F2DCDC"/>
      </w:tcPr>
    </w:tblStylePr>
  </w:style>
  <w:style w:type="table" w:customStyle="1" w:styleId="305">
    <w:name w:val="Lined - Accent 3"/>
    <w:qFormat/>
    <w:uiPriority w:val="99"/>
    <w:pPr>
      <w:spacing w:after="0" w:line="240" w:lineRule="auto"/>
    </w:pPr>
    <w:rPr>
      <w:color w:val="404040"/>
    </w:r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306">
    <w:name w:val="Lined - Accent 4"/>
    <w:qFormat/>
    <w:uiPriority w:val="99"/>
    <w:pPr>
      <w:spacing w:after="0" w:line="240" w:lineRule="auto"/>
    </w:pPr>
    <w:rPr>
      <w:color w:val="404040"/>
    </w:rPr>
    <w:tblStylePr w:type="firstRow">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tblStylePr w:type="firstCol">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307">
    <w:name w:val="Lined - Accent 5"/>
    <w:qFormat/>
    <w:uiPriority w:val="99"/>
    <w:pPr>
      <w:spacing w:after="0" w:line="240" w:lineRule="auto"/>
    </w:pPr>
    <w:rPr>
      <w:color w:val="404040"/>
    </w:r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308">
    <w:name w:val="Lined - Accent 6"/>
    <w:qFormat/>
    <w:uiPriority w:val="99"/>
    <w:pPr>
      <w:spacing w:after="0" w:line="240" w:lineRule="auto"/>
    </w:pPr>
    <w:rPr>
      <w:color w:val="404040"/>
    </w:r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309">
    <w:name w:val="Bordered &amp; Lined - Accent"/>
    <w:qFormat/>
    <w:uiPriority w:val="99"/>
    <w:pPr>
      <w:spacing w:after="0" w:line="240" w:lineRule="auto"/>
    </w:pPr>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auto" w:fill="7E7E7E"/>
      </w:tcPr>
    </w:tblStylePr>
    <w:tblStylePr w:type="lastRow">
      <w:rPr>
        <w:rFonts w:ascii="Arial" w:hAnsi="Arial"/>
        <w:color w:val="F2F2F2"/>
        <w:sz w:val="22"/>
      </w:rPr>
      <w:tcPr>
        <w:shd w:val="clear" w:color="auto" w:fill="7E7E7E"/>
      </w:tcPr>
    </w:tblStylePr>
    <w:tblStylePr w:type="firstCol">
      <w:rPr>
        <w:rFonts w:ascii="Arial" w:hAnsi="Arial"/>
        <w:color w:val="F2F2F2"/>
        <w:sz w:val="22"/>
      </w:rPr>
      <w:tcPr>
        <w:shd w:val="clear" w:color="auto" w:fill="7E7E7E"/>
      </w:tcPr>
    </w:tblStylePr>
    <w:tblStylePr w:type="lastCol">
      <w:rPr>
        <w:rFonts w:ascii="Arial" w:hAnsi="Arial"/>
        <w:color w:val="F2F2F2"/>
        <w:sz w:val="22"/>
      </w:rPr>
      <w:tcPr>
        <w:shd w:val="clear" w:color="auto" w:fill="7E7E7E"/>
      </w:tcPr>
    </w:tblStylePr>
    <w:tblStylePr w:type="band1Vert">
      <w:rPr>
        <w:rFonts w:ascii="Arial" w:hAnsi="Arial"/>
        <w:color w:val="404040"/>
        <w:sz w:val="22"/>
      </w:rPr>
    </w:tblStylePr>
    <w:tblStylePr w:type="band2Vert">
      <w:rPr>
        <w:rFonts w:ascii="Arial" w:hAnsi="Arial"/>
        <w:color w:val="404040"/>
        <w:sz w:val="22"/>
      </w:rPr>
      <w:tcPr>
        <w:shd w:val="clear" w:color="auto" w:fill="F1F1F1"/>
      </w:tcPr>
    </w:tblStylePr>
    <w:tblStylePr w:type="band1Horz">
      <w:rPr>
        <w:rFonts w:ascii="Arial" w:hAnsi="Arial"/>
        <w:color w:val="404040"/>
        <w:sz w:val="22"/>
      </w:rPr>
    </w:tblStylePr>
    <w:tblStylePr w:type="band2Horz">
      <w:rPr>
        <w:rFonts w:ascii="Arial" w:hAnsi="Arial"/>
        <w:color w:val="404040"/>
        <w:sz w:val="22"/>
      </w:rPr>
      <w:tcPr>
        <w:shd w:val="clear" w:color="auto" w:fill="F1F1F1"/>
      </w:tcPr>
    </w:tblStylePr>
  </w:style>
  <w:style w:type="table" w:customStyle="1" w:styleId="310">
    <w:name w:val="Bordered &amp; Lined - Accent 1"/>
    <w:qFormat/>
    <w:uiPriority w:val="99"/>
    <w:pPr>
      <w:spacing w:after="0" w:line="240" w:lineRule="auto"/>
    </w:pPr>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rFonts w:ascii="Arial" w:hAnsi="Arial"/>
        <w:color w:val="F2F2F2"/>
        <w:sz w:val="22"/>
      </w:rPr>
      <w:tcPr>
        <w:shd w:val="clear" w:color="auto" w:fill="5D8BC2"/>
      </w:tcPr>
    </w:tblStylePr>
    <w:tblStylePr w:type="lastRow">
      <w:rPr>
        <w:rFonts w:ascii="Arial" w:hAnsi="Arial"/>
        <w:color w:val="F2F2F2"/>
        <w:sz w:val="22"/>
      </w:rPr>
      <w:tcPr>
        <w:shd w:val="clear" w:color="auto" w:fill="5D8BC2"/>
      </w:tcPr>
    </w:tblStylePr>
    <w:tblStylePr w:type="firstCol">
      <w:rPr>
        <w:rFonts w:ascii="Arial" w:hAnsi="Arial"/>
        <w:color w:val="F2F2F2"/>
        <w:sz w:val="22"/>
      </w:rPr>
      <w:tcPr>
        <w:shd w:val="clear" w:color="auto" w:fill="5D8BC2"/>
      </w:tcPr>
    </w:tblStylePr>
    <w:tblStylePr w:type="lastCol">
      <w:rPr>
        <w:rFonts w:ascii="Arial" w:hAnsi="Arial"/>
        <w:color w:val="F2F2F2"/>
        <w:sz w:val="22"/>
      </w:rPr>
      <w:tcPr>
        <w:shd w:val="clear" w:color="auto" w:fill="5D8BC2"/>
      </w:tcPr>
    </w:tblStylePr>
    <w:tblStylePr w:type="band1Vert">
      <w:rPr>
        <w:rFonts w:ascii="Arial" w:hAnsi="Arial"/>
        <w:color w:val="404040"/>
        <w:sz w:val="22"/>
      </w:rPr>
    </w:tblStylePr>
    <w:tblStylePr w:type="band2Vert">
      <w:rPr>
        <w:rFonts w:ascii="Arial" w:hAnsi="Arial"/>
        <w:color w:val="404040"/>
        <w:sz w:val="22"/>
      </w:rPr>
      <w:tcPr>
        <w:shd w:val="clear" w:color="auto" w:fill="C7D7EA"/>
      </w:tcPr>
    </w:tblStylePr>
    <w:tblStylePr w:type="band1Horz">
      <w:rPr>
        <w:rFonts w:ascii="Arial" w:hAnsi="Arial"/>
        <w:color w:val="404040"/>
        <w:sz w:val="22"/>
      </w:rPr>
    </w:tblStylePr>
    <w:tblStylePr w:type="band2Horz">
      <w:rPr>
        <w:rFonts w:ascii="Arial" w:hAnsi="Arial"/>
        <w:color w:val="404040"/>
        <w:sz w:val="22"/>
      </w:rPr>
      <w:tcPr>
        <w:shd w:val="clear" w:color="auto" w:fill="C7D7EA"/>
      </w:tcPr>
    </w:tblStylePr>
  </w:style>
  <w:style w:type="table" w:customStyle="1" w:styleId="311">
    <w:name w:val="Bordered &amp; Lined - Accent 2"/>
    <w:qFormat/>
    <w:uiPriority w:val="99"/>
    <w:pPr>
      <w:spacing w:after="0" w:line="240" w:lineRule="auto"/>
    </w:pPr>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rFonts w:ascii="Arial" w:hAnsi="Arial"/>
        <w:color w:val="F2F2F2"/>
        <w:sz w:val="22"/>
      </w:rPr>
      <w:tcPr>
        <w:shd w:val="clear" w:color="auto" w:fill="D99795"/>
      </w:tcPr>
    </w:tblStylePr>
    <w:tblStylePr w:type="lastRow">
      <w:rPr>
        <w:rFonts w:ascii="Arial" w:hAnsi="Arial"/>
        <w:color w:val="F2F2F2"/>
        <w:sz w:val="22"/>
      </w:rPr>
      <w:tcPr>
        <w:shd w:val="clear" w:color="auto" w:fill="D99795"/>
      </w:tcPr>
    </w:tblStylePr>
    <w:tblStylePr w:type="firstCol">
      <w:rPr>
        <w:rFonts w:ascii="Arial" w:hAnsi="Arial"/>
        <w:color w:val="F2F2F2"/>
        <w:sz w:val="22"/>
      </w:rPr>
      <w:tcPr>
        <w:shd w:val="clear" w:color="auto" w:fill="D99795"/>
      </w:tcPr>
    </w:tblStylePr>
    <w:tblStylePr w:type="lastCol">
      <w:rPr>
        <w:rFonts w:ascii="Arial" w:hAnsi="Arial"/>
        <w:color w:val="F2F2F2"/>
        <w:sz w:val="22"/>
      </w:rPr>
      <w:tcPr>
        <w:shd w:val="clear" w:color="auto" w:fill="D99795"/>
      </w:tcPr>
    </w:tblStylePr>
    <w:tblStylePr w:type="band1Vert">
      <w:rPr>
        <w:rFonts w:ascii="Arial" w:hAnsi="Arial"/>
        <w:color w:val="404040"/>
        <w:sz w:val="22"/>
      </w:rPr>
    </w:tblStylePr>
    <w:tblStylePr w:type="band2Vert">
      <w:rPr>
        <w:rFonts w:ascii="Arial" w:hAnsi="Arial"/>
        <w:color w:val="404040"/>
        <w:sz w:val="22"/>
      </w:rPr>
      <w:tcPr>
        <w:shd w:val="clear" w:color="auto" w:fill="F2DCDC"/>
      </w:tcPr>
    </w:tblStylePr>
    <w:tblStylePr w:type="band1Horz">
      <w:rPr>
        <w:rFonts w:ascii="Arial" w:hAnsi="Arial"/>
        <w:color w:val="404040"/>
        <w:sz w:val="22"/>
      </w:rPr>
    </w:tblStylePr>
    <w:tblStylePr w:type="band2Horz">
      <w:rPr>
        <w:rFonts w:ascii="Arial" w:hAnsi="Arial"/>
        <w:color w:val="404040"/>
        <w:sz w:val="22"/>
      </w:rPr>
      <w:tcPr>
        <w:shd w:val="clear" w:color="auto" w:fill="F2DCDC"/>
      </w:tcPr>
    </w:tblStylePr>
  </w:style>
  <w:style w:type="table" w:customStyle="1" w:styleId="312">
    <w:name w:val="Bordered &amp; Lined - Accent 3"/>
    <w:qFormat/>
    <w:uiPriority w:val="99"/>
    <w:pPr>
      <w:spacing w:after="0" w:line="240" w:lineRule="auto"/>
    </w:pPr>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313">
    <w:name w:val="Bordered &amp; Lined - Accent 4"/>
    <w:qFormat/>
    <w:uiPriority w:val="99"/>
    <w:pPr>
      <w:spacing w:after="0" w:line="240" w:lineRule="auto"/>
    </w:pPr>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tblStylePr w:type="firstCol">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314">
    <w:name w:val="Bordered &amp; Lined - Accent 5"/>
    <w:qFormat/>
    <w:uiPriority w:val="99"/>
    <w:pPr>
      <w:spacing w:after="0" w:line="240" w:lineRule="auto"/>
    </w:pPr>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315">
    <w:name w:val="Bordered &amp; Lined - Accent 6"/>
    <w:qFormat/>
    <w:uiPriority w:val="99"/>
    <w:pPr>
      <w:spacing w:after="0" w:line="240" w:lineRule="auto"/>
    </w:pPr>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316">
    <w:name w:val="Bordered"/>
    <w:qFormat/>
    <w:uiPriority w:val="99"/>
    <w:pPr>
      <w:spacing w:after="0" w:line="240" w:lineRule="auto"/>
    </w:p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317">
    <w:name w:val="Bordered - Accent 1"/>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318">
    <w:name w:val="Bordered - Accent 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rFonts w:ascii="Arial" w:hAnsi="Arial"/>
        <w:color w:val="404040"/>
        <w:sz w:val="22"/>
      </w:r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D99795" w:sz="12" w:space="0"/>
          <w:bottom w:val="nil"/>
          <w:right w:val="nil"/>
          <w:insideH w:val="nil"/>
          <w:insideV w:val="nil"/>
          <w:tl2br w:val="nil"/>
          <w:tr2bl w:val="nil"/>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319">
    <w:name w:val="Bordered - Accent 3"/>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3D69C" w:sz="12" w:space="0"/>
          <w:bottom w:val="nil"/>
          <w:right w:val="nil"/>
          <w:insideH w:val="nil"/>
          <w:insideV w:val="nil"/>
          <w:tl2br w:val="nil"/>
          <w:tr2bl w:val="nil"/>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320">
    <w:name w:val="Bordered - Accent 4"/>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B2A1C6" w:sz="12" w:space="0"/>
          <w:bottom w:val="nil"/>
          <w:right w:val="nil"/>
          <w:insideH w:val="nil"/>
          <w:insideV w:val="nil"/>
          <w:tl2br w:val="nil"/>
          <w:tr2bl w:val="nil"/>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321">
    <w:name w:val="Bordered - Accent 5"/>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rFonts w:ascii="Arial" w:hAnsi="Arial"/>
        <w:color w:val="404040"/>
        <w:sz w:val="22"/>
      </w:r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92CCDC" w:sz="12" w:space="0"/>
          <w:bottom w:val="nil"/>
          <w:right w:val="nil"/>
          <w:insideH w:val="nil"/>
          <w:insideV w:val="nil"/>
          <w:tl2br w:val="nil"/>
          <w:tr2bl w:val="nil"/>
        </w:tcBorders>
      </w:tc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322">
    <w:name w:val="Bordered - Accent 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AC090" w:sz="12" w:space="0"/>
          <w:bottom w:val="nil"/>
          <w:right w:val="nil"/>
          <w:insideH w:val="nil"/>
          <w:insideV w:val="nil"/>
          <w:tl2br w:val="nil"/>
          <w:tr2bl w:val="nil"/>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323">
    <w:name w:val="普通表格1"/>
    <w:qFormat/>
    <w:uiPriority w:val="0"/>
    <w:rPr>
      <w:rFonts w:ascii="Times New Roman" w:hAnsi="Times New Roman" w:eastAsia="宋体"/>
    </w:rPr>
  </w:style>
  <w:style w:type="table" w:customStyle="1" w:styleId="324">
    <w:name w:val="网格型1"/>
    <w:basedOn w:val="323"/>
    <w:qFormat/>
    <w:uiPriority w:val="0"/>
    <w:pPr>
      <w:widowControl w:val="0"/>
      <w:jc w:val="both"/>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12329</Words>
  <Characters>12946</Characters>
  <Lines>0</Lines>
  <Paragraphs>0</Paragraphs>
  <TotalTime>0</TotalTime>
  <ScaleCrop>false</ScaleCrop>
  <LinksUpToDate>false</LinksUpToDate>
  <CharactersWithSpaces>13200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2021-12-17T06:06:00Z</dcterms:created>
  <dc:creator>冉格格爱了</dc:creator>
  <cp:lastModifiedBy>Liu</cp:lastModifiedBy>
  <cp:lastPrinted>2025-03-21T05:42:00Z</cp:lastPrinted>
  <dcterms:modified xsi:type="dcterms:W3CDTF">2026-02-03T03:28:23Z</dcterms:modified>
  <dc:title>杭州师范大学附属未来科技城学校2023年餐饮设施设备采购项目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BAA0C3DA5A1A4AFBB33647D2CC4B3A13_13</vt:lpwstr>
  </property>
  <property fmtid="{D5CDD505-2E9C-101B-9397-08002B2CF9AE}" pid="4" name="KSOTemplateDocerSaveRecord">
    <vt:lpwstr>eyJoZGlkIjoiMDQ3NWIzMjY3YmU4MzYwZTBmZGFhN2VlYWM1OTg0NDYiLCJ1c2VySWQiOiIzMTgyMTQ0NTYifQ==</vt:lpwstr>
  </property>
</Properties>
</file>