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7B09D1">
      <w:pPr>
        <w:spacing w:line="360" w:lineRule="auto"/>
        <w:jc w:val="center"/>
        <w:rPr>
          <w:rFonts w:hint="eastAsia" w:asciiTheme="minorEastAsia" w:hAnsiTheme="minorEastAsia" w:eastAsiaTheme="minorEastAsia"/>
          <w:b/>
          <w:sz w:val="28"/>
          <w:lang w:eastAsia="zh-CN"/>
        </w:rPr>
      </w:pPr>
      <w:bookmarkStart w:id="0" w:name="_Toc12121"/>
      <w:r>
        <w:rPr>
          <w:rFonts w:hint="eastAsia" w:asciiTheme="minorEastAsia" w:hAnsiTheme="minorEastAsia" w:eastAsiaTheme="minorEastAsia"/>
          <w:b/>
          <w:sz w:val="28"/>
          <w:lang w:eastAsia="zh-CN"/>
        </w:rPr>
        <w:t>采购需求</w:t>
      </w:r>
      <w:bookmarkEnd w:id="0"/>
    </w:p>
    <w:p w14:paraId="059FE65A">
      <w:pPr>
        <w:spacing w:line="360" w:lineRule="auto"/>
        <w:jc w:val="center"/>
        <w:rPr>
          <w:rFonts w:hint="eastAsia" w:asciiTheme="minorEastAsia" w:hAnsiTheme="minorEastAsia" w:eastAsiaTheme="minorEastAsia"/>
          <w:b/>
          <w:sz w:val="28"/>
          <w:lang w:eastAsia="zh-CN"/>
        </w:rPr>
      </w:pPr>
      <w:r>
        <w:rPr>
          <w:rFonts w:hint="eastAsia" w:asciiTheme="minorEastAsia" w:hAnsiTheme="minorEastAsia" w:eastAsiaTheme="minorEastAsia"/>
          <w:b/>
          <w:sz w:val="28"/>
          <w:lang w:eastAsia="zh-CN"/>
        </w:rPr>
        <w:t>（本需求仅供参考，具体以</w:t>
      </w:r>
      <w:r>
        <w:rPr>
          <w:rFonts w:hint="eastAsia" w:asciiTheme="minorEastAsia" w:hAnsiTheme="minorEastAsia" w:eastAsiaTheme="minorEastAsia"/>
          <w:b/>
          <w:sz w:val="28"/>
          <w:lang w:val="en-US" w:eastAsia="zh-CN"/>
        </w:rPr>
        <w:t>磋商</w:t>
      </w:r>
      <w:r>
        <w:rPr>
          <w:rFonts w:hint="eastAsia" w:asciiTheme="minorEastAsia" w:hAnsiTheme="minorEastAsia" w:eastAsiaTheme="minorEastAsia"/>
          <w:b/>
          <w:sz w:val="28"/>
          <w:lang w:eastAsia="zh-CN"/>
        </w:rPr>
        <w:t>文件为准）</w:t>
      </w:r>
      <w:bookmarkStart w:id="9" w:name="_GoBack"/>
      <w:bookmarkEnd w:id="9"/>
    </w:p>
    <w:p w14:paraId="55FD1B44">
      <w:pPr>
        <w:spacing w:line="360" w:lineRule="auto"/>
        <w:rPr>
          <w:rFonts w:asciiTheme="minorEastAsia" w:hAnsiTheme="minorEastAsia" w:eastAsiaTheme="minorEastAsia"/>
          <w:b/>
          <w:color w:val="000000" w:themeColor="text1"/>
          <w:sz w:val="24"/>
          <w14:textFill>
            <w14:solidFill>
              <w14:schemeClr w14:val="tx1"/>
            </w14:solidFill>
          </w14:textFill>
        </w:rPr>
      </w:pPr>
      <w:r>
        <w:rPr>
          <w:rFonts w:hint="eastAsia" w:asciiTheme="minorEastAsia" w:hAnsiTheme="minorEastAsia" w:eastAsiaTheme="minorEastAsia"/>
          <w:b/>
          <w:color w:val="000000" w:themeColor="text1"/>
          <w:sz w:val="24"/>
          <w14:textFill>
            <w14:solidFill>
              <w14:schemeClr w14:val="tx1"/>
            </w14:solidFill>
          </w14:textFill>
        </w:rPr>
        <w:t>前注：</w:t>
      </w:r>
    </w:p>
    <w:p w14:paraId="64317C46">
      <w:pPr>
        <w:numPr>
          <w:ilvl w:val="0"/>
          <w:numId w:val="1"/>
        </w:numPr>
        <w:spacing w:line="360" w:lineRule="auto"/>
        <w:ind w:firstLine="437"/>
        <w:rPr>
          <w:rFonts w:hint="eastAsia"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本说明中提出的技术方案仅为参考，如无明确限制，供应商可以进行优化，提供满足用户实际需要的更优（或者性能实质上不低于的）服务方案，且此方案须经磋商小组评审认可</w:t>
      </w:r>
      <w:r>
        <w:rPr>
          <w:rFonts w:hint="eastAsia" w:asciiTheme="minorEastAsia" w:hAnsiTheme="minorEastAsia" w:eastAsiaTheme="minorEastAsia"/>
          <w:color w:val="000000" w:themeColor="text1"/>
          <w:sz w:val="24"/>
          <w14:textFill>
            <w14:solidFill>
              <w14:schemeClr w14:val="tx1"/>
            </w14:solidFill>
          </w14:textFill>
        </w:rPr>
        <w:t>。</w:t>
      </w:r>
    </w:p>
    <w:p w14:paraId="777493CC">
      <w:pPr>
        <w:spacing w:line="360" w:lineRule="auto"/>
        <w:ind w:firstLine="435"/>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2.下列</w:t>
      </w:r>
      <w:r>
        <w:rPr>
          <w:rFonts w:hint="eastAsia" w:asciiTheme="minorEastAsia" w:hAnsiTheme="minorEastAsia" w:eastAsiaTheme="minorEastAsia"/>
          <w:color w:val="000000" w:themeColor="text1"/>
          <w:sz w:val="24"/>
          <w14:textFill>
            <w14:solidFill>
              <w14:schemeClr w14:val="tx1"/>
            </w14:solidFill>
          </w14:textFill>
        </w:rPr>
        <w:t>采购</w:t>
      </w:r>
      <w:r>
        <w:rPr>
          <w:rFonts w:hint="eastAsia" w:ascii="宋体" w:hAnsi="宋体" w:eastAsia="宋体" w:cs="宋体"/>
          <w:color w:val="000000" w:themeColor="text1"/>
          <w:sz w:val="24"/>
          <w:szCs w:val="24"/>
          <w:highlight w:val="none"/>
          <w14:textFill>
            <w14:solidFill>
              <w14:schemeClr w14:val="tx1"/>
            </w14:solidFill>
          </w14:textFill>
        </w:rPr>
        <w:t>需求中：</w:t>
      </w:r>
    </w:p>
    <w:p w14:paraId="082E31CF">
      <w:pPr>
        <w:spacing w:line="360" w:lineRule="auto"/>
        <w:ind w:firstLine="435"/>
        <w:rPr>
          <w:color w:val="000000" w:themeColor="text1"/>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（1）如属于《节能产品政府采购品目清单》中政府强制采购的节能产品，则</w:t>
      </w:r>
      <w:r>
        <w:rPr>
          <w:rFonts w:hint="eastAsia" w:ascii="宋体" w:hAnsi="宋体" w:eastAsia="宋体" w:cs="宋体"/>
          <w:color w:val="000000" w:themeColor="text1"/>
          <w:sz w:val="24"/>
          <w:szCs w:val="24"/>
          <w:highlight w:val="none"/>
          <w:lang w:val="en-US"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所投产品须具有市场监管总局公布的《参与实施政府采购节能产品认证机构目录》中的认证机构出具的、处于有效期内的节能产品认证证书。</w:t>
      </w:r>
      <w:r>
        <w:rPr>
          <w:rFonts w:hint="eastAsia" w:ascii="宋体" w:hAnsi="宋体" w:eastAsia="宋体" w:cs="宋体"/>
          <w:color w:val="000000" w:themeColor="text1"/>
          <w:sz w:val="24"/>
          <w:szCs w:val="24"/>
          <w:highlight w:val="none"/>
          <w14:textFill>
            <w14:solidFill>
              <w14:schemeClr w14:val="tx1"/>
            </w14:solidFill>
          </w14:textFill>
        </w:rPr>
        <w:br w:type="textWrapping"/>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（2）如涉及商品包装和快递包装，</w:t>
      </w:r>
      <w:r>
        <w:rPr>
          <w:rFonts w:hint="eastAsia" w:ascii="宋体" w:hAnsi="宋体" w:eastAsia="宋体" w:cs="宋体"/>
          <w:color w:val="000000" w:themeColor="text1"/>
          <w:sz w:val="24"/>
          <w:szCs w:val="24"/>
          <w:highlight w:val="none"/>
          <w:lang w:val="en-US"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p w14:paraId="4539107D">
      <w:pPr>
        <w:spacing w:line="360" w:lineRule="auto"/>
        <w:ind w:firstLine="437"/>
        <w:rPr>
          <w:rFonts w:asciiTheme="minorEastAsia" w:hAnsiTheme="minorEastAsia" w:eastAsiaTheme="minorEastAsia"/>
          <w:color w:val="000000" w:themeColor="text1"/>
          <w:sz w:val="24"/>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 如采购人允许采用分包方式履行合同的，应当明确可以分包履行的相关内容。</w:t>
      </w:r>
    </w:p>
    <w:p w14:paraId="0F1B24CD">
      <w:pPr>
        <w:spacing w:line="360" w:lineRule="auto"/>
        <w:ind w:firstLine="437"/>
        <w:outlineLvl w:val="9"/>
        <w:rPr>
          <w:rFonts w:hint="eastAsia" w:ascii="宋体" w:hAnsi="宋体" w:eastAsia="宋体"/>
          <w:b/>
          <w:color w:val="000000" w:themeColor="text1"/>
          <w:sz w:val="24"/>
          <w:szCs w:val="18"/>
          <w14:textFill>
            <w14:solidFill>
              <w14:schemeClr w14:val="tx1"/>
            </w14:solidFill>
          </w14:textFill>
        </w:rPr>
      </w:pPr>
    </w:p>
    <w:p w14:paraId="6932FE34">
      <w:pPr>
        <w:spacing w:line="360" w:lineRule="auto"/>
        <w:ind w:firstLine="437"/>
        <w:outlineLvl w:val="1"/>
        <w:rPr>
          <w:rFonts w:ascii="宋体" w:hAnsi="宋体" w:eastAsia="宋体"/>
          <w:b/>
          <w:color w:val="000000" w:themeColor="text1"/>
          <w:sz w:val="24"/>
          <w:szCs w:val="18"/>
          <w14:textFill>
            <w14:solidFill>
              <w14:schemeClr w14:val="tx1"/>
            </w14:solidFill>
          </w14:textFill>
        </w:rPr>
      </w:pPr>
      <w:r>
        <w:rPr>
          <w:rFonts w:hint="eastAsia" w:ascii="宋体" w:hAnsi="宋体" w:eastAsia="宋体"/>
          <w:b/>
          <w:color w:val="000000" w:themeColor="text1"/>
          <w:sz w:val="24"/>
          <w:szCs w:val="18"/>
          <w14:textFill>
            <w14:solidFill>
              <w14:schemeClr w14:val="tx1"/>
            </w14:solidFill>
          </w14:textFill>
        </w:rPr>
        <w:t>一、采购需求前附表</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6"/>
        <w:gridCol w:w="2032"/>
        <w:gridCol w:w="5484"/>
      </w:tblGrid>
      <w:tr w14:paraId="0B895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3DC8C6C1">
            <w:pPr>
              <w:pStyle w:val="10"/>
              <w:pBdr>
                <w:bottom w:val="none" w:color="auto" w:sz="0" w:space="0"/>
              </w:pBdr>
              <w:tabs>
                <w:tab w:val="clear" w:pos="4153"/>
                <w:tab w:val="clear" w:pos="8306"/>
              </w:tabs>
              <w:adjustRightInd/>
              <w:spacing w:line="240" w:lineRule="auto"/>
              <w:textAlignment w:val="auto"/>
              <w:rPr>
                <w:rFonts w:ascii="宋体" w:hAnsi="宋体" w:eastAsia="宋体"/>
                <w:b/>
                <w:color w:val="000000" w:themeColor="text1"/>
                <w:kern w:val="2"/>
                <w14:textFill>
                  <w14:solidFill>
                    <w14:schemeClr w14:val="tx1"/>
                  </w14:solidFill>
                </w14:textFill>
              </w:rPr>
            </w:pPr>
            <w:r>
              <w:rPr>
                <w:rFonts w:hint="eastAsia" w:ascii="宋体" w:hAnsi="宋体" w:eastAsia="宋体"/>
                <w:b/>
                <w:color w:val="000000" w:themeColor="text1"/>
                <w:kern w:val="2"/>
                <w14:textFill>
                  <w14:solidFill>
                    <w14:schemeClr w14:val="tx1"/>
                  </w14:solidFill>
                </w14:textFill>
              </w:rPr>
              <w:t>序号</w:t>
            </w:r>
          </w:p>
        </w:tc>
        <w:tc>
          <w:tcPr>
            <w:tcW w:w="1192" w:type="pct"/>
            <w:vAlign w:val="center"/>
          </w:tcPr>
          <w:p w14:paraId="384347A7">
            <w:pPr>
              <w:pStyle w:val="11"/>
              <w:widowControl w:val="0"/>
              <w:spacing w:before="0" w:beforeAutospacing="0" w:after="0" w:afterAutospacing="0" w:line="360" w:lineRule="auto"/>
              <w:rPr>
                <w:rFonts w:ascii="宋体" w:hAnsi="宋体" w:eastAsia="宋体"/>
                <w:bCs w:val="0"/>
                <w:color w:val="000000" w:themeColor="text1"/>
                <w:sz w:val="24"/>
                <w14:textFill>
                  <w14:solidFill>
                    <w14:schemeClr w14:val="tx1"/>
                  </w14:solidFill>
                </w14:textFill>
              </w:rPr>
            </w:pPr>
            <w:r>
              <w:rPr>
                <w:rFonts w:hint="eastAsia" w:ascii="宋体" w:hAnsi="宋体" w:eastAsia="宋体"/>
                <w:bCs w:val="0"/>
                <w:color w:val="000000" w:themeColor="text1"/>
                <w:sz w:val="24"/>
                <w14:textFill>
                  <w14:solidFill>
                    <w14:schemeClr w14:val="tx1"/>
                  </w14:solidFill>
                </w14:textFill>
              </w:rPr>
              <w:t>条款名称</w:t>
            </w:r>
          </w:p>
        </w:tc>
        <w:tc>
          <w:tcPr>
            <w:tcW w:w="3216" w:type="pct"/>
            <w:vAlign w:val="center"/>
          </w:tcPr>
          <w:p w14:paraId="20F060F8">
            <w:pPr>
              <w:pStyle w:val="11"/>
              <w:widowControl w:val="0"/>
              <w:spacing w:before="0" w:beforeAutospacing="0" w:after="0" w:afterAutospacing="0" w:line="360" w:lineRule="auto"/>
              <w:rPr>
                <w:rFonts w:ascii="宋体" w:hAnsi="宋体" w:eastAsia="宋体"/>
                <w:bCs w:val="0"/>
                <w:color w:val="000000" w:themeColor="text1"/>
                <w:sz w:val="24"/>
                <w14:textFill>
                  <w14:solidFill>
                    <w14:schemeClr w14:val="tx1"/>
                  </w14:solidFill>
                </w14:textFill>
              </w:rPr>
            </w:pPr>
            <w:r>
              <w:rPr>
                <w:rFonts w:hint="eastAsia" w:ascii="宋体" w:hAnsi="宋体" w:eastAsia="宋体"/>
                <w:bCs w:val="0"/>
                <w:color w:val="000000" w:themeColor="text1"/>
                <w:sz w:val="24"/>
                <w14:textFill>
                  <w14:solidFill>
                    <w14:schemeClr w14:val="tx1"/>
                  </w14:solidFill>
                </w14:textFill>
              </w:rPr>
              <w:t>内容、说明与要求</w:t>
            </w:r>
          </w:p>
        </w:tc>
      </w:tr>
      <w:tr w14:paraId="06126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3BCEA17B">
            <w:pPr>
              <w:pStyle w:val="10"/>
              <w:pBdr>
                <w:bottom w:val="none" w:color="auto" w:sz="0" w:space="0"/>
              </w:pBdr>
              <w:tabs>
                <w:tab w:val="clear" w:pos="4153"/>
                <w:tab w:val="clear" w:pos="8306"/>
              </w:tabs>
              <w:adjustRightInd/>
              <w:spacing w:line="240" w:lineRule="auto"/>
              <w:textAlignment w:val="auto"/>
              <w:rPr>
                <w:rFonts w:ascii="宋体" w:hAnsi="宋体" w:eastAsia="宋体"/>
                <w:bCs/>
                <w:color w:val="000000" w:themeColor="text1"/>
                <w:kern w:val="2"/>
                <w14:textFill>
                  <w14:solidFill>
                    <w14:schemeClr w14:val="tx1"/>
                  </w14:solidFill>
                </w14:textFill>
              </w:rPr>
            </w:pPr>
            <w:r>
              <w:rPr>
                <w:rFonts w:hint="eastAsia" w:ascii="宋体" w:hAnsi="宋体" w:eastAsia="宋体"/>
                <w:bCs/>
                <w:color w:val="000000" w:themeColor="text1"/>
                <w:kern w:val="2"/>
                <w14:textFill>
                  <w14:solidFill>
                    <w14:schemeClr w14:val="tx1"/>
                  </w14:solidFill>
                </w14:textFill>
              </w:rPr>
              <w:t>1</w:t>
            </w:r>
          </w:p>
        </w:tc>
        <w:tc>
          <w:tcPr>
            <w:tcW w:w="2032" w:type="dxa"/>
            <w:vAlign w:val="center"/>
          </w:tcPr>
          <w:p w14:paraId="7FE02FF6">
            <w:pPr>
              <w:pStyle w:val="11"/>
              <w:widowControl w:val="0"/>
              <w:spacing w:before="0" w:beforeAutospacing="0" w:after="0" w:afterAutospacing="0" w:line="360" w:lineRule="auto"/>
              <w:rPr>
                <w:rFonts w:ascii="宋体" w:hAnsi="宋体" w:eastAsia="宋体"/>
                <w:b w:val="0"/>
                <w:color w:val="000000" w:themeColor="text1"/>
                <w:sz w:val="24"/>
                <w14:textFill>
                  <w14:solidFill>
                    <w14:schemeClr w14:val="tx1"/>
                  </w14:solidFill>
                </w14:textFill>
              </w:rPr>
            </w:pPr>
            <w:r>
              <w:rPr>
                <w:rFonts w:hint="eastAsia" w:ascii="宋体" w:hAnsi="宋体" w:eastAsia="宋体"/>
                <w:b w:val="0"/>
                <w:color w:val="auto"/>
                <w:sz w:val="24"/>
                <w:highlight w:val="none"/>
              </w:rPr>
              <w:t>付款方式</w:t>
            </w:r>
          </w:p>
        </w:tc>
        <w:tc>
          <w:tcPr>
            <w:tcW w:w="5483" w:type="dxa"/>
            <w:vAlign w:val="center"/>
          </w:tcPr>
          <w:p w14:paraId="10DF1B3A">
            <w:pPr>
              <w:pStyle w:val="11"/>
              <w:widowControl w:val="0"/>
              <w:spacing w:before="0" w:beforeAutospacing="0" w:after="0" w:afterAutospacing="0" w:line="360" w:lineRule="auto"/>
              <w:jc w:val="both"/>
              <w:rPr>
                <w:rFonts w:ascii="宋体" w:hAnsi="宋体" w:eastAsia="宋体"/>
                <w:b w:val="0"/>
                <w:color w:val="000000" w:themeColor="text1"/>
                <w:sz w:val="24"/>
                <w:u w:val="single"/>
                <w14:textFill>
                  <w14:solidFill>
                    <w14:schemeClr w14:val="tx1"/>
                  </w14:solidFill>
                </w14:textFill>
              </w:rPr>
            </w:pPr>
            <w:r>
              <w:rPr>
                <w:rFonts w:hint="eastAsia" w:ascii="宋体" w:hAnsi="宋体" w:eastAsia="宋体"/>
                <w:b w:val="0"/>
                <w:color w:val="auto"/>
                <w:sz w:val="24"/>
                <w:highlight w:val="none"/>
                <w:u w:val="single"/>
              </w:rPr>
              <w:t>合同签订且团队人员到位后，由</w:t>
            </w:r>
            <w:r>
              <w:rPr>
                <w:rFonts w:hint="eastAsia" w:ascii="宋体" w:hAnsi="宋体" w:eastAsia="宋体"/>
                <w:b w:val="0"/>
                <w:color w:val="auto"/>
                <w:sz w:val="24"/>
                <w:highlight w:val="none"/>
                <w:u w:val="single"/>
                <w:lang w:val="en-US" w:eastAsia="zh-CN"/>
              </w:rPr>
              <w:t>成交供应商</w:t>
            </w:r>
            <w:r>
              <w:rPr>
                <w:rFonts w:hint="eastAsia" w:ascii="宋体" w:hAnsi="宋体" w:eastAsia="宋体"/>
                <w:b w:val="0"/>
                <w:color w:val="auto"/>
                <w:sz w:val="24"/>
                <w:highlight w:val="none"/>
                <w:u w:val="single"/>
              </w:rPr>
              <w:t>提出用款申请，按规定支付合同</w:t>
            </w:r>
            <w:r>
              <w:rPr>
                <w:rFonts w:hint="eastAsia" w:ascii="宋体" w:hAnsi="宋体" w:eastAsia="宋体"/>
                <w:b w:val="0"/>
                <w:color w:val="auto"/>
                <w:sz w:val="24"/>
                <w:highlight w:val="none"/>
                <w:u w:val="single"/>
                <w:lang w:val="en-US" w:eastAsia="zh-CN"/>
              </w:rPr>
              <w:t>金额</w:t>
            </w:r>
            <w:r>
              <w:rPr>
                <w:rFonts w:hint="eastAsia" w:ascii="宋体" w:hAnsi="宋体" w:eastAsia="宋体"/>
                <w:b w:val="0"/>
                <w:color w:val="auto"/>
                <w:sz w:val="24"/>
                <w:highlight w:val="none"/>
                <w:u w:val="single"/>
              </w:rPr>
              <w:t>的50%；通过采购人验收后，支付</w:t>
            </w:r>
            <w:r>
              <w:rPr>
                <w:rFonts w:hint="eastAsia" w:ascii="宋体" w:hAnsi="宋体" w:eastAsia="宋体"/>
                <w:b w:val="0"/>
                <w:color w:val="auto"/>
                <w:sz w:val="24"/>
                <w:highlight w:val="none"/>
                <w:u w:val="single"/>
                <w:lang w:val="en-US" w:eastAsia="zh-CN"/>
              </w:rPr>
              <w:t>剩余</w:t>
            </w:r>
            <w:r>
              <w:rPr>
                <w:rFonts w:hint="eastAsia" w:ascii="宋体" w:hAnsi="宋体" w:eastAsia="宋体"/>
                <w:b w:val="0"/>
                <w:color w:val="auto"/>
                <w:sz w:val="24"/>
                <w:highlight w:val="none"/>
                <w:u w:val="single"/>
              </w:rPr>
              <w:t>合同</w:t>
            </w:r>
            <w:r>
              <w:rPr>
                <w:rFonts w:hint="eastAsia" w:ascii="宋体" w:hAnsi="宋体" w:eastAsia="宋体"/>
                <w:b w:val="0"/>
                <w:color w:val="auto"/>
                <w:sz w:val="24"/>
                <w:highlight w:val="none"/>
                <w:u w:val="single"/>
                <w:lang w:val="en-US" w:eastAsia="zh-CN"/>
              </w:rPr>
              <w:t>金额</w:t>
            </w:r>
            <w:r>
              <w:rPr>
                <w:rFonts w:hint="eastAsia" w:ascii="宋体" w:hAnsi="宋体" w:eastAsia="宋体"/>
                <w:b w:val="0"/>
                <w:color w:val="auto"/>
                <w:sz w:val="24"/>
                <w:highlight w:val="none"/>
                <w:u w:val="single"/>
              </w:rPr>
              <w:t>（本合同</w:t>
            </w:r>
            <w:r>
              <w:rPr>
                <w:rFonts w:hint="eastAsia" w:ascii="宋体" w:hAnsi="宋体" w:eastAsia="宋体"/>
                <w:b w:val="0"/>
                <w:color w:val="auto"/>
                <w:sz w:val="24"/>
                <w:highlight w:val="none"/>
                <w:u w:val="single"/>
                <w:lang w:val="en-US" w:eastAsia="zh-CN"/>
              </w:rPr>
              <w:t>金额</w:t>
            </w:r>
            <w:r>
              <w:rPr>
                <w:rFonts w:hint="eastAsia" w:ascii="宋体" w:hAnsi="宋体" w:eastAsia="宋体"/>
                <w:b w:val="0"/>
                <w:color w:val="auto"/>
                <w:sz w:val="24"/>
                <w:highlight w:val="none"/>
                <w:u w:val="single"/>
              </w:rPr>
              <w:t>是本项目经采购人验收通过后的工程清算后的结算款，包括实施中因违反相关规定或合同约定的工程清算扣款，最终支付金额小于或等于</w:t>
            </w:r>
            <w:r>
              <w:rPr>
                <w:rFonts w:hint="eastAsia" w:ascii="宋体" w:hAnsi="宋体" w:eastAsia="宋体"/>
                <w:b w:val="0"/>
                <w:color w:val="auto"/>
                <w:sz w:val="24"/>
                <w:highlight w:val="none"/>
                <w:u w:val="single"/>
                <w:lang w:val="en-US" w:eastAsia="zh-CN"/>
              </w:rPr>
              <w:t>成交</w:t>
            </w:r>
            <w:r>
              <w:rPr>
                <w:rFonts w:hint="eastAsia" w:ascii="宋体" w:hAnsi="宋体" w:eastAsia="宋体"/>
                <w:b w:val="0"/>
                <w:color w:val="auto"/>
                <w:sz w:val="24"/>
                <w:highlight w:val="none"/>
                <w:u w:val="single"/>
              </w:rPr>
              <w:t>合同金额）。</w:t>
            </w:r>
          </w:p>
        </w:tc>
      </w:tr>
      <w:tr w14:paraId="35BC0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4D9A2F62">
            <w:pPr>
              <w:pStyle w:val="10"/>
              <w:pBdr>
                <w:bottom w:val="none" w:color="auto" w:sz="0" w:space="0"/>
              </w:pBdr>
              <w:tabs>
                <w:tab w:val="clear" w:pos="4153"/>
                <w:tab w:val="clear" w:pos="8306"/>
              </w:tabs>
              <w:adjustRightInd/>
              <w:spacing w:line="240" w:lineRule="auto"/>
              <w:textAlignment w:val="auto"/>
              <w:rPr>
                <w:rFonts w:ascii="宋体" w:hAnsi="宋体" w:eastAsia="宋体"/>
                <w:bCs/>
                <w:color w:val="000000" w:themeColor="text1"/>
                <w:kern w:val="2"/>
                <w14:textFill>
                  <w14:solidFill>
                    <w14:schemeClr w14:val="tx1"/>
                  </w14:solidFill>
                </w14:textFill>
              </w:rPr>
            </w:pPr>
            <w:r>
              <w:rPr>
                <w:rFonts w:hint="eastAsia" w:ascii="宋体" w:hAnsi="宋体" w:eastAsia="宋体"/>
                <w:bCs/>
                <w:color w:val="000000" w:themeColor="text1"/>
                <w:kern w:val="2"/>
                <w14:textFill>
                  <w14:solidFill>
                    <w14:schemeClr w14:val="tx1"/>
                  </w14:solidFill>
                </w14:textFill>
              </w:rPr>
              <w:t>2</w:t>
            </w:r>
          </w:p>
        </w:tc>
        <w:tc>
          <w:tcPr>
            <w:tcW w:w="2032" w:type="dxa"/>
            <w:vAlign w:val="center"/>
          </w:tcPr>
          <w:p w14:paraId="71E22517">
            <w:pPr>
              <w:pStyle w:val="11"/>
              <w:widowControl w:val="0"/>
              <w:spacing w:before="0" w:beforeAutospacing="0" w:after="0" w:afterAutospacing="0" w:line="360" w:lineRule="auto"/>
              <w:rPr>
                <w:rFonts w:ascii="宋体" w:hAnsi="宋体" w:eastAsia="宋体"/>
                <w:b w:val="0"/>
                <w:color w:val="000000" w:themeColor="text1"/>
                <w:sz w:val="24"/>
                <w14:textFill>
                  <w14:solidFill>
                    <w14:schemeClr w14:val="tx1"/>
                  </w14:solidFill>
                </w14:textFill>
              </w:rPr>
            </w:pPr>
            <w:r>
              <w:rPr>
                <w:rFonts w:hint="eastAsia" w:ascii="宋体" w:hAnsi="宋体" w:eastAsia="宋体"/>
                <w:b w:val="0"/>
                <w:color w:val="auto"/>
                <w:sz w:val="24"/>
                <w:highlight w:val="none"/>
              </w:rPr>
              <w:t>服务地点</w:t>
            </w:r>
          </w:p>
        </w:tc>
        <w:tc>
          <w:tcPr>
            <w:tcW w:w="5483" w:type="dxa"/>
            <w:vAlign w:val="center"/>
          </w:tcPr>
          <w:p w14:paraId="067304AF">
            <w:pPr>
              <w:pStyle w:val="11"/>
              <w:widowControl w:val="0"/>
              <w:spacing w:before="0" w:beforeAutospacing="0" w:after="0" w:afterAutospacing="0" w:line="360" w:lineRule="auto"/>
              <w:jc w:val="both"/>
              <w:rPr>
                <w:rFonts w:ascii="宋体" w:hAnsi="宋体" w:eastAsia="宋体"/>
                <w:b w:val="0"/>
                <w:color w:val="000000" w:themeColor="text1"/>
                <w:sz w:val="24"/>
                <w14:textFill>
                  <w14:solidFill>
                    <w14:schemeClr w14:val="tx1"/>
                  </w14:solidFill>
                </w14:textFill>
              </w:rPr>
            </w:pPr>
            <w:r>
              <w:rPr>
                <w:rFonts w:hint="eastAsia" w:ascii="宋体" w:hAnsi="宋体" w:eastAsia="宋体"/>
                <w:b w:val="0"/>
                <w:color w:val="auto"/>
                <w:sz w:val="24"/>
                <w:highlight w:val="none"/>
              </w:rPr>
              <w:t>安徽省，采购人指定地点</w:t>
            </w:r>
          </w:p>
        </w:tc>
      </w:tr>
      <w:tr w14:paraId="4B7CB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5CE9D21D">
            <w:pPr>
              <w:pStyle w:val="10"/>
              <w:pBdr>
                <w:bottom w:val="none" w:color="auto" w:sz="0" w:space="0"/>
              </w:pBdr>
              <w:tabs>
                <w:tab w:val="clear" w:pos="4153"/>
                <w:tab w:val="clear" w:pos="8306"/>
              </w:tabs>
              <w:adjustRightInd/>
              <w:spacing w:line="240" w:lineRule="auto"/>
              <w:textAlignment w:val="auto"/>
              <w:rPr>
                <w:rFonts w:ascii="宋体" w:hAnsi="宋体" w:eastAsia="宋体"/>
                <w:bCs/>
                <w:color w:val="000000" w:themeColor="text1"/>
                <w:kern w:val="2"/>
                <w14:textFill>
                  <w14:solidFill>
                    <w14:schemeClr w14:val="tx1"/>
                  </w14:solidFill>
                </w14:textFill>
              </w:rPr>
            </w:pPr>
            <w:r>
              <w:rPr>
                <w:rFonts w:hint="eastAsia" w:ascii="宋体" w:hAnsi="宋体" w:eastAsia="宋体"/>
                <w:bCs/>
                <w:color w:val="000000" w:themeColor="text1"/>
                <w:kern w:val="2"/>
                <w14:textFill>
                  <w14:solidFill>
                    <w14:schemeClr w14:val="tx1"/>
                  </w14:solidFill>
                </w14:textFill>
              </w:rPr>
              <w:t>3</w:t>
            </w:r>
          </w:p>
        </w:tc>
        <w:tc>
          <w:tcPr>
            <w:tcW w:w="2032" w:type="dxa"/>
            <w:vAlign w:val="center"/>
          </w:tcPr>
          <w:p w14:paraId="52224858">
            <w:pPr>
              <w:pStyle w:val="11"/>
              <w:widowControl w:val="0"/>
              <w:spacing w:before="0" w:beforeAutospacing="0" w:after="0" w:afterAutospacing="0" w:line="360" w:lineRule="auto"/>
              <w:rPr>
                <w:rFonts w:ascii="宋体" w:hAnsi="宋体" w:eastAsia="宋体"/>
                <w:b w:val="0"/>
                <w:color w:val="000000" w:themeColor="text1"/>
                <w:sz w:val="24"/>
                <w14:textFill>
                  <w14:solidFill>
                    <w14:schemeClr w14:val="tx1"/>
                  </w14:solidFill>
                </w14:textFill>
              </w:rPr>
            </w:pPr>
            <w:r>
              <w:rPr>
                <w:rFonts w:hint="eastAsia" w:ascii="宋体" w:hAnsi="宋体" w:eastAsia="宋体"/>
                <w:b w:val="0"/>
                <w:color w:val="auto"/>
                <w:sz w:val="24"/>
                <w:highlight w:val="none"/>
              </w:rPr>
              <w:t>服务期限</w:t>
            </w:r>
          </w:p>
        </w:tc>
        <w:tc>
          <w:tcPr>
            <w:tcW w:w="5483" w:type="dxa"/>
            <w:vAlign w:val="center"/>
          </w:tcPr>
          <w:p w14:paraId="45DA6E5B">
            <w:pPr>
              <w:pStyle w:val="11"/>
              <w:widowControl w:val="0"/>
              <w:spacing w:before="0" w:beforeAutospacing="0" w:after="0" w:afterAutospacing="0" w:line="360" w:lineRule="auto"/>
              <w:jc w:val="both"/>
              <w:rPr>
                <w:rFonts w:ascii="宋体" w:hAnsi="宋体" w:eastAsia="宋体"/>
                <w:b w:val="0"/>
                <w:color w:val="000000" w:themeColor="text1"/>
                <w:sz w:val="24"/>
                <w14:textFill>
                  <w14:solidFill>
                    <w14:schemeClr w14:val="tx1"/>
                  </w14:solidFill>
                </w14:textFill>
              </w:rPr>
            </w:pPr>
            <w:r>
              <w:rPr>
                <w:rFonts w:hint="eastAsia" w:ascii="宋体" w:hAnsi="宋体" w:eastAsia="宋体"/>
                <w:b w:val="0"/>
                <w:color w:val="auto"/>
                <w:sz w:val="24"/>
                <w:highlight w:val="none"/>
              </w:rPr>
              <w:t>合同签订后90个日历日内完成密码测评和测评报告备案</w:t>
            </w:r>
          </w:p>
        </w:tc>
      </w:tr>
      <w:tr w14:paraId="574B2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7423D524">
            <w:pPr>
              <w:pStyle w:val="10"/>
              <w:pBdr>
                <w:bottom w:val="none" w:color="auto" w:sz="0" w:space="0"/>
              </w:pBdr>
              <w:tabs>
                <w:tab w:val="clear" w:pos="4153"/>
                <w:tab w:val="clear" w:pos="8306"/>
              </w:tabs>
              <w:adjustRightInd/>
              <w:spacing w:line="240" w:lineRule="auto"/>
              <w:textAlignment w:val="auto"/>
              <w:rPr>
                <w:rFonts w:hint="eastAsia" w:asciiTheme="majorEastAsia" w:hAnsiTheme="majorEastAsia" w:eastAsiaTheme="majorEastAsia"/>
                <w:bCs/>
                <w:color w:val="000000" w:themeColor="text1"/>
                <w:kern w:val="2"/>
                <w:lang w:eastAsia="zh-CN"/>
                <w14:textFill>
                  <w14:solidFill>
                    <w14:schemeClr w14:val="tx1"/>
                  </w14:solidFill>
                </w14:textFill>
              </w:rPr>
            </w:pPr>
            <w:r>
              <w:rPr>
                <w:rFonts w:hint="eastAsia" w:ascii="宋体" w:hAnsi="宋体" w:eastAsia="宋体"/>
                <w:bCs/>
                <w:color w:val="000000" w:themeColor="text1"/>
                <w:kern w:val="2"/>
                <w:lang w:val="en-US" w:eastAsia="zh-CN"/>
                <w14:textFill>
                  <w14:solidFill>
                    <w14:schemeClr w14:val="tx1"/>
                  </w14:solidFill>
                </w14:textFill>
              </w:rPr>
              <w:t>4</w:t>
            </w:r>
          </w:p>
        </w:tc>
        <w:tc>
          <w:tcPr>
            <w:tcW w:w="2032" w:type="dxa"/>
            <w:vAlign w:val="center"/>
          </w:tcPr>
          <w:p w14:paraId="19F46808">
            <w:pPr>
              <w:pStyle w:val="11"/>
              <w:widowControl w:val="0"/>
              <w:spacing w:before="0" w:beforeAutospacing="0" w:after="0" w:afterAutospacing="0" w:line="360" w:lineRule="auto"/>
              <w:rPr>
                <w:rFonts w:hint="eastAsia" w:asciiTheme="majorEastAsia" w:hAnsiTheme="majorEastAsia" w:eastAsiaTheme="majorEastAsia"/>
                <w:b w:val="0"/>
                <w:bCs w:val="0"/>
                <w:color w:val="000000" w:themeColor="text1"/>
                <w:kern w:val="2"/>
                <w:sz w:val="24"/>
                <w:szCs w:val="20"/>
                <w14:textFill>
                  <w14:solidFill>
                    <w14:schemeClr w14:val="tx1"/>
                  </w14:solidFill>
                </w14:textFill>
              </w:rPr>
            </w:pPr>
            <w:r>
              <w:rPr>
                <w:rFonts w:hint="eastAsia" w:ascii="宋体" w:hAnsi="宋体" w:eastAsia="宋体"/>
                <w:b w:val="0"/>
                <w:color w:val="auto"/>
                <w:sz w:val="24"/>
                <w:highlight w:val="none"/>
              </w:rPr>
              <w:t>本项目采购标的名称及所属行业</w:t>
            </w:r>
          </w:p>
        </w:tc>
        <w:tc>
          <w:tcPr>
            <w:tcW w:w="5483" w:type="dxa"/>
            <w:vAlign w:val="center"/>
          </w:tcPr>
          <w:p w14:paraId="6017DE99">
            <w:pPr>
              <w:spacing w:line="360" w:lineRule="auto"/>
              <w:jc w:val="left"/>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标的名称：安徽省医疗保障信息平台密码测评服务</w:t>
            </w:r>
          </w:p>
          <w:p w14:paraId="46724F62">
            <w:pPr>
              <w:rPr>
                <w:rFonts w:hint="eastAsia" w:asciiTheme="majorEastAsia" w:hAnsiTheme="majorEastAsia" w:eastAsiaTheme="majorEastAsia"/>
                <w:b w:val="0"/>
                <w:bCs w:val="0"/>
                <w:color w:val="000000" w:themeColor="text1"/>
                <w:kern w:val="2"/>
                <w:sz w:val="24"/>
                <w:szCs w:val="20"/>
                <w14:textFill>
                  <w14:solidFill>
                    <w14:schemeClr w14:val="tx1"/>
                  </w14:solidFill>
                </w14:textFill>
              </w:rPr>
            </w:pPr>
            <w:r>
              <w:rPr>
                <w:rFonts w:hint="eastAsia" w:asciiTheme="minorEastAsia" w:hAnsiTheme="minorEastAsia" w:eastAsiaTheme="minorEastAsia"/>
                <w:color w:val="auto"/>
                <w:sz w:val="24"/>
                <w:highlight w:val="none"/>
              </w:rPr>
              <w:t>所属行业：软件和信息技术服务业</w:t>
            </w:r>
          </w:p>
        </w:tc>
      </w:tr>
    </w:tbl>
    <w:p w14:paraId="08066151">
      <w:pPr>
        <w:spacing w:line="360" w:lineRule="auto"/>
        <w:ind w:firstLine="437"/>
        <w:outlineLvl w:val="1"/>
        <w:rPr>
          <w:rFonts w:ascii="宋体" w:hAnsi="宋体" w:eastAsia="宋体"/>
          <w:b/>
          <w:color w:val="000000" w:themeColor="text1"/>
          <w:sz w:val="24"/>
          <w:szCs w:val="18"/>
          <w14:textFill>
            <w14:solidFill>
              <w14:schemeClr w14:val="tx1"/>
            </w14:solidFill>
          </w14:textFill>
        </w:rPr>
      </w:pPr>
      <w:bookmarkStart w:id="1" w:name="_Hlk16461016"/>
      <w:r>
        <w:rPr>
          <w:rFonts w:hint="eastAsia" w:ascii="宋体" w:hAnsi="宋体" w:eastAsia="宋体"/>
          <w:b/>
          <w:color w:val="000000" w:themeColor="text1"/>
          <w:sz w:val="24"/>
          <w:szCs w:val="18"/>
          <w14:textFill>
            <w14:solidFill>
              <w14:schemeClr w14:val="tx1"/>
            </w14:solidFill>
          </w14:textFill>
        </w:rPr>
        <w:t>二、项目概况</w:t>
      </w:r>
    </w:p>
    <w:bookmarkEnd w:id="1"/>
    <w:p w14:paraId="16883C42">
      <w:pPr>
        <w:pageBreakBefore w:val="0"/>
        <w:kinsoku/>
        <w:wordWrap/>
        <w:overflowPunct/>
        <w:topLinePunct w:val="0"/>
        <w:bidi w:val="0"/>
        <w:spacing w:line="360" w:lineRule="auto"/>
        <w:ind w:firstLine="437"/>
        <w:rPr>
          <w:rFonts w:ascii="宋体" w:hAnsi="宋体" w:eastAsia="宋体"/>
          <w:b w:val="0"/>
          <w:bCs/>
          <w:color w:val="auto"/>
          <w:sz w:val="24"/>
          <w:szCs w:val="18"/>
          <w:highlight w:val="none"/>
        </w:rPr>
      </w:pPr>
      <w:r>
        <w:rPr>
          <w:rFonts w:hint="eastAsia" w:ascii="宋体" w:hAnsi="宋体" w:eastAsia="宋体"/>
          <w:b w:val="0"/>
          <w:bCs/>
          <w:color w:val="auto"/>
          <w:sz w:val="24"/>
          <w:szCs w:val="18"/>
          <w:highlight w:val="none"/>
        </w:rPr>
        <w:t>按照《中华人民共和国网络安全法》、《中华人民共和国密码法》、《商用密码管理条例》等相关法律法规要求，以规则和体系化的密码技术保护策略为标准，对安徽省医疗保障信息平台进行整体测评，以确认系统所采用的国产商用密码技术是否合规、正确、有效，切实推动密码技术国产化替代工作的进一步落实。</w:t>
      </w:r>
    </w:p>
    <w:p w14:paraId="56EB31E3">
      <w:pPr>
        <w:pageBreakBefore w:val="0"/>
        <w:kinsoku/>
        <w:wordWrap/>
        <w:overflowPunct/>
        <w:topLinePunct w:val="0"/>
        <w:bidi w:val="0"/>
        <w:spacing w:line="360" w:lineRule="auto"/>
        <w:ind w:firstLine="437"/>
        <w:outlineLvl w:val="1"/>
        <w:rPr>
          <w:rFonts w:hint="eastAsia" w:ascii="宋体" w:hAnsi="宋体" w:eastAsia="宋体"/>
          <w:b/>
          <w:color w:val="auto"/>
          <w:sz w:val="24"/>
          <w:szCs w:val="18"/>
          <w:highlight w:val="none"/>
          <w:lang w:val="en-US" w:eastAsia="zh-CN"/>
        </w:rPr>
      </w:pPr>
      <w:bookmarkStart w:id="2" w:name="_Toc8586"/>
      <w:r>
        <w:rPr>
          <w:rFonts w:hint="eastAsia" w:ascii="宋体" w:hAnsi="宋体" w:eastAsia="宋体"/>
          <w:b/>
          <w:color w:val="auto"/>
          <w:sz w:val="24"/>
          <w:szCs w:val="18"/>
          <w:highlight w:val="none"/>
        </w:rPr>
        <w:t>三、需求</w:t>
      </w:r>
      <w:bookmarkEnd w:id="2"/>
      <w:r>
        <w:rPr>
          <w:rFonts w:hint="eastAsia" w:ascii="宋体" w:hAnsi="宋体" w:eastAsia="宋体"/>
          <w:b/>
          <w:color w:val="auto"/>
          <w:sz w:val="24"/>
          <w:szCs w:val="18"/>
          <w:highlight w:val="none"/>
          <w:lang w:val="en-US" w:eastAsia="zh-CN"/>
        </w:rPr>
        <w:t>分析</w:t>
      </w:r>
    </w:p>
    <w:p w14:paraId="05E2FA76">
      <w:pPr>
        <w:pageBreakBefore w:val="0"/>
        <w:kinsoku/>
        <w:wordWrap/>
        <w:overflowPunct/>
        <w:topLinePunct w:val="0"/>
        <w:bidi w:val="0"/>
        <w:spacing w:line="360" w:lineRule="auto"/>
        <w:ind w:firstLine="437"/>
        <w:rPr>
          <w:rFonts w:hint="eastAsia" w:ascii="宋体" w:hAnsi="宋体" w:eastAsia="宋体"/>
          <w:b w:val="0"/>
          <w:bCs/>
          <w:color w:val="auto"/>
          <w:sz w:val="24"/>
          <w:szCs w:val="18"/>
          <w:highlight w:val="none"/>
        </w:rPr>
      </w:pPr>
      <w:r>
        <w:rPr>
          <w:rFonts w:hint="eastAsia" w:ascii="宋体" w:hAnsi="宋体" w:eastAsia="宋体"/>
          <w:b w:val="0"/>
          <w:bCs/>
          <w:color w:val="auto"/>
          <w:sz w:val="24"/>
          <w:szCs w:val="18"/>
          <w:highlight w:val="none"/>
        </w:rPr>
        <w:t>依据《中华人民共和国网络安全法》、《中华人民共和国密码法》要求，检验安徽省医疗保障信息平台涉及的信息系统密码应用体系的等级保护建设程度。</w:t>
      </w:r>
    </w:p>
    <w:p w14:paraId="5EF2F3B0">
      <w:pPr>
        <w:pageBreakBefore w:val="0"/>
        <w:kinsoku/>
        <w:wordWrap/>
        <w:overflowPunct/>
        <w:topLinePunct w:val="0"/>
        <w:bidi w:val="0"/>
        <w:spacing w:line="360" w:lineRule="auto"/>
        <w:ind w:firstLine="437"/>
        <w:rPr>
          <w:rFonts w:hint="eastAsia" w:ascii="宋体" w:hAnsi="宋体" w:eastAsia="宋体"/>
          <w:b/>
          <w:bCs w:val="0"/>
          <w:color w:val="auto"/>
          <w:sz w:val="24"/>
          <w:szCs w:val="18"/>
          <w:highlight w:val="none"/>
        </w:rPr>
      </w:pPr>
      <w:r>
        <w:rPr>
          <w:rFonts w:hint="eastAsia" w:ascii="宋体" w:hAnsi="宋体" w:eastAsia="宋体"/>
          <w:b/>
          <w:bCs w:val="0"/>
          <w:color w:val="auto"/>
          <w:sz w:val="24"/>
          <w:szCs w:val="18"/>
          <w:highlight w:val="none"/>
        </w:rPr>
        <w:t>（一）服务范围</w:t>
      </w:r>
    </w:p>
    <w:p w14:paraId="6D309F5F">
      <w:pPr>
        <w:pageBreakBefore w:val="0"/>
        <w:kinsoku/>
        <w:wordWrap/>
        <w:overflowPunct/>
        <w:topLinePunct w:val="0"/>
        <w:bidi w:val="0"/>
        <w:spacing w:line="360" w:lineRule="auto"/>
        <w:ind w:firstLine="437"/>
        <w:rPr>
          <w:rFonts w:ascii="宋体" w:hAnsi="宋体" w:eastAsia="宋体"/>
          <w:b w:val="0"/>
          <w:bCs/>
          <w:color w:val="auto"/>
          <w:sz w:val="24"/>
          <w:szCs w:val="18"/>
          <w:highlight w:val="none"/>
        </w:rPr>
      </w:pPr>
      <w:r>
        <w:rPr>
          <w:rFonts w:hint="eastAsia" w:ascii="宋体" w:hAnsi="宋体" w:eastAsia="宋体"/>
          <w:b w:val="0"/>
          <w:bCs/>
          <w:color w:val="auto"/>
          <w:sz w:val="24"/>
          <w:szCs w:val="18"/>
          <w:highlight w:val="none"/>
        </w:rPr>
        <w:t>本项目中开展密码测评服务至少包括以下系统（具体以</w:t>
      </w:r>
      <w:r>
        <w:rPr>
          <w:rFonts w:hint="eastAsia" w:ascii="宋体" w:hAnsi="宋体" w:eastAsia="宋体"/>
          <w:b w:val="0"/>
          <w:bCs/>
          <w:color w:val="auto"/>
          <w:sz w:val="24"/>
          <w:szCs w:val="18"/>
          <w:highlight w:val="none"/>
          <w:lang w:eastAsia="zh-CN"/>
        </w:rPr>
        <w:t>成交供应商</w:t>
      </w:r>
      <w:r>
        <w:rPr>
          <w:rFonts w:hint="eastAsia" w:ascii="宋体" w:hAnsi="宋体" w:eastAsia="宋体"/>
          <w:b w:val="0"/>
          <w:bCs/>
          <w:color w:val="auto"/>
          <w:sz w:val="24"/>
          <w:szCs w:val="18"/>
          <w:highlight w:val="none"/>
        </w:rPr>
        <w:t>进场评估后根据实际需求确定并经采购人认可的具体测评对象），详见下表：</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6"/>
        <w:gridCol w:w="6300"/>
        <w:gridCol w:w="1436"/>
      </w:tblGrid>
      <w:tr w14:paraId="7F4DA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6" w:type="dxa"/>
            <w:vAlign w:val="center"/>
          </w:tcPr>
          <w:p w14:paraId="0C69F082">
            <w:pPr>
              <w:keepNext w:val="0"/>
              <w:keepLines w:val="0"/>
              <w:pageBreakBefore w:val="0"/>
              <w:widowControl/>
              <w:kinsoku/>
              <w:wordWrap/>
              <w:overflowPunct/>
              <w:topLinePunct w:val="0"/>
              <w:autoSpaceDE/>
              <w:autoSpaceDN/>
              <w:bidi w:val="0"/>
              <w:spacing w:line="360" w:lineRule="auto"/>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序号</w:t>
            </w:r>
          </w:p>
        </w:tc>
        <w:tc>
          <w:tcPr>
            <w:tcW w:w="6300" w:type="dxa"/>
            <w:vAlign w:val="center"/>
          </w:tcPr>
          <w:p w14:paraId="4E909A3C">
            <w:pPr>
              <w:keepNext w:val="0"/>
              <w:keepLines w:val="0"/>
              <w:pageBreakBefore w:val="0"/>
              <w:widowControl/>
              <w:kinsoku/>
              <w:wordWrap/>
              <w:overflowPunct/>
              <w:topLinePunct w:val="0"/>
              <w:autoSpaceDE/>
              <w:autoSpaceDN/>
              <w:bidi w:val="0"/>
              <w:spacing w:line="360" w:lineRule="auto"/>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系统名称</w:t>
            </w:r>
          </w:p>
        </w:tc>
        <w:tc>
          <w:tcPr>
            <w:tcW w:w="1436" w:type="dxa"/>
            <w:vAlign w:val="center"/>
          </w:tcPr>
          <w:p w14:paraId="5DA8B867">
            <w:pPr>
              <w:keepNext w:val="0"/>
              <w:keepLines w:val="0"/>
              <w:pageBreakBefore w:val="0"/>
              <w:widowControl/>
              <w:kinsoku/>
              <w:wordWrap/>
              <w:overflowPunct/>
              <w:topLinePunct w:val="0"/>
              <w:autoSpaceDE/>
              <w:autoSpaceDN/>
              <w:bidi w:val="0"/>
              <w:spacing w:line="360" w:lineRule="auto"/>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安全等级</w:t>
            </w:r>
          </w:p>
        </w:tc>
      </w:tr>
      <w:tr w14:paraId="592F3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6" w:type="dxa"/>
            <w:vAlign w:val="center"/>
          </w:tcPr>
          <w:p w14:paraId="4AC017B9">
            <w:pPr>
              <w:keepNext w:val="0"/>
              <w:keepLines w:val="0"/>
              <w:pageBreakBefore w:val="0"/>
              <w:widowControl/>
              <w:kinsoku/>
              <w:wordWrap/>
              <w:overflowPunct/>
              <w:topLinePunct w:val="0"/>
              <w:autoSpaceDE/>
              <w:autoSpaceDN/>
              <w:bidi w:val="0"/>
              <w:adjustRightInd w:val="0"/>
              <w:snapToGrid w:val="0"/>
              <w:spacing w:line="360" w:lineRule="auto"/>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6300" w:type="dxa"/>
            <w:vAlign w:val="center"/>
          </w:tcPr>
          <w:p w14:paraId="25A72E67">
            <w:pPr>
              <w:keepNext w:val="0"/>
              <w:keepLines w:val="0"/>
              <w:pageBreakBefore w:val="0"/>
              <w:widowControl/>
              <w:kinsoku/>
              <w:wordWrap/>
              <w:overflowPunct/>
              <w:topLinePunct w:val="0"/>
              <w:autoSpaceDE/>
              <w:autoSpaceDN/>
              <w:bidi w:val="0"/>
              <w:adjustRightInd w:val="0"/>
              <w:snapToGrid w:val="0"/>
              <w:spacing w:line="360" w:lineRule="auto"/>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药品和医用耗材招采管理子系统</w:t>
            </w:r>
          </w:p>
        </w:tc>
        <w:tc>
          <w:tcPr>
            <w:tcW w:w="1436" w:type="dxa"/>
            <w:vAlign w:val="center"/>
          </w:tcPr>
          <w:p w14:paraId="0F05CAF0">
            <w:pPr>
              <w:keepNext w:val="0"/>
              <w:keepLines w:val="0"/>
              <w:pageBreakBefore w:val="0"/>
              <w:widowControl/>
              <w:kinsoku/>
              <w:wordWrap/>
              <w:overflowPunct/>
              <w:topLinePunct w:val="0"/>
              <w:autoSpaceDE/>
              <w:autoSpaceDN/>
              <w:bidi w:val="0"/>
              <w:adjustRightInd w:val="0"/>
              <w:snapToGrid w:val="0"/>
              <w:spacing w:line="360" w:lineRule="auto"/>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三级</w:t>
            </w:r>
          </w:p>
        </w:tc>
      </w:tr>
      <w:tr w14:paraId="531EA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6" w:type="dxa"/>
            <w:vAlign w:val="center"/>
          </w:tcPr>
          <w:p w14:paraId="02E972CD">
            <w:pPr>
              <w:keepNext w:val="0"/>
              <w:keepLines w:val="0"/>
              <w:pageBreakBefore w:val="0"/>
              <w:widowControl/>
              <w:kinsoku/>
              <w:wordWrap/>
              <w:overflowPunct/>
              <w:topLinePunct w:val="0"/>
              <w:autoSpaceDE/>
              <w:autoSpaceDN/>
              <w:bidi w:val="0"/>
              <w:adjustRightInd w:val="0"/>
              <w:snapToGrid w:val="0"/>
              <w:spacing w:line="360" w:lineRule="auto"/>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6300" w:type="dxa"/>
            <w:vAlign w:val="center"/>
          </w:tcPr>
          <w:p w14:paraId="0728282D">
            <w:pPr>
              <w:keepNext w:val="0"/>
              <w:keepLines w:val="0"/>
              <w:pageBreakBefore w:val="0"/>
              <w:widowControl/>
              <w:kinsoku/>
              <w:wordWrap/>
              <w:overflowPunct/>
              <w:topLinePunct w:val="0"/>
              <w:autoSpaceDE/>
              <w:autoSpaceDN/>
              <w:bidi w:val="0"/>
              <w:adjustRightInd w:val="0"/>
              <w:snapToGrid w:val="0"/>
              <w:spacing w:line="360" w:lineRule="auto"/>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异地就医管理子系统（含异地就医医保结算数据监测分析辅助模块）</w:t>
            </w:r>
          </w:p>
        </w:tc>
        <w:tc>
          <w:tcPr>
            <w:tcW w:w="1436" w:type="dxa"/>
            <w:vAlign w:val="center"/>
          </w:tcPr>
          <w:p w14:paraId="0EE46E0A">
            <w:pPr>
              <w:keepNext w:val="0"/>
              <w:keepLines w:val="0"/>
              <w:pageBreakBefore w:val="0"/>
              <w:widowControl/>
              <w:kinsoku/>
              <w:wordWrap/>
              <w:overflowPunct/>
              <w:topLinePunct w:val="0"/>
              <w:autoSpaceDE/>
              <w:autoSpaceDN/>
              <w:bidi w:val="0"/>
              <w:adjustRightInd w:val="0"/>
              <w:snapToGrid w:val="0"/>
              <w:spacing w:line="360" w:lineRule="auto"/>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三级</w:t>
            </w:r>
          </w:p>
        </w:tc>
      </w:tr>
      <w:tr w14:paraId="23465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6" w:type="dxa"/>
            <w:vAlign w:val="center"/>
          </w:tcPr>
          <w:p w14:paraId="5470A1A2">
            <w:pPr>
              <w:keepNext w:val="0"/>
              <w:keepLines w:val="0"/>
              <w:pageBreakBefore w:val="0"/>
              <w:widowControl/>
              <w:kinsoku/>
              <w:wordWrap/>
              <w:overflowPunct/>
              <w:topLinePunct w:val="0"/>
              <w:autoSpaceDE/>
              <w:autoSpaceDN/>
              <w:bidi w:val="0"/>
              <w:adjustRightInd w:val="0"/>
              <w:snapToGrid w:val="0"/>
              <w:spacing w:line="360" w:lineRule="auto"/>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6300" w:type="dxa"/>
            <w:vAlign w:val="center"/>
          </w:tcPr>
          <w:p w14:paraId="7D0FCEC5">
            <w:pPr>
              <w:keepNext w:val="0"/>
              <w:keepLines w:val="0"/>
              <w:pageBreakBefore w:val="0"/>
              <w:widowControl/>
              <w:kinsoku/>
              <w:wordWrap/>
              <w:overflowPunct/>
              <w:topLinePunct w:val="0"/>
              <w:autoSpaceDE/>
              <w:autoSpaceDN/>
              <w:bidi w:val="0"/>
              <w:adjustRightInd w:val="0"/>
              <w:snapToGrid w:val="0"/>
              <w:spacing w:line="360" w:lineRule="auto"/>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公共服务子系统（含医保门诊慢特病网上鉴定模块）</w:t>
            </w:r>
          </w:p>
        </w:tc>
        <w:tc>
          <w:tcPr>
            <w:tcW w:w="1436" w:type="dxa"/>
            <w:vAlign w:val="center"/>
          </w:tcPr>
          <w:p w14:paraId="64846531">
            <w:pPr>
              <w:keepNext w:val="0"/>
              <w:keepLines w:val="0"/>
              <w:pageBreakBefore w:val="0"/>
              <w:widowControl/>
              <w:kinsoku/>
              <w:wordWrap/>
              <w:overflowPunct/>
              <w:topLinePunct w:val="0"/>
              <w:autoSpaceDE/>
              <w:autoSpaceDN/>
              <w:bidi w:val="0"/>
              <w:adjustRightInd w:val="0"/>
              <w:snapToGrid w:val="0"/>
              <w:spacing w:line="360" w:lineRule="auto"/>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三级</w:t>
            </w:r>
          </w:p>
        </w:tc>
      </w:tr>
      <w:tr w14:paraId="4C200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6" w:type="dxa"/>
            <w:vAlign w:val="center"/>
          </w:tcPr>
          <w:p w14:paraId="1F21C59A">
            <w:pPr>
              <w:keepNext w:val="0"/>
              <w:keepLines w:val="0"/>
              <w:pageBreakBefore w:val="0"/>
              <w:widowControl/>
              <w:kinsoku/>
              <w:wordWrap/>
              <w:overflowPunct/>
              <w:topLinePunct w:val="0"/>
              <w:autoSpaceDE/>
              <w:autoSpaceDN/>
              <w:bidi w:val="0"/>
              <w:adjustRightInd w:val="0"/>
              <w:snapToGrid w:val="0"/>
              <w:spacing w:line="360" w:lineRule="auto"/>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w:t>
            </w:r>
          </w:p>
        </w:tc>
        <w:tc>
          <w:tcPr>
            <w:tcW w:w="6300" w:type="dxa"/>
            <w:vAlign w:val="center"/>
          </w:tcPr>
          <w:p w14:paraId="36B07844">
            <w:pPr>
              <w:keepNext w:val="0"/>
              <w:keepLines w:val="0"/>
              <w:pageBreakBefore w:val="0"/>
              <w:widowControl/>
              <w:kinsoku/>
              <w:wordWrap/>
              <w:overflowPunct/>
              <w:topLinePunct w:val="0"/>
              <w:autoSpaceDE/>
              <w:autoSpaceDN/>
              <w:bidi w:val="0"/>
              <w:adjustRightInd w:val="0"/>
              <w:snapToGrid w:val="0"/>
              <w:spacing w:line="360" w:lineRule="auto"/>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信用评价管理子系统</w:t>
            </w:r>
          </w:p>
        </w:tc>
        <w:tc>
          <w:tcPr>
            <w:tcW w:w="1436" w:type="dxa"/>
            <w:vAlign w:val="center"/>
          </w:tcPr>
          <w:p w14:paraId="71BFB31D">
            <w:pPr>
              <w:keepNext w:val="0"/>
              <w:keepLines w:val="0"/>
              <w:pageBreakBefore w:val="0"/>
              <w:widowControl/>
              <w:kinsoku/>
              <w:wordWrap/>
              <w:overflowPunct/>
              <w:topLinePunct w:val="0"/>
              <w:autoSpaceDE/>
              <w:autoSpaceDN/>
              <w:bidi w:val="0"/>
              <w:adjustRightInd w:val="0"/>
              <w:snapToGrid w:val="0"/>
              <w:spacing w:line="360" w:lineRule="auto"/>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三级</w:t>
            </w:r>
          </w:p>
        </w:tc>
      </w:tr>
      <w:tr w14:paraId="63DE5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6" w:type="dxa"/>
            <w:vAlign w:val="center"/>
          </w:tcPr>
          <w:p w14:paraId="7EDEDD71">
            <w:pPr>
              <w:keepNext w:val="0"/>
              <w:keepLines w:val="0"/>
              <w:pageBreakBefore w:val="0"/>
              <w:widowControl/>
              <w:kinsoku/>
              <w:wordWrap/>
              <w:overflowPunct/>
              <w:topLinePunct w:val="0"/>
              <w:autoSpaceDE/>
              <w:autoSpaceDN/>
              <w:bidi w:val="0"/>
              <w:adjustRightInd w:val="0"/>
              <w:snapToGrid w:val="0"/>
              <w:spacing w:line="360" w:lineRule="auto"/>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w:t>
            </w:r>
          </w:p>
        </w:tc>
        <w:tc>
          <w:tcPr>
            <w:tcW w:w="6300" w:type="dxa"/>
            <w:vAlign w:val="center"/>
          </w:tcPr>
          <w:p w14:paraId="4C12A226">
            <w:pPr>
              <w:keepNext w:val="0"/>
              <w:keepLines w:val="0"/>
              <w:pageBreakBefore w:val="0"/>
              <w:widowControl/>
              <w:kinsoku/>
              <w:wordWrap/>
              <w:overflowPunct/>
              <w:topLinePunct w:val="0"/>
              <w:autoSpaceDE/>
              <w:autoSpaceDN/>
              <w:bidi w:val="0"/>
              <w:adjustRightInd w:val="0"/>
              <w:snapToGrid w:val="0"/>
              <w:spacing w:line="360" w:lineRule="auto"/>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基础信息管理子系统</w:t>
            </w:r>
          </w:p>
        </w:tc>
        <w:tc>
          <w:tcPr>
            <w:tcW w:w="1436" w:type="dxa"/>
            <w:vAlign w:val="center"/>
          </w:tcPr>
          <w:p w14:paraId="0E2027F5">
            <w:pPr>
              <w:keepNext w:val="0"/>
              <w:keepLines w:val="0"/>
              <w:pageBreakBefore w:val="0"/>
              <w:widowControl/>
              <w:kinsoku/>
              <w:wordWrap/>
              <w:overflowPunct/>
              <w:topLinePunct w:val="0"/>
              <w:autoSpaceDE/>
              <w:autoSpaceDN/>
              <w:bidi w:val="0"/>
              <w:adjustRightInd w:val="0"/>
              <w:snapToGrid w:val="0"/>
              <w:spacing w:line="360" w:lineRule="auto"/>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三级</w:t>
            </w:r>
          </w:p>
        </w:tc>
      </w:tr>
      <w:tr w14:paraId="441C3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6" w:type="dxa"/>
            <w:vAlign w:val="center"/>
          </w:tcPr>
          <w:p w14:paraId="2E16F094">
            <w:pPr>
              <w:keepNext w:val="0"/>
              <w:keepLines w:val="0"/>
              <w:pageBreakBefore w:val="0"/>
              <w:widowControl/>
              <w:kinsoku/>
              <w:wordWrap/>
              <w:overflowPunct/>
              <w:topLinePunct w:val="0"/>
              <w:autoSpaceDE/>
              <w:autoSpaceDN/>
              <w:bidi w:val="0"/>
              <w:adjustRightInd w:val="0"/>
              <w:snapToGrid w:val="0"/>
              <w:spacing w:line="360" w:lineRule="auto"/>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w:t>
            </w:r>
          </w:p>
        </w:tc>
        <w:tc>
          <w:tcPr>
            <w:tcW w:w="6300" w:type="dxa"/>
            <w:vAlign w:val="center"/>
          </w:tcPr>
          <w:p w14:paraId="7A4C9B9D">
            <w:pPr>
              <w:keepNext w:val="0"/>
              <w:keepLines w:val="0"/>
              <w:pageBreakBefore w:val="0"/>
              <w:widowControl/>
              <w:kinsoku/>
              <w:wordWrap/>
              <w:overflowPunct/>
              <w:topLinePunct w:val="0"/>
              <w:autoSpaceDE/>
              <w:autoSpaceDN/>
              <w:bidi w:val="0"/>
              <w:adjustRightInd w:val="0"/>
              <w:snapToGrid w:val="0"/>
              <w:spacing w:line="360" w:lineRule="auto"/>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医保业务基础子系统（含医保零星报销辅助管理模块）</w:t>
            </w:r>
          </w:p>
        </w:tc>
        <w:tc>
          <w:tcPr>
            <w:tcW w:w="1436" w:type="dxa"/>
            <w:vAlign w:val="center"/>
          </w:tcPr>
          <w:p w14:paraId="639477BA">
            <w:pPr>
              <w:keepNext w:val="0"/>
              <w:keepLines w:val="0"/>
              <w:pageBreakBefore w:val="0"/>
              <w:widowControl/>
              <w:kinsoku/>
              <w:wordWrap/>
              <w:overflowPunct/>
              <w:topLinePunct w:val="0"/>
              <w:autoSpaceDE/>
              <w:autoSpaceDN/>
              <w:bidi w:val="0"/>
              <w:adjustRightInd w:val="0"/>
              <w:snapToGrid w:val="0"/>
              <w:spacing w:line="360" w:lineRule="auto"/>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三级</w:t>
            </w:r>
          </w:p>
        </w:tc>
      </w:tr>
      <w:tr w14:paraId="0447B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6" w:type="dxa"/>
            <w:vAlign w:val="center"/>
          </w:tcPr>
          <w:p w14:paraId="7F6247FB">
            <w:pPr>
              <w:keepNext w:val="0"/>
              <w:keepLines w:val="0"/>
              <w:pageBreakBefore w:val="0"/>
              <w:widowControl/>
              <w:kinsoku/>
              <w:wordWrap/>
              <w:overflowPunct/>
              <w:topLinePunct w:val="0"/>
              <w:autoSpaceDE/>
              <w:autoSpaceDN/>
              <w:bidi w:val="0"/>
              <w:adjustRightInd w:val="0"/>
              <w:snapToGrid w:val="0"/>
              <w:spacing w:line="360" w:lineRule="auto"/>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w:t>
            </w:r>
          </w:p>
        </w:tc>
        <w:tc>
          <w:tcPr>
            <w:tcW w:w="6300" w:type="dxa"/>
            <w:vAlign w:val="center"/>
          </w:tcPr>
          <w:p w14:paraId="1B223D92">
            <w:pPr>
              <w:keepNext w:val="0"/>
              <w:keepLines w:val="0"/>
              <w:pageBreakBefore w:val="0"/>
              <w:widowControl/>
              <w:kinsoku/>
              <w:wordWrap/>
              <w:overflowPunct/>
              <w:topLinePunct w:val="0"/>
              <w:autoSpaceDE/>
              <w:autoSpaceDN/>
              <w:bidi w:val="0"/>
              <w:adjustRightInd w:val="0"/>
              <w:snapToGrid w:val="0"/>
              <w:spacing w:line="360" w:lineRule="auto"/>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支付方式管理子系统</w:t>
            </w:r>
          </w:p>
        </w:tc>
        <w:tc>
          <w:tcPr>
            <w:tcW w:w="1436" w:type="dxa"/>
            <w:vAlign w:val="center"/>
          </w:tcPr>
          <w:p w14:paraId="76755D4D">
            <w:pPr>
              <w:keepNext w:val="0"/>
              <w:keepLines w:val="0"/>
              <w:pageBreakBefore w:val="0"/>
              <w:widowControl/>
              <w:kinsoku/>
              <w:wordWrap/>
              <w:overflowPunct/>
              <w:topLinePunct w:val="0"/>
              <w:autoSpaceDE/>
              <w:autoSpaceDN/>
              <w:bidi w:val="0"/>
              <w:adjustRightInd w:val="0"/>
              <w:snapToGrid w:val="0"/>
              <w:spacing w:line="360" w:lineRule="auto"/>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三级</w:t>
            </w:r>
          </w:p>
        </w:tc>
      </w:tr>
      <w:tr w14:paraId="6FB99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6" w:type="dxa"/>
            <w:vAlign w:val="center"/>
          </w:tcPr>
          <w:p w14:paraId="1BCA6C87">
            <w:pPr>
              <w:keepNext w:val="0"/>
              <w:keepLines w:val="0"/>
              <w:pageBreakBefore w:val="0"/>
              <w:widowControl/>
              <w:kinsoku/>
              <w:wordWrap/>
              <w:overflowPunct/>
              <w:topLinePunct w:val="0"/>
              <w:autoSpaceDE/>
              <w:autoSpaceDN/>
              <w:bidi w:val="0"/>
              <w:adjustRightInd w:val="0"/>
              <w:snapToGrid w:val="0"/>
              <w:spacing w:line="360" w:lineRule="auto"/>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w:t>
            </w:r>
          </w:p>
        </w:tc>
        <w:tc>
          <w:tcPr>
            <w:tcW w:w="6300" w:type="dxa"/>
            <w:vAlign w:val="center"/>
          </w:tcPr>
          <w:p w14:paraId="02B266A6">
            <w:pPr>
              <w:keepNext w:val="0"/>
              <w:keepLines w:val="0"/>
              <w:pageBreakBefore w:val="0"/>
              <w:widowControl/>
              <w:kinsoku/>
              <w:wordWrap/>
              <w:overflowPunct/>
              <w:topLinePunct w:val="0"/>
              <w:autoSpaceDE/>
              <w:autoSpaceDN/>
              <w:bidi w:val="0"/>
              <w:adjustRightInd w:val="0"/>
              <w:snapToGrid w:val="0"/>
              <w:spacing w:line="360" w:lineRule="auto"/>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医疗服务价格管理子系统</w:t>
            </w:r>
          </w:p>
        </w:tc>
        <w:tc>
          <w:tcPr>
            <w:tcW w:w="1436" w:type="dxa"/>
            <w:vAlign w:val="center"/>
          </w:tcPr>
          <w:p w14:paraId="549DE54E">
            <w:pPr>
              <w:keepNext w:val="0"/>
              <w:keepLines w:val="0"/>
              <w:pageBreakBefore w:val="0"/>
              <w:widowControl/>
              <w:kinsoku/>
              <w:wordWrap/>
              <w:overflowPunct/>
              <w:topLinePunct w:val="0"/>
              <w:autoSpaceDE/>
              <w:autoSpaceDN/>
              <w:bidi w:val="0"/>
              <w:adjustRightInd w:val="0"/>
              <w:snapToGrid w:val="0"/>
              <w:spacing w:line="360" w:lineRule="auto"/>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三级</w:t>
            </w:r>
          </w:p>
        </w:tc>
      </w:tr>
      <w:tr w14:paraId="2C82C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6" w:type="dxa"/>
            <w:vAlign w:val="center"/>
          </w:tcPr>
          <w:p w14:paraId="0A99DBC0">
            <w:pPr>
              <w:keepNext w:val="0"/>
              <w:keepLines w:val="0"/>
              <w:pageBreakBefore w:val="0"/>
              <w:widowControl/>
              <w:kinsoku/>
              <w:wordWrap/>
              <w:overflowPunct/>
              <w:topLinePunct w:val="0"/>
              <w:autoSpaceDE/>
              <w:autoSpaceDN/>
              <w:bidi w:val="0"/>
              <w:adjustRightInd w:val="0"/>
              <w:snapToGrid w:val="0"/>
              <w:spacing w:line="360" w:lineRule="auto"/>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w:t>
            </w:r>
          </w:p>
        </w:tc>
        <w:tc>
          <w:tcPr>
            <w:tcW w:w="6300" w:type="dxa"/>
            <w:vAlign w:val="center"/>
          </w:tcPr>
          <w:p w14:paraId="4F51E006">
            <w:pPr>
              <w:keepNext w:val="0"/>
              <w:keepLines w:val="0"/>
              <w:pageBreakBefore w:val="0"/>
              <w:widowControl/>
              <w:kinsoku/>
              <w:wordWrap/>
              <w:overflowPunct/>
              <w:topLinePunct w:val="0"/>
              <w:autoSpaceDE/>
              <w:autoSpaceDN/>
              <w:bidi w:val="0"/>
              <w:adjustRightInd w:val="0"/>
              <w:snapToGrid w:val="0"/>
              <w:spacing w:line="360" w:lineRule="auto"/>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基金运行及审计监管子系统</w:t>
            </w:r>
          </w:p>
        </w:tc>
        <w:tc>
          <w:tcPr>
            <w:tcW w:w="1436" w:type="dxa"/>
            <w:vAlign w:val="center"/>
          </w:tcPr>
          <w:p w14:paraId="5765F040">
            <w:pPr>
              <w:keepNext w:val="0"/>
              <w:keepLines w:val="0"/>
              <w:pageBreakBefore w:val="0"/>
              <w:widowControl/>
              <w:kinsoku/>
              <w:wordWrap/>
              <w:overflowPunct/>
              <w:topLinePunct w:val="0"/>
              <w:autoSpaceDE/>
              <w:autoSpaceDN/>
              <w:bidi w:val="0"/>
              <w:adjustRightInd w:val="0"/>
              <w:snapToGrid w:val="0"/>
              <w:spacing w:line="360" w:lineRule="auto"/>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三级</w:t>
            </w:r>
          </w:p>
        </w:tc>
      </w:tr>
      <w:tr w14:paraId="49C05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6" w:type="dxa"/>
            <w:vAlign w:val="center"/>
          </w:tcPr>
          <w:p w14:paraId="359100C9">
            <w:pPr>
              <w:keepNext w:val="0"/>
              <w:keepLines w:val="0"/>
              <w:pageBreakBefore w:val="0"/>
              <w:widowControl/>
              <w:kinsoku/>
              <w:wordWrap/>
              <w:overflowPunct/>
              <w:topLinePunct w:val="0"/>
              <w:autoSpaceDE/>
              <w:autoSpaceDN/>
              <w:bidi w:val="0"/>
              <w:adjustRightInd w:val="0"/>
              <w:snapToGrid w:val="0"/>
              <w:spacing w:line="360" w:lineRule="auto"/>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w:t>
            </w:r>
          </w:p>
        </w:tc>
        <w:tc>
          <w:tcPr>
            <w:tcW w:w="6300" w:type="dxa"/>
            <w:vAlign w:val="center"/>
          </w:tcPr>
          <w:p w14:paraId="24B099C8">
            <w:pPr>
              <w:keepNext w:val="0"/>
              <w:keepLines w:val="0"/>
              <w:pageBreakBefore w:val="0"/>
              <w:widowControl/>
              <w:kinsoku/>
              <w:wordWrap/>
              <w:overflowPunct/>
              <w:topLinePunct w:val="0"/>
              <w:autoSpaceDE/>
              <w:autoSpaceDN/>
              <w:bidi w:val="0"/>
              <w:adjustRightInd w:val="0"/>
              <w:snapToGrid w:val="0"/>
              <w:spacing w:line="360" w:lineRule="auto"/>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医疗保障智能监管子系统</w:t>
            </w:r>
          </w:p>
        </w:tc>
        <w:tc>
          <w:tcPr>
            <w:tcW w:w="1436" w:type="dxa"/>
            <w:vAlign w:val="center"/>
          </w:tcPr>
          <w:p w14:paraId="35734C01">
            <w:pPr>
              <w:keepNext w:val="0"/>
              <w:keepLines w:val="0"/>
              <w:pageBreakBefore w:val="0"/>
              <w:widowControl/>
              <w:kinsoku/>
              <w:wordWrap/>
              <w:overflowPunct/>
              <w:topLinePunct w:val="0"/>
              <w:autoSpaceDE/>
              <w:autoSpaceDN/>
              <w:bidi w:val="0"/>
              <w:adjustRightInd w:val="0"/>
              <w:snapToGrid w:val="0"/>
              <w:spacing w:line="360" w:lineRule="auto"/>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三级</w:t>
            </w:r>
          </w:p>
        </w:tc>
      </w:tr>
      <w:tr w14:paraId="0BEBA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6" w:type="dxa"/>
            <w:vAlign w:val="center"/>
          </w:tcPr>
          <w:p w14:paraId="72289286">
            <w:pPr>
              <w:keepNext w:val="0"/>
              <w:keepLines w:val="0"/>
              <w:pageBreakBefore w:val="0"/>
              <w:widowControl/>
              <w:kinsoku/>
              <w:wordWrap/>
              <w:overflowPunct/>
              <w:topLinePunct w:val="0"/>
              <w:autoSpaceDE/>
              <w:autoSpaceDN/>
              <w:bidi w:val="0"/>
              <w:adjustRightInd w:val="0"/>
              <w:snapToGrid w:val="0"/>
              <w:spacing w:line="360" w:lineRule="auto"/>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w:t>
            </w:r>
          </w:p>
        </w:tc>
        <w:tc>
          <w:tcPr>
            <w:tcW w:w="6300" w:type="dxa"/>
            <w:vAlign w:val="center"/>
          </w:tcPr>
          <w:p w14:paraId="2EA8E225">
            <w:pPr>
              <w:keepNext w:val="0"/>
              <w:keepLines w:val="0"/>
              <w:pageBreakBefore w:val="0"/>
              <w:widowControl/>
              <w:kinsoku/>
              <w:wordWrap/>
              <w:overflowPunct/>
              <w:topLinePunct w:val="0"/>
              <w:autoSpaceDE/>
              <w:autoSpaceDN/>
              <w:bidi w:val="0"/>
              <w:adjustRightInd w:val="0"/>
              <w:snapToGrid w:val="0"/>
              <w:spacing w:line="360" w:lineRule="auto"/>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宏观决策大数据应用子系统</w:t>
            </w:r>
          </w:p>
        </w:tc>
        <w:tc>
          <w:tcPr>
            <w:tcW w:w="1436" w:type="dxa"/>
            <w:vAlign w:val="center"/>
          </w:tcPr>
          <w:p w14:paraId="0B2E8871">
            <w:pPr>
              <w:keepNext w:val="0"/>
              <w:keepLines w:val="0"/>
              <w:pageBreakBefore w:val="0"/>
              <w:widowControl/>
              <w:kinsoku/>
              <w:wordWrap/>
              <w:overflowPunct/>
              <w:topLinePunct w:val="0"/>
              <w:autoSpaceDE/>
              <w:autoSpaceDN/>
              <w:bidi w:val="0"/>
              <w:adjustRightInd w:val="0"/>
              <w:snapToGrid w:val="0"/>
              <w:spacing w:line="360" w:lineRule="auto"/>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三级</w:t>
            </w:r>
          </w:p>
        </w:tc>
      </w:tr>
      <w:tr w14:paraId="25CD8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6" w:type="dxa"/>
            <w:vAlign w:val="center"/>
          </w:tcPr>
          <w:p w14:paraId="0126C445">
            <w:pPr>
              <w:keepNext w:val="0"/>
              <w:keepLines w:val="0"/>
              <w:pageBreakBefore w:val="0"/>
              <w:widowControl/>
              <w:kinsoku/>
              <w:wordWrap/>
              <w:overflowPunct/>
              <w:topLinePunct w:val="0"/>
              <w:autoSpaceDE/>
              <w:autoSpaceDN/>
              <w:bidi w:val="0"/>
              <w:adjustRightInd w:val="0"/>
              <w:snapToGrid w:val="0"/>
              <w:spacing w:line="360" w:lineRule="auto"/>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w:t>
            </w:r>
          </w:p>
        </w:tc>
        <w:tc>
          <w:tcPr>
            <w:tcW w:w="6300" w:type="dxa"/>
            <w:vAlign w:val="center"/>
          </w:tcPr>
          <w:p w14:paraId="658E2A6D">
            <w:pPr>
              <w:keepNext w:val="0"/>
              <w:keepLines w:val="0"/>
              <w:pageBreakBefore w:val="0"/>
              <w:widowControl/>
              <w:kinsoku/>
              <w:wordWrap/>
              <w:overflowPunct/>
              <w:topLinePunct w:val="0"/>
              <w:autoSpaceDE/>
              <w:autoSpaceDN/>
              <w:bidi w:val="0"/>
              <w:adjustRightInd w:val="0"/>
              <w:snapToGrid w:val="0"/>
              <w:spacing w:line="360" w:lineRule="auto"/>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运行监测子系统</w:t>
            </w:r>
          </w:p>
        </w:tc>
        <w:tc>
          <w:tcPr>
            <w:tcW w:w="1436" w:type="dxa"/>
            <w:vAlign w:val="center"/>
          </w:tcPr>
          <w:p w14:paraId="74C7AE99">
            <w:pPr>
              <w:keepNext w:val="0"/>
              <w:keepLines w:val="0"/>
              <w:pageBreakBefore w:val="0"/>
              <w:widowControl/>
              <w:kinsoku/>
              <w:wordWrap/>
              <w:overflowPunct/>
              <w:topLinePunct w:val="0"/>
              <w:autoSpaceDE/>
              <w:autoSpaceDN/>
              <w:bidi w:val="0"/>
              <w:adjustRightInd w:val="0"/>
              <w:snapToGrid w:val="0"/>
              <w:spacing w:line="360" w:lineRule="auto"/>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三级</w:t>
            </w:r>
          </w:p>
        </w:tc>
      </w:tr>
      <w:tr w14:paraId="07D63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6" w:type="dxa"/>
            <w:vAlign w:val="center"/>
          </w:tcPr>
          <w:p w14:paraId="06C40BBC">
            <w:pPr>
              <w:keepNext w:val="0"/>
              <w:keepLines w:val="0"/>
              <w:pageBreakBefore w:val="0"/>
              <w:widowControl/>
              <w:kinsoku/>
              <w:wordWrap/>
              <w:overflowPunct/>
              <w:topLinePunct w:val="0"/>
              <w:autoSpaceDE/>
              <w:autoSpaceDN/>
              <w:bidi w:val="0"/>
              <w:adjustRightInd w:val="0"/>
              <w:snapToGrid w:val="0"/>
              <w:spacing w:line="360" w:lineRule="auto"/>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w:t>
            </w:r>
          </w:p>
        </w:tc>
        <w:tc>
          <w:tcPr>
            <w:tcW w:w="6300" w:type="dxa"/>
            <w:vAlign w:val="center"/>
          </w:tcPr>
          <w:p w14:paraId="0DE244B1">
            <w:pPr>
              <w:keepNext w:val="0"/>
              <w:keepLines w:val="0"/>
              <w:pageBreakBefore w:val="0"/>
              <w:widowControl/>
              <w:kinsoku/>
              <w:wordWrap/>
              <w:overflowPunct/>
              <w:topLinePunct w:val="0"/>
              <w:autoSpaceDE/>
              <w:autoSpaceDN/>
              <w:bidi w:val="0"/>
              <w:adjustRightInd w:val="0"/>
              <w:snapToGrid w:val="0"/>
              <w:spacing w:line="360" w:lineRule="auto"/>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内部控制子系统</w:t>
            </w:r>
          </w:p>
        </w:tc>
        <w:tc>
          <w:tcPr>
            <w:tcW w:w="1436" w:type="dxa"/>
            <w:vAlign w:val="center"/>
          </w:tcPr>
          <w:p w14:paraId="6EF69AED">
            <w:pPr>
              <w:keepNext w:val="0"/>
              <w:keepLines w:val="0"/>
              <w:pageBreakBefore w:val="0"/>
              <w:widowControl/>
              <w:kinsoku/>
              <w:wordWrap/>
              <w:overflowPunct/>
              <w:topLinePunct w:val="0"/>
              <w:autoSpaceDE/>
              <w:autoSpaceDN/>
              <w:bidi w:val="0"/>
              <w:adjustRightInd w:val="0"/>
              <w:snapToGrid w:val="0"/>
              <w:spacing w:line="360" w:lineRule="auto"/>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三级</w:t>
            </w:r>
          </w:p>
        </w:tc>
      </w:tr>
      <w:tr w14:paraId="724B2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6" w:type="dxa"/>
            <w:vAlign w:val="center"/>
          </w:tcPr>
          <w:p w14:paraId="570F6695">
            <w:pPr>
              <w:keepNext w:val="0"/>
              <w:keepLines w:val="0"/>
              <w:pageBreakBefore w:val="0"/>
              <w:widowControl/>
              <w:kinsoku/>
              <w:wordWrap/>
              <w:overflowPunct/>
              <w:topLinePunct w:val="0"/>
              <w:autoSpaceDE/>
              <w:autoSpaceDN/>
              <w:bidi w:val="0"/>
              <w:adjustRightInd w:val="0"/>
              <w:snapToGrid w:val="0"/>
              <w:spacing w:line="360" w:lineRule="auto"/>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14</w:t>
            </w:r>
          </w:p>
        </w:tc>
        <w:tc>
          <w:tcPr>
            <w:tcW w:w="6300" w:type="dxa"/>
            <w:vAlign w:val="center"/>
          </w:tcPr>
          <w:p w14:paraId="63B94D16">
            <w:pPr>
              <w:keepNext w:val="0"/>
              <w:keepLines w:val="0"/>
              <w:pageBreakBefore w:val="0"/>
              <w:widowControl/>
              <w:kinsoku/>
              <w:wordWrap/>
              <w:overflowPunct/>
              <w:topLinePunct w:val="0"/>
              <w:autoSpaceDE/>
              <w:autoSpaceDN/>
              <w:bidi w:val="0"/>
              <w:adjustRightInd w:val="0"/>
              <w:snapToGrid w:val="0"/>
              <w:spacing w:line="360" w:lineRule="auto"/>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内部统一门户子系统</w:t>
            </w:r>
          </w:p>
        </w:tc>
        <w:tc>
          <w:tcPr>
            <w:tcW w:w="1436" w:type="dxa"/>
            <w:vAlign w:val="center"/>
          </w:tcPr>
          <w:p w14:paraId="4E24FBDC">
            <w:pPr>
              <w:keepNext w:val="0"/>
              <w:keepLines w:val="0"/>
              <w:pageBreakBefore w:val="0"/>
              <w:widowControl/>
              <w:kinsoku/>
              <w:wordWrap/>
              <w:overflowPunct/>
              <w:topLinePunct w:val="0"/>
              <w:autoSpaceDE/>
              <w:autoSpaceDN/>
              <w:bidi w:val="0"/>
              <w:adjustRightInd w:val="0"/>
              <w:snapToGrid w:val="0"/>
              <w:spacing w:line="360" w:lineRule="auto"/>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三级</w:t>
            </w:r>
          </w:p>
        </w:tc>
      </w:tr>
      <w:tr w14:paraId="1E6D4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6" w:type="dxa"/>
            <w:vAlign w:val="center"/>
          </w:tcPr>
          <w:p w14:paraId="24A33531">
            <w:pPr>
              <w:keepNext w:val="0"/>
              <w:keepLines w:val="0"/>
              <w:pageBreakBefore w:val="0"/>
              <w:widowControl/>
              <w:kinsoku/>
              <w:wordWrap/>
              <w:overflowPunct/>
              <w:topLinePunct w:val="0"/>
              <w:autoSpaceDE/>
              <w:autoSpaceDN/>
              <w:bidi w:val="0"/>
              <w:adjustRightInd w:val="0"/>
              <w:snapToGrid w:val="0"/>
              <w:spacing w:line="360" w:lineRule="auto"/>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15</w:t>
            </w:r>
          </w:p>
        </w:tc>
        <w:tc>
          <w:tcPr>
            <w:tcW w:w="6300" w:type="dxa"/>
            <w:vAlign w:val="center"/>
          </w:tcPr>
          <w:p w14:paraId="28EDC652">
            <w:pPr>
              <w:keepNext w:val="0"/>
              <w:keepLines w:val="0"/>
              <w:pageBreakBefore w:val="0"/>
              <w:widowControl/>
              <w:kinsoku/>
              <w:wordWrap/>
              <w:overflowPunct/>
              <w:topLinePunct w:val="0"/>
              <w:autoSpaceDE/>
              <w:autoSpaceDN/>
              <w:bidi w:val="0"/>
              <w:adjustRightInd w:val="0"/>
              <w:snapToGrid w:val="0"/>
              <w:spacing w:line="360" w:lineRule="auto"/>
              <w:jc w:val="center"/>
              <w:textAlignment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基金财务及业务一体化业务</w:t>
            </w:r>
            <w:r>
              <w:rPr>
                <w:rFonts w:hint="eastAsia" w:asciiTheme="minorEastAsia" w:hAnsiTheme="minorEastAsia" w:eastAsiaTheme="minorEastAsia" w:cstheme="minorEastAsia"/>
                <w:sz w:val="24"/>
                <w:szCs w:val="24"/>
                <w:lang w:val="en-US" w:eastAsia="zh-CN"/>
              </w:rPr>
              <w:t>子系统</w:t>
            </w:r>
          </w:p>
        </w:tc>
        <w:tc>
          <w:tcPr>
            <w:tcW w:w="1436" w:type="dxa"/>
            <w:vAlign w:val="center"/>
          </w:tcPr>
          <w:p w14:paraId="1E47B1CE">
            <w:pPr>
              <w:keepNext w:val="0"/>
              <w:keepLines w:val="0"/>
              <w:pageBreakBefore w:val="0"/>
              <w:widowControl/>
              <w:kinsoku/>
              <w:wordWrap/>
              <w:overflowPunct/>
              <w:topLinePunct w:val="0"/>
              <w:autoSpaceDE/>
              <w:autoSpaceDN/>
              <w:bidi w:val="0"/>
              <w:adjustRightInd w:val="0"/>
              <w:snapToGrid w:val="0"/>
              <w:spacing w:line="360" w:lineRule="auto"/>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三级</w:t>
            </w:r>
          </w:p>
        </w:tc>
      </w:tr>
      <w:tr w14:paraId="55180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6" w:type="dxa"/>
            <w:vAlign w:val="center"/>
          </w:tcPr>
          <w:p w14:paraId="511A6F9B">
            <w:pPr>
              <w:keepNext w:val="0"/>
              <w:keepLines w:val="0"/>
              <w:pageBreakBefore w:val="0"/>
              <w:widowControl/>
              <w:kinsoku/>
              <w:wordWrap/>
              <w:overflowPunct/>
              <w:topLinePunct w:val="0"/>
              <w:autoSpaceDE/>
              <w:autoSpaceDN/>
              <w:bidi w:val="0"/>
              <w:adjustRightInd w:val="0"/>
              <w:snapToGrid w:val="0"/>
              <w:spacing w:line="360" w:lineRule="auto"/>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16</w:t>
            </w:r>
          </w:p>
        </w:tc>
        <w:tc>
          <w:tcPr>
            <w:tcW w:w="6300" w:type="dxa"/>
            <w:vAlign w:val="center"/>
          </w:tcPr>
          <w:p w14:paraId="2BB4E774">
            <w:pPr>
              <w:keepNext w:val="0"/>
              <w:keepLines w:val="0"/>
              <w:pageBreakBefore w:val="0"/>
              <w:widowControl/>
              <w:kinsoku/>
              <w:wordWrap/>
              <w:overflowPunct/>
              <w:topLinePunct w:val="0"/>
              <w:autoSpaceDE/>
              <w:autoSpaceDN/>
              <w:bidi w:val="0"/>
              <w:adjustRightInd w:val="0"/>
              <w:snapToGrid w:val="0"/>
              <w:spacing w:line="360" w:lineRule="auto"/>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视频会议子系统</w:t>
            </w:r>
          </w:p>
        </w:tc>
        <w:tc>
          <w:tcPr>
            <w:tcW w:w="1436" w:type="dxa"/>
            <w:vAlign w:val="center"/>
          </w:tcPr>
          <w:p w14:paraId="2F9C265B">
            <w:pPr>
              <w:keepNext w:val="0"/>
              <w:keepLines w:val="0"/>
              <w:pageBreakBefore w:val="0"/>
              <w:widowControl/>
              <w:kinsoku/>
              <w:wordWrap/>
              <w:overflowPunct/>
              <w:topLinePunct w:val="0"/>
              <w:autoSpaceDE/>
              <w:autoSpaceDN/>
              <w:bidi w:val="0"/>
              <w:adjustRightInd w:val="0"/>
              <w:snapToGrid w:val="0"/>
              <w:spacing w:line="360" w:lineRule="auto"/>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三级</w:t>
            </w:r>
          </w:p>
        </w:tc>
      </w:tr>
      <w:tr w14:paraId="43AE2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6" w:type="dxa"/>
            <w:vAlign w:val="center"/>
          </w:tcPr>
          <w:p w14:paraId="6CDC7540">
            <w:pPr>
              <w:keepNext w:val="0"/>
              <w:keepLines w:val="0"/>
              <w:pageBreakBefore w:val="0"/>
              <w:widowControl/>
              <w:kinsoku/>
              <w:wordWrap/>
              <w:overflowPunct/>
              <w:topLinePunct w:val="0"/>
              <w:autoSpaceDE/>
              <w:autoSpaceDN/>
              <w:bidi w:val="0"/>
              <w:adjustRightInd w:val="0"/>
              <w:snapToGrid w:val="0"/>
              <w:spacing w:line="360" w:lineRule="auto"/>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17</w:t>
            </w:r>
          </w:p>
        </w:tc>
        <w:tc>
          <w:tcPr>
            <w:tcW w:w="6300" w:type="dxa"/>
            <w:vAlign w:val="center"/>
          </w:tcPr>
          <w:p w14:paraId="39ABAC5E">
            <w:pPr>
              <w:keepNext w:val="0"/>
              <w:keepLines w:val="0"/>
              <w:pageBreakBefore w:val="0"/>
              <w:widowControl/>
              <w:kinsoku/>
              <w:wordWrap/>
              <w:overflowPunct/>
              <w:topLinePunct w:val="0"/>
              <w:autoSpaceDE/>
              <w:autoSpaceDN/>
              <w:bidi w:val="0"/>
              <w:adjustRightInd w:val="0"/>
              <w:snapToGrid w:val="0"/>
              <w:spacing w:line="360" w:lineRule="auto"/>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省医保数据中心云平台</w:t>
            </w:r>
            <w:r>
              <w:rPr>
                <w:rFonts w:hint="eastAsia" w:asciiTheme="minorEastAsia" w:hAnsiTheme="minorEastAsia" w:eastAsiaTheme="minorEastAsia" w:cstheme="minorEastAsia"/>
                <w:sz w:val="24"/>
                <w:szCs w:val="24"/>
                <w:lang w:val="en-US" w:eastAsia="zh-CN"/>
              </w:rPr>
              <w:t>及基础环境</w:t>
            </w:r>
          </w:p>
        </w:tc>
        <w:tc>
          <w:tcPr>
            <w:tcW w:w="1436" w:type="dxa"/>
            <w:vAlign w:val="center"/>
          </w:tcPr>
          <w:p w14:paraId="442CC510">
            <w:pPr>
              <w:keepNext w:val="0"/>
              <w:keepLines w:val="0"/>
              <w:pageBreakBefore w:val="0"/>
              <w:widowControl/>
              <w:kinsoku/>
              <w:wordWrap/>
              <w:overflowPunct/>
              <w:topLinePunct w:val="0"/>
              <w:autoSpaceDE/>
              <w:autoSpaceDN/>
              <w:bidi w:val="0"/>
              <w:adjustRightInd w:val="0"/>
              <w:snapToGrid w:val="0"/>
              <w:spacing w:line="360" w:lineRule="auto"/>
              <w:jc w:val="center"/>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三级</w:t>
            </w:r>
          </w:p>
        </w:tc>
      </w:tr>
      <w:tr w14:paraId="3E2FB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6" w:type="dxa"/>
            <w:vAlign w:val="center"/>
          </w:tcPr>
          <w:p w14:paraId="6D2990E0">
            <w:pPr>
              <w:keepNext w:val="0"/>
              <w:keepLines w:val="0"/>
              <w:pageBreakBefore w:val="0"/>
              <w:widowControl/>
              <w:kinsoku/>
              <w:wordWrap/>
              <w:overflowPunct/>
              <w:topLinePunct w:val="0"/>
              <w:autoSpaceDE/>
              <w:autoSpaceDN/>
              <w:bidi w:val="0"/>
              <w:adjustRightInd w:val="0"/>
              <w:snapToGrid w:val="0"/>
              <w:spacing w:line="360" w:lineRule="auto"/>
              <w:jc w:val="center"/>
              <w:textAlignment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18</w:t>
            </w:r>
          </w:p>
        </w:tc>
        <w:tc>
          <w:tcPr>
            <w:tcW w:w="6300" w:type="dxa"/>
            <w:vAlign w:val="center"/>
          </w:tcPr>
          <w:p w14:paraId="615109DB">
            <w:pPr>
              <w:keepNext w:val="0"/>
              <w:keepLines w:val="0"/>
              <w:pageBreakBefore w:val="0"/>
              <w:widowControl/>
              <w:kinsoku/>
              <w:wordWrap/>
              <w:overflowPunct/>
              <w:topLinePunct w:val="0"/>
              <w:autoSpaceDE/>
              <w:autoSpaceDN/>
              <w:bidi w:val="0"/>
              <w:adjustRightInd w:val="0"/>
              <w:snapToGrid w:val="0"/>
              <w:spacing w:line="360" w:lineRule="auto"/>
              <w:jc w:val="center"/>
              <w:textAlignment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其他需要开展的信息系统</w:t>
            </w:r>
          </w:p>
        </w:tc>
        <w:tc>
          <w:tcPr>
            <w:tcW w:w="1436" w:type="dxa"/>
            <w:vAlign w:val="center"/>
          </w:tcPr>
          <w:p w14:paraId="3BAB9967">
            <w:pPr>
              <w:keepNext w:val="0"/>
              <w:keepLines w:val="0"/>
              <w:pageBreakBefore w:val="0"/>
              <w:widowControl/>
              <w:kinsoku/>
              <w:wordWrap/>
              <w:overflowPunct/>
              <w:topLinePunct w:val="0"/>
              <w:autoSpaceDE/>
              <w:autoSpaceDN/>
              <w:bidi w:val="0"/>
              <w:adjustRightInd w:val="0"/>
              <w:snapToGrid w:val="0"/>
              <w:spacing w:line="360" w:lineRule="auto"/>
              <w:jc w:val="center"/>
              <w:textAlignment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____</w:t>
            </w:r>
          </w:p>
        </w:tc>
      </w:tr>
    </w:tbl>
    <w:p w14:paraId="286C705F">
      <w:pPr>
        <w:pStyle w:val="4"/>
        <w:pageBreakBefore w:val="0"/>
        <w:kinsoku/>
        <w:wordWrap/>
        <w:overflowPunct/>
        <w:topLinePunct w:val="0"/>
        <w:bidi w:val="0"/>
        <w:spacing w:before="0" w:beforeLines="0" w:after="0" w:afterLines="0" w:line="360" w:lineRule="auto"/>
        <w:jc w:val="left"/>
        <w:outlineLvl w:val="2"/>
        <w:rPr>
          <w:rFonts w:hint="eastAsia" w:ascii="宋体" w:hAnsi="宋体" w:eastAsia="宋体" w:cs="@仿宋_GB2312"/>
          <w:b/>
          <w:bCs w:val="0"/>
          <w:color w:val="auto"/>
          <w:kern w:val="2"/>
          <w:sz w:val="24"/>
          <w:szCs w:val="18"/>
          <w:highlight w:val="none"/>
          <w:lang w:val="zh-CN" w:eastAsia="zh-CN" w:bidi="ar-SA"/>
        </w:rPr>
      </w:pPr>
      <w:bookmarkStart w:id="3" w:name="_Toc6576"/>
      <w:r>
        <w:rPr>
          <w:rFonts w:hint="eastAsia" w:ascii="宋体" w:hAnsi="宋体" w:eastAsia="宋体" w:cs="@仿宋_GB2312"/>
          <w:b/>
          <w:bCs w:val="0"/>
          <w:color w:val="auto"/>
          <w:kern w:val="2"/>
          <w:sz w:val="24"/>
          <w:szCs w:val="18"/>
          <w:highlight w:val="none"/>
          <w:lang w:val="zh-CN" w:eastAsia="zh-CN" w:bidi="ar-SA"/>
        </w:rPr>
        <w:t>（二）项目总体目标</w:t>
      </w:r>
      <w:bookmarkEnd w:id="3"/>
    </w:p>
    <w:p w14:paraId="560372B6">
      <w:pPr>
        <w:pageBreakBefore w:val="0"/>
        <w:widowControl w:val="0"/>
        <w:kinsoku/>
        <w:wordWrap/>
        <w:overflowPunct/>
        <w:topLinePunct w:val="0"/>
        <w:autoSpaceDE w:val="0"/>
        <w:autoSpaceDN w:val="0"/>
        <w:bidi w:val="0"/>
        <w:adjustRightInd/>
        <w:snapToGrid/>
        <w:spacing w:line="360" w:lineRule="auto"/>
        <w:ind w:firstLine="480" w:firstLineChars="200"/>
        <w:jc w:val="left"/>
        <w:textAlignment w:val="auto"/>
        <w:rPr>
          <w:rFonts w:hint="eastAsia" w:ascii="宋体" w:hAnsi="宋体" w:eastAsia="宋体" w:cs="@仿宋_GB2312"/>
          <w:b w:val="0"/>
          <w:bCs/>
          <w:color w:val="auto"/>
          <w:kern w:val="2"/>
          <w:sz w:val="24"/>
          <w:szCs w:val="18"/>
          <w:highlight w:val="none"/>
          <w:lang w:val="zh-CN" w:eastAsia="zh-CN" w:bidi="ar-SA"/>
        </w:rPr>
      </w:pPr>
      <w:r>
        <w:rPr>
          <w:rFonts w:hint="eastAsia" w:ascii="宋体" w:hAnsi="宋体" w:eastAsia="宋体" w:cs="@仿宋_GB2312"/>
          <w:b w:val="0"/>
          <w:bCs/>
          <w:color w:val="auto"/>
          <w:kern w:val="2"/>
          <w:sz w:val="24"/>
          <w:szCs w:val="18"/>
          <w:highlight w:val="none"/>
          <w:lang w:val="zh-CN" w:eastAsia="zh-CN" w:bidi="ar-SA"/>
        </w:rPr>
        <w:t>安徽省医疗保障信息平台密码测评服务项目的总体目标是：依据国家和</w:t>
      </w:r>
      <w:r>
        <w:rPr>
          <w:rFonts w:hint="eastAsia" w:ascii="宋体" w:hAnsi="宋体" w:eastAsia="宋体" w:cs="@仿宋_GB2312"/>
          <w:b w:val="0"/>
          <w:bCs/>
          <w:color w:val="auto"/>
          <w:kern w:val="2"/>
          <w:sz w:val="24"/>
          <w:szCs w:val="18"/>
          <w:highlight w:val="none"/>
          <w:lang w:val="en-US" w:eastAsia="zh-CN" w:bidi="ar-SA"/>
        </w:rPr>
        <w:t>安徽省</w:t>
      </w:r>
      <w:r>
        <w:rPr>
          <w:rFonts w:hint="eastAsia" w:ascii="宋体" w:hAnsi="宋体" w:eastAsia="宋体" w:cs="@仿宋_GB2312"/>
          <w:b w:val="0"/>
          <w:bCs/>
          <w:color w:val="auto"/>
          <w:kern w:val="2"/>
          <w:sz w:val="24"/>
          <w:szCs w:val="18"/>
          <w:highlight w:val="none"/>
          <w:lang w:val="zh-CN" w:eastAsia="zh-CN" w:bidi="ar-SA"/>
        </w:rPr>
        <w:t>相关政策法规和标准规范，对安徽省医疗保障信息平台开展密码测评服务工作（简称为“密评”，下同），通过密评工作深入查找密码应用的薄弱环节和安全隐患，分析面临的风险，为提升信息系统安全水平奠定基础，推动国产密码应用工作的进一步落实，保障和促进安徽省医疗保障信息化安全体系建设健康发展。同时，指导安徽省医疗保障局和</w:t>
      </w:r>
      <w:r>
        <w:rPr>
          <w:rFonts w:hint="eastAsia" w:ascii="宋体" w:hAnsi="宋体" w:eastAsia="宋体" w:cs="@仿宋_GB2312"/>
          <w:b w:val="0"/>
          <w:bCs/>
          <w:color w:val="auto"/>
          <w:kern w:val="2"/>
          <w:sz w:val="24"/>
          <w:szCs w:val="18"/>
          <w:highlight w:val="none"/>
          <w:lang w:val="en-US" w:eastAsia="zh-CN" w:bidi="ar-SA"/>
        </w:rPr>
        <w:t>安徽省</w:t>
      </w:r>
      <w:r>
        <w:rPr>
          <w:rFonts w:hint="eastAsia" w:ascii="宋体" w:hAnsi="宋体" w:eastAsia="宋体" w:cs="@仿宋_GB2312"/>
          <w:b w:val="0"/>
          <w:bCs/>
          <w:color w:val="auto"/>
          <w:kern w:val="2"/>
          <w:sz w:val="24"/>
          <w:szCs w:val="18"/>
          <w:highlight w:val="none"/>
          <w:lang w:val="zh-CN" w:eastAsia="zh-CN" w:bidi="ar-SA"/>
        </w:rPr>
        <w:t>医保部门的信息安全保障体系建设，增强密码安全管理意识，促进安全管理水平的提高。</w:t>
      </w:r>
    </w:p>
    <w:p w14:paraId="1421A62F">
      <w:pPr>
        <w:pStyle w:val="4"/>
        <w:pageBreakBefore w:val="0"/>
        <w:widowControl w:val="0"/>
        <w:kinsoku/>
        <w:wordWrap/>
        <w:overflowPunct/>
        <w:topLinePunct w:val="0"/>
        <w:bidi w:val="0"/>
        <w:adjustRightInd/>
        <w:snapToGrid/>
        <w:spacing w:before="0" w:beforeLines="0" w:after="0" w:afterLines="0" w:line="360" w:lineRule="auto"/>
        <w:ind w:firstLine="482" w:firstLineChars="200"/>
        <w:jc w:val="left"/>
        <w:textAlignment w:val="auto"/>
        <w:outlineLvl w:val="2"/>
        <w:rPr>
          <w:rFonts w:hint="eastAsia" w:ascii="宋体" w:hAnsi="宋体" w:eastAsia="宋体" w:cs="@仿宋_GB2312"/>
          <w:b/>
          <w:bCs w:val="0"/>
          <w:color w:val="auto"/>
          <w:kern w:val="2"/>
          <w:sz w:val="24"/>
          <w:szCs w:val="18"/>
          <w:highlight w:val="none"/>
          <w:lang w:val="zh-CN" w:eastAsia="zh-CN" w:bidi="ar-SA"/>
        </w:rPr>
      </w:pPr>
      <w:bookmarkStart w:id="4" w:name="_Toc25395"/>
      <w:r>
        <w:rPr>
          <w:rFonts w:hint="eastAsia" w:ascii="宋体" w:hAnsi="宋体" w:eastAsia="宋体" w:cs="@仿宋_GB2312"/>
          <w:b/>
          <w:bCs w:val="0"/>
          <w:color w:val="auto"/>
          <w:kern w:val="2"/>
          <w:sz w:val="24"/>
          <w:szCs w:val="18"/>
          <w:highlight w:val="none"/>
          <w:lang w:val="en-US" w:eastAsia="zh-CN" w:bidi="ar-SA"/>
        </w:rPr>
        <w:t>（三）</w:t>
      </w:r>
      <w:r>
        <w:rPr>
          <w:rFonts w:hint="eastAsia" w:ascii="宋体" w:hAnsi="宋体" w:eastAsia="宋体" w:cs="@仿宋_GB2312"/>
          <w:b/>
          <w:bCs w:val="0"/>
          <w:color w:val="auto"/>
          <w:kern w:val="2"/>
          <w:sz w:val="24"/>
          <w:szCs w:val="18"/>
          <w:highlight w:val="none"/>
          <w:lang w:val="zh-CN" w:eastAsia="zh-CN" w:bidi="ar-SA"/>
        </w:rPr>
        <w:t>项目依据法律条例和标准规范</w:t>
      </w:r>
      <w:bookmarkEnd w:id="4"/>
    </w:p>
    <w:p w14:paraId="71B7BC15">
      <w:pPr>
        <w:pStyle w:val="2"/>
        <w:pageBreakBefore w:val="0"/>
        <w:widowControl w:val="0"/>
        <w:kinsoku/>
        <w:wordWrap/>
        <w:overflowPunct/>
        <w:topLinePunct w:val="0"/>
        <w:bidi w:val="0"/>
        <w:adjustRightInd/>
        <w:snapToGrid/>
        <w:spacing w:after="0" w:line="360" w:lineRule="auto"/>
        <w:ind w:firstLine="480" w:firstLineChars="200"/>
        <w:jc w:val="both"/>
        <w:textAlignment w:val="auto"/>
        <w:rPr>
          <w:rFonts w:hint="eastAsia" w:ascii="宋体" w:hAnsi="宋体" w:eastAsia="宋体" w:cs="@仿宋_GB2312"/>
          <w:b w:val="0"/>
          <w:bCs/>
          <w:color w:val="auto"/>
          <w:kern w:val="2"/>
          <w:sz w:val="24"/>
          <w:szCs w:val="18"/>
          <w:highlight w:val="none"/>
          <w:lang w:val="zh-CN" w:eastAsia="zh-CN" w:bidi="ar-SA"/>
        </w:rPr>
      </w:pPr>
      <w:bookmarkStart w:id="5" w:name="_Toc115340205"/>
      <w:bookmarkStart w:id="6" w:name="_Toc31735"/>
      <w:r>
        <w:rPr>
          <w:rFonts w:hint="eastAsia" w:ascii="宋体" w:hAnsi="宋体" w:eastAsia="宋体" w:cs="@仿宋_GB2312"/>
          <w:b w:val="0"/>
          <w:bCs/>
          <w:color w:val="auto"/>
          <w:kern w:val="2"/>
          <w:sz w:val="24"/>
          <w:szCs w:val="18"/>
          <w:highlight w:val="none"/>
          <w:lang w:val="en-US" w:eastAsia="zh-CN" w:bidi="ar-SA"/>
        </w:rPr>
        <w:t>1.</w:t>
      </w:r>
      <w:r>
        <w:rPr>
          <w:rFonts w:hint="eastAsia" w:ascii="宋体" w:hAnsi="宋体" w:eastAsia="宋体" w:cs="@仿宋_GB2312"/>
          <w:b w:val="0"/>
          <w:bCs/>
          <w:color w:val="auto"/>
          <w:kern w:val="2"/>
          <w:sz w:val="24"/>
          <w:szCs w:val="18"/>
          <w:highlight w:val="none"/>
          <w:lang w:val="zh-CN" w:eastAsia="zh-CN" w:bidi="ar-SA"/>
        </w:rPr>
        <w:t>《中华人民共和国密码法》</w:t>
      </w:r>
    </w:p>
    <w:p w14:paraId="53D0E1B8">
      <w:pPr>
        <w:pStyle w:val="2"/>
        <w:pageBreakBefore w:val="0"/>
        <w:widowControl w:val="0"/>
        <w:kinsoku/>
        <w:wordWrap/>
        <w:overflowPunct/>
        <w:topLinePunct w:val="0"/>
        <w:bidi w:val="0"/>
        <w:adjustRightInd/>
        <w:snapToGrid/>
        <w:spacing w:after="0" w:line="360" w:lineRule="auto"/>
        <w:ind w:firstLine="480" w:firstLineChars="200"/>
        <w:jc w:val="both"/>
        <w:textAlignment w:val="auto"/>
        <w:rPr>
          <w:rFonts w:hint="eastAsia" w:ascii="宋体" w:hAnsi="宋体" w:eastAsia="宋体" w:cs="@仿宋_GB2312"/>
          <w:b w:val="0"/>
          <w:bCs/>
          <w:color w:val="auto"/>
          <w:kern w:val="2"/>
          <w:sz w:val="24"/>
          <w:szCs w:val="18"/>
          <w:highlight w:val="none"/>
          <w:lang w:val="zh-CN" w:eastAsia="zh-CN" w:bidi="ar-SA"/>
        </w:rPr>
      </w:pPr>
      <w:r>
        <w:rPr>
          <w:rFonts w:hint="eastAsia" w:ascii="宋体" w:hAnsi="宋体" w:eastAsia="宋体" w:cs="@仿宋_GB2312"/>
          <w:b w:val="0"/>
          <w:bCs/>
          <w:color w:val="auto"/>
          <w:kern w:val="2"/>
          <w:sz w:val="24"/>
          <w:szCs w:val="18"/>
          <w:highlight w:val="none"/>
          <w:lang w:val="en-US" w:eastAsia="zh-CN" w:bidi="ar-SA"/>
        </w:rPr>
        <w:t>2.</w:t>
      </w:r>
      <w:r>
        <w:rPr>
          <w:rFonts w:hint="eastAsia" w:ascii="宋体" w:hAnsi="宋体" w:eastAsia="宋体" w:cs="@仿宋_GB2312"/>
          <w:b w:val="0"/>
          <w:bCs/>
          <w:color w:val="auto"/>
          <w:kern w:val="2"/>
          <w:sz w:val="24"/>
          <w:szCs w:val="18"/>
          <w:highlight w:val="none"/>
          <w:lang w:val="zh-CN" w:eastAsia="zh-CN" w:bidi="ar-SA"/>
        </w:rPr>
        <w:t>《中华人民共和国网络安全法》</w:t>
      </w:r>
    </w:p>
    <w:p w14:paraId="13BA360E">
      <w:pPr>
        <w:pStyle w:val="2"/>
        <w:pageBreakBefore w:val="0"/>
        <w:widowControl w:val="0"/>
        <w:kinsoku/>
        <w:wordWrap/>
        <w:overflowPunct/>
        <w:topLinePunct w:val="0"/>
        <w:bidi w:val="0"/>
        <w:adjustRightInd/>
        <w:snapToGrid/>
        <w:spacing w:after="0" w:line="360" w:lineRule="auto"/>
        <w:ind w:firstLine="480" w:firstLineChars="200"/>
        <w:jc w:val="both"/>
        <w:textAlignment w:val="auto"/>
        <w:rPr>
          <w:rFonts w:hint="eastAsia" w:ascii="宋体" w:hAnsi="宋体" w:eastAsia="宋体" w:cs="@仿宋_GB2312"/>
          <w:b w:val="0"/>
          <w:bCs/>
          <w:color w:val="auto"/>
          <w:kern w:val="2"/>
          <w:sz w:val="24"/>
          <w:szCs w:val="18"/>
          <w:highlight w:val="none"/>
          <w:lang w:val="zh-CN" w:eastAsia="zh-CN" w:bidi="ar-SA"/>
        </w:rPr>
      </w:pPr>
      <w:r>
        <w:rPr>
          <w:rFonts w:hint="eastAsia" w:ascii="宋体" w:hAnsi="宋体" w:eastAsia="宋体" w:cs="@仿宋_GB2312"/>
          <w:b w:val="0"/>
          <w:bCs/>
          <w:color w:val="auto"/>
          <w:kern w:val="2"/>
          <w:sz w:val="24"/>
          <w:szCs w:val="18"/>
          <w:highlight w:val="none"/>
          <w:lang w:val="en-US" w:eastAsia="zh-CN" w:bidi="ar-SA"/>
        </w:rPr>
        <w:t>3.</w:t>
      </w:r>
      <w:r>
        <w:rPr>
          <w:rFonts w:hint="eastAsia" w:ascii="宋体" w:hAnsi="宋体" w:eastAsia="宋体" w:cs="@仿宋_GB2312"/>
          <w:b w:val="0"/>
          <w:bCs/>
          <w:color w:val="auto"/>
          <w:kern w:val="2"/>
          <w:sz w:val="24"/>
          <w:szCs w:val="18"/>
          <w:highlight w:val="none"/>
          <w:lang w:val="zh-CN" w:eastAsia="zh-CN" w:bidi="ar-SA"/>
        </w:rPr>
        <w:t>《商用密码管理条例》</w:t>
      </w:r>
    </w:p>
    <w:p w14:paraId="6F7988FA">
      <w:pPr>
        <w:pStyle w:val="2"/>
        <w:pageBreakBefore w:val="0"/>
        <w:widowControl w:val="0"/>
        <w:kinsoku/>
        <w:wordWrap/>
        <w:overflowPunct/>
        <w:topLinePunct w:val="0"/>
        <w:bidi w:val="0"/>
        <w:adjustRightInd/>
        <w:snapToGrid/>
        <w:spacing w:after="0" w:line="360" w:lineRule="auto"/>
        <w:ind w:firstLine="480" w:firstLineChars="200"/>
        <w:jc w:val="both"/>
        <w:textAlignment w:val="auto"/>
        <w:rPr>
          <w:rFonts w:hint="eastAsia" w:ascii="宋体" w:hAnsi="宋体" w:eastAsia="宋体" w:cs="@仿宋_GB2312"/>
          <w:b w:val="0"/>
          <w:bCs/>
          <w:color w:val="auto"/>
          <w:kern w:val="2"/>
          <w:sz w:val="24"/>
          <w:szCs w:val="18"/>
          <w:highlight w:val="none"/>
          <w:lang w:val="zh-CN" w:eastAsia="zh-CN" w:bidi="ar-SA"/>
        </w:rPr>
      </w:pPr>
      <w:r>
        <w:rPr>
          <w:rFonts w:hint="eastAsia" w:ascii="宋体" w:hAnsi="宋体" w:eastAsia="宋体" w:cs="@仿宋_GB2312"/>
          <w:b w:val="0"/>
          <w:bCs/>
          <w:color w:val="auto"/>
          <w:kern w:val="2"/>
          <w:sz w:val="24"/>
          <w:szCs w:val="18"/>
          <w:highlight w:val="none"/>
          <w:lang w:val="en-US" w:eastAsia="zh-CN" w:bidi="ar-SA"/>
        </w:rPr>
        <w:t>4.</w:t>
      </w:r>
      <w:r>
        <w:rPr>
          <w:rFonts w:hint="eastAsia" w:ascii="宋体" w:hAnsi="宋体" w:eastAsia="宋体" w:cs="@仿宋_GB2312"/>
          <w:b w:val="0"/>
          <w:bCs/>
          <w:color w:val="auto"/>
          <w:kern w:val="2"/>
          <w:sz w:val="24"/>
          <w:szCs w:val="18"/>
          <w:highlight w:val="none"/>
          <w:lang w:val="zh-CN" w:eastAsia="zh-CN" w:bidi="ar-SA"/>
        </w:rPr>
        <w:t>《商用密码应用安全性评估管理办法》</w:t>
      </w:r>
    </w:p>
    <w:p w14:paraId="6C6524BA">
      <w:pPr>
        <w:pStyle w:val="2"/>
        <w:pageBreakBefore w:val="0"/>
        <w:widowControl w:val="0"/>
        <w:kinsoku/>
        <w:wordWrap/>
        <w:overflowPunct/>
        <w:topLinePunct w:val="0"/>
        <w:bidi w:val="0"/>
        <w:adjustRightInd/>
        <w:snapToGrid/>
        <w:spacing w:after="0" w:line="360" w:lineRule="auto"/>
        <w:ind w:firstLine="480" w:firstLineChars="200"/>
        <w:jc w:val="both"/>
        <w:textAlignment w:val="auto"/>
        <w:rPr>
          <w:rFonts w:hint="eastAsia" w:ascii="宋体" w:hAnsi="宋体" w:eastAsia="宋体" w:cs="@仿宋_GB2312"/>
          <w:b w:val="0"/>
          <w:bCs/>
          <w:color w:val="auto"/>
          <w:kern w:val="2"/>
          <w:sz w:val="24"/>
          <w:szCs w:val="18"/>
          <w:highlight w:val="none"/>
          <w:lang w:val="zh-CN" w:eastAsia="zh-CN" w:bidi="ar-SA"/>
        </w:rPr>
      </w:pPr>
      <w:r>
        <w:rPr>
          <w:rFonts w:hint="eastAsia" w:ascii="宋体" w:hAnsi="宋体" w:eastAsia="宋体" w:cs="@仿宋_GB2312"/>
          <w:b w:val="0"/>
          <w:bCs/>
          <w:color w:val="auto"/>
          <w:kern w:val="2"/>
          <w:sz w:val="24"/>
          <w:szCs w:val="18"/>
          <w:highlight w:val="none"/>
          <w:lang w:val="en-US" w:eastAsia="zh-CN" w:bidi="ar-SA"/>
        </w:rPr>
        <w:t>5.</w:t>
      </w:r>
      <w:r>
        <w:rPr>
          <w:rFonts w:hint="eastAsia" w:ascii="宋体" w:hAnsi="宋体" w:eastAsia="宋体" w:cs="@仿宋_GB2312"/>
          <w:b w:val="0"/>
          <w:bCs/>
          <w:color w:val="auto"/>
          <w:kern w:val="2"/>
          <w:sz w:val="24"/>
          <w:szCs w:val="18"/>
          <w:highlight w:val="none"/>
          <w:lang w:val="zh-CN" w:eastAsia="zh-CN" w:bidi="ar-SA"/>
        </w:rPr>
        <w:t>《</w:t>
      </w:r>
      <w:r>
        <w:rPr>
          <w:rFonts w:hint="eastAsia" w:ascii="宋体" w:hAnsi="宋体" w:eastAsia="宋体" w:cs="@仿宋_GB2312"/>
          <w:b w:val="0"/>
          <w:bCs/>
          <w:color w:val="auto"/>
          <w:kern w:val="2"/>
          <w:sz w:val="24"/>
          <w:szCs w:val="18"/>
          <w:highlight w:val="none"/>
          <w:lang w:val="en-US" w:eastAsia="zh-CN" w:bidi="ar-SA"/>
        </w:rPr>
        <w:t xml:space="preserve">信息安全技术 </w:t>
      </w:r>
      <w:r>
        <w:rPr>
          <w:rFonts w:hint="eastAsia" w:ascii="宋体" w:hAnsi="宋体" w:eastAsia="宋体" w:cs="@仿宋_GB2312"/>
          <w:b w:val="0"/>
          <w:bCs/>
          <w:color w:val="auto"/>
          <w:kern w:val="2"/>
          <w:sz w:val="24"/>
          <w:szCs w:val="18"/>
          <w:highlight w:val="none"/>
          <w:lang w:val="zh-CN" w:eastAsia="zh-CN" w:bidi="ar-SA"/>
        </w:rPr>
        <w:t>信息系统密码应用基本要求》（GB/T 39786</w:t>
      </w:r>
      <w:r>
        <w:rPr>
          <w:rFonts w:hint="eastAsia" w:ascii="宋体" w:hAnsi="宋体" w:eastAsia="宋体" w:cs="@仿宋_GB2312"/>
          <w:b w:val="0"/>
          <w:bCs/>
          <w:color w:val="auto"/>
          <w:kern w:val="2"/>
          <w:sz w:val="24"/>
          <w:szCs w:val="18"/>
          <w:highlight w:val="none"/>
          <w:lang w:val="en-US" w:eastAsia="zh-CN" w:bidi="ar-SA"/>
        </w:rPr>
        <w:t>-2021</w:t>
      </w:r>
      <w:r>
        <w:rPr>
          <w:rFonts w:hint="eastAsia" w:ascii="宋体" w:hAnsi="宋体" w:eastAsia="宋体" w:cs="@仿宋_GB2312"/>
          <w:b w:val="0"/>
          <w:bCs/>
          <w:color w:val="auto"/>
          <w:kern w:val="2"/>
          <w:sz w:val="24"/>
          <w:szCs w:val="18"/>
          <w:highlight w:val="none"/>
          <w:lang w:val="zh-CN" w:eastAsia="zh-CN" w:bidi="ar-SA"/>
        </w:rPr>
        <w:t>）</w:t>
      </w:r>
    </w:p>
    <w:p w14:paraId="7D083589">
      <w:pPr>
        <w:pStyle w:val="2"/>
        <w:pageBreakBefore w:val="0"/>
        <w:widowControl w:val="0"/>
        <w:kinsoku/>
        <w:wordWrap/>
        <w:overflowPunct/>
        <w:topLinePunct w:val="0"/>
        <w:bidi w:val="0"/>
        <w:adjustRightInd/>
        <w:snapToGrid/>
        <w:spacing w:after="0" w:line="360" w:lineRule="auto"/>
        <w:ind w:firstLine="480" w:firstLineChars="200"/>
        <w:jc w:val="both"/>
        <w:textAlignment w:val="auto"/>
        <w:rPr>
          <w:rFonts w:hint="eastAsia" w:ascii="宋体" w:hAnsi="宋体" w:eastAsia="宋体" w:cs="@仿宋_GB2312"/>
          <w:b w:val="0"/>
          <w:bCs/>
          <w:color w:val="auto"/>
          <w:kern w:val="2"/>
          <w:sz w:val="24"/>
          <w:szCs w:val="18"/>
          <w:highlight w:val="none"/>
          <w:lang w:val="zh-CN" w:eastAsia="zh-CN" w:bidi="ar-SA"/>
        </w:rPr>
      </w:pPr>
      <w:r>
        <w:rPr>
          <w:rFonts w:hint="eastAsia" w:ascii="宋体" w:hAnsi="宋体" w:eastAsia="宋体" w:cs="@仿宋_GB2312"/>
          <w:b w:val="0"/>
          <w:bCs/>
          <w:color w:val="auto"/>
          <w:kern w:val="2"/>
          <w:sz w:val="24"/>
          <w:szCs w:val="18"/>
          <w:highlight w:val="none"/>
          <w:lang w:val="en-US" w:eastAsia="zh-CN" w:bidi="ar-SA"/>
        </w:rPr>
        <w:t>6.</w:t>
      </w:r>
      <w:r>
        <w:rPr>
          <w:rFonts w:hint="eastAsia" w:ascii="宋体" w:hAnsi="宋体" w:eastAsia="宋体" w:cs="@仿宋_GB2312"/>
          <w:b w:val="0"/>
          <w:bCs/>
          <w:color w:val="auto"/>
          <w:kern w:val="2"/>
          <w:sz w:val="24"/>
          <w:szCs w:val="18"/>
          <w:highlight w:val="none"/>
          <w:lang w:val="zh-CN" w:eastAsia="zh-CN" w:bidi="ar-SA"/>
        </w:rPr>
        <w:t>《</w:t>
      </w:r>
      <w:r>
        <w:rPr>
          <w:rFonts w:hint="eastAsia" w:ascii="宋体" w:hAnsi="宋体" w:eastAsia="宋体" w:cs="@仿宋_GB2312"/>
          <w:b w:val="0"/>
          <w:bCs/>
          <w:color w:val="auto"/>
          <w:kern w:val="2"/>
          <w:sz w:val="24"/>
          <w:szCs w:val="18"/>
          <w:highlight w:val="none"/>
          <w:lang w:val="en-US" w:eastAsia="zh-CN" w:bidi="ar-SA"/>
        </w:rPr>
        <w:t xml:space="preserve">信息安全技术 </w:t>
      </w:r>
      <w:r>
        <w:rPr>
          <w:rFonts w:hint="eastAsia" w:ascii="宋体" w:hAnsi="宋体" w:eastAsia="宋体" w:cs="@仿宋_GB2312"/>
          <w:b w:val="0"/>
          <w:bCs/>
          <w:color w:val="auto"/>
          <w:kern w:val="2"/>
          <w:sz w:val="24"/>
          <w:szCs w:val="18"/>
          <w:highlight w:val="none"/>
          <w:lang w:val="zh-CN" w:eastAsia="zh-CN" w:bidi="ar-SA"/>
        </w:rPr>
        <w:t>信息系统密码</w:t>
      </w:r>
      <w:r>
        <w:rPr>
          <w:rFonts w:hint="eastAsia" w:ascii="宋体" w:hAnsi="宋体" w:eastAsia="宋体" w:cs="@仿宋_GB2312"/>
          <w:b w:val="0"/>
          <w:bCs/>
          <w:color w:val="auto"/>
          <w:kern w:val="2"/>
          <w:sz w:val="24"/>
          <w:szCs w:val="18"/>
          <w:highlight w:val="none"/>
          <w:lang w:val="en-US" w:eastAsia="zh-CN" w:bidi="ar-SA"/>
        </w:rPr>
        <w:t>应用</w:t>
      </w:r>
      <w:r>
        <w:rPr>
          <w:rFonts w:hint="eastAsia" w:ascii="宋体" w:hAnsi="宋体" w:eastAsia="宋体" w:cs="@仿宋_GB2312"/>
          <w:b w:val="0"/>
          <w:bCs/>
          <w:color w:val="auto"/>
          <w:kern w:val="2"/>
          <w:sz w:val="24"/>
          <w:szCs w:val="18"/>
          <w:highlight w:val="none"/>
          <w:lang w:val="zh-CN" w:eastAsia="zh-CN" w:bidi="ar-SA"/>
        </w:rPr>
        <w:t xml:space="preserve">测评要求》（GB/T </w:t>
      </w:r>
      <w:r>
        <w:rPr>
          <w:rFonts w:hint="eastAsia" w:ascii="宋体" w:hAnsi="宋体" w:eastAsia="宋体" w:cs="@仿宋_GB2312"/>
          <w:b w:val="0"/>
          <w:bCs/>
          <w:color w:val="auto"/>
          <w:kern w:val="2"/>
          <w:sz w:val="24"/>
          <w:szCs w:val="18"/>
          <w:highlight w:val="none"/>
          <w:lang w:val="en-US" w:eastAsia="zh-CN" w:bidi="ar-SA"/>
        </w:rPr>
        <w:t>43206-2023</w:t>
      </w:r>
      <w:r>
        <w:rPr>
          <w:rFonts w:hint="eastAsia" w:ascii="宋体" w:hAnsi="宋体" w:eastAsia="宋体" w:cs="@仿宋_GB2312"/>
          <w:b w:val="0"/>
          <w:bCs/>
          <w:color w:val="auto"/>
          <w:kern w:val="2"/>
          <w:sz w:val="24"/>
          <w:szCs w:val="18"/>
          <w:highlight w:val="none"/>
          <w:lang w:val="zh-CN" w:eastAsia="zh-CN" w:bidi="ar-SA"/>
        </w:rPr>
        <w:t>）</w:t>
      </w:r>
    </w:p>
    <w:p w14:paraId="677155F2">
      <w:pPr>
        <w:pStyle w:val="2"/>
        <w:pageBreakBefore w:val="0"/>
        <w:widowControl w:val="0"/>
        <w:kinsoku/>
        <w:wordWrap/>
        <w:overflowPunct/>
        <w:topLinePunct w:val="0"/>
        <w:bidi w:val="0"/>
        <w:adjustRightInd/>
        <w:snapToGrid/>
        <w:spacing w:after="0" w:line="360" w:lineRule="auto"/>
        <w:ind w:firstLine="480" w:firstLineChars="200"/>
        <w:jc w:val="both"/>
        <w:textAlignment w:val="auto"/>
        <w:rPr>
          <w:rFonts w:hint="eastAsia" w:ascii="宋体" w:hAnsi="宋体" w:eastAsia="宋体" w:cs="@仿宋_GB2312"/>
          <w:b w:val="0"/>
          <w:bCs/>
          <w:color w:val="auto"/>
          <w:kern w:val="2"/>
          <w:sz w:val="24"/>
          <w:szCs w:val="18"/>
          <w:highlight w:val="none"/>
          <w:lang w:val="zh-CN" w:eastAsia="zh-CN" w:bidi="ar-SA"/>
        </w:rPr>
      </w:pPr>
      <w:r>
        <w:rPr>
          <w:rFonts w:hint="eastAsia" w:ascii="宋体" w:hAnsi="宋体" w:eastAsia="宋体" w:cs="@仿宋_GB2312"/>
          <w:b w:val="0"/>
          <w:bCs/>
          <w:color w:val="auto"/>
          <w:kern w:val="2"/>
          <w:sz w:val="24"/>
          <w:szCs w:val="18"/>
          <w:highlight w:val="none"/>
          <w:lang w:val="en-US" w:eastAsia="zh-CN" w:bidi="ar-SA"/>
        </w:rPr>
        <w:t>7.</w:t>
      </w:r>
      <w:r>
        <w:rPr>
          <w:rFonts w:hint="eastAsia" w:ascii="宋体" w:hAnsi="宋体" w:eastAsia="宋体" w:cs="@仿宋_GB2312"/>
          <w:b w:val="0"/>
          <w:bCs/>
          <w:color w:val="auto"/>
          <w:kern w:val="2"/>
          <w:sz w:val="24"/>
          <w:szCs w:val="18"/>
          <w:highlight w:val="none"/>
          <w:lang w:val="zh-CN" w:eastAsia="zh-CN" w:bidi="ar-SA"/>
        </w:rPr>
        <w:t>《信息技术安全技术实体鉴别第3部分：采用数字签名技术的机制》（GB/T 15843.3-</w:t>
      </w:r>
      <w:r>
        <w:rPr>
          <w:rFonts w:hint="eastAsia" w:ascii="宋体" w:hAnsi="宋体" w:eastAsia="宋体" w:cs="@仿宋_GB2312"/>
          <w:b w:val="0"/>
          <w:bCs/>
          <w:color w:val="auto"/>
          <w:kern w:val="2"/>
          <w:sz w:val="24"/>
          <w:szCs w:val="18"/>
          <w:highlight w:val="none"/>
          <w:lang w:val="en-US" w:eastAsia="zh-CN" w:bidi="ar-SA"/>
        </w:rPr>
        <w:t>2023</w:t>
      </w:r>
      <w:r>
        <w:rPr>
          <w:rFonts w:hint="eastAsia" w:ascii="宋体" w:hAnsi="宋体" w:eastAsia="宋体" w:cs="@仿宋_GB2312"/>
          <w:b w:val="0"/>
          <w:bCs/>
          <w:color w:val="auto"/>
          <w:kern w:val="2"/>
          <w:sz w:val="24"/>
          <w:szCs w:val="18"/>
          <w:highlight w:val="none"/>
          <w:lang w:val="zh-CN" w:eastAsia="zh-CN" w:bidi="ar-SA"/>
        </w:rPr>
        <w:t>）</w:t>
      </w:r>
    </w:p>
    <w:p w14:paraId="66E72D81">
      <w:pPr>
        <w:pStyle w:val="2"/>
        <w:pageBreakBefore w:val="0"/>
        <w:widowControl w:val="0"/>
        <w:kinsoku/>
        <w:wordWrap/>
        <w:overflowPunct/>
        <w:topLinePunct w:val="0"/>
        <w:bidi w:val="0"/>
        <w:adjustRightInd/>
        <w:snapToGrid/>
        <w:spacing w:after="0" w:line="360" w:lineRule="auto"/>
        <w:ind w:firstLine="480" w:firstLineChars="200"/>
        <w:jc w:val="both"/>
        <w:textAlignment w:val="auto"/>
        <w:rPr>
          <w:rFonts w:hint="eastAsia" w:ascii="宋体" w:hAnsi="宋体" w:eastAsia="宋体" w:cs="@仿宋_GB2312"/>
          <w:b w:val="0"/>
          <w:bCs/>
          <w:color w:val="auto"/>
          <w:kern w:val="2"/>
          <w:sz w:val="24"/>
          <w:szCs w:val="18"/>
          <w:highlight w:val="none"/>
          <w:lang w:val="en-US" w:eastAsia="zh-CN" w:bidi="ar-SA"/>
        </w:rPr>
      </w:pPr>
      <w:r>
        <w:rPr>
          <w:rFonts w:hint="eastAsia" w:ascii="宋体" w:hAnsi="宋体" w:eastAsia="宋体" w:cs="@仿宋_GB2312"/>
          <w:b w:val="0"/>
          <w:bCs/>
          <w:color w:val="auto"/>
          <w:kern w:val="2"/>
          <w:sz w:val="24"/>
          <w:szCs w:val="18"/>
          <w:highlight w:val="none"/>
          <w:lang w:val="en-US" w:eastAsia="zh-CN" w:bidi="ar-SA"/>
        </w:rPr>
        <w:t>8.《安徽省数字安徽建设领导小组办公室关于印发〈安徽省政务信息化项目建设管理办法实施细则（试行）〉的通知》（皖数安办〔2023〕6号）</w:t>
      </w:r>
    </w:p>
    <w:p w14:paraId="6E8DFCC8">
      <w:pPr>
        <w:pStyle w:val="2"/>
        <w:pageBreakBefore w:val="0"/>
        <w:widowControl w:val="0"/>
        <w:kinsoku/>
        <w:wordWrap/>
        <w:overflowPunct/>
        <w:topLinePunct w:val="0"/>
        <w:bidi w:val="0"/>
        <w:adjustRightInd/>
        <w:snapToGrid/>
        <w:spacing w:after="0" w:line="360" w:lineRule="auto"/>
        <w:ind w:firstLine="480" w:firstLineChars="200"/>
        <w:jc w:val="both"/>
        <w:textAlignment w:val="auto"/>
        <w:rPr>
          <w:rFonts w:hint="default" w:ascii="宋体" w:hAnsi="宋体" w:eastAsia="宋体" w:cs="@仿宋_GB2312"/>
          <w:b w:val="0"/>
          <w:bCs/>
          <w:color w:val="auto"/>
          <w:kern w:val="2"/>
          <w:sz w:val="24"/>
          <w:szCs w:val="18"/>
          <w:highlight w:val="none"/>
          <w:lang w:val="en-US" w:eastAsia="zh-CN" w:bidi="ar-SA"/>
        </w:rPr>
      </w:pPr>
      <w:r>
        <w:rPr>
          <w:rFonts w:hint="eastAsia" w:ascii="宋体" w:hAnsi="宋体" w:eastAsia="宋体" w:cs="@仿宋_GB2312"/>
          <w:b w:val="0"/>
          <w:bCs/>
          <w:color w:val="auto"/>
          <w:kern w:val="2"/>
          <w:sz w:val="24"/>
          <w:szCs w:val="18"/>
          <w:highlight w:val="none"/>
          <w:lang w:val="en-US" w:eastAsia="zh-CN" w:bidi="ar-SA"/>
        </w:rPr>
        <w:t>9.其他有关法律法规和技术规范、政策规定等。</w:t>
      </w:r>
    </w:p>
    <w:p w14:paraId="173CD142">
      <w:pPr>
        <w:pStyle w:val="4"/>
        <w:pageBreakBefore w:val="0"/>
        <w:widowControl w:val="0"/>
        <w:kinsoku/>
        <w:wordWrap/>
        <w:overflowPunct/>
        <w:topLinePunct w:val="0"/>
        <w:bidi w:val="0"/>
        <w:adjustRightInd/>
        <w:snapToGrid/>
        <w:spacing w:before="0" w:beforeLines="0" w:after="0" w:afterLines="0" w:line="360" w:lineRule="auto"/>
        <w:ind w:firstLine="482" w:firstLineChars="200"/>
        <w:jc w:val="left"/>
        <w:textAlignment w:val="auto"/>
        <w:outlineLvl w:val="2"/>
        <w:rPr>
          <w:rFonts w:hint="eastAsia" w:ascii="宋体" w:hAnsi="宋体" w:eastAsia="宋体" w:cs="@仿宋_GB2312"/>
          <w:b/>
          <w:bCs w:val="0"/>
          <w:color w:val="auto"/>
          <w:kern w:val="2"/>
          <w:sz w:val="24"/>
          <w:szCs w:val="18"/>
          <w:highlight w:val="none"/>
          <w:lang w:val="en-US" w:eastAsia="zh-CN" w:bidi="ar-SA"/>
        </w:rPr>
      </w:pPr>
      <w:r>
        <w:rPr>
          <w:rFonts w:hint="eastAsia" w:ascii="宋体" w:hAnsi="宋体" w:eastAsia="宋体" w:cs="@仿宋_GB2312"/>
          <w:b/>
          <w:bCs w:val="0"/>
          <w:color w:val="auto"/>
          <w:kern w:val="2"/>
          <w:sz w:val="24"/>
          <w:szCs w:val="18"/>
          <w:highlight w:val="none"/>
          <w:lang w:val="en-US" w:eastAsia="zh-CN" w:bidi="ar-SA"/>
        </w:rPr>
        <w:t>（四）服务需求</w:t>
      </w:r>
      <w:bookmarkEnd w:id="5"/>
      <w:bookmarkEnd w:id="6"/>
    </w:p>
    <w:p w14:paraId="5E93A928">
      <w:pPr>
        <w:pStyle w:val="2"/>
        <w:pageBreakBefore w:val="0"/>
        <w:widowControl w:val="0"/>
        <w:kinsoku/>
        <w:wordWrap/>
        <w:overflowPunct/>
        <w:topLinePunct w:val="0"/>
        <w:bidi w:val="0"/>
        <w:adjustRightInd/>
        <w:snapToGrid/>
        <w:spacing w:after="0" w:line="360" w:lineRule="auto"/>
        <w:ind w:firstLine="480" w:firstLineChars="200"/>
        <w:textAlignment w:val="auto"/>
        <w:rPr>
          <w:rFonts w:hint="eastAsia" w:ascii="宋体" w:hAnsi="宋体" w:eastAsia="宋体" w:cs="@仿宋_GB2312"/>
          <w:b w:val="0"/>
          <w:bCs/>
          <w:color w:val="auto"/>
          <w:kern w:val="2"/>
          <w:sz w:val="24"/>
          <w:szCs w:val="18"/>
          <w:highlight w:val="none"/>
          <w:lang w:val="en-US" w:eastAsia="zh-CN" w:bidi="ar-SA"/>
        </w:rPr>
      </w:pPr>
      <w:r>
        <w:rPr>
          <w:rFonts w:hint="eastAsia" w:ascii="宋体" w:hAnsi="宋体" w:eastAsia="宋体" w:cs="@仿宋_GB2312"/>
          <w:b w:val="0"/>
          <w:bCs/>
          <w:color w:val="auto"/>
          <w:kern w:val="2"/>
          <w:sz w:val="24"/>
          <w:szCs w:val="18"/>
          <w:highlight w:val="none"/>
          <w:lang w:val="en-US" w:eastAsia="zh-CN" w:bidi="ar-SA"/>
        </w:rPr>
        <w:t>密码测评过程根据项目进展分为四个方面：测评准备活动、方案编制活动、现场测评活动、分析与报告编制活动。</w:t>
      </w:r>
    </w:p>
    <w:p w14:paraId="0A03E9B1">
      <w:pPr>
        <w:pStyle w:val="2"/>
        <w:pageBreakBefore w:val="0"/>
        <w:widowControl w:val="0"/>
        <w:kinsoku/>
        <w:wordWrap/>
        <w:overflowPunct/>
        <w:topLinePunct w:val="0"/>
        <w:bidi w:val="0"/>
        <w:adjustRightInd/>
        <w:snapToGrid/>
        <w:spacing w:after="0" w:line="360" w:lineRule="auto"/>
        <w:ind w:firstLine="480" w:firstLineChars="200"/>
        <w:textAlignment w:val="auto"/>
        <w:rPr>
          <w:rFonts w:hint="eastAsia" w:ascii="宋体" w:hAnsi="宋体" w:eastAsia="宋体" w:cs="@仿宋_GB2312"/>
          <w:b w:val="0"/>
          <w:bCs/>
          <w:color w:val="auto"/>
          <w:kern w:val="2"/>
          <w:sz w:val="24"/>
          <w:szCs w:val="18"/>
          <w:highlight w:val="none"/>
          <w:lang w:val="zh-CN" w:eastAsia="zh-CN" w:bidi="ar-SA"/>
        </w:rPr>
      </w:pPr>
      <w:r>
        <w:rPr>
          <w:rFonts w:hint="eastAsia" w:ascii="宋体" w:hAnsi="宋体" w:eastAsia="宋体" w:cs="@仿宋_GB2312"/>
          <w:b w:val="0"/>
          <w:bCs/>
          <w:color w:val="auto"/>
          <w:kern w:val="2"/>
          <w:sz w:val="24"/>
          <w:szCs w:val="18"/>
          <w:highlight w:val="none"/>
          <w:lang w:val="zh-CN" w:eastAsia="zh-CN" w:bidi="ar-SA"/>
        </w:rPr>
        <w:t>1</w:t>
      </w:r>
      <w:r>
        <w:rPr>
          <w:rFonts w:hint="eastAsia" w:ascii="宋体" w:hAnsi="宋体" w:eastAsia="宋体" w:cs="@仿宋_GB2312"/>
          <w:b w:val="0"/>
          <w:bCs/>
          <w:color w:val="auto"/>
          <w:kern w:val="2"/>
          <w:sz w:val="24"/>
          <w:szCs w:val="18"/>
          <w:highlight w:val="none"/>
          <w:lang w:val="en-US" w:eastAsia="zh-CN" w:bidi="ar-SA"/>
        </w:rPr>
        <w:t>.</w:t>
      </w:r>
      <w:r>
        <w:rPr>
          <w:rFonts w:hint="eastAsia" w:ascii="宋体" w:hAnsi="宋体" w:eastAsia="宋体" w:cs="@仿宋_GB2312"/>
          <w:b w:val="0"/>
          <w:bCs/>
          <w:color w:val="auto"/>
          <w:kern w:val="2"/>
          <w:sz w:val="24"/>
          <w:szCs w:val="18"/>
          <w:highlight w:val="none"/>
          <w:lang w:val="zh-CN" w:eastAsia="zh-CN" w:bidi="ar-SA"/>
        </w:rPr>
        <w:t>测评准备活动</w:t>
      </w:r>
    </w:p>
    <w:p w14:paraId="2EB61B66">
      <w:pPr>
        <w:pStyle w:val="2"/>
        <w:pageBreakBefore w:val="0"/>
        <w:widowControl w:val="0"/>
        <w:kinsoku/>
        <w:wordWrap/>
        <w:overflowPunct/>
        <w:topLinePunct w:val="0"/>
        <w:bidi w:val="0"/>
        <w:adjustRightInd/>
        <w:snapToGrid/>
        <w:spacing w:after="0" w:line="360" w:lineRule="auto"/>
        <w:ind w:firstLine="480" w:firstLineChars="200"/>
        <w:jc w:val="both"/>
        <w:textAlignment w:val="auto"/>
        <w:rPr>
          <w:rFonts w:hint="eastAsia" w:ascii="宋体" w:hAnsi="宋体" w:eastAsia="宋体" w:cs="@仿宋_GB2312"/>
          <w:b w:val="0"/>
          <w:bCs/>
          <w:color w:val="auto"/>
          <w:kern w:val="2"/>
          <w:sz w:val="24"/>
          <w:szCs w:val="18"/>
          <w:highlight w:val="none"/>
          <w:lang w:val="en-US" w:eastAsia="zh-CN" w:bidi="ar-SA"/>
        </w:rPr>
      </w:pPr>
      <w:r>
        <w:rPr>
          <w:rFonts w:hint="eastAsia" w:ascii="宋体" w:hAnsi="宋体" w:eastAsia="宋体" w:cs="@仿宋_GB2312"/>
          <w:b w:val="0"/>
          <w:bCs/>
          <w:color w:val="auto"/>
          <w:kern w:val="2"/>
          <w:sz w:val="24"/>
          <w:szCs w:val="18"/>
          <w:highlight w:val="none"/>
          <w:lang w:val="zh-CN" w:eastAsia="zh-CN" w:bidi="ar-SA"/>
        </w:rPr>
        <w:t>根据测评双方签订的委托测评协议书和测评对象，从人员方面做好准备，并编制项目计划书。测评机构通过查阅</w:t>
      </w:r>
      <w:r>
        <w:rPr>
          <w:rFonts w:hint="eastAsia" w:ascii="宋体" w:hAnsi="宋体" w:eastAsia="宋体" w:cs="@仿宋_GB2312"/>
          <w:b w:val="0"/>
          <w:bCs/>
          <w:color w:val="auto"/>
          <w:kern w:val="2"/>
          <w:sz w:val="24"/>
          <w:szCs w:val="18"/>
          <w:highlight w:val="none"/>
          <w:lang w:val="en-US" w:eastAsia="zh-CN" w:bidi="ar-SA"/>
        </w:rPr>
        <w:t>安徽省医疗保障信息平台</w:t>
      </w:r>
      <w:r>
        <w:rPr>
          <w:rFonts w:hint="eastAsia" w:ascii="宋体" w:hAnsi="宋体" w:eastAsia="宋体" w:cs="@仿宋_GB2312"/>
          <w:b w:val="0"/>
          <w:bCs/>
          <w:color w:val="auto"/>
          <w:kern w:val="2"/>
          <w:sz w:val="24"/>
          <w:szCs w:val="18"/>
          <w:highlight w:val="none"/>
          <w:lang w:val="zh-CN" w:eastAsia="zh-CN" w:bidi="ar-SA"/>
        </w:rPr>
        <w:t>已有资料并使用调查表格的方式，了解</w:t>
      </w:r>
      <w:r>
        <w:rPr>
          <w:rFonts w:hint="eastAsia" w:ascii="宋体" w:hAnsi="宋体" w:eastAsia="宋体" w:cs="@仿宋_GB2312"/>
          <w:b w:val="0"/>
          <w:bCs/>
          <w:color w:val="auto"/>
          <w:kern w:val="2"/>
          <w:sz w:val="24"/>
          <w:szCs w:val="18"/>
          <w:highlight w:val="none"/>
          <w:lang w:val="en-US" w:eastAsia="zh-CN" w:bidi="ar-SA"/>
        </w:rPr>
        <w:t>安徽省医疗保障信息平台</w:t>
      </w:r>
      <w:r>
        <w:rPr>
          <w:rFonts w:hint="eastAsia" w:ascii="宋体" w:hAnsi="宋体" w:eastAsia="宋体" w:cs="@仿宋_GB2312"/>
          <w:b w:val="0"/>
          <w:bCs/>
          <w:color w:val="auto"/>
          <w:kern w:val="2"/>
          <w:sz w:val="24"/>
          <w:szCs w:val="18"/>
          <w:highlight w:val="none"/>
          <w:lang w:val="zh-CN" w:eastAsia="zh-CN" w:bidi="ar-SA"/>
        </w:rPr>
        <w:t>的构成和密码保护情况，为编写测评方案和开展现场测评工作奠定基础。测评项目组成员在进行现场测评之前，熟悉与</w:t>
      </w:r>
      <w:r>
        <w:rPr>
          <w:rFonts w:hint="eastAsia" w:ascii="宋体" w:hAnsi="宋体" w:eastAsia="宋体" w:cs="@仿宋_GB2312"/>
          <w:b w:val="0"/>
          <w:bCs/>
          <w:color w:val="auto"/>
          <w:kern w:val="2"/>
          <w:sz w:val="24"/>
          <w:szCs w:val="18"/>
          <w:highlight w:val="none"/>
          <w:lang w:val="en-US" w:eastAsia="zh-CN" w:bidi="ar-SA"/>
        </w:rPr>
        <w:t>安徽省医疗保障信息平台</w:t>
      </w:r>
      <w:r>
        <w:rPr>
          <w:rFonts w:hint="eastAsia" w:ascii="宋体" w:hAnsi="宋体" w:eastAsia="宋体" w:cs="@仿宋_GB2312"/>
          <w:b w:val="0"/>
          <w:bCs/>
          <w:color w:val="auto"/>
          <w:kern w:val="2"/>
          <w:sz w:val="24"/>
          <w:szCs w:val="18"/>
          <w:highlight w:val="none"/>
          <w:lang w:val="zh-CN" w:eastAsia="zh-CN" w:bidi="ar-SA"/>
        </w:rPr>
        <w:t>相关的各种组件调试测评工具、准备各种表单等。</w:t>
      </w:r>
    </w:p>
    <w:p w14:paraId="2A8CD3FB">
      <w:pPr>
        <w:pStyle w:val="2"/>
        <w:pageBreakBefore w:val="0"/>
        <w:widowControl w:val="0"/>
        <w:kinsoku/>
        <w:wordWrap/>
        <w:overflowPunct/>
        <w:topLinePunct w:val="0"/>
        <w:bidi w:val="0"/>
        <w:adjustRightInd/>
        <w:snapToGrid/>
        <w:spacing w:after="0" w:line="360" w:lineRule="auto"/>
        <w:ind w:firstLine="480" w:firstLineChars="200"/>
        <w:jc w:val="both"/>
        <w:textAlignment w:val="auto"/>
        <w:rPr>
          <w:rFonts w:hint="eastAsia" w:ascii="宋体" w:hAnsi="宋体" w:eastAsia="宋体" w:cs="@仿宋_GB2312"/>
          <w:b w:val="0"/>
          <w:bCs/>
          <w:color w:val="auto"/>
          <w:kern w:val="2"/>
          <w:sz w:val="24"/>
          <w:szCs w:val="18"/>
          <w:highlight w:val="none"/>
          <w:lang w:val="zh-CN" w:eastAsia="zh-CN" w:bidi="ar-SA"/>
        </w:rPr>
      </w:pPr>
      <w:r>
        <w:rPr>
          <w:rFonts w:hint="eastAsia" w:ascii="宋体" w:hAnsi="宋体" w:eastAsia="宋体" w:cs="@仿宋_GB2312"/>
          <w:b w:val="0"/>
          <w:bCs/>
          <w:color w:val="auto"/>
          <w:kern w:val="2"/>
          <w:sz w:val="24"/>
          <w:szCs w:val="18"/>
          <w:highlight w:val="none"/>
          <w:lang w:val="en-US" w:eastAsia="zh-CN" w:bidi="ar-SA"/>
        </w:rPr>
        <w:t>2.</w:t>
      </w:r>
      <w:r>
        <w:rPr>
          <w:rFonts w:hint="eastAsia" w:ascii="宋体" w:hAnsi="宋体" w:eastAsia="宋体" w:cs="@仿宋_GB2312"/>
          <w:b w:val="0"/>
          <w:bCs/>
          <w:color w:val="auto"/>
          <w:kern w:val="2"/>
          <w:sz w:val="24"/>
          <w:szCs w:val="18"/>
          <w:highlight w:val="none"/>
          <w:lang w:val="zh-CN" w:eastAsia="zh-CN" w:bidi="ar-SA"/>
        </w:rPr>
        <w:t>方案编制活动</w:t>
      </w:r>
    </w:p>
    <w:p w14:paraId="5B004122">
      <w:pPr>
        <w:pStyle w:val="2"/>
        <w:pageBreakBefore w:val="0"/>
        <w:widowControl w:val="0"/>
        <w:kinsoku/>
        <w:wordWrap/>
        <w:overflowPunct/>
        <w:topLinePunct w:val="0"/>
        <w:bidi w:val="0"/>
        <w:adjustRightInd/>
        <w:snapToGrid/>
        <w:spacing w:after="0" w:line="360" w:lineRule="auto"/>
        <w:ind w:firstLine="480" w:firstLineChars="200"/>
        <w:jc w:val="both"/>
        <w:textAlignment w:val="auto"/>
        <w:rPr>
          <w:rFonts w:hint="eastAsia" w:ascii="宋体" w:hAnsi="宋体" w:eastAsia="宋体" w:cs="@仿宋_GB2312"/>
          <w:b w:val="0"/>
          <w:bCs/>
          <w:color w:val="auto"/>
          <w:kern w:val="2"/>
          <w:sz w:val="24"/>
          <w:szCs w:val="18"/>
          <w:highlight w:val="none"/>
          <w:lang w:val="en-US" w:eastAsia="zh-CN" w:bidi="ar-SA"/>
        </w:rPr>
      </w:pPr>
      <w:r>
        <w:rPr>
          <w:rFonts w:hint="eastAsia" w:ascii="宋体" w:hAnsi="宋体" w:eastAsia="宋体" w:cs="@仿宋_GB2312"/>
          <w:b w:val="0"/>
          <w:bCs/>
          <w:color w:val="auto"/>
          <w:kern w:val="2"/>
          <w:sz w:val="24"/>
          <w:szCs w:val="18"/>
          <w:highlight w:val="none"/>
          <w:lang w:val="zh-CN" w:eastAsia="zh-CN" w:bidi="ar-SA"/>
        </w:rPr>
        <w:t>根据</w:t>
      </w:r>
      <w:r>
        <w:rPr>
          <w:rFonts w:hint="eastAsia" w:ascii="宋体" w:hAnsi="宋体" w:eastAsia="宋体" w:cs="@仿宋_GB2312"/>
          <w:b w:val="0"/>
          <w:bCs/>
          <w:color w:val="auto"/>
          <w:kern w:val="2"/>
          <w:sz w:val="24"/>
          <w:szCs w:val="18"/>
          <w:highlight w:val="none"/>
          <w:lang w:val="en-US" w:eastAsia="zh-CN" w:bidi="ar-SA"/>
        </w:rPr>
        <w:t>安徽省医疗保障信息平台建设和运维情况</w:t>
      </w:r>
      <w:r>
        <w:rPr>
          <w:rFonts w:hint="eastAsia" w:ascii="宋体" w:hAnsi="宋体" w:eastAsia="宋体" w:cs="@仿宋_GB2312"/>
          <w:b w:val="0"/>
          <w:bCs/>
          <w:color w:val="auto"/>
          <w:kern w:val="2"/>
          <w:sz w:val="24"/>
          <w:szCs w:val="18"/>
          <w:highlight w:val="none"/>
          <w:lang w:val="zh-CN" w:eastAsia="zh-CN" w:bidi="ar-SA"/>
        </w:rPr>
        <w:t>，分析</w:t>
      </w:r>
      <w:r>
        <w:rPr>
          <w:rFonts w:hint="eastAsia" w:ascii="宋体" w:hAnsi="宋体" w:eastAsia="宋体" w:cs="@仿宋_GB2312"/>
          <w:b w:val="0"/>
          <w:bCs/>
          <w:color w:val="auto"/>
          <w:kern w:val="2"/>
          <w:sz w:val="24"/>
          <w:szCs w:val="18"/>
          <w:highlight w:val="none"/>
          <w:lang w:val="en-US" w:eastAsia="zh-CN" w:bidi="ar-SA"/>
        </w:rPr>
        <w:t>安徽省医疗保障信息平台</w:t>
      </w:r>
      <w:r>
        <w:rPr>
          <w:rFonts w:hint="eastAsia" w:ascii="宋体" w:hAnsi="宋体" w:eastAsia="宋体" w:cs="@仿宋_GB2312"/>
          <w:b w:val="0"/>
          <w:bCs/>
          <w:color w:val="auto"/>
          <w:kern w:val="2"/>
          <w:sz w:val="24"/>
          <w:szCs w:val="18"/>
          <w:highlight w:val="none"/>
          <w:lang w:val="zh-CN" w:eastAsia="zh-CN" w:bidi="ar-SA"/>
        </w:rPr>
        <w:t>的商用密码应用情况，确定出本次测评的测评对象；根据已经了解到的被测系统定级结果，确定出本次测评的测评指标；测评过程中，确认现场检查的关键安全点并且充分考虑到检查的可行性和风险，最低限度的避免对被测系统，尤其是在线运行业务系统的影响；确定现场测评的具体实施内容，即单元测评内容；最终完成测评方案的编制</w:t>
      </w:r>
      <w:r>
        <w:rPr>
          <w:rFonts w:hint="eastAsia" w:ascii="宋体" w:hAnsi="宋体" w:eastAsia="宋体" w:cs="@仿宋_GB2312"/>
          <w:b w:val="0"/>
          <w:bCs/>
          <w:color w:val="auto"/>
          <w:kern w:val="2"/>
          <w:sz w:val="24"/>
          <w:szCs w:val="18"/>
          <w:highlight w:val="none"/>
          <w:lang w:val="en-US" w:eastAsia="zh-CN" w:bidi="ar-SA"/>
        </w:rPr>
        <w:t>并提请采购人同意</w:t>
      </w:r>
      <w:r>
        <w:rPr>
          <w:rFonts w:hint="eastAsia" w:ascii="宋体" w:hAnsi="宋体" w:eastAsia="宋体" w:cs="@仿宋_GB2312"/>
          <w:b w:val="0"/>
          <w:bCs/>
          <w:color w:val="auto"/>
          <w:kern w:val="2"/>
          <w:sz w:val="24"/>
          <w:szCs w:val="18"/>
          <w:highlight w:val="none"/>
          <w:lang w:val="zh-CN" w:eastAsia="zh-CN" w:bidi="ar-SA"/>
        </w:rPr>
        <w:t>。</w:t>
      </w:r>
    </w:p>
    <w:p w14:paraId="22E1BCC2">
      <w:pPr>
        <w:pStyle w:val="2"/>
        <w:pageBreakBefore w:val="0"/>
        <w:widowControl w:val="0"/>
        <w:kinsoku/>
        <w:wordWrap/>
        <w:overflowPunct/>
        <w:topLinePunct w:val="0"/>
        <w:bidi w:val="0"/>
        <w:adjustRightInd/>
        <w:snapToGrid/>
        <w:spacing w:after="0" w:line="360" w:lineRule="auto"/>
        <w:ind w:firstLine="480" w:firstLineChars="200"/>
        <w:jc w:val="both"/>
        <w:textAlignment w:val="auto"/>
        <w:rPr>
          <w:rFonts w:hint="eastAsia" w:ascii="宋体" w:hAnsi="宋体" w:eastAsia="宋体" w:cs="@仿宋_GB2312"/>
          <w:b w:val="0"/>
          <w:bCs/>
          <w:color w:val="auto"/>
          <w:kern w:val="2"/>
          <w:sz w:val="24"/>
          <w:szCs w:val="18"/>
          <w:highlight w:val="none"/>
          <w:lang w:val="en-US" w:eastAsia="zh-CN" w:bidi="ar-SA"/>
        </w:rPr>
      </w:pPr>
      <w:r>
        <w:rPr>
          <w:rFonts w:hint="eastAsia" w:ascii="宋体" w:hAnsi="宋体" w:eastAsia="宋体" w:cs="@仿宋_GB2312"/>
          <w:b w:val="0"/>
          <w:bCs/>
          <w:color w:val="auto"/>
          <w:kern w:val="2"/>
          <w:sz w:val="24"/>
          <w:szCs w:val="18"/>
          <w:highlight w:val="none"/>
          <w:lang w:val="en-US" w:eastAsia="zh-CN" w:bidi="ar-SA"/>
        </w:rPr>
        <w:t>3.现场测评活动</w:t>
      </w:r>
    </w:p>
    <w:p w14:paraId="36AC39B8">
      <w:pPr>
        <w:pStyle w:val="2"/>
        <w:pageBreakBefore w:val="0"/>
        <w:widowControl w:val="0"/>
        <w:kinsoku/>
        <w:wordWrap/>
        <w:overflowPunct/>
        <w:topLinePunct w:val="0"/>
        <w:bidi w:val="0"/>
        <w:adjustRightInd/>
        <w:snapToGrid/>
        <w:spacing w:after="0" w:line="360" w:lineRule="auto"/>
        <w:ind w:firstLine="480" w:firstLineChars="200"/>
        <w:jc w:val="both"/>
        <w:textAlignment w:val="auto"/>
        <w:rPr>
          <w:rFonts w:hint="eastAsia" w:ascii="宋体" w:hAnsi="宋体" w:eastAsia="宋体" w:cs="@仿宋_GB2312"/>
          <w:b w:val="0"/>
          <w:bCs/>
          <w:color w:val="auto"/>
          <w:kern w:val="2"/>
          <w:sz w:val="24"/>
          <w:szCs w:val="18"/>
          <w:highlight w:val="none"/>
          <w:lang w:val="en-US" w:eastAsia="zh-CN" w:bidi="ar-SA"/>
        </w:rPr>
      </w:pPr>
      <w:r>
        <w:rPr>
          <w:rFonts w:hint="eastAsia" w:ascii="宋体" w:hAnsi="宋体" w:eastAsia="宋体" w:cs="@仿宋_GB2312"/>
          <w:b w:val="0"/>
          <w:bCs/>
          <w:color w:val="auto"/>
          <w:kern w:val="2"/>
          <w:sz w:val="24"/>
          <w:szCs w:val="18"/>
          <w:highlight w:val="none"/>
          <w:lang w:val="en-US" w:eastAsia="zh-CN" w:bidi="ar-SA"/>
        </w:rPr>
        <w:t>现场测评准备：召开测评现场工作会，测评机构介绍测评工作，与采购人交流测评信息，进一步明确测评计划和方案中的内容，说明测评过程中具体的实施工作内容、测评时间安排、测评过程中可能存在的安全风险等，以便于后面的测评工作开展。测评双方确认现场测评需要的各种资源，包括采购人配合人员和需要提供的测评条件等，确认被测系统已备份过系统及数据。采购人签署现场测评授权书。测评人员根据会议沟通结果，对测评结果记录表单和测评程序进行必要的更新。</w:t>
      </w:r>
    </w:p>
    <w:p w14:paraId="052ECBDE">
      <w:pPr>
        <w:pStyle w:val="2"/>
        <w:pageBreakBefore w:val="0"/>
        <w:widowControl w:val="0"/>
        <w:kinsoku/>
        <w:wordWrap/>
        <w:overflowPunct/>
        <w:topLinePunct w:val="0"/>
        <w:bidi w:val="0"/>
        <w:adjustRightInd/>
        <w:snapToGrid/>
        <w:spacing w:after="0" w:line="360" w:lineRule="auto"/>
        <w:ind w:firstLine="480" w:firstLineChars="200"/>
        <w:jc w:val="both"/>
        <w:textAlignment w:val="auto"/>
        <w:rPr>
          <w:rFonts w:hint="eastAsia" w:ascii="宋体" w:hAnsi="宋体" w:eastAsia="宋体" w:cs="@仿宋_GB2312"/>
          <w:b w:val="0"/>
          <w:bCs/>
          <w:color w:val="auto"/>
          <w:kern w:val="2"/>
          <w:sz w:val="24"/>
          <w:szCs w:val="18"/>
          <w:highlight w:val="none"/>
          <w:lang w:val="en-US" w:eastAsia="zh-CN" w:bidi="ar-SA"/>
        </w:rPr>
      </w:pPr>
      <w:r>
        <w:rPr>
          <w:rFonts w:hint="eastAsia" w:ascii="宋体" w:hAnsi="宋体" w:eastAsia="宋体" w:cs="@仿宋_GB2312"/>
          <w:b w:val="0"/>
          <w:bCs/>
          <w:color w:val="auto"/>
          <w:kern w:val="2"/>
          <w:sz w:val="24"/>
          <w:szCs w:val="18"/>
          <w:highlight w:val="none"/>
          <w:lang w:val="en-US" w:eastAsia="zh-CN" w:bidi="ar-SA"/>
        </w:rPr>
        <w:t>测评小组根据测评方案以及现场测评准备的结果，安排测评人员在现场完成测评工作，汇总现场测评的测评记录；召开测评现场结束会，测评双方对测评过程中发现的问题进行现场确认；测评机构归还测评过程中借阅的所有文档资料，并由采购人文档资料提供者签字确认。</w:t>
      </w:r>
    </w:p>
    <w:p w14:paraId="56C58C79">
      <w:pPr>
        <w:pStyle w:val="2"/>
        <w:pageBreakBefore w:val="0"/>
        <w:widowControl w:val="0"/>
        <w:kinsoku/>
        <w:wordWrap/>
        <w:overflowPunct/>
        <w:topLinePunct w:val="0"/>
        <w:bidi w:val="0"/>
        <w:adjustRightInd/>
        <w:snapToGrid/>
        <w:spacing w:after="0" w:line="360" w:lineRule="auto"/>
        <w:ind w:firstLine="480" w:firstLineChars="200"/>
        <w:jc w:val="both"/>
        <w:textAlignment w:val="auto"/>
        <w:rPr>
          <w:rFonts w:hint="eastAsia" w:ascii="宋体" w:hAnsi="宋体" w:eastAsia="宋体" w:cs="@仿宋_GB2312"/>
          <w:b w:val="0"/>
          <w:bCs/>
          <w:color w:val="auto"/>
          <w:kern w:val="2"/>
          <w:sz w:val="24"/>
          <w:szCs w:val="18"/>
          <w:highlight w:val="none"/>
          <w:lang w:val="en-US" w:eastAsia="zh-CN" w:bidi="ar-SA"/>
        </w:rPr>
      </w:pPr>
      <w:r>
        <w:rPr>
          <w:rFonts w:hint="eastAsia" w:ascii="宋体" w:hAnsi="宋体" w:eastAsia="宋体" w:cs="@仿宋_GB2312"/>
          <w:b w:val="0"/>
          <w:bCs/>
          <w:color w:val="auto"/>
          <w:kern w:val="2"/>
          <w:sz w:val="24"/>
          <w:szCs w:val="18"/>
          <w:highlight w:val="none"/>
          <w:lang w:val="en-US" w:eastAsia="zh-CN" w:bidi="ar-SA"/>
        </w:rPr>
        <w:t>4.分析与报告编制活动</w:t>
      </w:r>
    </w:p>
    <w:p w14:paraId="153A47FD">
      <w:pPr>
        <w:pStyle w:val="2"/>
        <w:pageBreakBefore w:val="0"/>
        <w:widowControl w:val="0"/>
        <w:kinsoku/>
        <w:wordWrap/>
        <w:overflowPunct/>
        <w:topLinePunct w:val="0"/>
        <w:bidi w:val="0"/>
        <w:adjustRightInd/>
        <w:snapToGrid/>
        <w:spacing w:after="0" w:line="360" w:lineRule="auto"/>
        <w:ind w:firstLine="480" w:firstLineChars="200"/>
        <w:jc w:val="both"/>
        <w:textAlignment w:val="auto"/>
        <w:rPr>
          <w:rFonts w:hint="eastAsia" w:ascii="宋体" w:hAnsi="宋体" w:eastAsia="宋体" w:cs="@仿宋_GB2312"/>
          <w:b w:val="0"/>
          <w:bCs/>
          <w:color w:val="auto"/>
          <w:kern w:val="2"/>
          <w:sz w:val="24"/>
          <w:szCs w:val="18"/>
          <w:highlight w:val="none"/>
          <w:lang w:val="en-US" w:eastAsia="zh-CN" w:bidi="ar-SA"/>
        </w:rPr>
      </w:pPr>
      <w:r>
        <w:rPr>
          <w:rFonts w:hint="eastAsia" w:ascii="宋体" w:hAnsi="宋体" w:eastAsia="宋体" w:cs="@仿宋_GB2312"/>
          <w:b w:val="0"/>
          <w:bCs/>
          <w:color w:val="auto"/>
          <w:kern w:val="2"/>
          <w:sz w:val="24"/>
          <w:szCs w:val="18"/>
          <w:highlight w:val="none"/>
          <w:lang w:val="en-US" w:eastAsia="zh-CN" w:bidi="ar-SA"/>
        </w:rPr>
        <w:t>在现场测评工作结束后，测评机构对现场测评获得的测评结果进行汇总分析，形成测评结论，并编制评估报告。测评人员在初步判定单元测评结果后，进而进行整体测评，经过整体测评后，有的单元测评结果可能会有所变化，需进一步修订单元测评结果，而后进行风险分析和评价，形成相应的测评结论，并出具每个测评系统对应的密码测评报告及安徽省医疗保障信息平台整体的密码测评报告。</w:t>
      </w:r>
    </w:p>
    <w:p w14:paraId="4A6F6873">
      <w:pPr>
        <w:pStyle w:val="4"/>
        <w:pageBreakBefore w:val="0"/>
        <w:widowControl w:val="0"/>
        <w:kinsoku/>
        <w:wordWrap/>
        <w:overflowPunct/>
        <w:topLinePunct w:val="0"/>
        <w:bidi w:val="0"/>
        <w:adjustRightInd/>
        <w:snapToGrid/>
        <w:spacing w:before="0" w:beforeLines="0" w:after="0" w:afterLines="0" w:line="360" w:lineRule="auto"/>
        <w:ind w:firstLine="482" w:firstLineChars="200"/>
        <w:jc w:val="left"/>
        <w:textAlignment w:val="auto"/>
        <w:outlineLvl w:val="2"/>
        <w:rPr>
          <w:rFonts w:hint="eastAsia" w:ascii="宋体" w:hAnsi="宋体" w:eastAsia="宋体" w:cs="@仿宋_GB2312"/>
          <w:b/>
          <w:bCs w:val="0"/>
          <w:color w:val="auto"/>
          <w:kern w:val="2"/>
          <w:sz w:val="24"/>
          <w:szCs w:val="18"/>
          <w:highlight w:val="none"/>
          <w:lang w:val="en-US" w:eastAsia="zh-CN" w:bidi="ar-SA"/>
        </w:rPr>
      </w:pPr>
      <w:bookmarkStart w:id="7" w:name="_Toc7857"/>
      <w:r>
        <w:rPr>
          <w:rFonts w:hint="eastAsia" w:ascii="宋体" w:hAnsi="宋体" w:eastAsia="宋体" w:cs="@仿宋_GB2312"/>
          <w:b/>
          <w:bCs w:val="0"/>
          <w:color w:val="auto"/>
          <w:kern w:val="2"/>
          <w:sz w:val="24"/>
          <w:szCs w:val="18"/>
          <w:highlight w:val="none"/>
          <w:lang w:val="en-US" w:eastAsia="zh-CN" w:bidi="ar-SA"/>
        </w:rPr>
        <w:t>（五）密评技术要求</w:t>
      </w:r>
      <w:bookmarkEnd w:id="7"/>
    </w:p>
    <w:p w14:paraId="5491F6B6">
      <w:pPr>
        <w:pStyle w:val="2"/>
        <w:pageBreakBefore w:val="0"/>
        <w:widowControl w:val="0"/>
        <w:kinsoku/>
        <w:wordWrap/>
        <w:overflowPunct/>
        <w:topLinePunct w:val="0"/>
        <w:bidi w:val="0"/>
        <w:adjustRightInd/>
        <w:snapToGrid/>
        <w:spacing w:after="0" w:line="360" w:lineRule="auto"/>
        <w:ind w:firstLine="480" w:firstLineChars="200"/>
        <w:jc w:val="both"/>
        <w:textAlignment w:val="auto"/>
        <w:rPr>
          <w:rFonts w:hint="eastAsia" w:ascii="宋体" w:hAnsi="宋体" w:eastAsia="宋体" w:cs="@仿宋_GB2312"/>
          <w:b w:val="0"/>
          <w:bCs/>
          <w:color w:val="auto"/>
          <w:kern w:val="2"/>
          <w:sz w:val="24"/>
          <w:szCs w:val="18"/>
          <w:highlight w:val="none"/>
          <w:lang w:val="en-US" w:eastAsia="zh-CN" w:bidi="ar-SA"/>
        </w:rPr>
      </w:pPr>
      <w:r>
        <w:rPr>
          <w:rFonts w:hint="eastAsia" w:ascii="宋体" w:hAnsi="宋体" w:eastAsia="宋体" w:cs="@仿宋_GB2312"/>
          <w:b w:val="0"/>
          <w:bCs/>
          <w:color w:val="auto"/>
          <w:kern w:val="2"/>
          <w:sz w:val="24"/>
          <w:szCs w:val="18"/>
          <w:highlight w:val="none"/>
          <w:lang w:val="en-US" w:eastAsia="zh-CN" w:bidi="ar-SA"/>
        </w:rPr>
        <w:t>本次密码评估包含但不限于以下方面：</w:t>
      </w:r>
    </w:p>
    <w:p w14:paraId="6E6E0F8B">
      <w:pPr>
        <w:pStyle w:val="2"/>
        <w:pageBreakBefore w:val="0"/>
        <w:widowControl w:val="0"/>
        <w:kinsoku/>
        <w:wordWrap/>
        <w:overflowPunct/>
        <w:topLinePunct w:val="0"/>
        <w:bidi w:val="0"/>
        <w:adjustRightInd/>
        <w:snapToGrid/>
        <w:spacing w:after="0" w:line="360" w:lineRule="auto"/>
        <w:ind w:firstLine="480" w:firstLineChars="200"/>
        <w:jc w:val="both"/>
        <w:textAlignment w:val="auto"/>
        <w:rPr>
          <w:rFonts w:hint="eastAsia" w:ascii="宋体" w:hAnsi="宋体" w:eastAsia="宋体" w:cs="@仿宋_GB2312"/>
          <w:b w:val="0"/>
          <w:bCs/>
          <w:color w:val="auto"/>
          <w:kern w:val="2"/>
          <w:sz w:val="24"/>
          <w:szCs w:val="18"/>
          <w:highlight w:val="none"/>
          <w:lang w:val="en-US" w:eastAsia="zh-CN" w:bidi="ar-SA"/>
        </w:rPr>
      </w:pPr>
      <w:r>
        <w:rPr>
          <w:rFonts w:hint="eastAsia" w:ascii="宋体" w:hAnsi="宋体" w:eastAsia="宋体" w:cs="@仿宋_GB2312"/>
          <w:b w:val="0"/>
          <w:bCs/>
          <w:color w:val="auto"/>
          <w:kern w:val="2"/>
          <w:sz w:val="24"/>
          <w:szCs w:val="18"/>
          <w:highlight w:val="none"/>
          <w:lang w:val="en-US" w:eastAsia="zh-CN" w:bidi="ar-SA"/>
        </w:rPr>
        <w:t>1.</w:t>
      </w:r>
      <w:r>
        <w:rPr>
          <w:rFonts w:hint="eastAsia" w:ascii="宋体" w:hAnsi="宋体" w:eastAsia="宋体" w:cs="@仿宋_GB2312"/>
          <w:b w:val="0"/>
          <w:bCs/>
          <w:color w:val="auto"/>
          <w:kern w:val="2"/>
          <w:sz w:val="24"/>
          <w:szCs w:val="18"/>
          <w:highlight w:val="none"/>
          <w:lang w:val="en-US" w:eastAsia="zh-Hans" w:bidi="ar-SA"/>
        </w:rPr>
        <w:t>国产</w:t>
      </w:r>
      <w:r>
        <w:rPr>
          <w:rFonts w:hint="eastAsia" w:ascii="宋体" w:hAnsi="宋体" w:eastAsia="宋体" w:cs="@仿宋_GB2312"/>
          <w:b w:val="0"/>
          <w:bCs/>
          <w:color w:val="auto"/>
          <w:kern w:val="2"/>
          <w:sz w:val="24"/>
          <w:szCs w:val="18"/>
          <w:highlight w:val="none"/>
          <w:lang w:val="en-US" w:eastAsia="zh-CN" w:bidi="ar-SA"/>
        </w:rPr>
        <w:t>密码总体测评</w:t>
      </w:r>
    </w:p>
    <w:p w14:paraId="331F9507">
      <w:pPr>
        <w:pStyle w:val="2"/>
        <w:pageBreakBefore w:val="0"/>
        <w:widowControl w:val="0"/>
        <w:kinsoku/>
        <w:wordWrap/>
        <w:overflowPunct/>
        <w:topLinePunct w:val="0"/>
        <w:bidi w:val="0"/>
        <w:adjustRightInd/>
        <w:snapToGrid/>
        <w:spacing w:after="0" w:line="360" w:lineRule="auto"/>
        <w:ind w:firstLine="480" w:firstLineChars="200"/>
        <w:jc w:val="both"/>
        <w:textAlignment w:val="auto"/>
        <w:rPr>
          <w:rFonts w:hint="eastAsia" w:ascii="宋体" w:hAnsi="宋体" w:eastAsia="宋体" w:cs="@仿宋_GB2312"/>
          <w:b w:val="0"/>
          <w:bCs/>
          <w:color w:val="auto"/>
          <w:kern w:val="2"/>
          <w:sz w:val="24"/>
          <w:szCs w:val="18"/>
          <w:highlight w:val="none"/>
          <w:lang w:val="en-US" w:eastAsia="zh-CN" w:bidi="ar-SA"/>
        </w:rPr>
      </w:pPr>
      <w:r>
        <w:rPr>
          <w:rFonts w:hint="eastAsia" w:ascii="宋体" w:hAnsi="宋体" w:eastAsia="宋体" w:cs="@仿宋_GB2312"/>
          <w:b w:val="0"/>
          <w:bCs/>
          <w:color w:val="auto"/>
          <w:kern w:val="2"/>
          <w:sz w:val="24"/>
          <w:szCs w:val="18"/>
          <w:highlight w:val="none"/>
          <w:lang w:val="en-US" w:eastAsia="zh-CN" w:bidi="ar-SA"/>
        </w:rPr>
        <w:t>（1）密码算法合规性测评：安徽省医疗保障信息平台中使用的密码算法是否符合法律、法规的规定和密码相关国家标准、行业标准的有关要求。</w:t>
      </w:r>
    </w:p>
    <w:p w14:paraId="7B077A6C">
      <w:pPr>
        <w:pStyle w:val="2"/>
        <w:pageBreakBefore w:val="0"/>
        <w:widowControl w:val="0"/>
        <w:kinsoku/>
        <w:wordWrap/>
        <w:overflowPunct/>
        <w:topLinePunct w:val="0"/>
        <w:bidi w:val="0"/>
        <w:adjustRightInd/>
        <w:snapToGrid/>
        <w:spacing w:after="0" w:line="360" w:lineRule="auto"/>
        <w:ind w:firstLine="480" w:firstLineChars="200"/>
        <w:jc w:val="both"/>
        <w:textAlignment w:val="auto"/>
        <w:rPr>
          <w:rFonts w:hint="eastAsia" w:ascii="宋体" w:hAnsi="宋体" w:eastAsia="宋体" w:cs="@仿宋_GB2312"/>
          <w:b w:val="0"/>
          <w:bCs/>
          <w:color w:val="auto"/>
          <w:kern w:val="2"/>
          <w:sz w:val="24"/>
          <w:szCs w:val="18"/>
          <w:highlight w:val="none"/>
          <w:lang w:val="en-US" w:eastAsia="zh-CN" w:bidi="ar-SA"/>
        </w:rPr>
      </w:pPr>
      <w:r>
        <w:rPr>
          <w:rFonts w:hint="eastAsia" w:ascii="宋体" w:hAnsi="宋体" w:eastAsia="宋体" w:cs="@仿宋_GB2312"/>
          <w:b w:val="0"/>
          <w:bCs/>
          <w:color w:val="auto"/>
          <w:kern w:val="2"/>
          <w:sz w:val="24"/>
          <w:szCs w:val="18"/>
          <w:highlight w:val="none"/>
          <w:lang w:val="en-US" w:eastAsia="zh-CN" w:bidi="ar-SA"/>
        </w:rPr>
        <w:t>（2）密码技术合规性测评：安徽省医疗保障信息平台中使用的密码技术是否遵循密码相关国家标准和行业标准。</w:t>
      </w:r>
    </w:p>
    <w:p w14:paraId="59169CE3">
      <w:pPr>
        <w:pStyle w:val="2"/>
        <w:pageBreakBefore w:val="0"/>
        <w:widowControl w:val="0"/>
        <w:kinsoku/>
        <w:wordWrap/>
        <w:overflowPunct/>
        <w:topLinePunct w:val="0"/>
        <w:bidi w:val="0"/>
        <w:adjustRightInd/>
        <w:snapToGrid/>
        <w:spacing w:after="0" w:line="360" w:lineRule="auto"/>
        <w:ind w:firstLine="480" w:firstLineChars="200"/>
        <w:jc w:val="both"/>
        <w:textAlignment w:val="auto"/>
        <w:rPr>
          <w:rFonts w:hint="eastAsia" w:ascii="宋体" w:hAnsi="宋体" w:eastAsia="宋体" w:cs="@仿宋_GB2312"/>
          <w:b w:val="0"/>
          <w:bCs/>
          <w:color w:val="auto"/>
          <w:kern w:val="2"/>
          <w:sz w:val="24"/>
          <w:szCs w:val="18"/>
          <w:highlight w:val="none"/>
          <w:lang w:val="en-US" w:eastAsia="zh-CN" w:bidi="ar-SA"/>
        </w:rPr>
      </w:pPr>
      <w:r>
        <w:rPr>
          <w:rFonts w:hint="eastAsia" w:ascii="宋体" w:hAnsi="宋体" w:eastAsia="宋体" w:cs="@仿宋_GB2312"/>
          <w:b w:val="0"/>
          <w:bCs/>
          <w:color w:val="auto"/>
          <w:kern w:val="2"/>
          <w:sz w:val="24"/>
          <w:szCs w:val="18"/>
          <w:highlight w:val="none"/>
          <w:lang w:val="en-US" w:eastAsia="zh-CN" w:bidi="ar-SA"/>
        </w:rPr>
        <w:t>（3）密码产品合规性测评：安徽省医疗保障信息平台中使用的密码产品与密码模块是否通过密码管理部门核准。</w:t>
      </w:r>
    </w:p>
    <w:p w14:paraId="0AB76EC4">
      <w:pPr>
        <w:pStyle w:val="2"/>
        <w:pageBreakBefore w:val="0"/>
        <w:widowControl w:val="0"/>
        <w:kinsoku/>
        <w:wordWrap/>
        <w:overflowPunct/>
        <w:topLinePunct w:val="0"/>
        <w:bidi w:val="0"/>
        <w:adjustRightInd/>
        <w:snapToGrid/>
        <w:spacing w:after="0" w:line="360" w:lineRule="auto"/>
        <w:ind w:firstLine="480" w:firstLineChars="200"/>
        <w:jc w:val="both"/>
        <w:textAlignment w:val="auto"/>
        <w:rPr>
          <w:rFonts w:hint="eastAsia" w:ascii="宋体" w:hAnsi="宋体" w:eastAsia="宋体" w:cs="@仿宋_GB2312"/>
          <w:b w:val="0"/>
          <w:bCs/>
          <w:color w:val="auto"/>
          <w:kern w:val="2"/>
          <w:sz w:val="24"/>
          <w:szCs w:val="18"/>
          <w:highlight w:val="none"/>
          <w:lang w:val="en-US" w:eastAsia="zh-CN" w:bidi="ar-SA"/>
        </w:rPr>
      </w:pPr>
      <w:r>
        <w:rPr>
          <w:rFonts w:hint="eastAsia" w:ascii="宋体" w:hAnsi="宋体" w:eastAsia="宋体" w:cs="@仿宋_GB2312"/>
          <w:b w:val="0"/>
          <w:bCs/>
          <w:color w:val="auto"/>
          <w:kern w:val="2"/>
          <w:sz w:val="24"/>
          <w:szCs w:val="18"/>
          <w:highlight w:val="none"/>
          <w:lang w:val="en-US" w:eastAsia="zh-CN" w:bidi="ar-SA"/>
        </w:rPr>
        <w:t>（4）密码服务合规性测评：安徽省医疗保障信息平台中使用的密码服务是否通过密码管理部门许可。</w:t>
      </w:r>
    </w:p>
    <w:p w14:paraId="51733A8D">
      <w:pPr>
        <w:pStyle w:val="2"/>
        <w:pageBreakBefore w:val="0"/>
        <w:widowControl w:val="0"/>
        <w:kinsoku/>
        <w:wordWrap/>
        <w:overflowPunct/>
        <w:topLinePunct w:val="0"/>
        <w:bidi w:val="0"/>
        <w:adjustRightInd/>
        <w:snapToGrid/>
        <w:spacing w:after="0" w:line="360" w:lineRule="auto"/>
        <w:ind w:firstLine="480" w:firstLineChars="200"/>
        <w:jc w:val="both"/>
        <w:textAlignment w:val="auto"/>
        <w:rPr>
          <w:rFonts w:hint="eastAsia" w:ascii="宋体" w:hAnsi="宋体" w:eastAsia="宋体" w:cs="@仿宋_GB2312"/>
          <w:b w:val="0"/>
          <w:bCs/>
          <w:color w:val="auto"/>
          <w:kern w:val="2"/>
          <w:sz w:val="24"/>
          <w:szCs w:val="18"/>
          <w:highlight w:val="none"/>
          <w:lang w:val="en-US" w:eastAsia="zh-CN" w:bidi="ar-SA"/>
        </w:rPr>
      </w:pPr>
      <w:r>
        <w:rPr>
          <w:rFonts w:hint="eastAsia" w:ascii="宋体" w:hAnsi="宋体" w:eastAsia="宋体" w:cs="@仿宋_GB2312"/>
          <w:b w:val="0"/>
          <w:bCs/>
          <w:color w:val="auto"/>
          <w:kern w:val="2"/>
          <w:sz w:val="24"/>
          <w:szCs w:val="18"/>
          <w:highlight w:val="none"/>
          <w:lang w:val="en-US" w:eastAsia="zh-CN" w:bidi="ar-SA"/>
        </w:rPr>
        <w:t>2.密码技术应用测评</w:t>
      </w:r>
    </w:p>
    <w:p w14:paraId="3A4FB181">
      <w:pPr>
        <w:pStyle w:val="2"/>
        <w:pageBreakBefore w:val="0"/>
        <w:widowControl w:val="0"/>
        <w:kinsoku/>
        <w:wordWrap/>
        <w:overflowPunct/>
        <w:topLinePunct w:val="0"/>
        <w:bidi w:val="0"/>
        <w:adjustRightInd/>
        <w:snapToGrid/>
        <w:spacing w:after="0" w:line="360" w:lineRule="auto"/>
        <w:ind w:firstLine="480" w:firstLineChars="200"/>
        <w:jc w:val="both"/>
        <w:textAlignment w:val="auto"/>
        <w:rPr>
          <w:rFonts w:hint="eastAsia" w:ascii="宋体" w:hAnsi="宋体" w:eastAsia="宋体" w:cs="@仿宋_GB2312"/>
          <w:b w:val="0"/>
          <w:bCs/>
          <w:color w:val="auto"/>
          <w:kern w:val="2"/>
          <w:sz w:val="24"/>
          <w:szCs w:val="18"/>
          <w:highlight w:val="none"/>
          <w:lang w:val="en-US" w:eastAsia="zh-CN" w:bidi="ar-SA"/>
        </w:rPr>
      </w:pPr>
      <w:r>
        <w:rPr>
          <w:rFonts w:hint="eastAsia" w:ascii="宋体" w:hAnsi="宋体" w:eastAsia="宋体" w:cs="@仿宋_GB2312"/>
          <w:b w:val="0"/>
          <w:bCs/>
          <w:color w:val="auto"/>
          <w:kern w:val="2"/>
          <w:sz w:val="24"/>
          <w:szCs w:val="18"/>
          <w:highlight w:val="none"/>
          <w:lang w:val="en-US" w:eastAsia="zh-CN" w:bidi="ar-SA"/>
        </w:rPr>
        <w:t>从物理和环境安全、网络和通信安全、设备和计算安全、应用和数据安全4个层面对安徽省医疗保障信息平台密码应用进行检测评估，验证安徽省医疗保障信息平台的密码应用是否达到相应安全等级的安全保护能力、是否满足相应安全等级的保护要求，检测评估的内容包含但不限于以下内容，详见下表：</w:t>
      </w:r>
    </w:p>
    <w:tbl>
      <w:tblPr>
        <w:tblStyle w:val="7"/>
        <w:tblW w:w="5492" w:type="pct"/>
        <w:jc w:val="center"/>
        <w:tblLayout w:type="fixed"/>
        <w:tblCellMar>
          <w:top w:w="0" w:type="dxa"/>
          <w:left w:w="108" w:type="dxa"/>
          <w:bottom w:w="0" w:type="dxa"/>
          <w:right w:w="108" w:type="dxa"/>
        </w:tblCellMar>
      </w:tblPr>
      <w:tblGrid>
        <w:gridCol w:w="1293"/>
        <w:gridCol w:w="1925"/>
        <w:gridCol w:w="6143"/>
      </w:tblGrid>
      <w:tr w14:paraId="0A8E9950">
        <w:tblPrEx>
          <w:tblCellMar>
            <w:top w:w="0" w:type="dxa"/>
            <w:left w:w="108" w:type="dxa"/>
            <w:bottom w:w="0" w:type="dxa"/>
            <w:right w:w="108" w:type="dxa"/>
          </w:tblCellMar>
        </w:tblPrEx>
        <w:trPr>
          <w:trHeight w:val="422" w:hRule="atLeast"/>
          <w:jc w:val="center"/>
        </w:trPr>
        <w:tc>
          <w:tcPr>
            <w:tcW w:w="171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59034">
            <w:pPr>
              <w:pageBreakBefore w:val="0"/>
              <w:widowControl/>
              <w:kinsoku/>
              <w:wordWrap/>
              <w:overflowPunct/>
              <w:topLinePunct w:val="0"/>
              <w:bidi w:val="0"/>
              <w:spacing w:line="360" w:lineRule="auto"/>
              <w:jc w:val="center"/>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技术指标</w:t>
            </w:r>
          </w:p>
        </w:tc>
        <w:tc>
          <w:tcPr>
            <w:tcW w:w="3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08CC1">
            <w:pPr>
              <w:pageBreakBefore w:val="0"/>
              <w:widowControl/>
              <w:kinsoku/>
              <w:wordWrap/>
              <w:overflowPunct/>
              <w:topLinePunct w:val="0"/>
              <w:bidi w:val="0"/>
              <w:spacing w:line="360" w:lineRule="auto"/>
              <w:jc w:val="center"/>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指标描述</w:t>
            </w:r>
          </w:p>
        </w:tc>
      </w:tr>
      <w:tr w14:paraId="051C21A0">
        <w:tblPrEx>
          <w:tblCellMar>
            <w:top w:w="0" w:type="dxa"/>
            <w:left w:w="108" w:type="dxa"/>
            <w:bottom w:w="0" w:type="dxa"/>
            <w:right w:w="108" w:type="dxa"/>
          </w:tblCellMar>
        </w:tblPrEx>
        <w:trPr>
          <w:trHeight w:val="833" w:hRule="atLeast"/>
          <w:jc w:val="center"/>
        </w:trPr>
        <w:tc>
          <w:tcPr>
            <w:tcW w:w="69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C857D">
            <w:pPr>
              <w:pageBreakBefore w:val="0"/>
              <w:widowControl/>
              <w:kinsoku/>
              <w:wordWrap/>
              <w:overflowPunct/>
              <w:topLinePunct w:val="0"/>
              <w:bidi w:val="0"/>
              <w:snapToGrid w:val="0"/>
              <w:spacing w:line="360" w:lineRule="auto"/>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物理和环境安全</w:t>
            </w:r>
          </w:p>
        </w:tc>
        <w:tc>
          <w:tcPr>
            <w:tcW w:w="10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F7AD8">
            <w:pPr>
              <w:pageBreakBefore w:val="0"/>
              <w:widowControl/>
              <w:kinsoku/>
              <w:wordWrap/>
              <w:overflowPunct/>
              <w:topLinePunct w:val="0"/>
              <w:bidi w:val="0"/>
              <w:snapToGrid w:val="0"/>
              <w:spacing w:line="360" w:lineRule="auto"/>
              <w:jc w:val="center"/>
              <w:rPr>
                <w:rFonts w:hint="eastAsia" w:asciiTheme="minorEastAsia" w:hAnsiTheme="minorEastAsia" w:eastAsiaTheme="minorEastAsia" w:cstheme="minorEastAsia"/>
                <w:color w:val="000000"/>
                <w:spacing w:val="-6"/>
                <w:kern w:val="10"/>
                <w:sz w:val="24"/>
                <w:szCs w:val="24"/>
              </w:rPr>
            </w:pPr>
            <w:r>
              <w:rPr>
                <w:rFonts w:hint="eastAsia" w:asciiTheme="minorEastAsia" w:hAnsiTheme="minorEastAsia" w:eastAsiaTheme="minorEastAsia" w:cstheme="minorEastAsia"/>
                <w:color w:val="000000"/>
                <w:spacing w:val="-6"/>
                <w:kern w:val="10"/>
                <w:sz w:val="24"/>
                <w:szCs w:val="24"/>
              </w:rPr>
              <w:t>身份鉴别</w:t>
            </w:r>
          </w:p>
        </w:tc>
        <w:tc>
          <w:tcPr>
            <w:tcW w:w="3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04F04">
            <w:pPr>
              <w:pageBreakBefore w:val="0"/>
              <w:widowControl/>
              <w:kinsoku/>
              <w:wordWrap/>
              <w:overflowPunct/>
              <w:topLinePunct w:val="0"/>
              <w:bidi w:val="0"/>
              <w:snapToGrid w:val="0"/>
              <w:spacing w:line="360" w:lineRule="auto"/>
              <w:jc w:val="left"/>
              <w:rPr>
                <w:rFonts w:hint="eastAsia" w:asciiTheme="minorEastAsia" w:hAnsiTheme="minorEastAsia" w:eastAsiaTheme="minorEastAsia" w:cstheme="minorEastAsia"/>
                <w:color w:val="000000"/>
                <w:spacing w:val="-6"/>
                <w:kern w:val="10"/>
                <w:sz w:val="24"/>
                <w:szCs w:val="24"/>
              </w:rPr>
            </w:pPr>
            <w:r>
              <w:rPr>
                <w:rFonts w:hint="eastAsia" w:asciiTheme="minorEastAsia" w:hAnsiTheme="minorEastAsia" w:eastAsiaTheme="minorEastAsia" w:cstheme="minorEastAsia"/>
                <w:color w:val="000000"/>
                <w:spacing w:val="-6"/>
                <w:kern w:val="10"/>
                <w:sz w:val="24"/>
                <w:szCs w:val="24"/>
              </w:rPr>
              <w:t>应采用密码技术进行物理访问身份鉴别，保证重要区域进入人员身份的真实性；</w:t>
            </w:r>
          </w:p>
        </w:tc>
      </w:tr>
      <w:tr w14:paraId="42BDF8E2">
        <w:tblPrEx>
          <w:tblCellMar>
            <w:top w:w="0" w:type="dxa"/>
            <w:left w:w="108" w:type="dxa"/>
            <w:bottom w:w="0" w:type="dxa"/>
            <w:right w:w="108" w:type="dxa"/>
          </w:tblCellMar>
        </w:tblPrEx>
        <w:trPr>
          <w:trHeight w:val="833" w:hRule="atLeast"/>
          <w:jc w:val="center"/>
        </w:trPr>
        <w:tc>
          <w:tcPr>
            <w:tcW w:w="6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429B5B">
            <w:pPr>
              <w:pageBreakBefore w:val="0"/>
              <w:widowControl/>
              <w:kinsoku/>
              <w:wordWrap/>
              <w:overflowPunct/>
              <w:topLinePunct w:val="0"/>
              <w:bidi w:val="0"/>
              <w:spacing w:line="360" w:lineRule="auto"/>
              <w:jc w:val="center"/>
              <w:rPr>
                <w:rFonts w:hint="eastAsia" w:asciiTheme="minorEastAsia" w:hAnsiTheme="minorEastAsia" w:eastAsiaTheme="minorEastAsia" w:cstheme="minorEastAsia"/>
                <w:color w:val="000000"/>
                <w:sz w:val="24"/>
                <w:szCs w:val="24"/>
              </w:rPr>
            </w:pPr>
          </w:p>
        </w:tc>
        <w:tc>
          <w:tcPr>
            <w:tcW w:w="10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6E0D2">
            <w:pPr>
              <w:pageBreakBefore w:val="0"/>
              <w:widowControl/>
              <w:kinsoku/>
              <w:wordWrap/>
              <w:overflowPunct/>
              <w:topLinePunct w:val="0"/>
              <w:bidi w:val="0"/>
              <w:snapToGrid w:val="0"/>
              <w:spacing w:line="360" w:lineRule="auto"/>
              <w:jc w:val="center"/>
              <w:rPr>
                <w:rFonts w:hint="eastAsia" w:asciiTheme="minorEastAsia" w:hAnsiTheme="minorEastAsia" w:eastAsiaTheme="minorEastAsia" w:cstheme="minorEastAsia"/>
                <w:color w:val="000000"/>
                <w:spacing w:val="-6"/>
                <w:kern w:val="10"/>
                <w:sz w:val="24"/>
                <w:szCs w:val="24"/>
              </w:rPr>
            </w:pPr>
            <w:r>
              <w:rPr>
                <w:rFonts w:hint="eastAsia" w:asciiTheme="minorEastAsia" w:hAnsiTheme="minorEastAsia" w:eastAsiaTheme="minorEastAsia" w:cstheme="minorEastAsia"/>
                <w:color w:val="000000"/>
                <w:spacing w:val="-6"/>
                <w:kern w:val="10"/>
                <w:sz w:val="24"/>
                <w:szCs w:val="24"/>
              </w:rPr>
              <w:t>电子门禁记录数据存储完整性</w:t>
            </w:r>
          </w:p>
        </w:tc>
        <w:tc>
          <w:tcPr>
            <w:tcW w:w="3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398F3">
            <w:pPr>
              <w:pageBreakBefore w:val="0"/>
              <w:widowControl/>
              <w:kinsoku/>
              <w:wordWrap/>
              <w:overflowPunct/>
              <w:topLinePunct w:val="0"/>
              <w:bidi w:val="0"/>
              <w:snapToGrid w:val="0"/>
              <w:spacing w:line="360" w:lineRule="auto"/>
              <w:jc w:val="left"/>
              <w:rPr>
                <w:rFonts w:hint="eastAsia" w:asciiTheme="minorEastAsia" w:hAnsiTheme="minorEastAsia" w:eastAsiaTheme="minorEastAsia" w:cstheme="minorEastAsia"/>
                <w:color w:val="000000"/>
                <w:spacing w:val="-6"/>
                <w:kern w:val="10"/>
                <w:sz w:val="24"/>
                <w:szCs w:val="24"/>
              </w:rPr>
            </w:pPr>
            <w:r>
              <w:rPr>
                <w:rFonts w:hint="eastAsia" w:asciiTheme="minorEastAsia" w:hAnsiTheme="minorEastAsia" w:eastAsiaTheme="minorEastAsia" w:cstheme="minorEastAsia"/>
                <w:color w:val="000000"/>
                <w:spacing w:val="-6"/>
                <w:kern w:val="10"/>
                <w:sz w:val="24"/>
                <w:szCs w:val="24"/>
              </w:rPr>
              <w:t>应采用密码技术保证电子门禁系统进出记录数据的存储完整性；</w:t>
            </w:r>
          </w:p>
        </w:tc>
      </w:tr>
      <w:tr w14:paraId="13D94E96">
        <w:tblPrEx>
          <w:tblCellMar>
            <w:top w:w="0" w:type="dxa"/>
            <w:left w:w="108" w:type="dxa"/>
            <w:bottom w:w="0" w:type="dxa"/>
            <w:right w:w="108" w:type="dxa"/>
          </w:tblCellMar>
        </w:tblPrEx>
        <w:trPr>
          <w:trHeight w:val="833" w:hRule="atLeast"/>
          <w:jc w:val="center"/>
        </w:trPr>
        <w:tc>
          <w:tcPr>
            <w:tcW w:w="6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02B8DD">
            <w:pPr>
              <w:pageBreakBefore w:val="0"/>
              <w:widowControl/>
              <w:kinsoku/>
              <w:wordWrap/>
              <w:overflowPunct/>
              <w:topLinePunct w:val="0"/>
              <w:bidi w:val="0"/>
              <w:spacing w:line="360" w:lineRule="auto"/>
              <w:jc w:val="center"/>
              <w:rPr>
                <w:rFonts w:hint="eastAsia" w:asciiTheme="minorEastAsia" w:hAnsiTheme="minorEastAsia" w:eastAsiaTheme="minorEastAsia" w:cstheme="minorEastAsia"/>
                <w:color w:val="000000"/>
                <w:sz w:val="24"/>
                <w:szCs w:val="24"/>
              </w:rPr>
            </w:pPr>
          </w:p>
        </w:tc>
        <w:tc>
          <w:tcPr>
            <w:tcW w:w="10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44F7E">
            <w:pPr>
              <w:pageBreakBefore w:val="0"/>
              <w:widowControl/>
              <w:kinsoku/>
              <w:wordWrap/>
              <w:overflowPunct/>
              <w:topLinePunct w:val="0"/>
              <w:bidi w:val="0"/>
              <w:snapToGrid w:val="0"/>
              <w:spacing w:line="360" w:lineRule="auto"/>
              <w:jc w:val="center"/>
              <w:rPr>
                <w:rFonts w:hint="eastAsia" w:asciiTheme="minorEastAsia" w:hAnsiTheme="minorEastAsia" w:eastAsiaTheme="minorEastAsia" w:cstheme="minorEastAsia"/>
                <w:color w:val="000000"/>
                <w:spacing w:val="-6"/>
                <w:kern w:val="10"/>
                <w:sz w:val="24"/>
                <w:szCs w:val="24"/>
              </w:rPr>
            </w:pPr>
            <w:r>
              <w:rPr>
                <w:rFonts w:hint="eastAsia" w:asciiTheme="minorEastAsia" w:hAnsiTheme="minorEastAsia" w:eastAsiaTheme="minorEastAsia" w:cstheme="minorEastAsia"/>
                <w:color w:val="000000"/>
                <w:spacing w:val="-6"/>
                <w:kern w:val="10"/>
                <w:sz w:val="24"/>
                <w:szCs w:val="24"/>
              </w:rPr>
              <w:t>视频监控记录数据存储完整性</w:t>
            </w:r>
          </w:p>
        </w:tc>
        <w:tc>
          <w:tcPr>
            <w:tcW w:w="3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7FDFB">
            <w:pPr>
              <w:pageBreakBefore w:val="0"/>
              <w:widowControl/>
              <w:kinsoku/>
              <w:wordWrap/>
              <w:overflowPunct/>
              <w:topLinePunct w:val="0"/>
              <w:bidi w:val="0"/>
              <w:snapToGrid w:val="0"/>
              <w:spacing w:line="360" w:lineRule="auto"/>
              <w:jc w:val="left"/>
              <w:rPr>
                <w:rFonts w:hint="eastAsia" w:asciiTheme="minorEastAsia" w:hAnsiTheme="minorEastAsia" w:eastAsiaTheme="minorEastAsia" w:cstheme="minorEastAsia"/>
                <w:color w:val="000000"/>
                <w:spacing w:val="-6"/>
                <w:kern w:val="10"/>
                <w:sz w:val="24"/>
                <w:szCs w:val="24"/>
                <w:lang w:eastAsia="zh-CN"/>
              </w:rPr>
            </w:pPr>
            <w:r>
              <w:rPr>
                <w:rFonts w:hint="eastAsia" w:asciiTheme="minorEastAsia" w:hAnsiTheme="minorEastAsia" w:eastAsiaTheme="minorEastAsia" w:cstheme="minorEastAsia"/>
                <w:color w:val="000000"/>
                <w:spacing w:val="-6"/>
                <w:kern w:val="10"/>
                <w:sz w:val="24"/>
                <w:szCs w:val="24"/>
              </w:rPr>
              <w:t>应采用密码技术保证视频监控音像记录数据的存储完整性</w:t>
            </w:r>
            <w:r>
              <w:rPr>
                <w:rFonts w:hint="eastAsia" w:asciiTheme="minorEastAsia" w:hAnsiTheme="minorEastAsia" w:eastAsiaTheme="minorEastAsia" w:cstheme="minorEastAsia"/>
                <w:color w:val="000000"/>
                <w:spacing w:val="-6"/>
                <w:kern w:val="10"/>
                <w:sz w:val="24"/>
                <w:szCs w:val="24"/>
                <w:lang w:eastAsia="zh-CN"/>
              </w:rPr>
              <w:t>；</w:t>
            </w:r>
          </w:p>
        </w:tc>
      </w:tr>
      <w:tr w14:paraId="6DAC26C6">
        <w:tblPrEx>
          <w:tblCellMar>
            <w:top w:w="0" w:type="dxa"/>
            <w:left w:w="108" w:type="dxa"/>
            <w:bottom w:w="0" w:type="dxa"/>
            <w:right w:w="108" w:type="dxa"/>
          </w:tblCellMar>
        </w:tblPrEx>
        <w:trPr>
          <w:trHeight w:val="1245" w:hRule="atLeast"/>
          <w:jc w:val="center"/>
        </w:trPr>
        <w:tc>
          <w:tcPr>
            <w:tcW w:w="6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18C61B">
            <w:pPr>
              <w:pageBreakBefore w:val="0"/>
              <w:widowControl/>
              <w:kinsoku/>
              <w:wordWrap/>
              <w:overflowPunct/>
              <w:topLinePunct w:val="0"/>
              <w:bidi w:val="0"/>
              <w:spacing w:line="360" w:lineRule="auto"/>
              <w:jc w:val="center"/>
              <w:rPr>
                <w:rFonts w:hint="eastAsia" w:asciiTheme="minorEastAsia" w:hAnsiTheme="minorEastAsia" w:eastAsiaTheme="minorEastAsia" w:cstheme="minorEastAsia"/>
                <w:color w:val="000000"/>
                <w:sz w:val="24"/>
                <w:szCs w:val="24"/>
              </w:rPr>
            </w:pPr>
          </w:p>
        </w:tc>
        <w:tc>
          <w:tcPr>
            <w:tcW w:w="10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A213A">
            <w:pPr>
              <w:pageBreakBefore w:val="0"/>
              <w:widowControl/>
              <w:kinsoku/>
              <w:wordWrap/>
              <w:overflowPunct/>
              <w:topLinePunct w:val="0"/>
              <w:bidi w:val="0"/>
              <w:snapToGrid w:val="0"/>
              <w:spacing w:line="360" w:lineRule="auto"/>
              <w:jc w:val="center"/>
              <w:rPr>
                <w:rFonts w:hint="eastAsia" w:asciiTheme="minorEastAsia" w:hAnsiTheme="minorEastAsia" w:eastAsiaTheme="minorEastAsia" w:cstheme="minorEastAsia"/>
                <w:color w:val="000000"/>
                <w:spacing w:val="-6"/>
                <w:kern w:val="10"/>
                <w:sz w:val="24"/>
                <w:szCs w:val="24"/>
              </w:rPr>
            </w:pPr>
            <w:r>
              <w:rPr>
                <w:rFonts w:hint="eastAsia" w:asciiTheme="minorEastAsia" w:hAnsiTheme="minorEastAsia" w:eastAsiaTheme="minorEastAsia" w:cstheme="minorEastAsia"/>
                <w:color w:val="000000"/>
                <w:spacing w:val="-6"/>
                <w:kern w:val="10"/>
                <w:sz w:val="24"/>
                <w:szCs w:val="24"/>
              </w:rPr>
              <w:t>硬件密码产品</w:t>
            </w:r>
          </w:p>
        </w:tc>
        <w:tc>
          <w:tcPr>
            <w:tcW w:w="3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7E310">
            <w:pPr>
              <w:pageBreakBefore w:val="0"/>
              <w:widowControl/>
              <w:kinsoku/>
              <w:wordWrap/>
              <w:overflowPunct/>
              <w:topLinePunct w:val="0"/>
              <w:bidi w:val="0"/>
              <w:snapToGrid w:val="0"/>
              <w:spacing w:line="360" w:lineRule="auto"/>
              <w:jc w:val="left"/>
              <w:rPr>
                <w:rFonts w:hint="eastAsia" w:asciiTheme="minorEastAsia" w:hAnsiTheme="minorEastAsia" w:eastAsiaTheme="minorEastAsia" w:cstheme="minorEastAsia"/>
                <w:color w:val="000000"/>
                <w:spacing w:val="-6"/>
                <w:kern w:val="10"/>
                <w:sz w:val="24"/>
                <w:szCs w:val="24"/>
                <w:lang w:eastAsia="zh-CN"/>
              </w:rPr>
            </w:pPr>
            <w:r>
              <w:rPr>
                <w:rFonts w:hint="eastAsia" w:asciiTheme="minorEastAsia" w:hAnsiTheme="minorEastAsia" w:eastAsiaTheme="minorEastAsia" w:cstheme="minorEastAsia"/>
                <w:color w:val="000000"/>
                <w:spacing w:val="-6"/>
                <w:kern w:val="10"/>
                <w:sz w:val="24"/>
                <w:szCs w:val="24"/>
                <w:lang w:val="en-US" w:eastAsia="zh-CN"/>
              </w:rPr>
              <w:t>建议</w:t>
            </w:r>
            <w:r>
              <w:rPr>
                <w:rFonts w:hint="eastAsia" w:asciiTheme="minorEastAsia" w:hAnsiTheme="minorEastAsia" w:eastAsiaTheme="minorEastAsia" w:cstheme="minorEastAsia"/>
                <w:color w:val="000000"/>
                <w:spacing w:val="-6"/>
                <w:kern w:val="10"/>
                <w:sz w:val="24"/>
                <w:szCs w:val="24"/>
              </w:rPr>
              <w:t>采用符合 GM/T</w:t>
            </w:r>
            <w:r>
              <w:rPr>
                <w:rFonts w:hint="eastAsia" w:asciiTheme="minorEastAsia" w:hAnsiTheme="minorEastAsia" w:eastAsiaTheme="minorEastAsia" w:cstheme="minorEastAsia"/>
                <w:color w:val="000000"/>
                <w:spacing w:val="-6"/>
                <w:kern w:val="10"/>
                <w:sz w:val="24"/>
                <w:szCs w:val="24"/>
                <w:lang w:val="en-US" w:eastAsia="zh-CN"/>
              </w:rPr>
              <w:t xml:space="preserve"> </w:t>
            </w:r>
            <w:r>
              <w:rPr>
                <w:rFonts w:hint="eastAsia" w:asciiTheme="minorEastAsia" w:hAnsiTheme="minorEastAsia" w:eastAsiaTheme="minorEastAsia" w:cstheme="minorEastAsia"/>
                <w:color w:val="000000"/>
                <w:spacing w:val="-6"/>
                <w:kern w:val="10"/>
                <w:sz w:val="24"/>
                <w:szCs w:val="24"/>
              </w:rPr>
              <w:t>0028 的三级及以上密码模块或通过密码管理部门核准的硬件密码产品实现密码运算和密钥管理</w:t>
            </w:r>
            <w:r>
              <w:rPr>
                <w:rFonts w:hint="eastAsia" w:asciiTheme="minorEastAsia" w:hAnsiTheme="minorEastAsia" w:eastAsiaTheme="minorEastAsia" w:cstheme="minorEastAsia"/>
                <w:color w:val="000000"/>
                <w:spacing w:val="-6"/>
                <w:kern w:val="10"/>
                <w:sz w:val="24"/>
                <w:szCs w:val="24"/>
                <w:lang w:eastAsia="zh-CN"/>
              </w:rPr>
              <w:t>。</w:t>
            </w:r>
          </w:p>
        </w:tc>
      </w:tr>
      <w:tr w14:paraId="38426FF4">
        <w:tblPrEx>
          <w:tblCellMar>
            <w:top w:w="0" w:type="dxa"/>
            <w:left w:w="108" w:type="dxa"/>
            <w:bottom w:w="0" w:type="dxa"/>
            <w:right w:w="108" w:type="dxa"/>
          </w:tblCellMar>
        </w:tblPrEx>
        <w:trPr>
          <w:trHeight w:val="833" w:hRule="atLeast"/>
          <w:jc w:val="center"/>
        </w:trPr>
        <w:tc>
          <w:tcPr>
            <w:tcW w:w="69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11057">
            <w:pPr>
              <w:pageBreakBefore w:val="0"/>
              <w:widowControl/>
              <w:kinsoku/>
              <w:wordWrap/>
              <w:overflowPunct/>
              <w:topLinePunct w:val="0"/>
              <w:bidi w:val="0"/>
              <w:snapToGrid w:val="0"/>
              <w:spacing w:line="360" w:lineRule="auto"/>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网络和通信安全</w:t>
            </w:r>
          </w:p>
        </w:tc>
        <w:tc>
          <w:tcPr>
            <w:tcW w:w="10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1E74E">
            <w:pPr>
              <w:pageBreakBefore w:val="0"/>
              <w:widowControl/>
              <w:kinsoku/>
              <w:wordWrap/>
              <w:overflowPunct/>
              <w:topLinePunct w:val="0"/>
              <w:bidi w:val="0"/>
              <w:snapToGrid w:val="0"/>
              <w:spacing w:line="360" w:lineRule="auto"/>
              <w:jc w:val="center"/>
              <w:rPr>
                <w:rFonts w:hint="eastAsia" w:asciiTheme="minorEastAsia" w:hAnsiTheme="minorEastAsia" w:eastAsiaTheme="minorEastAsia" w:cstheme="minorEastAsia"/>
                <w:color w:val="000000"/>
                <w:spacing w:val="-6"/>
                <w:kern w:val="10"/>
                <w:sz w:val="24"/>
                <w:szCs w:val="24"/>
              </w:rPr>
            </w:pPr>
            <w:r>
              <w:rPr>
                <w:rFonts w:hint="eastAsia" w:asciiTheme="minorEastAsia" w:hAnsiTheme="minorEastAsia" w:eastAsiaTheme="minorEastAsia" w:cstheme="minorEastAsia"/>
                <w:color w:val="000000"/>
                <w:spacing w:val="-6"/>
                <w:kern w:val="10"/>
                <w:sz w:val="24"/>
                <w:szCs w:val="24"/>
              </w:rPr>
              <w:t>身份鉴别</w:t>
            </w:r>
          </w:p>
        </w:tc>
        <w:tc>
          <w:tcPr>
            <w:tcW w:w="3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3A123">
            <w:pPr>
              <w:pageBreakBefore w:val="0"/>
              <w:widowControl/>
              <w:kinsoku/>
              <w:wordWrap/>
              <w:overflowPunct/>
              <w:topLinePunct w:val="0"/>
              <w:bidi w:val="0"/>
              <w:snapToGrid w:val="0"/>
              <w:spacing w:line="360" w:lineRule="auto"/>
              <w:jc w:val="left"/>
              <w:rPr>
                <w:rFonts w:hint="eastAsia" w:asciiTheme="minorEastAsia" w:hAnsiTheme="minorEastAsia" w:eastAsiaTheme="minorEastAsia" w:cstheme="minorEastAsia"/>
                <w:color w:val="000000"/>
                <w:spacing w:val="-6"/>
                <w:kern w:val="10"/>
                <w:sz w:val="24"/>
                <w:szCs w:val="24"/>
              </w:rPr>
            </w:pPr>
            <w:r>
              <w:rPr>
                <w:rFonts w:hint="eastAsia" w:asciiTheme="minorEastAsia" w:hAnsiTheme="minorEastAsia" w:eastAsiaTheme="minorEastAsia" w:cstheme="minorEastAsia"/>
                <w:color w:val="000000"/>
                <w:spacing w:val="-6"/>
                <w:kern w:val="10"/>
                <w:sz w:val="24"/>
                <w:szCs w:val="24"/>
              </w:rPr>
              <w:t>应采用密码技术对通信实体进行身份鉴别，保证通信实体身份的真实性；</w:t>
            </w:r>
          </w:p>
        </w:tc>
      </w:tr>
      <w:tr w14:paraId="6D53C28F">
        <w:tblPrEx>
          <w:tblCellMar>
            <w:top w:w="0" w:type="dxa"/>
            <w:left w:w="108" w:type="dxa"/>
            <w:bottom w:w="0" w:type="dxa"/>
            <w:right w:w="108" w:type="dxa"/>
          </w:tblCellMar>
        </w:tblPrEx>
        <w:trPr>
          <w:trHeight w:val="421" w:hRule="atLeast"/>
          <w:jc w:val="center"/>
        </w:trPr>
        <w:tc>
          <w:tcPr>
            <w:tcW w:w="6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12E431">
            <w:pPr>
              <w:pageBreakBefore w:val="0"/>
              <w:widowControl/>
              <w:kinsoku/>
              <w:wordWrap/>
              <w:overflowPunct/>
              <w:topLinePunct w:val="0"/>
              <w:bidi w:val="0"/>
              <w:spacing w:line="360" w:lineRule="auto"/>
              <w:jc w:val="center"/>
              <w:rPr>
                <w:rFonts w:hint="eastAsia" w:asciiTheme="minorEastAsia" w:hAnsiTheme="minorEastAsia" w:eastAsiaTheme="minorEastAsia" w:cstheme="minorEastAsia"/>
                <w:color w:val="000000"/>
                <w:sz w:val="24"/>
                <w:szCs w:val="24"/>
              </w:rPr>
            </w:pPr>
          </w:p>
        </w:tc>
        <w:tc>
          <w:tcPr>
            <w:tcW w:w="10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25A39">
            <w:pPr>
              <w:pageBreakBefore w:val="0"/>
              <w:widowControl/>
              <w:kinsoku/>
              <w:wordWrap/>
              <w:overflowPunct/>
              <w:topLinePunct w:val="0"/>
              <w:bidi w:val="0"/>
              <w:snapToGrid w:val="0"/>
              <w:spacing w:line="360" w:lineRule="auto"/>
              <w:jc w:val="center"/>
              <w:rPr>
                <w:rFonts w:hint="eastAsia" w:asciiTheme="minorEastAsia" w:hAnsiTheme="minorEastAsia" w:eastAsiaTheme="minorEastAsia" w:cstheme="minorEastAsia"/>
                <w:color w:val="000000"/>
                <w:spacing w:val="-6"/>
                <w:kern w:val="10"/>
                <w:sz w:val="24"/>
                <w:szCs w:val="24"/>
              </w:rPr>
            </w:pPr>
            <w:r>
              <w:rPr>
                <w:rFonts w:hint="eastAsia" w:asciiTheme="minorEastAsia" w:hAnsiTheme="minorEastAsia" w:eastAsiaTheme="minorEastAsia" w:cstheme="minorEastAsia"/>
                <w:color w:val="000000"/>
                <w:spacing w:val="-6"/>
                <w:kern w:val="10"/>
                <w:sz w:val="24"/>
                <w:szCs w:val="24"/>
              </w:rPr>
              <w:t>通信数据完整性</w:t>
            </w:r>
          </w:p>
        </w:tc>
        <w:tc>
          <w:tcPr>
            <w:tcW w:w="3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F49DF">
            <w:pPr>
              <w:pageBreakBefore w:val="0"/>
              <w:widowControl/>
              <w:kinsoku/>
              <w:wordWrap/>
              <w:overflowPunct/>
              <w:topLinePunct w:val="0"/>
              <w:bidi w:val="0"/>
              <w:snapToGrid w:val="0"/>
              <w:spacing w:line="360" w:lineRule="auto"/>
              <w:jc w:val="left"/>
              <w:rPr>
                <w:rFonts w:hint="eastAsia" w:asciiTheme="minorEastAsia" w:hAnsiTheme="minorEastAsia" w:eastAsiaTheme="minorEastAsia" w:cstheme="minorEastAsia"/>
                <w:color w:val="000000"/>
                <w:spacing w:val="-6"/>
                <w:kern w:val="10"/>
                <w:sz w:val="24"/>
                <w:szCs w:val="24"/>
              </w:rPr>
            </w:pPr>
            <w:r>
              <w:rPr>
                <w:rFonts w:hint="eastAsia" w:asciiTheme="minorEastAsia" w:hAnsiTheme="minorEastAsia" w:eastAsiaTheme="minorEastAsia" w:cstheme="minorEastAsia"/>
                <w:color w:val="000000"/>
                <w:spacing w:val="-6"/>
                <w:kern w:val="10"/>
                <w:sz w:val="24"/>
                <w:szCs w:val="24"/>
              </w:rPr>
              <w:t>应采用密码技术保证通信过程中数据的完整性；</w:t>
            </w:r>
          </w:p>
        </w:tc>
      </w:tr>
      <w:tr w14:paraId="78C59DF2">
        <w:tblPrEx>
          <w:tblCellMar>
            <w:top w:w="0" w:type="dxa"/>
            <w:left w:w="108" w:type="dxa"/>
            <w:bottom w:w="0" w:type="dxa"/>
            <w:right w:w="108" w:type="dxa"/>
          </w:tblCellMar>
        </w:tblPrEx>
        <w:trPr>
          <w:trHeight w:val="833" w:hRule="atLeast"/>
          <w:jc w:val="center"/>
        </w:trPr>
        <w:tc>
          <w:tcPr>
            <w:tcW w:w="6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FF62D5">
            <w:pPr>
              <w:pageBreakBefore w:val="0"/>
              <w:widowControl/>
              <w:kinsoku/>
              <w:wordWrap/>
              <w:overflowPunct/>
              <w:topLinePunct w:val="0"/>
              <w:bidi w:val="0"/>
              <w:spacing w:line="360" w:lineRule="auto"/>
              <w:jc w:val="center"/>
              <w:rPr>
                <w:rFonts w:hint="eastAsia" w:asciiTheme="minorEastAsia" w:hAnsiTheme="minorEastAsia" w:eastAsiaTheme="minorEastAsia" w:cstheme="minorEastAsia"/>
                <w:color w:val="000000"/>
                <w:sz w:val="24"/>
                <w:szCs w:val="24"/>
              </w:rPr>
            </w:pPr>
          </w:p>
        </w:tc>
        <w:tc>
          <w:tcPr>
            <w:tcW w:w="10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376E8">
            <w:pPr>
              <w:pageBreakBefore w:val="0"/>
              <w:widowControl/>
              <w:kinsoku/>
              <w:wordWrap/>
              <w:overflowPunct/>
              <w:topLinePunct w:val="0"/>
              <w:bidi w:val="0"/>
              <w:snapToGrid w:val="0"/>
              <w:spacing w:line="360" w:lineRule="auto"/>
              <w:jc w:val="center"/>
              <w:rPr>
                <w:rFonts w:hint="eastAsia" w:asciiTheme="minorEastAsia" w:hAnsiTheme="minorEastAsia" w:eastAsiaTheme="minorEastAsia" w:cstheme="minorEastAsia"/>
                <w:color w:val="000000"/>
                <w:spacing w:val="-6"/>
                <w:kern w:val="10"/>
                <w:sz w:val="24"/>
                <w:szCs w:val="24"/>
              </w:rPr>
            </w:pPr>
            <w:r>
              <w:rPr>
                <w:rFonts w:hint="eastAsia" w:asciiTheme="minorEastAsia" w:hAnsiTheme="minorEastAsia" w:eastAsiaTheme="minorEastAsia" w:cstheme="minorEastAsia"/>
                <w:color w:val="000000"/>
                <w:spacing w:val="-6"/>
                <w:kern w:val="10"/>
                <w:sz w:val="24"/>
                <w:szCs w:val="24"/>
              </w:rPr>
              <w:t>通信过程中重要数据的机密性</w:t>
            </w:r>
          </w:p>
        </w:tc>
        <w:tc>
          <w:tcPr>
            <w:tcW w:w="3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6037F">
            <w:pPr>
              <w:pageBreakBefore w:val="0"/>
              <w:widowControl/>
              <w:kinsoku/>
              <w:wordWrap/>
              <w:overflowPunct/>
              <w:topLinePunct w:val="0"/>
              <w:bidi w:val="0"/>
              <w:snapToGrid w:val="0"/>
              <w:spacing w:line="360" w:lineRule="auto"/>
              <w:jc w:val="left"/>
              <w:rPr>
                <w:rFonts w:hint="eastAsia" w:asciiTheme="minorEastAsia" w:hAnsiTheme="minorEastAsia" w:eastAsiaTheme="minorEastAsia" w:cstheme="minorEastAsia"/>
                <w:color w:val="000000"/>
                <w:spacing w:val="-6"/>
                <w:kern w:val="10"/>
                <w:sz w:val="24"/>
                <w:szCs w:val="24"/>
              </w:rPr>
            </w:pPr>
            <w:r>
              <w:rPr>
                <w:rFonts w:hint="eastAsia" w:asciiTheme="minorEastAsia" w:hAnsiTheme="minorEastAsia" w:eastAsiaTheme="minorEastAsia" w:cstheme="minorEastAsia"/>
                <w:color w:val="000000"/>
                <w:spacing w:val="-6"/>
                <w:kern w:val="10"/>
                <w:sz w:val="24"/>
                <w:szCs w:val="24"/>
              </w:rPr>
              <w:t>应采用密码技术保证通信过程中重要数据的机密性；</w:t>
            </w:r>
          </w:p>
        </w:tc>
      </w:tr>
      <w:tr w14:paraId="2CBB37AB">
        <w:tblPrEx>
          <w:tblCellMar>
            <w:top w:w="0" w:type="dxa"/>
            <w:left w:w="108" w:type="dxa"/>
            <w:bottom w:w="0" w:type="dxa"/>
            <w:right w:w="108" w:type="dxa"/>
          </w:tblCellMar>
        </w:tblPrEx>
        <w:trPr>
          <w:trHeight w:val="833" w:hRule="atLeast"/>
          <w:jc w:val="center"/>
        </w:trPr>
        <w:tc>
          <w:tcPr>
            <w:tcW w:w="6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B329D7">
            <w:pPr>
              <w:pageBreakBefore w:val="0"/>
              <w:widowControl/>
              <w:kinsoku/>
              <w:wordWrap/>
              <w:overflowPunct/>
              <w:topLinePunct w:val="0"/>
              <w:bidi w:val="0"/>
              <w:spacing w:line="360" w:lineRule="auto"/>
              <w:jc w:val="center"/>
              <w:rPr>
                <w:rFonts w:hint="eastAsia" w:asciiTheme="minorEastAsia" w:hAnsiTheme="minorEastAsia" w:eastAsiaTheme="minorEastAsia" w:cstheme="minorEastAsia"/>
                <w:color w:val="000000"/>
                <w:sz w:val="24"/>
                <w:szCs w:val="24"/>
              </w:rPr>
            </w:pPr>
          </w:p>
        </w:tc>
        <w:tc>
          <w:tcPr>
            <w:tcW w:w="10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640FD">
            <w:pPr>
              <w:pageBreakBefore w:val="0"/>
              <w:widowControl/>
              <w:kinsoku/>
              <w:wordWrap/>
              <w:overflowPunct/>
              <w:topLinePunct w:val="0"/>
              <w:bidi w:val="0"/>
              <w:snapToGrid w:val="0"/>
              <w:spacing w:line="360" w:lineRule="auto"/>
              <w:jc w:val="center"/>
              <w:rPr>
                <w:rFonts w:hint="eastAsia" w:asciiTheme="minorEastAsia" w:hAnsiTheme="minorEastAsia" w:eastAsiaTheme="minorEastAsia" w:cstheme="minorEastAsia"/>
                <w:color w:val="000000"/>
                <w:spacing w:val="-6"/>
                <w:kern w:val="10"/>
                <w:sz w:val="24"/>
                <w:szCs w:val="24"/>
              </w:rPr>
            </w:pPr>
            <w:r>
              <w:rPr>
                <w:rFonts w:hint="eastAsia" w:asciiTheme="minorEastAsia" w:hAnsiTheme="minorEastAsia" w:eastAsiaTheme="minorEastAsia" w:cstheme="minorEastAsia"/>
                <w:color w:val="000000"/>
                <w:spacing w:val="-6"/>
                <w:kern w:val="10"/>
                <w:sz w:val="24"/>
                <w:szCs w:val="24"/>
              </w:rPr>
              <w:t>网络边界访问控制信息的完整性</w:t>
            </w:r>
          </w:p>
        </w:tc>
        <w:tc>
          <w:tcPr>
            <w:tcW w:w="3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AF54C">
            <w:pPr>
              <w:pageBreakBefore w:val="0"/>
              <w:widowControl/>
              <w:kinsoku/>
              <w:wordWrap/>
              <w:overflowPunct/>
              <w:topLinePunct w:val="0"/>
              <w:bidi w:val="0"/>
              <w:snapToGrid w:val="0"/>
              <w:spacing w:line="360" w:lineRule="auto"/>
              <w:jc w:val="left"/>
              <w:rPr>
                <w:rFonts w:hint="eastAsia" w:asciiTheme="minorEastAsia" w:hAnsiTheme="minorEastAsia" w:eastAsiaTheme="minorEastAsia" w:cstheme="minorEastAsia"/>
                <w:color w:val="000000"/>
                <w:spacing w:val="-6"/>
                <w:kern w:val="10"/>
                <w:sz w:val="24"/>
                <w:szCs w:val="24"/>
              </w:rPr>
            </w:pPr>
            <w:r>
              <w:rPr>
                <w:rFonts w:hint="eastAsia" w:asciiTheme="minorEastAsia" w:hAnsiTheme="minorEastAsia" w:eastAsiaTheme="minorEastAsia" w:cstheme="minorEastAsia"/>
                <w:color w:val="000000"/>
                <w:spacing w:val="-6"/>
                <w:kern w:val="10"/>
                <w:sz w:val="24"/>
                <w:szCs w:val="24"/>
              </w:rPr>
              <w:t>应采用密码技术保证网络边界访问控制信息的完整性；</w:t>
            </w:r>
          </w:p>
        </w:tc>
      </w:tr>
      <w:tr w14:paraId="606FE829">
        <w:tblPrEx>
          <w:tblCellMar>
            <w:top w:w="0" w:type="dxa"/>
            <w:left w:w="108" w:type="dxa"/>
            <w:bottom w:w="0" w:type="dxa"/>
            <w:right w:w="108" w:type="dxa"/>
          </w:tblCellMar>
        </w:tblPrEx>
        <w:trPr>
          <w:trHeight w:val="833" w:hRule="atLeast"/>
          <w:jc w:val="center"/>
        </w:trPr>
        <w:tc>
          <w:tcPr>
            <w:tcW w:w="6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1D6855">
            <w:pPr>
              <w:pageBreakBefore w:val="0"/>
              <w:widowControl/>
              <w:kinsoku/>
              <w:wordWrap/>
              <w:overflowPunct/>
              <w:topLinePunct w:val="0"/>
              <w:bidi w:val="0"/>
              <w:spacing w:line="360" w:lineRule="auto"/>
              <w:jc w:val="center"/>
              <w:rPr>
                <w:rFonts w:hint="eastAsia" w:asciiTheme="minorEastAsia" w:hAnsiTheme="minorEastAsia" w:eastAsiaTheme="minorEastAsia" w:cstheme="minorEastAsia"/>
                <w:color w:val="000000"/>
                <w:sz w:val="24"/>
                <w:szCs w:val="24"/>
              </w:rPr>
            </w:pPr>
          </w:p>
        </w:tc>
        <w:tc>
          <w:tcPr>
            <w:tcW w:w="10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6DA4F">
            <w:pPr>
              <w:pageBreakBefore w:val="0"/>
              <w:widowControl/>
              <w:kinsoku/>
              <w:wordWrap/>
              <w:overflowPunct/>
              <w:topLinePunct w:val="0"/>
              <w:bidi w:val="0"/>
              <w:snapToGrid w:val="0"/>
              <w:spacing w:line="360" w:lineRule="auto"/>
              <w:jc w:val="center"/>
              <w:rPr>
                <w:rFonts w:hint="eastAsia" w:asciiTheme="minorEastAsia" w:hAnsiTheme="minorEastAsia" w:eastAsiaTheme="minorEastAsia" w:cstheme="minorEastAsia"/>
                <w:color w:val="000000"/>
                <w:spacing w:val="-6"/>
                <w:kern w:val="10"/>
                <w:sz w:val="24"/>
                <w:szCs w:val="24"/>
              </w:rPr>
            </w:pPr>
            <w:r>
              <w:rPr>
                <w:rFonts w:hint="eastAsia" w:asciiTheme="minorEastAsia" w:hAnsiTheme="minorEastAsia" w:eastAsiaTheme="minorEastAsia" w:cstheme="minorEastAsia"/>
                <w:color w:val="000000"/>
                <w:spacing w:val="-6"/>
                <w:kern w:val="10"/>
                <w:sz w:val="24"/>
                <w:szCs w:val="24"/>
              </w:rPr>
              <w:t>安全接入认证</w:t>
            </w:r>
          </w:p>
        </w:tc>
        <w:tc>
          <w:tcPr>
            <w:tcW w:w="3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1F0F2">
            <w:pPr>
              <w:pageBreakBefore w:val="0"/>
              <w:widowControl/>
              <w:kinsoku/>
              <w:wordWrap/>
              <w:overflowPunct/>
              <w:topLinePunct w:val="0"/>
              <w:bidi w:val="0"/>
              <w:snapToGrid w:val="0"/>
              <w:spacing w:line="360" w:lineRule="auto"/>
              <w:jc w:val="left"/>
              <w:rPr>
                <w:rFonts w:hint="eastAsia" w:asciiTheme="minorEastAsia" w:hAnsiTheme="minorEastAsia" w:eastAsiaTheme="minorEastAsia" w:cstheme="minorEastAsia"/>
                <w:color w:val="000000"/>
                <w:spacing w:val="-6"/>
                <w:kern w:val="10"/>
                <w:sz w:val="24"/>
                <w:szCs w:val="24"/>
              </w:rPr>
            </w:pPr>
            <w:r>
              <w:rPr>
                <w:rFonts w:hint="eastAsia" w:asciiTheme="minorEastAsia" w:hAnsiTheme="minorEastAsia" w:eastAsiaTheme="minorEastAsia" w:cstheme="minorEastAsia"/>
                <w:color w:val="000000"/>
                <w:spacing w:val="-6"/>
                <w:kern w:val="10"/>
                <w:sz w:val="24"/>
                <w:szCs w:val="24"/>
              </w:rPr>
              <w:t>应采用密码技术对从外部连接到内部网络的设备进行接入认证，确保接入的设备身份真实性。</w:t>
            </w:r>
          </w:p>
        </w:tc>
      </w:tr>
      <w:tr w14:paraId="4FD23D1B">
        <w:tblPrEx>
          <w:tblCellMar>
            <w:top w:w="0" w:type="dxa"/>
            <w:left w:w="108" w:type="dxa"/>
            <w:bottom w:w="0" w:type="dxa"/>
            <w:right w:w="108" w:type="dxa"/>
          </w:tblCellMar>
        </w:tblPrEx>
        <w:trPr>
          <w:trHeight w:val="1245" w:hRule="atLeast"/>
          <w:jc w:val="center"/>
        </w:trPr>
        <w:tc>
          <w:tcPr>
            <w:tcW w:w="69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E3C34">
            <w:pPr>
              <w:pageBreakBefore w:val="0"/>
              <w:widowControl/>
              <w:kinsoku/>
              <w:wordWrap/>
              <w:overflowPunct/>
              <w:topLinePunct w:val="0"/>
              <w:bidi w:val="0"/>
              <w:snapToGrid w:val="0"/>
              <w:spacing w:line="360" w:lineRule="auto"/>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设备和计算安全</w:t>
            </w:r>
          </w:p>
        </w:tc>
        <w:tc>
          <w:tcPr>
            <w:tcW w:w="10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79EB4">
            <w:pPr>
              <w:pageBreakBefore w:val="0"/>
              <w:widowControl/>
              <w:kinsoku/>
              <w:wordWrap/>
              <w:overflowPunct/>
              <w:topLinePunct w:val="0"/>
              <w:bidi w:val="0"/>
              <w:snapToGrid w:val="0"/>
              <w:spacing w:line="360" w:lineRule="auto"/>
              <w:jc w:val="center"/>
              <w:rPr>
                <w:rFonts w:hint="eastAsia" w:asciiTheme="minorEastAsia" w:hAnsiTheme="minorEastAsia" w:eastAsiaTheme="minorEastAsia" w:cstheme="minorEastAsia"/>
                <w:color w:val="000000"/>
                <w:spacing w:val="-6"/>
                <w:kern w:val="10"/>
                <w:sz w:val="24"/>
                <w:szCs w:val="24"/>
              </w:rPr>
            </w:pPr>
            <w:r>
              <w:rPr>
                <w:rFonts w:hint="eastAsia" w:asciiTheme="minorEastAsia" w:hAnsiTheme="minorEastAsia" w:eastAsiaTheme="minorEastAsia" w:cstheme="minorEastAsia"/>
                <w:color w:val="000000"/>
                <w:spacing w:val="-6"/>
                <w:kern w:val="10"/>
                <w:sz w:val="24"/>
                <w:szCs w:val="24"/>
              </w:rPr>
              <w:t>身份鉴别</w:t>
            </w:r>
          </w:p>
        </w:tc>
        <w:tc>
          <w:tcPr>
            <w:tcW w:w="3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FEEA2">
            <w:pPr>
              <w:pageBreakBefore w:val="0"/>
              <w:widowControl/>
              <w:kinsoku/>
              <w:wordWrap/>
              <w:overflowPunct/>
              <w:topLinePunct w:val="0"/>
              <w:bidi w:val="0"/>
              <w:snapToGrid w:val="0"/>
              <w:spacing w:line="360" w:lineRule="auto"/>
              <w:jc w:val="left"/>
              <w:rPr>
                <w:rFonts w:hint="eastAsia" w:asciiTheme="minorEastAsia" w:hAnsiTheme="minorEastAsia" w:eastAsiaTheme="minorEastAsia" w:cstheme="minorEastAsia"/>
                <w:color w:val="000000"/>
                <w:spacing w:val="-6"/>
                <w:kern w:val="10"/>
                <w:sz w:val="24"/>
                <w:szCs w:val="24"/>
              </w:rPr>
            </w:pPr>
            <w:r>
              <w:rPr>
                <w:rFonts w:hint="eastAsia" w:asciiTheme="minorEastAsia" w:hAnsiTheme="minorEastAsia" w:eastAsiaTheme="minorEastAsia" w:cstheme="minorEastAsia"/>
                <w:color w:val="000000"/>
                <w:spacing w:val="-6"/>
                <w:kern w:val="10"/>
                <w:sz w:val="24"/>
                <w:szCs w:val="24"/>
              </w:rPr>
              <w:t>应采用密码技术对登录设备的用户进行身份标识和鉴别，身份标识具有唯一性，身份鉴别信息具有复杂度要求并定期更换；</w:t>
            </w:r>
          </w:p>
        </w:tc>
      </w:tr>
      <w:tr w14:paraId="1588D421">
        <w:tblPrEx>
          <w:tblCellMar>
            <w:top w:w="0" w:type="dxa"/>
            <w:left w:w="108" w:type="dxa"/>
            <w:bottom w:w="0" w:type="dxa"/>
            <w:right w:w="108" w:type="dxa"/>
          </w:tblCellMar>
        </w:tblPrEx>
        <w:trPr>
          <w:trHeight w:val="833" w:hRule="atLeast"/>
          <w:jc w:val="center"/>
        </w:trPr>
        <w:tc>
          <w:tcPr>
            <w:tcW w:w="6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E5E589">
            <w:pPr>
              <w:pageBreakBefore w:val="0"/>
              <w:widowControl/>
              <w:kinsoku/>
              <w:wordWrap/>
              <w:overflowPunct/>
              <w:topLinePunct w:val="0"/>
              <w:bidi w:val="0"/>
              <w:snapToGrid w:val="0"/>
              <w:spacing w:line="360" w:lineRule="auto"/>
              <w:jc w:val="center"/>
              <w:rPr>
                <w:rFonts w:hint="eastAsia" w:asciiTheme="minorEastAsia" w:hAnsiTheme="minorEastAsia" w:eastAsiaTheme="minorEastAsia" w:cstheme="minorEastAsia"/>
                <w:color w:val="000000"/>
                <w:sz w:val="24"/>
                <w:szCs w:val="24"/>
              </w:rPr>
            </w:pPr>
          </w:p>
        </w:tc>
        <w:tc>
          <w:tcPr>
            <w:tcW w:w="10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98A65">
            <w:pPr>
              <w:pageBreakBefore w:val="0"/>
              <w:widowControl/>
              <w:kinsoku/>
              <w:wordWrap/>
              <w:overflowPunct/>
              <w:topLinePunct w:val="0"/>
              <w:bidi w:val="0"/>
              <w:snapToGrid w:val="0"/>
              <w:spacing w:line="360" w:lineRule="auto"/>
              <w:jc w:val="center"/>
              <w:rPr>
                <w:rFonts w:hint="eastAsia" w:asciiTheme="minorEastAsia" w:hAnsiTheme="minorEastAsia" w:eastAsiaTheme="minorEastAsia" w:cstheme="minorEastAsia"/>
                <w:color w:val="000000"/>
                <w:spacing w:val="-6"/>
                <w:kern w:val="10"/>
                <w:sz w:val="24"/>
                <w:szCs w:val="24"/>
              </w:rPr>
            </w:pPr>
            <w:r>
              <w:rPr>
                <w:rFonts w:hint="eastAsia" w:asciiTheme="minorEastAsia" w:hAnsiTheme="minorEastAsia" w:eastAsiaTheme="minorEastAsia" w:cstheme="minorEastAsia"/>
                <w:color w:val="000000"/>
                <w:spacing w:val="-6"/>
                <w:kern w:val="10"/>
                <w:sz w:val="24"/>
                <w:szCs w:val="24"/>
              </w:rPr>
              <w:t>远程管理通道安全</w:t>
            </w:r>
          </w:p>
        </w:tc>
        <w:tc>
          <w:tcPr>
            <w:tcW w:w="3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A595A">
            <w:pPr>
              <w:pageBreakBefore w:val="0"/>
              <w:widowControl/>
              <w:kinsoku/>
              <w:wordWrap/>
              <w:overflowPunct/>
              <w:topLinePunct w:val="0"/>
              <w:bidi w:val="0"/>
              <w:snapToGrid w:val="0"/>
              <w:spacing w:line="360" w:lineRule="auto"/>
              <w:jc w:val="left"/>
              <w:rPr>
                <w:rFonts w:hint="eastAsia" w:asciiTheme="minorEastAsia" w:hAnsiTheme="minorEastAsia" w:eastAsiaTheme="minorEastAsia" w:cstheme="minorEastAsia"/>
                <w:color w:val="000000"/>
                <w:spacing w:val="-6"/>
                <w:kern w:val="10"/>
                <w:sz w:val="24"/>
                <w:szCs w:val="24"/>
              </w:rPr>
            </w:pPr>
            <w:r>
              <w:rPr>
                <w:rFonts w:hint="eastAsia" w:asciiTheme="minorEastAsia" w:hAnsiTheme="minorEastAsia" w:eastAsiaTheme="minorEastAsia" w:cstheme="minorEastAsia"/>
                <w:color w:val="000000"/>
                <w:spacing w:val="-6"/>
                <w:kern w:val="10"/>
                <w:sz w:val="24"/>
                <w:szCs w:val="24"/>
              </w:rPr>
              <w:t>远程管理设备时，应采用密码技术建立安全的信息传输通道；</w:t>
            </w:r>
          </w:p>
        </w:tc>
      </w:tr>
      <w:tr w14:paraId="3E278ED0">
        <w:tblPrEx>
          <w:tblCellMar>
            <w:top w:w="0" w:type="dxa"/>
            <w:left w:w="108" w:type="dxa"/>
            <w:bottom w:w="0" w:type="dxa"/>
            <w:right w:w="108" w:type="dxa"/>
          </w:tblCellMar>
        </w:tblPrEx>
        <w:trPr>
          <w:trHeight w:val="833" w:hRule="atLeast"/>
          <w:jc w:val="center"/>
        </w:trPr>
        <w:tc>
          <w:tcPr>
            <w:tcW w:w="6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C6DEA5">
            <w:pPr>
              <w:pageBreakBefore w:val="0"/>
              <w:widowControl/>
              <w:kinsoku/>
              <w:wordWrap/>
              <w:overflowPunct/>
              <w:topLinePunct w:val="0"/>
              <w:bidi w:val="0"/>
              <w:snapToGrid w:val="0"/>
              <w:spacing w:line="360" w:lineRule="auto"/>
              <w:jc w:val="center"/>
              <w:rPr>
                <w:rFonts w:hint="eastAsia" w:asciiTheme="minorEastAsia" w:hAnsiTheme="minorEastAsia" w:eastAsiaTheme="minorEastAsia" w:cstheme="minorEastAsia"/>
                <w:color w:val="000000"/>
                <w:sz w:val="24"/>
                <w:szCs w:val="24"/>
              </w:rPr>
            </w:pPr>
          </w:p>
        </w:tc>
        <w:tc>
          <w:tcPr>
            <w:tcW w:w="10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8F82D">
            <w:pPr>
              <w:pageBreakBefore w:val="0"/>
              <w:widowControl/>
              <w:kinsoku/>
              <w:wordWrap/>
              <w:overflowPunct/>
              <w:topLinePunct w:val="0"/>
              <w:bidi w:val="0"/>
              <w:snapToGrid w:val="0"/>
              <w:spacing w:line="360" w:lineRule="auto"/>
              <w:jc w:val="center"/>
              <w:rPr>
                <w:rFonts w:hint="eastAsia" w:asciiTheme="minorEastAsia" w:hAnsiTheme="minorEastAsia" w:eastAsiaTheme="minorEastAsia" w:cstheme="minorEastAsia"/>
                <w:color w:val="000000"/>
                <w:spacing w:val="-6"/>
                <w:kern w:val="10"/>
                <w:sz w:val="24"/>
                <w:szCs w:val="24"/>
              </w:rPr>
            </w:pPr>
            <w:r>
              <w:rPr>
                <w:rFonts w:hint="eastAsia" w:asciiTheme="minorEastAsia" w:hAnsiTheme="minorEastAsia" w:eastAsiaTheme="minorEastAsia" w:cstheme="minorEastAsia"/>
                <w:color w:val="000000"/>
                <w:spacing w:val="-6"/>
                <w:kern w:val="10"/>
                <w:sz w:val="24"/>
                <w:szCs w:val="24"/>
              </w:rPr>
              <w:t>系统资源访问控制信息完整性</w:t>
            </w:r>
          </w:p>
        </w:tc>
        <w:tc>
          <w:tcPr>
            <w:tcW w:w="3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7C74F">
            <w:pPr>
              <w:pageBreakBefore w:val="0"/>
              <w:widowControl/>
              <w:kinsoku/>
              <w:wordWrap/>
              <w:overflowPunct/>
              <w:topLinePunct w:val="0"/>
              <w:bidi w:val="0"/>
              <w:snapToGrid w:val="0"/>
              <w:spacing w:line="360" w:lineRule="auto"/>
              <w:jc w:val="left"/>
              <w:rPr>
                <w:rFonts w:hint="eastAsia" w:asciiTheme="minorEastAsia" w:hAnsiTheme="minorEastAsia" w:eastAsiaTheme="minorEastAsia" w:cstheme="minorEastAsia"/>
                <w:color w:val="000000"/>
                <w:spacing w:val="-6"/>
                <w:kern w:val="10"/>
                <w:sz w:val="24"/>
                <w:szCs w:val="24"/>
              </w:rPr>
            </w:pPr>
            <w:r>
              <w:rPr>
                <w:rFonts w:hint="eastAsia" w:asciiTheme="minorEastAsia" w:hAnsiTheme="minorEastAsia" w:eastAsiaTheme="minorEastAsia" w:cstheme="minorEastAsia"/>
                <w:color w:val="000000"/>
                <w:spacing w:val="-6"/>
                <w:kern w:val="10"/>
                <w:sz w:val="24"/>
                <w:szCs w:val="24"/>
              </w:rPr>
              <w:t>应采用密码技术保证系统资源访问控制信息的完整性；</w:t>
            </w:r>
          </w:p>
        </w:tc>
      </w:tr>
      <w:tr w14:paraId="6DCEE1C7">
        <w:tblPrEx>
          <w:tblCellMar>
            <w:top w:w="0" w:type="dxa"/>
            <w:left w:w="108" w:type="dxa"/>
            <w:bottom w:w="0" w:type="dxa"/>
            <w:right w:w="108" w:type="dxa"/>
          </w:tblCellMar>
        </w:tblPrEx>
        <w:trPr>
          <w:trHeight w:val="833" w:hRule="atLeast"/>
          <w:jc w:val="center"/>
        </w:trPr>
        <w:tc>
          <w:tcPr>
            <w:tcW w:w="6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1E9ED3">
            <w:pPr>
              <w:pageBreakBefore w:val="0"/>
              <w:widowControl/>
              <w:kinsoku/>
              <w:wordWrap/>
              <w:overflowPunct/>
              <w:topLinePunct w:val="0"/>
              <w:bidi w:val="0"/>
              <w:snapToGrid w:val="0"/>
              <w:spacing w:line="360" w:lineRule="auto"/>
              <w:jc w:val="center"/>
              <w:rPr>
                <w:rFonts w:hint="eastAsia" w:asciiTheme="minorEastAsia" w:hAnsiTheme="minorEastAsia" w:eastAsiaTheme="minorEastAsia" w:cstheme="minorEastAsia"/>
                <w:color w:val="000000"/>
                <w:sz w:val="24"/>
                <w:szCs w:val="24"/>
              </w:rPr>
            </w:pPr>
          </w:p>
        </w:tc>
        <w:tc>
          <w:tcPr>
            <w:tcW w:w="10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E12B9">
            <w:pPr>
              <w:pageBreakBefore w:val="0"/>
              <w:widowControl/>
              <w:kinsoku/>
              <w:wordWrap/>
              <w:overflowPunct/>
              <w:topLinePunct w:val="0"/>
              <w:bidi w:val="0"/>
              <w:snapToGrid w:val="0"/>
              <w:spacing w:line="360" w:lineRule="auto"/>
              <w:jc w:val="center"/>
              <w:rPr>
                <w:rFonts w:hint="eastAsia" w:asciiTheme="minorEastAsia" w:hAnsiTheme="minorEastAsia" w:eastAsiaTheme="minorEastAsia" w:cstheme="minorEastAsia"/>
                <w:color w:val="000000"/>
                <w:spacing w:val="-6"/>
                <w:kern w:val="10"/>
                <w:sz w:val="24"/>
                <w:szCs w:val="24"/>
              </w:rPr>
            </w:pPr>
            <w:r>
              <w:rPr>
                <w:rFonts w:hint="eastAsia" w:asciiTheme="minorEastAsia" w:hAnsiTheme="minorEastAsia" w:eastAsiaTheme="minorEastAsia" w:cstheme="minorEastAsia"/>
                <w:color w:val="000000"/>
                <w:spacing w:val="-6"/>
                <w:kern w:val="10"/>
                <w:sz w:val="24"/>
                <w:szCs w:val="24"/>
              </w:rPr>
              <w:t>重要信息资源安全标记完整性</w:t>
            </w:r>
          </w:p>
        </w:tc>
        <w:tc>
          <w:tcPr>
            <w:tcW w:w="3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27953">
            <w:pPr>
              <w:pageBreakBefore w:val="0"/>
              <w:widowControl/>
              <w:kinsoku/>
              <w:wordWrap/>
              <w:overflowPunct/>
              <w:topLinePunct w:val="0"/>
              <w:bidi w:val="0"/>
              <w:snapToGrid w:val="0"/>
              <w:spacing w:line="360" w:lineRule="auto"/>
              <w:jc w:val="left"/>
              <w:rPr>
                <w:rFonts w:hint="eastAsia" w:asciiTheme="minorEastAsia" w:hAnsiTheme="minorEastAsia" w:eastAsiaTheme="minorEastAsia" w:cstheme="minorEastAsia"/>
                <w:color w:val="000000"/>
                <w:spacing w:val="-6"/>
                <w:kern w:val="10"/>
                <w:sz w:val="24"/>
                <w:szCs w:val="24"/>
              </w:rPr>
            </w:pPr>
            <w:r>
              <w:rPr>
                <w:rFonts w:hint="eastAsia" w:asciiTheme="minorEastAsia" w:hAnsiTheme="minorEastAsia" w:eastAsiaTheme="minorEastAsia" w:cstheme="minorEastAsia"/>
                <w:color w:val="000000"/>
                <w:spacing w:val="-6"/>
                <w:kern w:val="10"/>
                <w:sz w:val="24"/>
                <w:szCs w:val="24"/>
              </w:rPr>
              <w:t>应采用密码技术保证设备中的重要信息资源安全标记的完整性；</w:t>
            </w:r>
          </w:p>
        </w:tc>
      </w:tr>
      <w:tr w14:paraId="56553390">
        <w:tblPrEx>
          <w:tblCellMar>
            <w:top w:w="0" w:type="dxa"/>
            <w:left w:w="108" w:type="dxa"/>
            <w:bottom w:w="0" w:type="dxa"/>
            <w:right w:w="108" w:type="dxa"/>
          </w:tblCellMar>
        </w:tblPrEx>
        <w:trPr>
          <w:trHeight w:val="421" w:hRule="atLeast"/>
          <w:jc w:val="center"/>
        </w:trPr>
        <w:tc>
          <w:tcPr>
            <w:tcW w:w="6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378391">
            <w:pPr>
              <w:pageBreakBefore w:val="0"/>
              <w:widowControl/>
              <w:kinsoku/>
              <w:wordWrap/>
              <w:overflowPunct/>
              <w:topLinePunct w:val="0"/>
              <w:bidi w:val="0"/>
              <w:snapToGrid w:val="0"/>
              <w:spacing w:line="360" w:lineRule="auto"/>
              <w:jc w:val="center"/>
              <w:rPr>
                <w:rFonts w:hint="eastAsia" w:asciiTheme="minorEastAsia" w:hAnsiTheme="minorEastAsia" w:eastAsiaTheme="minorEastAsia" w:cstheme="minorEastAsia"/>
                <w:color w:val="000000"/>
                <w:sz w:val="24"/>
                <w:szCs w:val="24"/>
              </w:rPr>
            </w:pPr>
          </w:p>
        </w:tc>
        <w:tc>
          <w:tcPr>
            <w:tcW w:w="10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4DC4F">
            <w:pPr>
              <w:pageBreakBefore w:val="0"/>
              <w:widowControl/>
              <w:kinsoku/>
              <w:wordWrap/>
              <w:overflowPunct/>
              <w:topLinePunct w:val="0"/>
              <w:bidi w:val="0"/>
              <w:snapToGrid w:val="0"/>
              <w:spacing w:line="360" w:lineRule="auto"/>
              <w:jc w:val="center"/>
              <w:rPr>
                <w:rFonts w:hint="eastAsia" w:asciiTheme="minorEastAsia" w:hAnsiTheme="minorEastAsia" w:eastAsiaTheme="minorEastAsia" w:cstheme="minorEastAsia"/>
                <w:color w:val="000000"/>
                <w:spacing w:val="-6"/>
                <w:kern w:val="10"/>
                <w:sz w:val="24"/>
                <w:szCs w:val="24"/>
              </w:rPr>
            </w:pPr>
            <w:r>
              <w:rPr>
                <w:rFonts w:hint="eastAsia" w:asciiTheme="minorEastAsia" w:hAnsiTheme="minorEastAsia" w:eastAsiaTheme="minorEastAsia" w:cstheme="minorEastAsia"/>
                <w:color w:val="000000"/>
                <w:spacing w:val="-6"/>
                <w:kern w:val="10"/>
                <w:sz w:val="24"/>
                <w:szCs w:val="24"/>
              </w:rPr>
              <w:t>日志记录完整性</w:t>
            </w:r>
          </w:p>
        </w:tc>
        <w:tc>
          <w:tcPr>
            <w:tcW w:w="3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1EDBC">
            <w:pPr>
              <w:pageBreakBefore w:val="0"/>
              <w:widowControl/>
              <w:kinsoku/>
              <w:wordWrap/>
              <w:overflowPunct/>
              <w:topLinePunct w:val="0"/>
              <w:bidi w:val="0"/>
              <w:snapToGrid w:val="0"/>
              <w:spacing w:line="360" w:lineRule="auto"/>
              <w:jc w:val="left"/>
              <w:rPr>
                <w:rFonts w:hint="eastAsia" w:asciiTheme="minorEastAsia" w:hAnsiTheme="minorEastAsia" w:eastAsiaTheme="minorEastAsia" w:cstheme="minorEastAsia"/>
                <w:color w:val="000000"/>
                <w:spacing w:val="-6"/>
                <w:kern w:val="10"/>
                <w:sz w:val="24"/>
                <w:szCs w:val="24"/>
              </w:rPr>
            </w:pPr>
            <w:r>
              <w:rPr>
                <w:rFonts w:hint="eastAsia" w:asciiTheme="minorEastAsia" w:hAnsiTheme="minorEastAsia" w:eastAsiaTheme="minorEastAsia" w:cstheme="minorEastAsia"/>
                <w:color w:val="000000"/>
                <w:spacing w:val="-6"/>
                <w:kern w:val="10"/>
                <w:sz w:val="24"/>
                <w:szCs w:val="24"/>
              </w:rPr>
              <w:t>应采用密码技术保证日志记录的完整性；</w:t>
            </w:r>
          </w:p>
        </w:tc>
      </w:tr>
      <w:tr w14:paraId="28D310D5">
        <w:tblPrEx>
          <w:tblCellMar>
            <w:top w:w="0" w:type="dxa"/>
            <w:left w:w="108" w:type="dxa"/>
            <w:bottom w:w="0" w:type="dxa"/>
            <w:right w:w="108" w:type="dxa"/>
          </w:tblCellMar>
        </w:tblPrEx>
        <w:trPr>
          <w:trHeight w:val="1245" w:hRule="atLeast"/>
          <w:jc w:val="center"/>
        </w:trPr>
        <w:tc>
          <w:tcPr>
            <w:tcW w:w="6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6A5A2E">
            <w:pPr>
              <w:pageBreakBefore w:val="0"/>
              <w:widowControl/>
              <w:kinsoku/>
              <w:wordWrap/>
              <w:overflowPunct/>
              <w:topLinePunct w:val="0"/>
              <w:bidi w:val="0"/>
              <w:snapToGrid w:val="0"/>
              <w:spacing w:line="360" w:lineRule="auto"/>
              <w:jc w:val="center"/>
              <w:rPr>
                <w:rFonts w:hint="eastAsia" w:asciiTheme="minorEastAsia" w:hAnsiTheme="minorEastAsia" w:eastAsiaTheme="minorEastAsia" w:cstheme="minorEastAsia"/>
                <w:color w:val="000000"/>
                <w:sz w:val="24"/>
                <w:szCs w:val="24"/>
              </w:rPr>
            </w:pPr>
          </w:p>
        </w:tc>
        <w:tc>
          <w:tcPr>
            <w:tcW w:w="10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205FC">
            <w:pPr>
              <w:pageBreakBefore w:val="0"/>
              <w:widowControl/>
              <w:kinsoku/>
              <w:wordWrap/>
              <w:overflowPunct/>
              <w:topLinePunct w:val="0"/>
              <w:bidi w:val="0"/>
              <w:snapToGrid w:val="0"/>
              <w:spacing w:line="360" w:lineRule="auto"/>
              <w:jc w:val="center"/>
              <w:rPr>
                <w:rFonts w:hint="eastAsia" w:asciiTheme="minorEastAsia" w:hAnsiTheme="minorEastAsia" w:eastAsiaTheme="minorEastAsia" w:cstheme="minorEastAsia"/>
                <w:color w:val="000000"/>
                <w:spacing w:val="-6"/>
                <w:kern w:val="10"/>
                <w:sz w:val="24"/>
                <w:szCs w:val="24"/>
              </w:rPr>
            </w:pPr>
            <w:r>
              <w:rPr>
                <w:rFonts w:hint="eastAsia" w:asciiTheme="minorEastAsia" w:hAnsiTheme="minorEastAsia" w:eastAsiaTheme="minorEastAsia" w:cstheme="minorEastAsia"/>
                <w:color w:val="000000"/>
                <w:spacing w:val="-6"/>
                <w:kern w:val="10"/>
                <w:sz w:val="24"/>
                <w:szCs w:val="24"/>
              </w:rPr>
              <w:t>重要可执行程序完整性、重要可执行程序来源真实性</w:t>
            </w:r>
          </w:p>
        </w:tc>
        <w:tc>
          <w:tcPr>
            <w:tcW w:w="3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E1D37">
            <w:pPr>
              <w:pageBreakBefore w:val="0"/>
              <w:widowControl/>
              <w:kinsoku/>
              <w:wordWrap/>
              <w:overflowPunct/>
              <w:topLinePunct w:val="0"/>
              <w:bidi w:val="0"/>
              <w:snapToGrid w:val="0"/>
              <w:spacing w:line="360" w:lineRule="auto"/>
              <w:jc w:val="left"/>
              <w:rPr>
                <w:rFonts w:hint="eastAsia" w:asciiTheme="minorEastAsia" w:hAnsiTheme="minorEastAsia" w:eastAsiaTheme="minorEastAsia" w:cstheme="minorEastAsia"/>
                <w:color w:val="000000"/>
                <w:spacing w:val="-6"/>
                <w:kern w:val="10"/>
                <w:sz w:val="24"/>
                <w:szCs w:val="24"/>
              </w:rPr>
            </w:pPr>
            <w:r>
              <w:rPr>
                <w:rFonts w:hint="eastAsia" w:asciiTheme="minorEastAsia" w:hAnsiTheme="minorEastAsia" w:eastAsiaTheme="minorEastAsia" w:cstheme="minorEastAsia"/>
                <w:color w:val="000000"/>
                <w:spacing w:val="-6"/>
                <w:kern w:val="10"/>
                <w:sz w:val="24"/>
                <w:szCs w:val="24"/>
              </w:rPr>
              <w:t>应采用密码技术对重要可执行程序进行完整性保护，并对其来源进行真实性验证。</w:t>
            </w:r>
          </w:p>
        </w:tc>
      </w:tr>
      <w:tr w14:paraId="1D055A57">
        <w:tblPrEx>
          <w:tblCellMar>
            <w:top w:w="0" w:type="dxa"/>
            <w:left w:w="108" w:type="dxa"/>
            <w:bottom w:w="0" w:type="dxa"/>
            <w:right w:w="108" w:type="dxa"/>
          </w:tblCellMar>
        </w:tblPrEx>
        <w:trPr>
          <w:trHeight w:val="833" w:hRule="atLeast"/>
          <w:jc w:val="center"/>
        </w:trPr>
        <w:tc>
          <w:tcPr>
            <w:tcW w:w="69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F1AA7">
            <w:pPr>
              <w:pageBreakBefore w:val="0"/>
              <w:widowControl/>
              <w:kinsoku/>
              <w:wordWrap/>
              <w:overflowPunct/>
              <w:topLinePunct w:val="0"/>
              <w:bidi w:val="0"/>
              <w:snapToGrid w:val="0"/>
              <w:spacing w:line="360" w:lineRule="auto"/>
              <w:jc w:val="center"/>
              <w:rPr>
                <w:rFonts w:hint="eastAsia" w:asciiTheme="minorEastAsia" w:hAnsiTheme="minorEastAsia" w:eastAsiaTheme="minorEastAsia" w:cstheme="minorEastAsia"/>
                <w:color w:val="000000"/>
                <w:sz w:val="24"/>
                <w:szCs w:val="24"/>
              </w:rPr>
            </w:pPr>
          </w:p>
          <w:p w14:paraId="34B50146">
            <w:pPr>
              <w:pageBreakBefore w:val="0"/>
              <w:widowControl/>
              <w:kinsoku/>
              <w:wordWrap/>
              <w:overflowPunct/>
              <w:topLinePunct w:val="0"/>
              <w:bidi w:val="0"/>
              <w:snapToGrid w:val="0"/>
              <w:spacing w:line="360" w:lineRule="auto"/>
              <w:jc w:val="center"/>
              <w:rPr>
                <w:rFonts w:hint="eastAsia" w:asciiTheme="minorEastAsia" w:hAnsiTheme="minorEastAsia" w:eastAsiaTheme="minorEastAsia" w:cstheme="minorEastAsia"/>
                <w:color w:val="000000"/>
                <w:sz w:val="24"/>
                <w:szCs w:val="24"/>
              </w:rPr>
            </w:pPr>
          </w:p>
          <w:p w14:paraId="5646CD3C">
            <w:pPr>
              <w:pageBreakBefore w:val="0"/>
              <w:widowControl/>
              <w:kinsoku/>
              <w:wordWrap/>
              <w:overflowPunct/>
              <w:topLinePunct w:val="0"/>
              <w:bidi w:val="0"/>
              <w:snapToGrid w:val="0"/>
              <w:spacing w:line="360" w:lineRule="auto"/>
              <w:jc w:val="center"/>
              <w:rPr>
                <w:rFonts w:hint="eastAsia" w:asciiTheme="minorEastAsia" w:hAnsiTheme="minorEastAsia" w:eastAsiaTheme="minorEastAsia" w:cstheme="minorEastAsia"/>
                <w:color w:val="000000"/>
                <w:sz w:val="24"/>
                <w:szCs w:val="24"/>
              </w:rPr>
            </w:pPr>
          </w:p>
          <w:p w14:paraId="555F5D2A">
            <w:pPr>
              <w:pageBreakBefore w:val="0"/>
              <w:widowControl/>
              <w:kinsoku/>
              <w:wordWrap/>
              <w:overflowPunct/>
              <w:topLinePunct w:val="0"/>
              <w:bidi w:val="0"/>
              <w:snapToGrid w:val="0"/>
              <w:spacing w:line="360" w:lineRule="auto"/>
              <w:jc w:val="center"/>
              <w:rPr>
                <w:rFonts w:hint="eastAsia" w:asciiTheme="minorEastAsia" w:hAnsiTheme="minorEastAsia" w:eastAsiaTheme="minorEastAsia" w:cstheme="minorEastAsia"/>
                <w:color w:val="000000"/>
                <w:sz w:val="24"/>
                <w:szCs w:val="24"/>
              </w:rPr>
            </w:pPr>
          </w:p>
          <w:p w14:paraId="5A496E3E">
            <w:pPr>
              <w:pageBreakBefore w:val="0"/>
              <w:widowControl/>
              <w:kinsoku/>
              <w:wordWrap/>
              <w:overflowPunct/>
              <w:topLinePunct w:val="0"/>
              <w:bidi w:val="0"/>
              <w:snapToGrid w:val="0"/>
              <w:spacing w:line="360" w:lineRule="auto"/>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应用和数据安全</w:t>
            </w:r>
          </w:p>
        </w:tc>
        <w:tc>
          <w:tcPr>
            <w:tcW w:w="10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45EAE">
            <w:pPr>
              <w:pageBreakBefore w:val="0"/>
              <w:widowControl/>
              <w:kinsoku/>
              <w:wordWrap/>
              <w:overflowPunct/>
              <w:topLinePunct w:val="0"/>
              <w:bidi w:val="0"/>
              <w:snapToGrid w:val="0"/>
              <w:spacing w:line="360" w:lineRule="auto"/>
              <w:jc w:val="center"/>
              <w:rPr>
                <w:rFonts w:hint="eastAsia" w:asciiTheme="minorEastAsia" w:hAnsiTheme="minorEastAsia" w:eastAsiaTheme="minorEastAsia" w:cstheme="minorEastAsia"/>
                <w:color w:val="000000"/>
                <w:spacing w:val="-6"/>
                <w:kern w:val="10"/>
                <w:sz w:val="24"/>
                <w:szCs w:val="24"/>
              </w:rPr>
            </w:pPr>
            <w:r>
              <w:rPr>
                <w:rFonts w:hint="eastAsia" w:asciiTheme="minorEastAsia" w:hAnsiTheme="minorEastAsia" w:eastAsiaTheme="minorEastAsia" w:cstheme="minorEastAsia"/>
                <w:color w:val="000000"/>
                <w:spacing w:val="-6"/>
                <w:kern w:val="10"/>
                <w:sz w:val="24"/>
                <w:szCs w:val="24"/>
              </w:rPr>
              <w:t>身份鉴别</w:t>
            </w:r>
          </w:p>
        </w:tc>
        <w:tc>
          <w:tcPr>
            <w:tcW w:w="3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18655">
            <w:pPr>
              <w:pageBreakBefore w:val="0"/>
              <w:widowControl/>
              <w:kinsoku/>
              <w:wordWrap/>
              <w:overflowPunct/>
              <w:topLinePunct w:val="0"/>
              <w:bidi w:val="0"/>
              <w:snapToGrid w:val="0"/>
              <w:spacing w:line="360" w:lineRule="auto"/>
              <w:jc w:val="left"/>
              <w:rPr>
                <w:rFonts w:hint="eastAsia" w:asciiTheme="minorEastAsia" w:hAnsiTheme="minorEastAsia" w:eastAsiaTheme="minorEastAsia" w:cstheme="minorEastAsia"/>
                <w:color w:val="000000"/>
                <w:spacing w:val="-6"/>
                <w:kern w:val="10"/>
                <w:sz w:val="24"/>
                <w:szCs w:val="24"/>
              </w:rPr>
            </w:pPr>
            <w:r>
              <w:rPr>
                <w:rFonts w:hint="eastAsia" w:asciiTheme="minorEastAsia" w:hAnsiTheme="minorEastAsia" w:eastAsiaTheme="minorEastAsia" w:cstheme="minorEastAsia"/>
                <w:color w:val="000000"/>
                <w:spacing w:val="-6"/>
                <w:kern w:val="10"/>
                <w:sz w:val="24"/>
                <w:szCs w:val="24"/>
              </w:rPr>
              <w:t>应采用密码技术对登录用户进行身份鉴别，保证应用系统用户身份的真实性；</w:t>
            </w:r>
          </w:p>
        </w:tc>
      </w:tr>
      <w:tr w14:paraId="3B470D5F">
        <w:tblPrEx>
          <w:tblCellMar>
            <w:top w:w="0" w:type="dxa"/>
            <w:left w:w="108" w:type="dxa"/>
            <w:bottom w:w="0" w:type="dxa"/>
            <w:right w:w="108" w:type="dxa"/>
          </w:tblCellMar>
        </w:tblPrEx>
        <w:trPr>
          <w:trHeight w:val="833" w:hRule="atLeast"/>
          <w:jc w:val="center"/>
        </w:trPr>
        <w:tc>
          <w:tcPr>
            <w:tcW w:w="6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D26A44">
            <w:pPr>
              <w:pageBreakBefore w:val="0"/>
              <w:widowControl/>
              <w:kinsoku/>
              <w:wordWrap/>
              <w:overflowPunct/>
              <w:topLinePunct w:val="0"/>
              <w:bidi w:val="0"/>
              <w:spacing w:line="360" w:lineRule="auto"/>
              <w:jc w:val="center"/>
              <w:rPr>
                <w:rFonts w:hint="eastAsia" w:asciiTheme="minorEastAsia" w:hAnsiTheme="minorEastAsia" w:eastAsiaTheme="minorEastAsia" w:cstheme="minorEastAsia"/>
                <w:color w:val="000000"/>
                <w:sz w:val="24"/>
                <w:szCs w:val="24"/>
              </w:rPr>
            </w:pPr>
          </w:p>
        </w:tc>
        <w:tc>
          <w:tcPr>
            <w:tcW w:w="10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6F883">
            <w:pPr>
              <w:pageBreakBefore w:val="0"/>
              <w:widowControl/>
              <w:kinsoku/>
              <w:wordWrap/>
              <w:overflowPunct/>
              <w:topLinePunct w:val="0"/>
              <w:bidi w:val="0"/>
              <w:snapToGrid w:val="0"/>
              <w:spacing w:line="360" w:lineRule="auto"/>
              <w:jc w:val="center"/>
              <w:rPr>
                <w:rFonts w:hint="eastAsia" w:asciiTheme="minorEastAsia" w:hAnsiTheme="minorEastAsia" w:eastAsiaTheme="minorEastAsia" w:cstheme="minorEastAsia"/>
                <w:color w:val="000000"/>
                <w:spacing w:val="-6"/>
                <w:kern w:val="10"/>
                <w:sz w:val="24"/>
                <w:szCs w:val="24"/>
              </w:rPr>
            </w:pPr>
            <w:r>
              <w:rPr>
                <w:rFonts w:hint="eastAsia" w:asciiTheme="minorEastAsia" w:hAnsiTheme="minorEastAsia" w:eastAsiaTheme="minorEastAsia" w:cstheme="minorEastAsia"/>
                <w:color w:val="000000"/>
                <w:spacing w:val="-6"/>
                <w:kern w:val="10"/>
                <w:sz w:val="24"/>
                <w:szCs w:val="24"/>
              </w:rPr>
              <w:t>访问控制信息完整性</w:t>
            </w:r>
          </w:p>
        </w:tc>
        <w:tc>
          <w:tcPr>
            <w:tcW w:w="3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C6E5D">
            <w:pPr>
              <w:pageBreakBefore w:val="0"/>
              <w:widowControl/>
              <w:kinsoku/>
              <w:wordWrap/>
              <w:overflowPunct/>
              <w:topLinePunct w:val="0"/>
              <w:bidi w:val="0"/>
              <w:snapToGrid w:val="0"/>
              <w:spacing w:line="360" w:lineRule="auto"/>
              <w:jc w:val="left"/>
              <w:rPr>
                <w:rFonts w:hint="eastAsia" w:asciiTheme="minorEastAsia" w:hAnsiTheme="minorEastAsia" w:eastAsiaTheme="minorEastAsia" w:cstheme="minorEastAsia"/>
                <w:color w:val="000000"/>
                <w:spacing w:val="-6"/>
                <w:kern w:val="10"/>
                <w:sz w:val="24"/>
                <w:szCs w:val="24"/>
              </w:rPr>
            </w:pPr>
            <w:r>
              <w:rPr>
                <w:rFonts w:hint="eastAsia" w:asciiTheme="minorEastAsia" w:hAnsiTheme="minorEastAsia" w:eastAsiaTheme="minorEastAsia" w:cstheme="minorEastAsia"/>
                <w:color w:val="000000"/>
                <w:spacing w:val="-6"/>
                <w:kern w:val="10"/>
                <w:sz w:val="24"/>
                <w:szCs w:val="24"/>
              </w:rPr>
              <w:t>应采用密码技术保证安徽省医疗保障信息平台的访问控制信息的完整性；</w:t>
            </w:r>
          </w:p>
        </w:tc>
      </w:tr>
      <w:tr w14:paraId="2D258697">
        <w:tblPrEx>
          <w:tblCellMar>
            <w:top w:w="0" w:type="dxa"/>
            <w:left w:w="108" w:type="dxa"/>
            <w:bottom w:w="0" w:type="dxa"/>
            <w:right w:w="108" w:type="dxa"/>
          </w:tblCellMar>
        </w:tblPrEx>
        <w:trPr>
          <w:trHeight w:val="833" w:hRule="atLeast"/>
          <w:jc w:val="center"/>
        </w:trPr>
        <w:tc>
          <w:tcPr>
            <w:tcW w:w="6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6CE4C1">
            <w:pPr>
              <w:pageBreakBefore w:val="0"/>
              <w:widowControl/>
              <w:kinsoku/>
              <w:wordWrap/>
              <w:overflowPunct/>
              <w:topLinePunct w:val="0"/>
              <w:bidi w:val="0"/>
              <w:spacing w:line="360" w:lineRule="auto"/>
              <w:jc w:val="center"/>
              <w:rPr>
                <w:rFonts w:hint="eastAsia" w:asciiTheme="minorEastAsia" w:hAnsiTheme="minorEastAsia" w:eastAsiaTheme="minorEastAsia" w:cstheme="minorEastAsia"/>
                <w:color w:val="000000"/>
                <w:sz w:val="24"/>
                <w:szCs w:val="24"/>
              </w:rPr>
            </w:pPr>
          </w:p>
        </w:tc>
        <w:tc>
          <w:tcPr>
            <w:tcW w:w="10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31FE2">
            <w:pPr>
              <w:pageBreakBefore w:val="0"/>
              <w:widowControl/>
              <w:kinsoku/>
              <w:wordWrap/>
              <w:overflowPunct/>
              <w:topLinePunct w:val="0"/>
              <w:bidi w:val="0"/>
              <w:snapToGrid w:val="0"/>
              <w:spacing w:line="360" w:lineRule="auto"/>
              <w:jc w:val="center"/>
              <w:rPr>
                <w:rFonts w:hint="eastAsia" w:asciiTheme="minorEastAsia" w:hAnsiTheme="minorEastAsia" w:eastAsiaTheme="minorEastAsia" w:cstheme="minorEastAsia"/>
                <w:color w:val="000000"/>
                <w:spacing w:val="-6"/>
                <w:kern w:val="10"/>
                <w:sz w:val="24"/>
                <w:szCs w:val="24"/>
              </w:rPr>
            </w:pPr>
            <w:r>
              <w:rPr>
                <w:rFonts w:hint="eastAsia" w:asciiTheme="minorEastAsia" w:hAnsiTheme="minorEastAsia" w:eastAsiaTheme="minorEastAsia" w:cstheme="minorEastAsia"/>
                <w:color w:val="000000"/>
                <w:spacing w:val="-6"/>
                <w:kern w:val="10"/>
                <w:sz w:val="24"/>
                <w:szCs w:val="24"/>
              </w:rPr>
              <w:t>重要信息资源安全标记完整性</w:t>
            </w:r>
          </w:p>
        </w:tc>
        <w:tc>
          <w:tcPr>
            <w:tcW w:w="3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6651B">
            <w:pPr>
              <w:pageBreakBefore w:val="0"/>
              <w:widowControl/>
              <w:kinsoku/>
              <w:wordWrap/>
              <w:overflowPunct/>
              <w:topLinePunct w:val="0"/>
              <w:bidi w:val="0"/>
              <w:snapToGrid w:val="0"/>
              <w:spacing w:line="360" w:lineRule="auto"/>
              <w:jc w:val="left"/>
              <w:rPr>
                <w:rFonts w:hint="eastAsia" w:asciiTheme="minorEastAsia" w:hAnsiTheme="minorEastAsia" w:eastAsiaTheme="minorEastAsia" w:cstheme="minorEastAsia"/>
                <w:color w:val="000000"/>
                <w:spacing w:val="-6"/>
                <w:kern w:val="10"/>
                <w:sz w:val="24"/>
                <w:szCs w:val="24"/>
              </w:rPr>
            </w:pPr>
            <w:r>
              <w:rPr>
                <w:rFonts w:hint="eastAsia" w:asciiTheme="minorEastAsia" w:hAnsiTheme="minorEastAsia" w:eastAsiaTheme="minorEastAsia" w:cstheme="minorEastAsia"/>
                <w:color w:val="000000"/>
                <w:spacing w:val="-6"/>
                <w:kern w:val="10"/>
                <w:sz w:val="24"/>
                <w:szCs w:val="24"/>
              </w:rPr>
              <w:t>应采用密码技术保证安徽省医疗保障信息平台的重要信息资源安全标记的完整性；</w:t>
            </w:r>
          </w:p>
        </w:tc>
      </w:tr>
      <w:tr w14:paraId="3F16ACC7">
        <w:tblPrEx>
          <w:tblCellMar>
            <w:top w:w="0" w:type="dxa"/>
            <w:left w:w="108" w:type="dxa"/>
            <w:bottom w:w="0" w:type="dxa"/>
            <w:right w:w="108" w:type="dxa"/>
          </w:tblCellMar>
        </w:tblPrEx>
        <w:trPr>
          <w:trHeight w:val="833" w:hRule="atLeast"/>
          <w:jc w:val="center"/>
        </w:trPr>
        <w:tc>
          <w:tcPr>
            <w:tcW w:w="6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B0659F">
            <w:pPr>
              <w:pageBreakBefore w:val="0"/>
              <w:widowControl/>
              <w:kinsoku/>
              <w:wordWrap/>
              <w:overflowPunct/>
              <w:topLinePunct w:val="0"/>
              <w:bidi w:val="0"/>
              <w:spacing w:line="360" w:lineRule="auto"/>
              <w:jc w:val="center"/>
              <w:rPr>
                <w:rFonts w:hint="eastAsia" w:asciiTheme="minorEastAsia" w:hAnsiTheme="minorEastAsia" w:eastAsiaTheme="minorEastAsia" w:cstheme="minorEastAsia"/>
                <w:color w:val="000000"/>
                <w:sz w:val="24"/>
                <w:szCs w:val="24"/>
              </w:rPr>
            </w:pPr>
          </w:p>
        </w:tc>
        <w:tc>
          <w:tcPr>
            <w:tcW w:w="10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47467">
            <w:pPr>
              <w:pageBreakBefore w:val="0"/>
              <w:widowControl/>
              <w:kinsoku/>
              <w:wordWrap/>
              <w:overflowPunct/>
              <w:topLinePunct w:val="0"/>
              <w:bidi w:val="0"/>
              <w:snapToGrid w:val="0"/>
              <w:spacing w:line="360" w:lineRule="auto"/>
              <w:jc w:val="center"/>
              <w:rPr>
                <w:rFonts w:hint="eastAsia" w:asciiTheme="minorEastAsia" w:hAnsiTheme="minorEastAsia" w:eastAsiaTheme="minorEastAsia" w:cstheme="minorEastAsia"/>
                <w:color w:val="000000"/>
                <w:spacing w:val="-6"/>
                <w:kern w:val="10"/>
                <w:sz w:val="24"/>
                <w:szCs w:val="24"/>
              </w:rPr>
            </w:pPr>
            <w:r>
              <w:rPr>
                <w:rFonts w:hint="eastAsia" w:asciiTheme="minorEastAsia" w:hAnsiTheme="minorEastAsia" w:eastAsiaTheme="minorEastAsia" w:cstheme="minorEastAsia"/>
                <w:color w:val="000000"/>
                <w:spacing w:val="-6"/>
                <w:kern w:val="10"/>
                <w:sz w:val="24"/>
                <w:szCs w:val="24"/>
              </w:rPr>
              <w:t>重要数据传输机密性</w:t>
            </w:r>
          </w:p>
        </w:tc>
        <w:tc>
          <w:tcPr>
            <w:tcW w:w="3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24BEC">
            <w:pPr>
              <w:pageBreakBefore w:val="0"/>
              <w:widowControl/>
              <w:kinsoku/>
              <w:wordWrap/>
              <w:overflowPunct/>
              <w:topLinePunct w:val="0"/>
              <w:bidi w:val="0"/>
              <w:snapToGrid w:val="0"/>
              <w:spacing w:line="360" w:lineRule="auto"/>
              <w:jc w:val="left"/>
              <w:rPr>
                <w:rFonts w:hint="eastAsia" w:asciiTheme="minorEastAsia" w:hAnsiTheme="minorEastAsia" w:eastAsiaTheme="minorEastAsia" w:cstheme="minorEastAsia"/>
                <w:color w:val="000000"/>
                <w:spacing w:val="-6"/>
                <w:kern w:val="10"/>
                <w:sz w:val="24"/>
                <w:szCs w:val="24"/>
              </w:rPr>
            </w:pPr>
            <w:r>
              <w:rPr>
                <w:rFonts w:hint="eastAsia" w:asciiTheme="minorEastAsia" w:hAnsiTheme="minorEastAsia" w:eastAsiaTheme="minorEastAsia" w:cstheme="minorEastAsia"/>
                <w:color w:val="000000"/>
                <w:spacing w:val="-6"/>
                <w:kern w:val="10"/>
                <w:sz w:val="24"/>
                <w:szCs w:val="24"/>
              </w:rPr>
              <w:t>应采用密码技术保证安徽省医疗保障信息平台的重要数据在传输过程中的机密性；</w:t>
            </w:r>
          </w:p>
        </w:tc>
      </w:tr>
      <w:tr w14:paraId="29E2CABD">
        <w:tblPrEx>
          <w:tblCellMar>
            <w:top w:w="0" w:type="dxa"/>
            <w:left w:w="108" w:type="dxa"/>
            <w:bottom w:w="0" w:type="dxa"/>
            <w:right w:w="108" w:type="dxa"/>
          </w:tblCellMar>
        </w:tblPrEx>
        <w:trPr>
          <w:trHeight w:val="421" w:hRule="atLeast"/>
          <w:jc w:val="center"/>
        </w:trPr>
        <w:tc>
          <w:tcPr>
            <w:tcW w:w="6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D3277F">
            <w:pPr>
              <w:pageBreakBefore w:val="0"/>
              <w:widowControl/>
              <w:kinsoku/>
              <w:wordWrap/>
              <w:overflowPunct/>
              <w:topLinePunct w:val="0"/>
              <w:bidi w:val="0"/>
              <w:spacing w:line="360" w:lineRule="auto"/>
              <w:jc w:val="center"/>
              <w:rPr>
                <w:rFonts w:hint="eastAsia" w:asciiTheme="minorEastAsia" w:hAnsiTheme="minorEastAsia" w:eastAsiaTheme="minorEastAsia" w:cstheme="minorEastAsia"/>
                <w:color w:val="000000"/>
                <w:sz w:val="24"/>
                <w:szCs w:val="24"/>
              </w:rPr>
            </w:pPr>
          </w:p>
        </w:tc>
        <w:tc>
          <w:tcPr>
            <w:tcW w:w="10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0E320">
            <w:pPr>
              <w:pageBreakBefore w:val="0"/>
              <w:widowControl/>
              <w:kinsoku/>
              <w:wordWrap/>
              <w:overflowPunct/>
              <w:topLinePunct w:val="0"/>
              <w:bidi w:val="0"/>
              <w:snapToGrid w:val="0"/>
              <w:spacing w:line="360" w:lineRule="auto"/>
              <w:jc w:val="center"/>
              <w:rPr>
                <w:rFonts w:hint="eastAsia" w:asciiTheme="minorEastAsia" w:hAnsiTheme="minorEastAsia" w:eastAsiaTheme="minorEastAsia" w:cstheme="minorEastAsia"/>
                <w:color w:val="000000"/>
                <w:spacing w:val="-6"/>
                <w:kern w:val="10"/>
                <w:sz w:val="24"/>
                <w:szCs w:val="24"/>
              </w:rPr>
            </w:pPr>
            <w:r>
              <w:rPr>
                <w:rFonts w:hint="eastAsia" w:asciiTheme="minorEastAsia" w:hAnsiTheme="minorEastAsia" w:eastAsiaTheme="minorEastAsia" w:cstheme="minorEastAsia"/>
                <w:color w:val="000000"/>
                <w:spacing w:val="-6"/>
                <w:kern w:val="10"/>
                <w:sz w:val="24"/>
                <w:szCs w:val="24"/>
              </w:rPr>
              <w:t>重要数据存储机密性</w:t>
            </w:r>
          </w:p>
        </w:tc>
        <w:tc>
          <w:tcPr>
            <w:tcW w:w="3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A97EA">
            <w:pPr>
              <w:pageBreakBefore w:val="0"/>
              <w:widowControl/>
              <w:kinsoku/>
              <w:wordWrap/>
              <w:overflowPunct/>
              <w:topLinePunct w:val="0"/>
              <w:bidi w:val="0"/>
              <w:snapToGrid w:val="0"/>
              <w:spacing w:line="360" w:lineRule="auto"/>
              <w:jc w:val="left"/>
              <w:rPr>
                <w:rFonts w:hint="eastAsia" w:asciiTheme="minorEastAsia" w:hAnsiTheme="minorEastAsia" w:eastAsiaTheme="minorEastAsia" w:cstheme="minorEastAsia"/>
                <w:color w:val="000000"/>
                <w:spacing w:val="-6"/>
                <w:kern w:val="10"/>
                <w:sz w:val="24"/>
                <w:szCs w:val="24"/>
              </w:rPr>
            </w:pPr>
            <w:r>
              <w:rPr>
                <w:rFonts w:hint="eastAsia" w:asciiTheme="minorEastAsia" w:hAnsiTheme="minorEastAsia" w:eastAsiaTheme="minorEastAsia" w:cstheme="minorEastAsia"/>
                <w:color w:val="000000"/>
                <w:spacing w:val="-6"/>
                <w:kern w:val="10"/>
                <w:sz w:val="24"/>
                <w:szCs w:val="24"/>
              </w:rPr>
              <w:t>应采用密码技术保证安徽省医疗保障信息平台的重要数据在存储过程中的机密性；</w:t>
            </w:r>
          </w:p>
        </w:tc>
      </w:tr>
      <w:tr w14:paraId="2B634175">
        <w:tblPrEx>
          <w:tblCellMar>
            <w:top w:w="0" w:type="dxa"/>
            <w:left w:w="108" w:type="dxa"/>
            <w:bottom w:w="0" w:type="dxa"/>
            <w:right w:w="108" w:type="dxa"/>
          </w:tblCellMar>
        </w:tblPrEx>
        <w:trPr>
          <w:trHeight w:val="833" w:hRule="atLeast"/>
          <w:jc w:val="center"/>
        </w:trPr>
        <w:tc>
          <w:tcPr>
            <w:tcW w:w="6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65E3C2">
            <w:pPr>
              <w:pageBreakBefore w:val="0"/>
              <w:widowControl/>
              <w:kinsoku/>
              <w:wordWrap/>
              <w:overflowPunct/>
              <w:topLinePunct w:val="0"/>
              <w:bidi w:val="0"/>
              <w:spacing w:line="360" w:lineRule="auto"/>
              <w:jc w:val="center"/>
              <w:rPr>
                <w:rFonts w:hint="eastAsia" w:asciiTheme="minorEastAsia" w:hAnsiTheme="minorEastAsia" w:eastAsiaTheme="minorEastAsia" w:cstheme="minorEastAsia"/>
                <w:color w:val="000000"/>
                <w:sz w:val="24"/>
                <w:szCs w:val="24"/>
              </w:rPr>
            </w:pPr>
          </w:p>
        </w:tc>
        <w:tc>
          <w:tcPr>
            <w:tcW w:w="10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92CEF">
            <w:pPr>
              <w:pageBreakBefore w:val="0"/>
              <w:widowControl/>
              <w:kinsoku/>
              <w:wordWrap/>
              <w:overflowPunct/>
              <w:topLinePunct w:val="0"/>
              <w:bidi w:val="0"/>
              <w:snapToGrid w:val="0"/>
              <w:spacing w:line="360" w:lineRule="auto"/>
              <w:jc w:val="center"/>
              <w:rPr>
                <w:rFonts w:hint="eastAsia" w:asciiTheme="minorEastAsia" w:hAnsiTheme="minorEastAsia" w:eastAsiaTheme="minorEastAsia" w:cstheme="minorEastAsia"/>
                <w:color w:val="000000"/>
                <w:spacing w:val="-6"/>
                <w:kern w:val="10"/>
                <w:sz w:val="24"/>
                <w:szCs w:val="24"/>
              </w:rPr>
            </w:pPr>
            <w:r>
              <w:rPr>
                <w:rFonts w:hint="eastAsia" w:asciiTheme="minorEastAsia" w:hAnsiTheme="minorEastAsia" w:eastAsiaTheme="minorEastAsia" w:cstheme="minorEastAsia"/>
                <w:color w:val="000000"/>
                <w:spacing w:val="-6"/>
                <w:kern w:val="10"/>
                <w:sz w:val="24"/>
                <w:szCs w:val="24"/>
              </w:rPr>
              <w:t>重要数据传输完整性</w:t>
            </w:r>
          </w:p>
        </w:tc>
        <w:tc>
          <w:tcPr>
            <w:tcW w:w="3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A654CB">
            <w:pPr>
              <w:pageBreakBefore w:val="0"/>
              <w:widowControl/>
              <w:kinsoku/>
              <w:wordWrap/>
              <w:overflowPunct/>
              <w:topLinePunct w:val="0"/>
              <w:bidi w:val="0"/>
              <w:snapToGrid w:val="0"/>
              <w:spacing w:line="360" w:lineRule="auto"/>
              <w:jc w:val="left"/>
              <w:rPr>
                <w:rFonts w:hint="eastAsia" w:asciiTheme="minorEastAsia" w:hAnsiTheme="minorEastAsia" w:eastAsiaTheme="minorEastAsia" w:cstheme="minorEastAsia"/>
                <w:color w:val="000000"/>
                <w:spacing w:val="-6"/>
                <w:kern w:val="10"/>
                <w:sz w:val="24"/>
                <w:szCs w:val="24"/>
              </w:rPr>
            </w:pPr>
            <w:r>
              <w:rPr>
                <w:rFonts w:hint="eastAsia" w:asciiTheme="minorEastAsia" w:hAnsiTheme="minorEastAsia" w:eastAsiaTheme="minorEastAsia" w:cstheme="minorEastAsia"/>
                <w:color w:val="000000"/>
                <w:spacing w:val="-6"/>
                <w:kern w:val="10"/>
                <w:sz w:val="24"/>
                <w:szCs w:val="24"/>
              </w:rPr>
              <w:t>应采用密码技术保证安徽省医疗保障信息平台的重要数据在传输过程中的完整性；</w:t>
            </w:r>
          </w:p>
        </w:tc>
      </w:tr>
      <w:tr w14:paraId="0F78FF1D">
        <w:tblPrEx>
          <w:tblCellMar>
            <w:top w:w="0" w:type="dxa"/>
            <w:left w:w="108" w:type="dxa"/>
            <w:bottom w:w="0" w:type="dxa"/>
            <w:right w:w="108" w:type="dxa"/>
          </w:tblCellMar>
        </w:tblPrEx>
        <w:trPr>
          <w:trHeight w:val="833" w:hRule="atLeast"/>
          <w:jc w:val="center"/>
        </w:trPr>
        <w:tc>
          <w:tcPr>
            <w:tcW w:w="6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330E9F">
            <w:pPr>
              <w:pageBreakBefore w:val="0"/>
              <w:widowControl/>
              <w:kinsoku/>
              <w:wordWrap/>
              <w:overflowPunct/>
              <w:topLinePunct w:val="0"/>
              <w:bidi w:val="0"/>
              <w:spacing w:line="360" w:lineRule="auto"/>
              <w:jc w:val="center"/>
              <w:rPr>
                <w:rFonts w:hint="eastAsia" w:asciiTheme="minorEastAsia" w:hAnsiTheme="minorEastAsia" w:eastAsiaTheme="minorEastAsia" w:cstheme="minorEastAsia"/>
                <w:color w:val="000000"/>
                <w:sz w:val="24"/>
                <w:szCs w:val="24"/>
              </w:rPr>
            </w:pPr>
          </w:p>
        </w:tc>
        <w:tc>
          <w:tcPr>
            <w:tcW w:w="10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A36403">
            <w:pPr>
              <w:pageBreakBefore w:val="0"/>
              <w:widowControl/>
              <w:kinsoku/>
              <w:wordWrap/>
              <w:overflowPunct/>
              <w:topLinePunct w:val="0"/>
              <w:bidi w:val="0"/>
              <w:snapToGrid w:val="0"/>
              <w:spacing w:line="360" w:lineRule="auto"/>
              <w:jc w:val="center"/>
              <w:rPr>
                <w:rFonts w:hint="eastAsia" w:asciiTheme="minorEastAsia" w:hAnsiTheme="minorEastAsia" w:eastAsiaTheme="minorEastAsia" w:cstheme="minorEastAsia"/>
                <w:color w:val="000000"/>
                <w:spacing w:val="-6"/>
                <w:kern w:val="10"/>
                <w:sz w:val="24"/>
                <w:szCs w:val="24"/>
              </w:rPr>
            </w:pPr>
            <w:r>
              <w:rPr>
                <w:rFonts w:hint="eastAsia" w:asciiTheme="minorEastAsia" w:hAnsiTheme="minorEastAsia" w:eastAsiaTheme="minorEastAsia" w:cstheme="minorEastAsia"/>
                <w:color w:val="000000"/>
                <w:spacing w:val="-6"/>
                <w:kern w:val="10"/>
                <w:sz w:val="24"/>
                <w:szCs w:val="24"/>
              </w:rPr>
              <w:t>重要数据存储完整性</w:t>
            </w:r>
          </w:p>
        </w:tc>
        <w:tc>
          <w:tcPr>
            <w:tcW w:w="3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B8CCE2">
            <w:pPr>
              <w:pageBreakBefore w:val="0"/>
              <w:widowControl/>
              <w:kinsoku/>
              <w:wordWrap/>
              <w:overflowPunct/>
              <w:topLinePunct w:val="0"/>
              <w:bidi w:val="0"/>
              <w:snapToGrid w:val="0"/>
              <w:spacing w:line="360" w:lineRule="auto"/>
              <w:jc w:val="left"/>
              <w:rPr>
                <w:rFonts w:hint="eastAsia" w:asciiTheme="minorEastAsia" w:hAnsiTheme="minorEastAsia" w:eastAsiaTheme="minorEastAsia" w:cstheme="minorEastAsia"/>
                <w:color w:val="000000"/>
                <w:spacing w:val="-6"/>
                <w:kern w:val="10"/>
                <w:sz w:val="24"/>
                <w:szCs w:val="24"/>
              </w:rPr>
            </w:pPr>
            <w:r>
              <w:rPr>
                <w:rFonts w:hint="eastAsia" w:asciiTheme="minorEastAsia" w:hAnsiTheme="minorEastAsia" w:eastAsiaTheme="minorEastAsia" w:cstheme="minorEastAsia"/>
                <w:color w:val="000000"/>
                <w:spacing w:val="-6"/>
                <w:kern w:val="10"/>
                <w:sz w:val="24"/>
                <w:szCs w:val="24"/>
              </w:rPr>
              <w:t>应采用密码技术保证安徽省医疗保障信息平台的重要数据在存储过程中的完整性；</w:t>
            </w:r>
          </w:p>
        </w:tc>
      </w:tr>
      <w:tr w14:paraId="39A6A83A">
        <w:tblPrEx>
          <w:tblCellMar>
            <w:top w:w="0" w:type="dxa"/>
            <w:left w:w="108" w:type="dxa"/>
            <w:bottom w:w="0" w:type="dxa"/>
            <w:right w:w="108" w:type="dxa"/>
          </w:tblCellMar>
        </w:tblPrEx>
        <w:trPr>
          <w:trHeight w:val="1666" w:hRule="atLeast"/>
          <w:jc w:val="center"/>
        </w:trPr>
        <w:tc>
          <w:tcPr>
            <w:tcW w:w="6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DD33C1">
            <w:pPr>
              <w:pageBreakBefore w:val="0"/>
              <w:widowControl/>
              <w:kinsoku/>
              <w:wordWrap/>
              <w:overflowPunct/>
              <w:topLinePunct w:val="0"/>
              <w:bidi w:val="0"/>
              <w:spacing w:line="360" w:lineRule="auto"/>
              <w:jc w:val="center"/>
              <w:rPr>
                <w:rFonts w:hint="eastAsia" w:asciiTheme="minorEastAsia" w:hAnsiTheme="minorEastAsia" w:eastAsiaTheme="minorEastAsia" w:cstheme="minorEastAsia"/>
                <w:color w:val="000000"/>
                <w:sz w:val="24"/>
                <w:szCs w:val="24"/>
              </w:rPr>
            </w:pPr>
          </w:p>
        </w:tc>
        <w:tc>
          <w:tcPr>
            <w:tcW w:w="10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AF9C0">
            <w:pPr>
              <w:pageBreakBefore w:val="0"/>
              <w:widowControl/>
              <w:kinsoku/>
              <w:wordWrap/>
              <w:overflowPunct/>
              <w:topLinePunct w:val="0"/>
              <w:bidi w:val="0"/>
              <w:snapToGrid w:val="0"/>
              <w:spacing w:line="360" w:lineRule="auto"/>
              <w:jc w:val="center"/>
              <w:rPr>
                <w:rFonts w:hint="eastAsia" w:asciiTheme="minorEastAsia" w:hAnsiTheme="minorEastAsia" w:eastAsiaTheme="minorEastAsia" w:cstheme="minorEastAsia"/>
                <w:color w:val="000000"/>
                <w:spacing w:val="-6"/>
                <w:kern w:val="10"/>
                <w:sz w:val="24"/>
                <w:szCs w:val="24"/>
              </w:rPr>
            </w:pPr>
            <w:r>
              <w:rPr>
                <w:rFonts w:hint="eastAsia" w:asciiTheme="minorEastAsia" w:hAnsiTheme="minorEastAsia" w:eastAsiaTheme="minorEastAsia" w:cstheme="minorEastAsia"/>
                <w:color w:val="000000"/>
                <w:spacing w:val="-6"/>
                <w:kern w:val="10"/>
                <w:sz w:val="24"/>
                <w:szCs w:val="24"/>
              </w:rPr>
              <w:t>不可否认性</w:t>
            </w:r>
          </w:p>
        </w:tc>
        <w:tc>
          <w:tcPr>
            <w:tcW w:w="3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42EB3">
            <w:pPr>
              <w:pageBreakBefore w:val="0"/>
              <w:widowControl/>
              <w:kinsoku/>
              <w:wordWrap/>
              <w:overflowPunct/>
              <w:topLinePunct w:val="0"/>
              <w:bidi w:val="0"/>
              <w:snapToGrid w:val="0"/>
              <w:spacing w:line="360" w:lineRule="auto"/>
              <w:jc w:val="left"/>
              <w:rPr>
                <w:rFonts w:hint="eastAsia" w:asciiTheme="minorEastAsia" w:hAnsiTheme="minorEastAsia" w:eastAsiaTheme="minorEastAsia" w:cstheme="minorEastAsia"/>
                <w:color w:val="000000"/>
                <w:spacing w:val="-6"/>
                <w:kern w:val="10"/>
                <w:sz w:val="24"/>
                <w:szCs w:val="24"/>
              </w:rPr>
            </w:pPr>
            <w:r>
              <w:rPr>
                <w:rFonts w:hint="eastAsia" w:asciiTheme="minorEastAsia" w:hAnsiTheme="minorEastAsia" w:eastAsiaTheme="minorEastAsia" w:cstheme="minorEastAsia"/>
                <w:color w:val="000000"/>
                <w:spacing w:val="-6"/>
                <w:kern w:val="10"/>
                <w:sz w:val="24"/>
                <w:szCs w:val="24"/>
              </w:rPr>
              <w:t>在可能涉及法律责任认定的应用中，应采用密码技术提供数据原发证据和数据接收证据，实现数据原发行为的不可否认性和数据接收行为的不可否认性。</w:t>
            </w:r>
          </w:p>
        </w:tc>
      </w:tr>
    </w:tbl>
    <w:p w14:paraId="00E792E2">
      <w:pPr>
        <w:pStyle w:val="2"/>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3.密钥管理测评</w:t>
      </w:r>
    </w:p>
    <w:p w14:paraId="63308260">
      <w:pPr>
        <w:pStyle w:val="2"/>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理清密钥流转的关系，对系统内的密钥（尤其是进出密码产品和密码模块的密钥）进行全生命周期的安全检查，包括密钥的生成、存储、分发、导入与导出、使用、备份与恢复、归档、销毁，确认所有密钥管理操作都是由符合 GM/T 0005《随机性检测规范》和 GM/T 0028《密码模块安全技术要求》规定的密码产品或密码模块实现。测评标准要求包含但不限于以下内容，详见下表：</w:t>
      </w:r>
    </w:p>
    <w:tbl>
      <w:tblPr>
        <w:tblStyle w:val="8"/>
        <w:tblW w:w="9325" w:type="dxa"/>
        <w:tblInd w:w="-3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50"/>
        <w:gridCol w:w="7575"/>
      </w:tblGrid>
      <w:tr w14:paraId="0E4D4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50" w:type="dxa"/>
            <w:vAlign w:val="center"/>
          </w:tcPr>
          <w:p w14:paraId="1C68F1A8">
            <w:pPr>
              <w:pageBreakBefore w:val="0"/>
              <w:widowControl/>
              <w:kinsoku/>
              <w:wordWrap/>
              <w:overflowPunct/>
              <w:topLinePunct w:val="0"/>
              <w:bidi w:val="0"/>
              <w:snapToGrid w:val="0"/>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b/>
                <w:bCs/>
                <w:color w:val="000000"/>
                <w:sz w:val="24"/>
                <w:szCs w:val="24"/>
              </w:rPr>
              <w:t>技术指标</w:t>
            </w:r>
          </w:p>
        </w:tc>
        <w:tc>
          <w:tcPr>
            <w:tcW w:w="7575" w:type="dxa"/>
            <w:vAlign w:val="center"/>
          </w:tcPr>
          <w:p w14:paraId="21586D08">
            <w:pPr>
              <w:pageBreakBefore w:val="0"/>
              <w:widowControl/>
              <w:kinsoku/>
              <w:wordWrap/>
              <w:overflowPunct/>
              <w:topLinePunct w:val="0"/>
              <w:bidi w:val="0"/>
              <w:snapToGrid w:val="0"/>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b/>
                <w:bCs/>
                <w:color w:val="000000"/>
                <w:sz w:val="24"/>
                <w:szCs w:val="24"/>
              </w:rPr>
              <w:t>指标描述</w:t>
            </w:r>
          </w:p>
        </w:tc>
      </w:tr>
      <w:tr w14:paraId="5EA77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50" w:type="dxa"/>
            <w:vAlign w:val="center"/>
          </w:tcPr>
          <w:p w14:paraId="09265757">
            <w:pPr>
              <w:pageBreakBefore w:val="0"/>
              <w:widowControl/>
              <w:kinsoku/>
              <w:wordWrap/>
              <w:overflowPunct/>
              <w:topLinePunct w:val="0"/>
              <w:bidi w:val="0"/>
              <w:snapToGrid w:val="0"/>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密钥生成</w:t>
            </w:r>
          </w:p>
        </w:tc>
        <w:tc>
          <w:tcPr>
            <w:tcW w:w="7575" w:type="dxa"/>
            <w:vAlign w:val="center"/>
          </w:tcPr>
          <w:p w14:paraId="71D3184B">
            <w:pPr>
              <w:pageBreakBefore w:val="0"/>
              <w:widowControl/>
              <w:kinsoku/>
              <w:wordWrap/>
              <w:overflowPunct/>
              <w:topLinePunct w:val="0"/>
              <w:bidi w:val="0"/>
              <w:snapToGrid w:val="0"/>
              <w:spacing w:line="360" w:lineRule="auto"/>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密钥生成使用的随机数应符合 GM/T</w:t>
            </w:r>
            <w:r>
              <w:rPr>
                <w:rFonts w:hint="eastAsia" w:asciiTheme="minorEastAsia" w:hAnsiTheme="minorEastAsia" w:eastAsiaTheme="minorEastAsia" w:cstheme="minorEastAsia"/>
                <w:color w:val="000000"/>
                <w:sz w:val="24"/>
                <w:szCs w:val="24"/>
                <w:lang w:val="en-US" w:eastAsia="zh-CN"/>
              </w:rPr>
              <w:t xml:space="preserve"> </w:t>
            </w:r>
            <w:r>
              <w:rPr>
                <w:rFonts w:hint="eastAsia" w:asciiTheme="minorEastAsia" w:hAnsiTheme="minorEastAsia" w:eastAsiaTheme="minorEastAsia" w:cstheme="minorEastAsia"/>
                <w:color w:val="000000"/>
                <w:sz w:val="24"/>
                <w:szCs w:val="24"/>
              </w:rPr>
              <w:t>0005要求，密钥应在符合GM/T</w:t>
            </w:r>
            <w:r>
              <w:rPr>
                <w:rFonts w:hint="eastAsia" w:asciiTheme="minorEastAsia" w:hAnsiTheme="minorEastAsia" w:eastAsiaTheme="minorEastAsia" w:cstheme="minorEastAsia"/>
                <w:color w:val="000000"/>
                <w:sz w:val="24"/>
                <w:szCs w:val="24"/>
                <w:lang w:val="en-US" w:eastAsia="zh-CN"/>
              </w:rPr>
              <w:t xml:space="preserve"> </w:t>
            </w:r>
            <w:r>
              <w:rPr>
                <w:rFonts w:hint="eastAsia" w:asciiTheme="minorEastAsia" w:hAnsiTheme="minorEastAsia" w:eastAsiaTheme="minorEastAsia" w:cstheme="minorEastAsia"/>
                <w:color w:val="000000"/>
                <w:sz w:val="24"/>
                <w:szCs w:val="24"/>
              </w:rPr>
              <w:t>0028的密码模块中产生；密钥应在密码模块内部产生，不得以明文方式出现在密码模块之外；应具备检查和剔除弱密钥的能力。</w:t>
            </w:r>
          </w:p>
        </w:tc>
      </w:tr>
      <w:tr w14:paraId="0B8F6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50" w:type="dxa"/>
            <w:vAlign w:val="center"/>
          </w:tcPr>
          <w:p w14:paraId="492371BA">
            <w:pPr>
              <w:pageBreakBefore w:val="0"/>
              <w:widowControl/>
              <w:kinsoku/>
              <w:wordWrap/>
              <w:overflowPunct/>
              <w:topLinePunct w:val="0"/>
              <w:bidi w:val="0"/>
              <w:snapToGrid w:val="0"/>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密钥存储</w:t>
            </w:r>
          </w:p>
        </w:tc>
        <w:tc>
          <w:tcPr>
            <w:tcW w:w="7575" w:type="dxa"/>
            <w:vAlign w:val="center"/>
          </w:tcPr>
          <w:p w14:paraId="55A62763">
            <w:pPr>
              <w:pageBreakBefore w:val="0"/>
              <w:widowControl/>
              <w:kinsoku/>
              <w:wordWrap/>
              <w:overflowPunct/>
              <w:topLinePunct w:val="0"/>
              <w:bidi w:val="0"/>
              <w:snapToGrid w:val="0"/>
              <w:spacing w:line="360" w:lineRule="auto"/>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密钥应加密存储，并采取严格的安全防护措施，防止密钥被非法获取；密钥加密密钥应存储在符合GM/T 0028的二级及以上密码模块中。</w:t>
            </w:r>
          </w:p>
        </w:tc>
      </w:tr>
      <w:tr w14:paraId="49059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50" w:type="dxa"/>
            <w:vAlign w:val="center"/>
          </w:tcPr>
          <w:p w14:paraId="1F068B83">
            <w:pPr>
              <w:pageBreakBefore w:val="0"/>
              <w:widowControl/>
              <w:kinsoku/>
              <w:wordWrap/>
              <w:overflowPunct/>
              <w:topLinePunct w:val="0"/>
              <w:bidi w:val="0"/>
              <w:snapToGrid w:val="0"/>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密钥分发</w:t>
            </w:r>
          </w:p>
        </w:tc>
        <w:tc>
          <w:tcPr>
            <w:tcW w:w="7575" w:type="dxa"/>
            <w:vAlign w:val="center"/>
          </w:tcPr>
          <w:p w14:paraId="1402B360">
            <w:pPr>
              <w:pageBreakBefore w:val="0"/>
              <w:widowControl/>
              <w:kinsoku/>
              <w:wordWrap/>
              <w:overflowPunct/>
              <w:topLinePunct w:val="0"/>
              <w:bidi w:val="0"/>
              <w:snapToGrid w:val="0"/>
              <w:spacing w:line="360" w:lineRule="auto"/>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密钥分发应采取身份鉴别、数据完整性、数据机密性等安全措施，应能够抗截取、假冒、篡改、重放等攻击，保证密钥的安全性。</w:t>
            </w:r>
          </w:p>
        </w:tc>
      </w:tr>
      <w:tr w14:paraId="0624C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50" w:type="dxa"/>
            <w:vAlign w:val="center"/>
          </w:tcPr>
          <w:p w14:paraId="0FEDBCF5">
            <w:pPr>
              <w:pageBreakBefore w:val="0"/>
              <w:widowControl/>
              <w:kinsoku/>
              <w:wordWrap/>
              <w:overflowPunct/>
              <w:topLinePunct w:val="0"/>
              <w:bidi w:val="0"/>
              <w:snapToGrid w:val="0"/>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密钥导入与导出</w:t>
            </w:r>
          </w:p>
        </w:tc>
        <w:tc>
          <w:tcPr>
            <w:tcW w:w="7575" w:type="dxa"/>
            <w:vAlign w:val="center"/>
          </w:tcPr>
          <w:p w14:paraId="13BC1DDB">
            <w:pPr>
              <w:pageBreakBefore w:val="0"/>
              <w:widowControl/>
              <w:kinsoku/>
              <w:wordWrap/>
              <w:overflowPunct/>
              <w:topLinePunct w:val="0"/>
              <w:bidi w:val="0"/>
              <w:snapToGrid w:val="0"/>
              <w:spacing w:line="360" w:lineRule="auto"/>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应采取安全措施，防止密钥导入导出时被非法获取或篡改，并保证密钥的正确性。</w:t>
            </w:r>
          </w:p>
        </w:tc>
      </w:tr>
      <w:tr w14:paraId="6851F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50" w:type="dxa"/>
            <w:vAlign w:val="center"/>
          </w:tcPr>
          <w:p w14:paraId="60DCB165">
            <w:pPr>
              <w:pageBreakBefore w:val="0"/>
              <w:widowControl/>
              <w:kinsoku/>
              <w:wordWrap/>
              <w:overflowPunct/>
              <w:topLinePunct w:val="0"/>
              <w:bidi w:val="0"/>
              <w:snapToGrid w:val="0"/>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密钥使用</w:t>
            </w:r>
          </w:p>
        </w:tc>
        <w:tc>
          <w:tcPr>
            <w:tcW w:w="7575" w:type="dxa"/>
            <w:vAlign w:val="center"/>
          </w:tcPr>
          <w:p w14:paraId="15DEFC59">
            <w:pPr>
              <w:pageBreakBefore w:val="0"/>
              <w:widowControl/>
              <w:kinsoku/>
              <w:wordWrap/>
              <w:overflowPunct/>
              <w:topLinePunct w:val="0"/>
              <w:bidi w:val="0"/>
              <w:snapToGrid w:val="0"/>
              <w:spacing w:line="360" w:lineRule="auto"/>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密钥应明确用途，并按用途正确使用；对于公钥密码体制，在使用公钥之前应对其进行验证；应有安全措施防止密钥的泄露和替换；密钥泄露时，应停止使用，并启动相应的应急处理和响应措施。应按照密钥更换周期要求更换密钥；应采取有效的安全措施，保证密钥更换时的安全性。</w:t>
            </w:r>
          </w:p>
        </w:tc>
      </w:tr>
      <w:tr w14:paraId="7C69F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50" w:type="dxa"/>
            <w:vAlign w:val="center"/>
          </w:tcPr>
          <w:p w14:paraId="256DDB4B">
            <w:pPr>
              <w:pageBreakBefore w:val="0"/>
              <w:widowControl/>
              <w:kinsoku/>
              <w:wordWrap/>
              <w:overflowPunct/>
              <w:topLinePunct w:val="0"/>
              <w:bidi w:val="0"/>
              <w:snapToGrid w:val="0"/>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密钥备份与恢复</w:t>
            </w:r>
          </w:p>
        </w:tc>
        <w:tc>
          <w:tcPr>
            <w:tcW w:w="7575" w:type="dxa"/>
            <w:vAlign w:val="center"/>
          </w:tcPr>
          <w:p w14:paraId="39EB4D68">
            <w:pPr>
              <w:pageBreakBefore w:val="0"/>
              <w:widowControl/>
              <w:kinsoku/>
              <w:wordWrap/>
              <w:overflowPunct/>
              <w:topLinePunct w:val="0"/>
              <w:bidi w:val="0"/>
              <w:snapToGrid w:val="0"/>
              <w:spacing w:line="360" w:lineRule="auto"/>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应制定明确的密钥备份策略，采用安全可靠的密钥备份恢复机制，对密钥进行备份或恢复；密钥备份或恢复应进行记录，并生成审计信息；审计信息包括备份或恢复的主体、备份或恢复的时间等。</w:t>
            </w:r>
          </w:p>
        </w:tc>
      </w:tr>
      <w:tr w14:paraId="7E1CE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50" w:type="dxa"/>
            <w:vAlign w:val="center"/>
          </w:tcPr>
          <w:p w14:paraId="6BF666CC">
            <w:pPr>
              <w:pageBreakBefore w:val="0"/>
              <w:widowControl/>
              <w:kinsoku/>
              <w:wordWrap/>
              <w:overflowPunct/>
              <w:topLinePunct w:val="0"/>
              <w:bidi w:val="0"/>
              <w:snapToGrid w:val="0"/>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密钥归档</w:t>
            </w:r>
          </w:p>
        </w:tc>
        <w:tc>
          <w:tcPr>
            <w:tcW w:w="7575" w:type="dxa"/>
            <w:vAlign w:val="center"/>
          </w:tcPr>
          <w:p w14:paraId="7DB03037">
            <w:pPr>
              <w:pageBreakBefore w:val="0"/>
              <w:widowControl/>
              <w:kinsoku/>
              <w:wordWrap/>
              <w:overflowPunct/>
              <w:topLinePunct w:val="0"/>
              <w:bidi w:val="0"/>
              <w:snapToGrid w:val="0"/>
              <w:spacing w:line="360" w:lineRule="auto"/>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应采取有效的安全措施，保证归档密钥的安全性和正确性；归档密钥只能用于解密该密钥加密的历史信息或验证该密钥签名的历史信息；密钥归档应进行记录，并生成审计信息；审计信息包括归档的密钥、归档的时间等；归档密钥应进行数据备份，并采用有效的安全保护措施。</w:t>
            </w:r>
          </w:p>
        </w:tc>
      </w:tr>
      <w:tr w14:paraId="024C3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50" w:type="dxa"/>
            <w:vAlign w:val="center"/>
          </w:tcPr>
          <w:p w14:paraId="6C76CC5F">
            <w:pPr>
              <w:pageBreakBefore w:val="0"/>
              <w:widowControl/>
              <w:kinsoku/>
              <w:wordWrap/>
              <w:overflowPunct/>
              <w:topLinePunct w:val="0"/>
              <w:bidi w:val="0"/>
              <w:snapToGrid w:val="0"/>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密钥销毁</w:t>
            </w:r>
          </w:p>
        </w:tc>
        <w:tc>
          <w:tcPr>
            <w:tcW w:w="7575" w:type="dxa"/>
            <w:vAlign w:val="center"/>
          </w:tcPr>
          <w:p w14:paraId="5C7BD1DD">
            <w:pPr>
              <w:pageBreakBefore w:val="0"/>
              <w:widowControl/>
              <w:kinsoku/>
              <w:wordWrap/>
              <w:overflowPunct/>
              <w:topLinePunct w:val="0"/>
              <w:bidi w:val="0"/>
              <w:snapToGrid w:val="0"/>
              <w:spacing w:line="360" w:lineRule="auto"/>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应具有在紧急情况下销毁密钥的措施。</w:t>
            </w:r>
          </w:p>
        </w:tc>
      </w:tr>
    </w:tbl>
    <w:p w14:paraId="6F70C6F1">
      <w:pPr>
        <w:pStyle w:val="2"/>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4.安全管理测评</w:t>
      </w:r>
    </w:p>
    <w:p w14:paraId="4FAC863F">
      <w:pPr>
        <w:pStyle w:val="2"/>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对影响国产密码防护效能的管理制度与措施进行分析与评估，协助完善密码应用安全性管理制度，协助完善密码相关系统运维管理制度。管理制度与措施包括但不限于下列典型维度：安全管理制度、人员管控、项目实施、应急预案。测评标准要求包含但不限于以下内容，详见下表：</w:t>
      </w:r>
    </w:p>
    <w:tbl>
      <w:tblPr>
        <w:tblStyle w:val="7"/>
        <w:tblW w:w="5109" w:type="pct"/>
        <w:tblInd w:w="-189" w:type="dxa"/>
        <w:tblLayout w:type="autofit"/>
        <w:tblCellMar>
          <w:top w:w="0" w:type="dxa"/>
          <w:left w:w="108" w:type="dxa"/>
          <w:bottom w:w="0" w:type="dxa"/>
          <w:right w:w="108" w:type="dxa"/>
        </w:tblCellMar>
      </w:tblPr>
      <w:tblGrid>
        <w:gridCol w:w="1249"/>
        <w:gridCol w:w="1911"/>
        <w:gridCol w:w="5548"/>
      </w:tblGrid>
      <w:tr w14:paraId="1674F658">
        <w:tblPrEx>
          <w:tblCellMar>
            <w:top w:w="0" w:type="dxa"/>
            <w:left w:w="108" w:type="dxa"/>
            <w:bottom w:w="0" w:type="dxa"/>
            <w:right w:w="108" w:type="dxa"/>
          </w:tblCellMar>
        </w:tblPrEx>
        <w:trPr>
          <w:trHeight w:val="207" w:hRule="atLeast"/>
        </w:trPr>
        <w:tc>
          <w:tcPr>
            <w:tcW w:w="18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2A3CF9">
            <w:pPr>
              <w:pageBreakBefore w:val="0"/>
              <w:widowControl/>
              <w:kinsoku/>
              <w:wordWrap/>
              <w:overflowPunct/>
              <w:topLinePunct w:val="0"/>
              <w:bidi w:val="0"/>
              <w:spacing w:line="360" w:lineRule="auto"/>
              <w:jc w:val="center"/>
              <w:rPr>
                <w:rFonts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技术指标</w:t>
            </w:r>
          </w:p>
        </w:tc>
        <w:tc>
          <w:tcPr>
            <w:tcW w:w="3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280CD">
            <w:pPr>
              <w:pageBreakBefore w:val="0"/>
              <w:widowControl/>
              <w:kinsoku/>
              <w:wordWrap/>
              <w:overflowPunct/>
              <w:topLinePunct w:val="0"/>
              <w:bidi w:val="0"/>
              <w:spacing w:line="360" w:lineRule="auto"/>
              <w:jc w:val="center"/>
              <w:rPr>
                <w:rFonts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指标描述</w:t>
            </w:r>
          </w:p>
        </w:tc>
      </w:tr>
      <w:tr w14:paraId="648E9995">
        <w:tblPrEx>
          <w:tblCellMar>
            <w:top w:w="0" w:type="dxa"/>
            <w:left w:w="108" w:type="dxa"/>
            <w:bottom w:w="0" w:type="dxa"/>
            <w:right w:w="108" w:type="dxa"/>
          </w:tblCellMar>
        </w:tblPrEx>
        <w:trPr>
          <w:trHeight w:val="510" w:hRule="atLeast"/>
        </w:trPr>
        <w:tc>
          <w:tcPr>
            <w:tcW w:w="71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A7EC4E">
            <w:pPr>
              <w:pageBreakBefore w:val="0"/>
              <w:widowControl/>
              <w:kinsoku/>
              <w:wordWrap/>
              <w:overflowPunct/>
              <w:topLinePunct w:val="0"/>
              <w:bidi w:val="0"/>
              <w:snapToGrid w:val="0"/>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安全管理制度</w:t>
            </w:r>
          </w:p>
        </w:tc>
        <w:tc>
          <w:tcPr>
            <w:tcW w:w="10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0DCA3">
            <w:pPr>
              <w:pageBreakBefore w:val="0"/>
              <w:widowControl/>
              <w:kinsoku/>
              <w:wordWrap/>
              <w:overflowPunct/>
              <w:topLinePunct w:val="0"/>
              <w:bidi w:val="0"/>
              <w:snapToGrid w:val="0"/>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具备密码应用安全管理制度</w:t>
            </w:r>
          </w:p>
        </w:tc>
        <w:tc>
          <w:tcPr>
            <w:tcW w:w="3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A09DB">
            <w:pPr>
              <w:pageBreakBefore w:val="0"/>
              <w:widowControl/>
              <w:kinsoku/>
              <w:wordWrap/>
              <w:overflowPunct/>
              <w:topLinePunct w:val="0"/>
              <w:bidi w:val="0"/>
              <w:snapToGrid w:val="0"/>
              <w:spacing w:line="360" w:lineRule="auto"/>
              <w:jc w:val="left"/>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应具备密码应用安全管理制度，包括密码人员管理、密钥管理、建设运行、应急处置、密码软硬件及介质管理等制度；</w:t>
            </w:r>
          </w:p>
        </w:tc>
      </w:tr>
      <w:tr w14:paraId="56AA7D08">
        <w:tblPrEx>
          <w:tblCellMar>
            <w:top w:w="0" w:type="dxa"/>
            <w:left w:w="108" w:type="dxa"/>
            <w:bottom w:w="0" w:type="dxa"/>
            <w:right w:w="108" w:type="dxa"/>
          </w:tblCellMar>
        </w:tblPrEx>
        <w:trPr>
          <w:trHeight w:val="270" w:hRule="atLeast"/>
        </w:trPr>
        <w:tc>
          <w:tcPr>
            <w:tcW w:w="7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B2A312">
            <w:pPr>
              <w:pageBreakBefore w:val="0"/>
              <w:widowControl/>
              <w:kinsoku/>
              <w:wordWrap/>
              <w:overflowPunct/>
              <w:topLinePunct w:val="0"/>
              <w:bidi w:val="0"/>
              <w:snapToGrid w:val="0"/>
              <w:spacing w:line="360" w:lineRule="auto"/>
              <w:jc w:val="center"/>
              <w:rPr>
                <w:rFonts w:asciiTheme="minorEastAsia" w:hAnsiTheme="minorEastAsia" w:eastAsiaTheme="minorEastAsia" w:cstheme="minorEastAsia"/>
                <w:color w:val="000000"/>
                <w:sz w:val="24"/>
                <w:szCs w:val="24"/>
              </w:rPr>
            </w:pPr>
          </w:p>
        </w:tc>
        <w:tc>
          <w:tcPr>
            <w:tcW w:w="10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E727E">
            <w:pPr>
              <w:pageBreakBefore w:val="0"/>
              <w:widowControl/>
              <w:kinsoku/>
              <w:wordWrap/>
              <w:overflowPunct/>
              <w:topLinePunct w:val="0"/>
              <w:bidi w:val="0"/>
              <w:snapToGrid w:val="0"/>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密钥管理规则</w:t>
            </w:r>
          </w:p>
        </w:tc>
        <w:tc>
          <w:tcPr>
            <w:tcW w:w="3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63BD2">
            <w:pPr>
              <w:pageBreakBefore w:val="0"/>
              <w:widowControl/>
              <w:kinsoku/>
              <w:wordWrap/>
              <w:overflowPunct/>
              <w:topLinePunct w:val="0"/>
              <w:bidi w:val="0"/>
              <w:snapToGrid w:val="0"/>
              <w:spacing w:line="360" w:lineRule="auto"/>
              <w:jc w:val="left"/>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应根据密码应用方案建立相应密钥管理规则；</w:t>
            </w:r>
          </w:p>
        </w:tc>
      </w:tr>
      <w:tr w14:paraId="03C047F2">
        <w:tblPrEx>
          <w:tblCellMar>
            <w:top w:w="0" w:type="dxa"/>
            <w:left w:w="108" w:type="dxa"/>
            <w:bottom w:w="0" w:type="dxa"/>
            <w:right w:w="108" w:type="dxa"/>
          </w:tblCellMar>
        </w:tblPrEx>
        <w:trPr>
          <w:trHeight w:val="270" w:hRule="atLeast"/>
        </w:trPr>
        <w:tc>
          <w:tcPr>
            <w:tcW w:w="7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602567">
            <w:pPr>
              <w:pageBreakBefore w:val="0"/>
              <w:widowControl/>
              <w:kinsoku/>
              <w:wordWrap/>
              <w:overflowPunct/>
              <w:topLinePunct w:val="0"/>
              <w:bidi w:val="0"/>
              <w:snapToGrid w:val="0"/>
              <w:spacing w:line="360" w:lineRule="auto"/>
              <w:jc w:val="center"/>
              <w:rPr>
                <w:rFonts w:asciiTheme="minorEastAsia" w:hAnsiTheme="minorEastAsia" w:eastAsiaTheme="minorEastAsia" w:cstheme="minorEastAsia"/>
                <w:color w:val="000000"/>
                <w:sz w:val="24"/>
                <w:szCs w:val="24"/>
              </w:rPr>
            </w:pPr>
          </w:p>
        </w:tc>
        <w:tc>
          <w:tcPr>
            <w:tcW w:w="10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845F9">
            <w:pPr>
              <w:pageBreakBefore w:val="0"/>
              <w:widowControl/>
              <w:kinsoku/>
              <w:wordWrap/>
              <w:overflowPunct/>
              <w:topLinePunct w:val="0"/>
              <w:bidi w:val="0"/>
              <w:snapToGrid w:val="0"/>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建立操作规程</w:t>
            </w:r>
          </w:p>
        </w:tc>
        <w:tc>
          <w:tcPr>
            <w:tcW w:w="3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5CF11">
            <w:pPr>
              <w:pageBreakBefore w:val="0"/>
              <w:widowControl/>
              <w:kinsoku/>
              <w:wordWrap/>
              <w:overflowPunct/>
              <w:topLinePunct w:val="0"/>
              <w:bidi w:val="0"/>
              <w:snapToGrid w:val="0"/>
              <w:spacing w:line="360" w:lineRule="auto"/>
              <w:jc w:val="left"/>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应对管理人员或操作人员执行的日常管理操作建立操作规程；</w:t>
            </w:r>
          </w:p>
        </w:tc>
      </w:tr>
      <w:tr w14:paraId="2ACD205B">
        <w:tblPrEx>
          <w:tblCellMar>
            <w:top w:w="0" w:type="dxa"/>
            <w:left w:w="108" w:type="dxa"/>
            <w:bottom w:w="0" w:type="dxa"/>
            <w:right w:w="108" w:type="dxa"/>
          </w:tblCellMar>
        </w:tblPrEx>
        <w:trPr>
          <w:trHeight w:val="510" w:hRule="atLeast"/>
        </w:trPr>
        <w:tc>
          <w:tcPr>
            <w:tcW w:w="7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3F1D15">
            <w:pPr>
              <w:pageBreakBefore w:val="0"/>
              <w:widowControl/>
              <w:kinsoku/>
              <w:wordWrap/>
              <w:overflowPunct/>
              <w:topLinePunct w:val="0"/>
              <w:bidi w:val="0"/>
              <w:snapToGrid w:val="0"/>
              <w:spacing w:line="360" w:lineRule="auto"/>
              <w:jc w:val="center"/>
              <w:rPr>
                <w:rFonts w:asciiTheme="minorEastAsia" w:hAnsiTheme="minorEastAsia" w:eastAsiaTheme="minorEastAsia" w:cstheme="minorEastAsia"/>
                <w:color w:val="000000"/>
                <w:sz w:val="24"/>
                <w:szCs w:val="24"/>
              </w:rPr>
            </w:pPr>
          </w:p>
        </w:tc>
        <w:tc>
          <w:tcPr>
            <w:tcW w:w="10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7CA60">
            <w:pPr>
              <w:pageBreakBefore w:val="0"/>
              <w:widowControl/>
              <w:kinsoku/>
              <w:wordWrap/>
              <w:overflowPunct/>
              <w:topLinePunct w:val="0"/>
              <w:bidi w:val="0"/>
              <w:snapToGrid w:val="0"/>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定期修订安全管理制度</w:t>
            </w:r>
          </w:p>
        </w:tc>
        <w:tc>
          <w:tcPr>
            <w:tcW w:w="3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F0F31">
            <w:pPr>
              <w:pageBreakBefore w:val="0"/>
              <w:widowControl/>
              <w:kinsoku/>
              <w:wordWrap/>
              <w:overflowPunct/>
              <w:topLinePunct w:val="0"/>
              <w:bidi w:val="0"/>
              <w:snapToGrid w:val="0"/>
              <w:spacing w:line="360" w:lineRule="auto"/>
              <w:jc w:val="left"/>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应</w:t>
            </w:r>
            <w:r>
              <w:rPr>
                <w:rFonts w:hint="eastAsia" w:asciiTheme="minorEastAsia" w:hAnsiTheme="minorEastAsia" w:eastAsiaTheme="minorEastAsia" w:cstheme="minorEastAsia"/>
                <w:color w:val="000000"/>
                <w:sz w:val="24"/>
                <w:szCs w:val="24"/>
                <w:highlight w:val="none"/>
              </w:rPr>
              <w:t>定期对密码应用安全管理制度和操作规程的合理性和适用性</w:t>
            </w:r>
            <w:r>
              <w:rPr>
                <w:rFonts w:hint="eastAsia" w:asciiTheme="minorEastAsia" w:hAnsiTheme="minorEastAsia" w:eastAsiaTheme="minorEastAsia" w:cstheme="minorEastAsia"/>
                <w:color w:val="000000"/>
                <w:sz w:val="24"/>
                <w:szCs w:val="24"/>
              </w:rPr>
              <w:t>进行论证和审定，对存在不足或需要改进之处进行修订；</w:t>
            </w:r>
          </w:p>
        </w:tc>
      </w:tr>
      <w:tr w14:paraId="5DD2A951">
        <w:tblPrEx>
          <w:tblCellMar>
            <w:top w:w="0" w:type="dxa"/>
            <w:left w:w="108" w:type="dxa"/>
            <w:bottom w:w="0" w:type="dxa"/>
            <w:right w:w="108" w:type="dxa"/>
          </w:tblCellMar>
        </w:tblPrEx>
        <w:trPr>
          <w:trHeight w:val="270" w:hRule="atLeast"/>
        </w:trPr>
        <w:tc>
          <w:tcPr>
            <w:tcW w:w="7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B74834">
            <w:pPr>
              <w:pageBreakBefore w:val="0"/>
              <w:widowControl/>
              <w:kinsoku/>
              <w:wordWrap/>
              <w:overflowPunct/>
              <w:topLinePunct w:val="0"/>
              <w:bidi w:val="0"/>
              <w:snapToGrid w:val="0"/>
              <w:spacing w:line="360" w:lineRule="auto"/>
              <w:jc w:val="center"/>
              <w:rPr>
                <w:rFonts w:asciiTheme="minorEastAsia" w:hAnsiTheme="minorEastAsia" w:eastAsiaTheme="minorEastAsia" w:cstheme="minorEastAsia"/>
                <w:color w:val="000000"/>
                <w:sz w:val="24"/>
                <w:szCs w:val="24"/>
              </w:rPr>
            </w:pPr>
          </w:p>
        </w:tc>
        <w:tc>
          <w:tcPr>
            <w:tcW w:w="10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92C97">
            <w:pPr>
              <w:pageBreakBefore w:val="0"/>
              <w:widowControl/>
              <w:kinsoku/>
              <w:wordWrap/>
              <w:overflowPunct/>
              <w:topLinePunct w:val="0"/>
              <w:bidi w:val="0"/>
              <w:snapToGrid w:val="0"/>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明确管理制度发布流程</w:t>
            </w:r>
          </w:p>
        </w:tc>
        <w:tc>
          <w:tcPr>
            <w:tcW w:w="3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90F30">
            <w:pPr>
              <w:pageBreakBefore w:val="0"/>
              <w:widowControl/>
              <w:kinsoku/>
              <w:wordWrap/>
              <w:overflowPunct/>
              <w:topLinePunct w:val="0"/>
              <w:bidi w:val="0"/>
              <w:snapToGrid w:val="0"/>
              <w:spacing w:line="360" w:lineRule="auto"/>
              <w:jc w:val="left"/>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应明确相关密码应用安全管理制度和操作规程的发布流程并进行版本控制；</w:t>
            </w:r>
          </w:p>
        </w:tc>
      </w:tr>
      <w:tr w14:paraId="7F4AF235">
        <w:tblPrEx>
          <w:tblCellMar>
            <w:top w:w="0" w:type="dxa"/>
            <w:left w:w="108" w:type="dxa"/>
            <w:bottom w:w="0" w:type="dxa"/>
            <w:right w:w="108" w:type="dxa"/>
          </w:tblCellMar>
        </w:tblPrEx>
        <w:trPr>
          <w:trHeight w:val="270" w:hRule="atLeast"/>
        </w:trPr>
        <w:tc>
          <w:tcPr>
            <w:tcW w:w="7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1875F0">
            <w:pPr>
              <w:pageBreakBefore w:val="0"/>
              <w:widowControl/>
              <w:kinsoku/>
              <w:wordWrap/>
              <w:overflowPunct/>
              <w:topLinePunct w:val="0"/>
              <w:bidi w:val="0"/>
              <w:snapToGrid w:val="0"/>
              <w:spacing w:line="360" w:lineRule="auto"/>
              <w:jc w:val="center"/>
              <w:rPr>
                <w:rFonts w:asciiTheme="minorEastAsia" w:hAnsiTheme="minorEastAsia" w:eastAsiaTheme="minorEastAsia" w:cstheme="minorEastAsia"/>
                <w:color w:val="000000"/>
                <w:sz w:val="24"/>
                <w:szCs w:val="24"/>
              </w:rPr>
            </w:pPr>
          </w:p>
        </w:tc>
        <w:tc>
          <w:tcPr>
            <w:tcW w:w="10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824B3">
            <w:pPr>
              <w:pageBreakBefore w:val="0"/>
              <w:widowControl/>
              <w:kinsoku/>
              <w:wordWrap/>
              <w:overflowPunct/>
              <w:topLinePunct w:val="0"/>
              <w:bidi w:val="0"/>
              <w:snapToGrid w:val="0"/>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制度执行过程记录留存</w:t>
            </w:r>
          </w:p>
        </w:tc>
        <w:tc>
          <w:tcPr>
            <w:tcW w:w="3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23362">
            <w:pPr>
              <w:pageBreakBefore w:val="0"/>
              <w:widowControl/>
              <w:kinsoku/>
              <w:wordWrap/>
              <w:overflowPunct/>
              <w:topLinePunct w:val="0"/>
              <w:bidi w:val="0"/>
              <w:snapToGrid w:val="0"/>
              <w:spacing w:line="360" w:lineRule="auto"/>
              <w:jc w:val="left"/>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应具有密码应用操作规程的相关执行记录并妥善保存。</w:t>
            </w:r>
          </w:p>
        </w:tc>
      </w:tr>
      <w:tr w14:paraId="127CF799">
        <w:tblPrEx>
          <w:tblCellMar>
            <w:top w:w="0" w:type="dxa"/>
            <w:left w:w="108" w:type="dxa"/>
            <w:bottom w:w="0" w:type="dxa"/>
            <w:right w:w="108" w:type="dxa"/>
          </w:tblCellMar>
        </w:tblPrEx>
        <w:trPr>
          <w:trHeight w:val="796" w:hRule="atLeast"/>
        </w:trPr>
        <w:tc>
          <w:tcPr>
            <w:tcW w:w="71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98611B">
            <w:pPr>
              <w:pageBreakBefore w:val="0"/>
              <w:widowControl/>
              <w:kinsoku/>
              <w:wordWrap/>
              <w:overflowPunct/>
              <w:topLinePunct w:val="0"/>
              <w:bidi w:val="0"/>
              <w:snapToGrid w:val="0"/>
              <w:spacing w:line="360" w:lineRule="auto"/>
              <w:jc w:val="center"/>
              <w:rPr>
                <w:rFonts w:asciiTheme="minorEastAsia" w:hAnsiTheme="minorEastAsia" w:eastAsiaTheme="minorEastAsia" w:cstheme="minorEastAsia"/>
                <w:color w:val="000000"/>
                <w:sz w:val="24"/>
                <w:szCs w:val="24"/>
              </w:rPr>
            </w:pPr>
          </w:p>
          <w:p w14:paraId="0341E17D">
            <w:pPr>
              <w:pageBreakBefore w:val="0"/>
              <w:widowControl/>
              <w:kinsoku/>
              <w:wordWrap/>
              <w:overflowPunct/>
              <w:topLinePunct w:val="0"/>
              <w:bidi w:val="0"/>
              <w:snapToGrid w:val="0"/>
              <w:spacing w:line="360" w:lineRule="auto"/>
              <w:jc w:val="center"/>
              <w:rPr>
                <w:rFonts w:asciiTheme="minorEastAsia" w:hAnsiTheme="minorEastAsia" w:eastAsiaTheme="minorEastAsia" w:cstheme="minorEastAsia"/>
                <w:color w:val="000000"/>
                <w:sz w:val="24"/>
                <w:szCs w:val="24"/>
              </w:rPr>
            </w:pPr>
          </w:p>
          <w:p w14:paraId="574578B2">
            <w:pPr>
              <w:pageBreakBefore w:val="0"/>
              <w:widowControl/>
              <w:kinsoku/>
              <w:wordWrap/>
              <w:overflowPunct/>
              <w:topLinePunct w:val="0"/>
              <w:bidi w:val="0"/>
              <w:snapToGrid w:val="0"/>
              <w:spacing w:line="360" w:lineRule="auto"/>
              <w:jc w:val="center"/>
              <w:rPr>
                <w:rFonts w:asciiTheme="minorEastAsia" w:hAnsiTheme="minorEastAsia" w:eastAsiaTheme="minorEastAsia" w:cstheme="minorEastAsia"/>
                <w:color w:val="000000"/>
                <w:sz w:val="24"/>
                <w:szCs w:val="24"/>
              </w:rPr>
            </w:pPr>
          </w:p>
          <w:p w14:paraId="7C45C49D">
            <w:pPr>
              <w:pageBreakBefore w:val="0"/>
              <w:widowControl/>
              <w:kinsoku/>
              <w:wordWrap/>
              <w:overflowPunct/>
              <w:topLinePunct w:val="0"/>
              <w:bidi w:val="0"/>
              <w:snapToGrid w:val="0"/>
              <w:spacing w:line="360" w:lineRule="auto"/>
              <w:jc w:val="center"/>
              <w:rPr>
                <w:rFonts w:asciiTheme="minorEastAsia" w:hAnsiTheme="minorEastAsia" w:eastAsiaTheme="minorEastAsia" w:cstheme="minorEastAsia"/>
                <w:color w:val="000000"/>
                <w:sz w:val="24"/>
                <w:szCs w:val="24"/>
              </w:rPr>
            </w:pPr>
          </w:p>
          <w:p w14:paraId="365EB7EB">
            <w:pPr>
              <w:pageBreakBefore w:val="0"/>
              <w:widowControl/>
              <w:kinsoku/>
              <w:wordWrap/>
              <w:overflowPunct/>
              <w:topLinePunct w:val="0"/>
              <w:bidi w:val="0"/>
              <w:snapToGrid w:val="0"/>
              <w:spacing w:line="360" w:lineRule="auto"/>
              <w:jc w:val="center"/>
              <w:rPr>
                <w:rFonts w:asciiTheme="minorEastAsia" w:hAnsiTheme="minorEastAsia" w:eastAsiaTheme="minorEastAsia" w:cstheme="minorEastAsia"/>
                <w:color w:val="000000"/>
                <w:sz w:val="24"/>
                <w:szCs w:val="24"/>
              </w:rPr>
            </w:pPr>
          </w:p>
          <w:p w14:paraId="4E1BFE0A">
            <w:pPr>
              <w:pageBreakBefore w:val="0"/>
              <w:widowControl/>
              <w:kinsoku/>
              <w:wordWrap/>
              <w:overflowPunct/>
              <w:topLinePunct w:val="0"/>
              <w:bidi w:val="0"/>
              <w:snapToGrid w:val="0"/>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人员管控</w:t>
            </w:r>
          </w:p>
        </w:tc>
        <w:tc>
          <w:tcPr>
            <w:tcW w:w="10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6BBE1">
            <w:pPr>
              <w:pageBreakBefore w:val="0"/>
              <w:widowControl/>
              <w:kinsoku/>
              <w:wordWrap/>
              <w:overflowPunct/>
              <w:topLinePunct w:val="0"/>
              <w:bidi w:val="0"/>
              <w:snapToGrid w:val="0"/>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了解并遵守密码相关法律</w:t>
            </w:r>
            <w:r>
              <w:rPr>
                <w:rFonts w:hint="eastAsia" w:asciiTheme="minorEastAsia" w:hAnsiTheme="minorEastAsia" w:eastAsiaTheme="minorEastAsia" w:cstheme="minorEastAsia"/>
                <w:color w:val="000000"/>
                <w:sz w:val="24"/>
                <w:szCs w:val="24"/>
                <w:lang w:eastAsia="zh-CN"/>
              </w:rPr>
              <w:t>规定</w:t>
            </w:r>
          </w:p>
          <w:p w14:paraId="0E80A22B">
            <w:pPr>
              <w:pageBreakBefore w:val="0"/>
              <w:widowControl/>
              <w:kinsoku/>
              <w:wordWrap/>
              <w:overflowPunct/>
              <w:topLinePunct w:val="0"/>
              <w:bidi w:val="0"/>
              <w:snapToGrid w:val="0"/>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和密码管理制度</w:t>
            </w:r>
          </w:p>
        </w:tc>
        <w:tc>
          <w:tcPr>
            <w:tcW w:w="3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C783A">
            <w:pPr>
              <w:pageBreakBefore w:val="0"/>
              <w:widowControl/>
              <w:kinsoku/>
              <w:wordWrap/>
              <w:overflowPunct/>
              <w:topLinePunct w:val="0"/>
              <w:bidi w:val="0"/>
              <w:snapToGrid w:val="0"/>
              <w:spacing w:line="360" w:lineRule="auto"/>
              <w:jc w:val="left"/>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相关人员应了解并遵守密码相关法律法规、密码应用安全管理制度；</w:t>
            </w:r>
          </w:p>
        </w:tc>
      </w:tr>
      <w:tr w14:paraId="2DEB4C7F">
        <w:tblPrEx>
          <w:tblCellMar>
            <w:top w:w="0" w:type="dxa"/>
            <w:left w:w="108" w:type="dxa"/>
            <w:bottom w:w="0" w:type="dxa"/>
            <w:right w:w="108" w:type="dxa"/>
          </w:tblCellMar>
        </w:tblPrEx>
        <w:trPr>
          <w:trHeight w:val="270" w:hRule="atLeast"/>
        </w:trPr>
        <w:tc>
          <w:tcPr>
            <w:tcW w:w="7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F646EA">
            <w:pPr>
              <w:pageBreakBefore w:val="0"/>
              <w:widowControl/>
              <w:kinsoku/>
              <w:wordWrap/>
              <w:overflowPunct/>
              <w:topLinePunct w:val="0"/>
              <w:bidi w:val="0"/>
              <w:snapToGrid w:val="0"/>
              <w:spacing w:line="360" w:lineRule="auto"/>
              <w:jc w:val="center"/>
              <w:rPr>
                <w:rFonts w:asciiTheme="minorEastAsia" w:hAnsiTheme="minorEastAsia" w:eastAsiaTheme="minorEastAsia" w:cstheme="minorEastAsia"/>
                <w:color w:val="000000"/>
                <w:sz w:val="24"/>
                <w:szCs w:val="24"/>
              </w:rPr>
            </w:pPr>
          </w:p>
        </w:tc>
        <w:tc>
          <w:tcPr>
            <w:tcW w:w="109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21BDFC">
            <w:pPr>
              <w:pageBreakBefore w:val="0"/>
              <w:widowControl/>
              <w:kinsoku/>
              <w:wordWrap/>
              <w:overflowPunct/>
              <w:topLinePunct w:val="0"/>
              <w:bidi w:val="0"/>
              <w:snapToGrid w:val="0"/>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建立密码应用岗位责任制度</w:t>
            </w:r>
          </w:p>
        </w:tc>
        <w:tc>
          <w:tcPr>
            <w:tcW w:w="3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BD333">
            <w:pPr>
              <w:pageBreakBefore w:val="0"/>
              <w:widowControl/>
              <w:kinsoku/>
              <w:wordWrap/>
              <w:overflowPunct/>
              <w:topLinePunct w:val="0"/>
              <w:bidi w:val="0"/>
              <w:snapToGrid w:val="0"/>
              <w:spacing w:line="360" w:lineRule="auto"/>
              <w:jc w:val="left"/>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rPr>
              <w:t>应建立密码应用岗位责任制度，明确各岗位在安全系统中的职责和权限</w:t>
            </w:r>
            <w:r>
              <w:rPr>
                <w:rFonts w:hint="eastAsia" w:asciiTheme="minorEastAsia" w:hAnsiTheme="minorEastAsia" w:eastAsiaTheme="minorEastAsia" w:cstheme="minorEastAsia"/>
                <w:color w:val="000000"/>
                <w:sz w:val="24"/>
                <w:szCs w:val="24"/>
                <w:lang w:eastAsia="zh-CN"/>
              </w:rPr>
              <w:t>；</w:t>
            </w:r>
          </w:p>
        </w:tc>
      </w:tr>
      <w:tr w14:paraId="1773D056">
        <w:tblPrEx>
          <w:tblCellMar>
            <w:top w:w="0" w:type="dxa"/>
            <w:left w:w="108" w:type="dxa"/>
            <w:bottom w:w="0" w:type="dxa"/>
            <w:right w:w="108" w:type="dxa"/>
          </w:tblCellMar>
        </w:tblPrEx>
        <w:trPr>
          <w:trHeight w:val="510" w:hRule="atLeast"/>
        </w:trPr>
        <w:tc>
          <w:tcPr>
            <w:tcW w:w="7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53FE5A">
            <w:pPr>
              <w:pageBreakBefore w:val="0"/>
              <w:widowControl/>
              <w:kinsoku/>
              <w:wordWrap/>
              <w:overflowPunct/>
              <w:topLinePunct w:val="0"/>
              <w:bidi w:val="0"/>
              <w:snapToGrid w:val="0"/>
              <w:spacing w:line="360" w:lineRule="auto"/>
              <w:jc w:val="center"/>
              <w:rPr>
                <w:rFonts w:asciiTheme="minorEastAsia" w:hAnsiTheme="minorEastAsia" w:eastAsiaTheme="minorEastAsia" w:cstheme="minorEastAsia"/>
                <w:color w:val="000000"/>
                <w:sz w:val="24"/>
                <w:szCs w:val="24"/>
              </w:rPr>
            </w:pPr>
          </w:p>
        </w:tc>
        <w:tc>
          <w:tcPr>
            <w:tcW w:w="10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6C0E62">
            <w:pPr>
              <w:pageBreakBefore w:val="0"/>
              <w:widowControl/>
              <w:kinsoku/>
              <w:wordWrap/>
              <w:overflowPunct/>
              <w:topLinePunct w:val="0"/>
              <w:bidi w:val="0"/>
              <w:snapToGrid w:val="0"/>
              <w:spacing w:line="360" w:lineRule="auto"/>
              <w:jc w:val="left"/>
              <w:rPr>
                <w:rFonts w:asciiTheme="minorEastAsia" w:hAnsiTheme="minorEastAsia" w:eastAsiaTheme="minorEastAsia" w:cstheme="minorEastAsia"/>
                <w:color w:val="000000"/>
                <w:sz w:val="24"/>
                <w:szCs w:val="24"/>
              </w:rPr>
            </w:pPr>
          </w:p>
        </w:tc>
        <w:tc>
          <w:tcPr>
            <w:tcW w:w="3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CF47C">
            <w:pPr>
              <w:pageBreakBefore w:val="0"/>
              <w:widowControl/>
              <w:kinsoku/>
              <w:wordWrap/>
              <w:overflowPunct/>
              <w:topLinePunct w:val="0"/>
              <w:bidi w:val="0"/>
              <w:snapToGrid w:val="0"/>
              <w:spacing w:line="360" w:lineRule="auto"/>
              <w:jc w:val="left"/>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根据密码应用的实际情况，设置密钥管理员、密码安全审计员、密码操作员等关键安全岗位；</w:t>
            </w:r>
          </w:p>
        </w:tc>
      </w:tr>
      <w:tr w14:paraId="193CD903">
        <w:tblPrEx>
          <w:tblCellMar>
            <w:top w:w="0" w:type="dxa"/>
            <w:left w:w="108" w:type="dxa"/>
            <w:bottom w:w="0" w:type="dxa"/>
            <w:right w:w="108" w:type="dxa"/>
          </w:tblCellMar>
        </w:tblPrEx>
        <w:trPr>
          <w:trHeight w:val="270" w:hRule="atLeast"/>
        </w:trPr>
        <w:tc>
          <w:tcPr>
            <w:tcW w:w="7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7BDDF8">
            <w:pPr>
              <w:pageBreakBefore w:val="0"/>
              <w:widowControl/>
              <w:kinsoku/>
              <w:wordWrap/>
              <w:overflowPunct/>
              <w:topLinePunct w:val="0"/>
              <w:bidi w:val="0"/>
              <w:snapToGrid w:val="0"/>
              <w:spacing w:line="360" w:lineRule="auto"/>
              <w:jc w:val="center"/>
              <w:rPr>
                <w:rFonts w:asciiTheme="minorEastAsia" w:hAnsiTheme="minorEastAsia" w:eastAsiaTheme="minorEastAsia" w:cstheme="minorEastAsia"/>
                <w:color w:val="000000"/>
                <w:sz w:val="24"/>
                <w:szCs w:val="24"/>
              </w:rPr>
            </w:pPr>
          </w:p>
        </w:tc>
        <w:tc>
          <w:tcPr>
            <w:tcW w:w="10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116159">
            <w:pPr>
              <w:pageBreakBefore w:val="0"/>
              <w:widowControl/>
              <w:kinsoku/>
              <w:wordWrap/>
              <w:overflowPunct/>
              <w:topLinePunct w:val="0"/>
              <w:bidi w:val="0"/>
              <w:snapToGrid w:val="0"/>
              <w:spacing w:line="360" w:lineRule="auto"/>
              <w:jc w:val="left"/>
              <w:rPr>
                <w:rFonts w:asciiTheme="minorEastAsia" w:hAnsiTheme="minorEastAsia" w:eastAsiaTheme="minorEastAsia" w:cstheme="minorEastAsia"/>
                <w:color w:val="000000"/>
                <w:sz w:val="24"/>
                <w:szCs w:val="24"/>
              </w:rPr>
            </w:pPr>
          </w:p>
        </w:tc>
        <w:tc>
          <w:tcPr>
            <w:tcW w:w="3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CC04B">
            <w:pPr>
              <w:pageBreakBefore w:val="0"/>
              <w:widowControl/>
              <w:kinsoku/>
              <w:wordWrap/>
              <w:overflowPunct/>
              <w:topLinePunct w:val="0"/>
              <w:bidi w:val="0"/>
              <w:snapToGrid w:val="0"/>
              <w:spacing w:line="360" w:lineRule="auto"/>
              <w:jc w:val="left"/>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对关键岗位建立多人共管机制；</w:t>
            </w:r>
          </w:p>
        </w:tc>
      </w:tr>
      <w:tr w14:paraId="7656E074">
        <w:tblPrEx>
          <w:tblCellMar>
            <w:top w:w="0" w:type="dxa"/>
            <w:left w:w="108" w:type="dxa"/>
            <w:bottom w:w="0" w:type="dxa"/>
            <w:right w:w="108" w:type="dxa"/>
          </w:tblCellMar>
        </w:tblPrEx>
        <w:trPr>
          <w:trHeight w:val="510" w:hRule="atLeast"/>
        </w:trPr>
        <w:tc>
          <w:tcPr>
            <w:tcW w:w="7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5A415D">
            <w:pPr>
              <w:pageBreakBefore w:val="0"/>
              <w:widowControl/>
              <w:kinsoku/>
              <w:wordWrap/>
              <w:overflowPunct/>
              <w:topLinePunct w:val="0"/>
              <w:bidi w:val="0"/>
              <w:snapToGrid w:val="0"/>
              <w:spacing w:line="360" w:lineRule="auto"/>
              <w:jc w:val="center"/>
              <w:rPr>
                <w:rFonts w:asciiTheme="minorEastAsia" w:hAnsiTheme="minorEastAsia" w:eastAsiaTheme="minorEastAsia" w:cstheme="minorEastAsia"/>
                <w:color w:val="000000"/>
                <w:sz w:val="24"/>
                <w:szCs w:val="24"/>
              </w:rPr>
            </w:pPr>
          </w:p>
        </w:tc>
        <w:tc>
          <w:tcPr>
            <w:tcW w:w="10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F95B67">
            <w:pPr>
              <w:pageBreakBefore w:val="0"/>
              <w:widowControl/>
              <w:kinsoku/>
              <w:wordWrap/>
              <w:overflowPunct/>
              <w:topLinePunct w:val="0"/>
              <w:bidi w:val="0"/>
              <w:snapToGrid w:val="0"/>
              <w:spacing w:line="360" w:lineRule="auto"/>
              <w:jc w:val="left"/>
              <w:rPr>
                <w:rFonts w:asciiTheme="minorEastAsia" w:hAnsiTheme="minorEastAsia" w:eastAsiaTheme="minorEastAsia" w:cstheme="minorEastAsia"/>
                <w:color w:val="000000"/>
                <w:sz w:val="24"/>
                <w:szCs w:val="24"/>
              </w:rPr>
            </w:pPr>
          </w:p>
        </w:tc>
        <w:tc>
          <w:tcPr>
            <w:tcW w:w="3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1BB42">
            <w:pPr>
              <w:pageBreakBefore w:val="0"/>
              <w:widowControl/>
              <w:kinsoku/>
              <w:wordWrap/>
              <w:overflowPunct/>
              <w:topLinePunct w:val="0"/>
              <w:bidi w:val="0"/>
              <w:snapToGrid w:val="0"/>
              <w:spacing w:line="360" w:lineRule="auto"/>
              <w:jc w:val="left"/>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密钥管理、密码安全审计、密码操作人员职责互相制约互相监督，其中密钥管理员岗位不可与密码审计员、密码操作员等关键安全岗位兼任；</w:t>
            </w:r>
          </w:p>
        </w:tc>
      </w:tr>
      <w:tr w14:paraId="29CB0710">
        <w:tblPrEx>
          <w:tblCellMar>
            <w:top w:w="0" w:type="dxa"/>
            <w:left w:w="108" w:type="dxa"/>
            <w:bottom w:w="0" w:type="dxa"/>
            <w:right w:w="108" w:type="dxa"/>
          </w:tblCellMar>
        </w:tblPrEx>
        <w:trPr>
          <w:trHeight w:val="270" w:hRule="atLeast"/>
        </w:trPr>
        <w:tc>
          <w:tcPr>
            <w:tcW w:w="7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837D43">
            <w:pPr>
              <w:pageBreakBefore w:val="0"/>
              <w:widowControl/>
              <w:kinsoku/>
              <w:wordWrap/>
              <w:overflowPunct/>
              <w:topLinePunct w:val="0"/>
              <w:bidi w:val="0"/>
              <w:snapToGrid w:val="0"/>
              <w:spacing w:line="360" w:lineRule="auto"/>
              <w:jc w:val="center"/>
              <w:rPr>
                <w:rFonts w:asciiTheme="minorEastAsia" w:hAnsiTheme="minorEastAsia" w:eastAsiaTheme="minorEastAsia" w:cstheme="minorEastAsia"/>
                <w:color w:val="000000"/>
                <w:sz w:val="24"/>
                <w:szCs w:val="24"/>
              </w:rPr>
            </w:pPr>
          </w:p>
        </w:tc>
        <w:tc>
          <w:tcPr>
            <w:tcW w:w="10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BBA423">
            <w:pPr>
              <w:pageBreakBefore w:val="0"/>
              <w:widowControl/>
              <w:kinsoku/>
              <w:wordWrap/>
              <w:overflowPunct/>
              <w:topLinePunct w:val="0"/>
              <w:bidi w:val="0"/>
              <w:snapToGrid w:val="0"/>
              <w:spacing w:line="360" w:lineRule="auto"/>
              <w:jc w:val="left"/>
              <w:rPr>
                <w:rFonts w:asciiTheme="minorEastAsia" w:hAnsiTheme="minorEastAsia" w:eastAsiaTheme="minorEastAsia" w:cstheme="minorEastAsia"/>
                <w:color w:val="000000"/>
                <w:sz w:val="24"/>
                <w:szCs w:val="24"/>
              </w:rPr>
            </w:pPr>
          </w:p>
        </w:tc>
        <w:tc>
          <w:tcPr>
            <w:tcW w:w="3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611FF">
            <w:pPr>
              <w:pageBreakBefore w:val="0"/>
              <w:widowControl/>
              <w:kinsoku/>
              <w:wordWrap/>
              <w:overflowPunct/>
              <w:topLinePunct w:val="0"/>
              <w:bidi w:val="0"/>
              <w:snapToGrid w:val="0"/>
              <w:spacing w:line="360" w:lineRule="auto"/>
              <w:jc w:val="left"/>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相关设备与系统的管理和使用账号不得多人共用。</w:t>
            </w:r>
          </w:p>
        </w:tc>
      </w:tr>
      <w:tr w14:paraId="43FC9D80">
        <w:tblPrEx>
          <w:tblCellMar>
            <w:top w:w="0" w:type="dxa"/>
            <w:left w:w="108" w:type="dxa"/>
            <w:bottom w:w="0" w:type="dxa"/>
            <w:right w:w="108" w:type="dxa"/>
          </w:tblCellMar>
        </w:tblPrEx>
        <w:trPr>
          <w:trHeight w:val="510" w:hRule="atLeast"/>
        </w:trPr>
        <w:tc>
          <w:tcPr>
            <w:tcW w:w="7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99DF53">
            <w:pPr>
              <w:pageBreakBefore w:val="0"/>
              <w:widowControl/>
              <w:kinsoku/>
              <w:wordWrap/>
              <w:overflowPunct/>
              <w:topLinePunct w:val="0"/>
              <w:bidi w:val="0"/>
              <w:snapToGrid w:val="0"/>
              <w:spacing w:line="360" w:lineRule="auto"/>
              <w:jc w:val="center"/>
              <w:rPr>
                <w:rFonts w:asciiTheme="minorEastAsia" w:hAnsiTheme="minorEastAsia" w:eastAsiaTheme="minorEastAsia" w:cstheme="minorEastAsia"/>
                <w:color w:val="000000"/>
                <w:sz w:val="24"/>
                <w:szCs w:val="24"/>
              </w:rPr>
            </w:pPr>
          </w:p>
        </w:tc>
        <w:tc>
          <w:tcPr>
            <w:tcW w:w="10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38517">
            <w:pPr>
              <w:pageBreakBefore w:val="0"/>
              <w:widowControl/>
              <w:kinsoku/>
              <w:wordWrap/>
              <w:overflowPunct/>
              <w:topLinePunct w:val="0"/>
              <w:bidi w:val="0"/>
              <w:snapToGrid w:val="0"/>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建立上岗人员培训制度</w:t>
            </w:r>
          </w:p>
        </w:tc>
        <w:tc>
          <w:tcPr>
            <w:tcW w:w="3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FC2CF">
            <w:pPr>
              <w:pageBreakBefore w:val="0"/>
              <w:widowControl/>
              <w:kinsoku/>
              <w:wordWrap/>
              <w:overflowPunct/>
              <w:topLinePunct w:val="0"/>
              <w:bidi w:val="0"/>
              <w:snapToGrid w:val="0"/>
              <w:spacing w:line="360" w:lineRule="auto"/>
              <w:jc w:val="left"/>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应建立上岗人员培训制度，对于涉及密码的操作和管理的人员进行专门培训，确保其具备岗位所需专业技能；</w:t>
            </w:r>
          </w:p>
        </w:tc>
      </w:tr>
      <w:tr w14:paraId="4D598C78">
        <w:tblPrEx>
          <w:tblCellMar>
            <w:top w:w="0" w:type="dxa"/>
            <w:left w:w="108" w:type="dxa"/>
            <w:bottom w:w="0" w:type="dxa"/>
            <w:right w:w="108" w:type="dxa"/>
          </w:tblCellMar>
        </w:tblPrEx>
        <w:trPr>
          <w:trHeight w:val="510" w:hRule="atLeast"/>
        </w:trPr>
        <w:tc>
          <w:tcPr>
            <w:tcW w:w="7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40E108">
            <w:pPr>
              <w:pageBreakBefore w:val="0"/>
              <w:widowControl/>
              <w:kinsoku/>
              <w:wordWrap/>
              <w:overflowPunct/>
              <w:topLinePunct w:val="0"/>
              <w:bidi w:val="0"/>
              <w:snapToGrid w:val="0"/>
              <w:spacing w:line="360" w:lineRule="auto"/>
              <w:jc w:val="center"/>
              <w:rPr>
                <w:rFonts w:asciiTheme="minorEastAsia" w:hAnsiTheme="minorEastAsia" w:eastAsiaTheme="minorEastAsia" w:cstheme="minorEastAsia"/>
                <w:color w:val="000000"/>
                <w:sz w:val="24"/>
                <w:szCs w:val="24"/>
              </w:rPr>
            </w:pPr>
          </w:p>
        </w:tc>
        <w:tc>
          <w:tcPr>
            <w:tcW w:w="10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8EF59">
            <w:pPr>
              <w:pageBreakBefore w:val="0"/>
              <w:widowControl/>
              <w:kinsoku/>
              <w:wordWrap/>
              <w:overflowPunct/>
              <w:topLinePunct w:val="0"/>
              <w:bidi w:val="0"/>
              <w:snapToGrid w:val="0"/>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定期进行安全岗位人员考核</w:t>
            </w:r>
          </w:p>
        </w:tc>
        <w:tc>
          <w:tcPr>
            <w:tcW w:w="3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D2D9D">
            <w:pPr>
              <w:pageBreakBefore w:val="0"/>
              <w:widowControl/>
              <w:kinsoku/>
              <w:wordWrap/>
              <w:overflowPunct/>
              <w:topLinePunct w:val="0"/>
              <w:bidi w:val="0"/>
              <w:snapToGrid w:val="0"/>
              <w:spacing w:line="360" w:lineRule="auto"/>
              <w:jc w:val="left"/>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应定期对密码应用安全岗位人员进行考核；</w:t>
            </w:r>
          </w:p>
        </w:tc>
      </w:tr>
      <w:tr w14:paraId="09EC8063">
        <w:tblPrEx>
          <w:tblCellMar>
            <w:top w:w="0" w:type="dxa"/>
            <w:left w:w="108" w:type="dxa"/>
            <w:bottom w:w="0" w:type="dxa"/>
            <w:right w:w="108" w:type="dxa"/>
          </w:tblCellMar>
        </w:tblPrEx>
        <w:trPr>
          <w:trHeight w:val="510" w:hRule="atLeast"/>
        </w:trPr>
        <w:tc>
          <w:tcPr>
            <w:tcW w:w="7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F49671">
            <w:pPr>
              <w:pageBreakBefore w:val="0"/>
              <w:widowControl/>
              <w:kinsoku/>
              <w:wordWrap/>
              <w:overflowPunct/>
              <w:topLinePunct w:val="0"/>
              <w:bidi w:val="0"/>
              <w:snapToGrid w:val="0"/>
              <w:spacing w:line="360" w:lineRule="auto"/>
              <w:jc w:val="center"/>
              <w:rPr>
                <w:rFonts w:asciiTheme="minorEastAsia" w:hAnsiTheme="minorEastAsia" w:eastAsiaTheme="minorEastAsia" w:cstheme="minorEastAsia"/>
                <w:color w:val="000000"/>
                <w:sz w:val="24"/>
                <w:szCs w:val="24"/>
              </w:rPr>
            </w:pPr>
          </w:p>
        </w:tc>
        <w:tc>
          <w:tcPr>
            <w:tcW w:w="10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DBF6A">
            <w:pPr>
              <w:pageBreakBefore w:val="0"/>
              <w:widowControl/>
              <w:kinsoku/>
              <w:wordWrap/>
              <w:overflowPunct/>
              <w:topLinePunct w:val="0"/>
              <w:bidi w:val="0"/>
              <w:snapToGrid w:val="0"/>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建立关键岗位人员保密制度和调离制度</w:t>
            </w:r>
          </w:p>
        </w:tc>
        <w:tc>
          <w:tcPr>
            <w:tcW w:w="3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319A1">
            <w:pPr>
              <w:pageBreakBefore w:val="0"/>
              <w:widowControl/>
              <w:kinsoku/>
              <w:wordWrap/>
              <w:overflowPunct/>
              <w:topLinePunct w:val="0"/>
              <w:bidi w:val="0"/>
              <w:snapToGrid w:val="0"/>
              <w:spacing w:line="360" w:lineRule="auto"/>
              <w:jc w:val="left"/>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应建立关键人员保密制度和调离制度，签订保密合同，承担保密义务。</w:t>
            </w:r>
          </w:p>
        </w:tc>
      </w:tr>
      <w:tr w14:paraId="270B5FAC">
        <w:tblPrEx>
          <w:tblCellMar>
            <w:top w:w="0" w:type="dxa"/>
            <w:left w:w="108" w:type="dxa"/>
            <w:bottom w:w="0" w:type="dxa"/>
            <w:right w:w="108" w:type="dxa"/>
          </w:tblCellMar>
        </w:tblPrEx>
        <w:trPr>
          <w:trHeight w:val="270" w:hRule="atLeast"/>
        </w:trPr>
        <w:tc>
          <w:tcPr>
            <w:tcW w:w="71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7E941C">
            <w:pPr>
              <w:pageBreakBefore w:val="0"/>
              <w:widowControl/>
              <w:kinsoku/>
              <w:wordWrap/>
              <w:overflowPunct/>
              <w:topLinePunct w:val="0"/>
              <w:bidi w:val="0"/>
              <w:snapToGrid w:val="0"/>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项目实施</w:t>
            </w:r>
          </w:p>
        </w:tc>
        <w:tc>
          <w:tcPr>
            <w:tcW w:w="10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720DE">
            <w:pPr>
              <w:pageBreakBefore w:val="0"/>
              <w:widowControl/>
              <w:kinsoku/>
              <w:wordWrap/>
              <w:overflowPunct/>
              <w:topLinePunct w:val="0"/>
              <w:bidi w:val="0"/>
              <w:snapToGrid w:val="0"/>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制定密码应用方案</w:t>
            </w:r>
          </w:p>
        </w:tc>
        <w:tc>
          <w:tcPr>
            <w:tcW w:w="3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73560">
            <w:pPr>
              <w:pageBreakBefore w:val="0"/>
              <w:widowControl/>
              <w:kinsoku/>
              <w:wordWrap/>
              <w:overflowPunct/>
              <w:topLinePunct w:val="0"/>
              <w:bidi w:val="0"/>
              <w:snapToGrid w:val="0"/>
              <w:spacing w:line="360" w:lineRule="auto"/>
              <w:jc w:val="left"/>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应依据密码相关标准和密码应用需求，制定密码应用方案；</w:t>
            </w:r>
          </w:p>
        </w:tc>
      </w:tr>
      <w:tr w14:paraId="5B606DEF">
        <w:trPr>
          <w:trHeight w:val="510" w:hRule="atLeast"/>
        </w:trPr>
        <w:tc>
          <w:tcPr>
            <w:tcW w:w="7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84E350">
            <w:pPr>
              <w:pageBreakBefore w:val="0"/>
              <w:widowControl/>
              <w:kinsoku/>
              <w:wordWrap/>
              <w:overflowPunct/>
              <w:topLinePunct w:val="0"/>
              <w:bidi w:val="0"/>
              <w:snapToGrid w:val="0"/>
              <w:spacing w:line="360" w:lineRule="auto"/>
              <w:jc w:val="center"/>
              <w:rPr>
                <w:rFonts w:asciiTheme="minorEastAsia" w:hAnsiTheme="minorEastAsia" w:eastAsiaTheme="minorEastAsia" w:cstheme="minorEastAsia"/>
                <w:color w:val="000000"/>
                <w:sz w:val="24"/>
                <w:szCs w:val="24"/>
              </w:rPr>
            </w:pPr>
          </w:p>
        </w:tc>
        <w:tc>
          <w:tcPr>
            <w:tcW w:w="10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512AC">
            <w:pPr>
              <w:pageBreakBefore w:val="0"/>
              <w:widowControl/>
              <w:kinsoku/>
              <w:wordWrap/>
              <w:overflowPunct/>
              <w:topLinePunct w:val="0"/>
              <w:bidi w:val="0"/>
              <w:snapToGrid w:val="0"/>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制定密钥安全管理策略</w:t>
            </w:r>
          </w:p>
        </w:tc>
        <w:tc>
          <w:tcPr>
            <w:tcW w:w="3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31054">
            <w:pPr>
              <w:pageBreakBefore w:val="0"/>
              <w:widowControl/>
              <w:kinsoku/>
              <w:wordWrap/>
              <w:overflowPunct/>
              <w:topLinePunct w:val="0"/>
              <w:bidi w:val="0"/>
              <w:snapToGrid w:val="0"/>
              <w:spacing w:line="360" w:lineRule="auto"/>
              <w:jc w:val="left"/>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应根据密码应用方案，确定系统涉及的密钥种类、体系及其生命周期环节。</w:t>
            </w:r>
          </w:p>
        </w:tc>
      </w:tr>
      <w:tr w14:paraId="6221A911">
        <w:trPr>
          <w:trHeight w:val="270" w:hRule="atLeast"/>
        </w:trPr>
        <w:tc>
          <w:tcPr>
            <w:tcW w:w="7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99FB79">
            <w:pPr>
              <w:pageBreakBefore w:val="0"/>
              <w:widowControl/>
              <w:kinsoku/>
              <w:wordWrap/>
              <w:overflowPunct/>
              <w:topLinePunct w:val="0"/>
              <w:bidi w:val="0"/>
              <w:snapToGrid w:val="0"/>
              <w:spacing w:line="360" w:lineRule="auto"/>
              <w:jc w:val="center"/>
              <w:rPr>
                <w:rFonts w:asciiTheme="minorEastAsia" w:hAnsiTheme="minorEastAsia" w:eastAsiaTheme="minorEastAsia" w:cstheme="minorEastAsia"/>
                <w:color w:val="000000"/>
                <w:sz w:val="24"/>
                <w:szCs w:val="24"/>
              </w:rPr>
            </w:pPr>
          </w:p>
        </w:tc>
        <w:tc>
          <w:tcPr>
            <w:tcW w:w="10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AB752">
            <w:pPr>
              <w:pageBreakBefore w:val="0"/>
              <w:widowControl/>
              <w:kinsoku/>
              <w:wordWrap/>
              <w:overflowPunct/>
              <w:topLinePunct w:val="0"/>
              <w:bidi w:val="0"/>
              <w:snapToGrid w:val="0"/>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制定实施方案</w:t>
            </w:r>
          </w:p>
        </w:tc>
        <w:tc>
          <w:tcPr>
            <w:tcW w:w="3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E0808">
            <w:pPr>
              <w:pageBreakBefore w:val="0"/>
              <w:widowControl/>
              <w:kinsoku/>
              <w:wordWrap/>
              <w:overflowPunct/>
              <w:topLinePunct w:val="0"/>
              <w:bidi w:val="0"/>
              <w:snapToGrid w:val="0"/>
              <w:spacing w:line="360" w:lineRule="auto"/>
              <w:jc w:val="left"/>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应按照应用方案实施建设；</w:t>
            </w:r>
          </w:p>
        </w:tc>
      </w:tr>
      <w:tr w14:paraId="70AE6E4C">
        <w:tblPrEx>
          <w:tblCellMar>
            <w:top w:w="0" w:type="dxa"/>
            <w:left w:w="108" w:type="dxa"/>
            <w:bottom w:w="0" w:type="dxa"/>
            <w:right w:w="108" w:type="dxa"/>
          </w:tblCellMar>
        </w:tblPrEx>
        <w:trPr>
          <w:trHeight w:val="510" w:hRule="atLeast"/>
        </w:trPr>
        <w:tc>
          <w:tcPr>
            <w:tcW w:w="7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84E6D6">
            <w:pPr>
              <w:pageBreakBefore w:val="0"/>
              <w:widowControl/>
              <w:kinsoku/>
              <w:wordWrap/>
              <w:overflowPunct/>
              <w:topLinePunct w:val="0"/>
              <w:bidi w:val="0"/>
              <w:snapToGrid w:val="0"/>
              <w:spacing w:line="360" w:lineRule="auto"/>
              <w:jc w:val="center"/>
              <w:rPr>
                <w:rFonts w:asciiTheme="minorEastAsia" w:hAnsiTheme="minorEastAsia" w:eastAsiaTheme="minorEastAsia" w:cstheme="minorEastAsia"/>
                <w:color w:val="000000"/>
                <w:sz w:val="24"/>
                <w:szCs w:val="24"/>
              </w:rPr>
            </w:pPr>
          </w:p>
        </w:tc>
        <w:tc>
          <w:tcPr>
            <w:tcW w:w="10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60F0C">
            <w:pPr>
              <w:pageBreakBefore w:val="0"/>
              <w:widowControl/>
              <w:kinsoku/>
              <w:wordWrap/>
              <w:overflowPunct/>
              <w:topLinePunct w:val="0"/>
              <w:bidi w:val="0"/>
              <w:snapToGrid w:val="0"/>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投入运行前进行密码应用安全性评估</w:t>
            </w:r>
          </w:p>
        </w:tc>
        <w:tc>
          <w:tcPr>
            <w:tcW w:w="3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A2745">
            <w:pPr>
              <w:pageBreakBefore w:val="0"/>
              <w:widowControl/>
              <w:kinsoku/>
              <w:wordWrap/>
              <w:overflowPunct/>
              <w:topLinePunct w:val="0"/>
              <w:bidi w:val="0"/>
              <w:snapToGrid w:val="0"/>
              <w:spacing w:line="360" w:lineRule="auto"/>
              <w:jc w:val="left"/>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投入运行前应进行密码应用安全性评估，评估通过后系统方可正式运行；</w:t>
            </w:r>
          </w:p>
        </w:tc>
      </w:tr>
      <w:tr w14:paraId="565B42DF">
        <w:tblPrEx>
          <w:tblCellMar>
            <w:top w:w="0" w:type="dxa"/>
            <w:left w:w="108" w:type="dxa"/>
            <w:bottom w:w="0" w:type="dxa"/>
            <w:right w:w="108" w:type="dxa"/>
          </w:tblCellMar>
        </w:tblPrEx>
        <w:trPr>
          <w:trHeight w:val="510" w:hRule="atLeast"/>
        </w:trPr>
        <w:tc>
          <w:tcPr>
            <w:tcW w:w="7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F33D7B">
            <w:pPr>
              <w:pageBreakBefore w:val="0"/>
              <w:widowControl/>
              <w:kinsoku/>
              <w:wordWrap/>
              <w:overflowPunct/>
              <w:topLinePunct w:val="0"/>
              <w:bidi w:val="0"/>
              <w:snapToGrid w:val="0"/>
              <w:spacing w:line="360" w:lineRule="auto"/>
              <w:jc w:val="center"/>
              <w:rPr>
                <w:rFonts w:asciiTheme="minorEastAsia" w:hAnsiTheme="minorEastAsia" w:eastAsiaTheme="minorEastAsia" w:cstheme="minorEastAsia"/>
                <w:color w:val="000000"/>
                <w:sz w:val="24"/>
                <w:szCs w:val="24"/>
              </w:rPr>
            </w:pPr>
          </w:p>
        </w:tc>
        <w:tc>
          <w:tcPr>
            <w:tcW w:w="10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670C5">
            <w:pPr>
              <w:pageBreakBefore w:val="0"/>
              <w:widowControl/>
              <w:kinsoku/>
              <w:wordWrap/>
              <w:overflowPunct/>
              <w:topLinePunct w:val="0"/>
              <w:bidi w:val="0"/>
              <w:snapToGrid w:val="0"/>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定期开展密码应用安全性评估及攻防对抗演习</w:t>
            </w:r>
          </w:p>
        </w:tc>
        <w:tc>
          <w:tcPr>
            <w:tcW w:w="3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9763A">
            <w:pPr>
              <w:pageBreakBefore w:val="0"/>
              <w:widowControl/>
              <w:kinsoku/>
              <w:wordWrap/>
              <w:overflowPunct/>
              <w:topLinePunct w:val="0"/>
              <w:bidi w:val="0"/>
              <w:snapToGrid w:val="0"/>
              <w:spacing w:line="360" w:lineRule="auto"/>
              <w:jc w:val="left"/>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在运行过程中，应严格执行既定的密码应用安全管理制度，应定期开展密码应用安全性评估及攻防对抗演习，并根据评估结果进行整改。</w:t>
            </w:r>
          </w:p>
        </w:tc>
      </w:tr>
      <w:tr w14:paraId="42411BE7">
        <w:tblPrEx>
          <w:tblCellMar>
            <w:top w:w="0" w:type="dxa"/>
            <w:left w:w="108" w:type="dxa"/>
            <w:bottom w:w="0" w:type="dxa"/>
            <w:right w:w="108" w:type="dxa"/>
          </w:tblCellMar>
        </w:tblPrEx>
        <w:trPr>
          <w:trHeight w:val="510" w:hRule="atLeast"/>
        </w:trPr>
        <w:tc>
          <w:tcPr>
            <w:tcW w:w="71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D0D8F2">
            <w:pPr>
              <w:pageBreakBefore w:val="0"/>
              <w:widowControl/>
              <w:kinsoku/>
              <w:wordWrap/>
              <w:overflowPunct/>
              <w:topLinePunct w:val="0"/>
              <w:bidi w:val="0"/>
              <w:snapToGrid w:val="0"/>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应急处置</w:t>
            </w:r>
          </w:p>
        </w:tc>
        <w:tc>
          <w:tcPr>
            <w:tcW w:w="10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11BE8">
            <w:pPr>
              <w:pageBreakBefore w:val="0"/>
              <w:widowControl/>
              <w:kinsoku/>
              <w:wordWrap/>
              <w:overflowPunct/>
              <w:topLinePunct w:val="0"/>
              <w:bidi w:val="0"/>
              <w:snapToGrid w:val="0"/>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应急策略</w:t>
            </w:r>
          </w:p>
        </w:tc>
        <w:tc>
          <w:tcPr>
            <w:tcW w:w="3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90818">
            <w:pPr>
              <w:pageBreakBefore w:val="0"/>
              <w:widowControl/>
              <w:kinsoku/>
              <w:wordWrap/>
              <w:overflowPunct/>
              <w:topLinePunct w:val="0"/>
              <w:bidi w:val="0"/>
              <w:snapToGrid w:val="0"/>
              <w:spacing w:line="360" w:lineRule="auto"/>
              <w:jc w:val="left"/>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应制定密码应用应急策略，做好应急资源准备，当密码应用安全事件发生时，应立即启动应急处置措施，结合实际情况及时处置；</w:t>
            </w:r>
          </w:p>
        </w:tc>
      </w:tr>
      <w:tr w14:paraId="3068A186">
        <w:tblPrEx>
          <w:tblCellMar>
            <w:top w:w="0" w:type="dxa"/>
            <w:left w:w="108" w:type="dxa"/>
            <w:bottom w:w="0" w:type="dxa"/>
            <w:right w:w="108" w:type="dxa"/>
          </w:tblCellMar>
        </w:tblPrEx>
        <w:trPr>
          <w:trHeight w:val="270" w:hRule="atLeast"/>
        </w:trPr>
        <w:tc>
          <w:tcPr>
            <w:tcW w:w="7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24AA26">
            <w:pPr>
              <w:pageBreakBefore w:val="0"/>
              <w:widowControl/>
              <w:kinsoku/>
              <w:wordWrap/>
              <w:overflowPunct/>
              <w:topLinePunct w:val="0"/>
              <w:bidi w:val="0"/>
              <w:spacing w:line="360" w:lineRule="auto"/>
              <w:jc w:val="left"/>
              <w:rPr>
                <w:rFonts w:asciiTheme="minorEastAsia" w:hAnsiTheme="minorEastAsia" w:eastAsiaTheme="minorEastAsia" w:cstheme="minorEastAsia"/>
                <w:color w:val="000000"/>
                <w:sz w:val="24"/>
                <w:szCs w:val="24"/>
              </w:rPr>
            </w:pPr>
          </w:p>
        </w:tc>
        <w:tc>
          <w:tcPr>
            <w:tcW w:w="10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8F95D">
            <w:pPr>
              <w:pageBreakBefore w:val="0"/>
              <w:widowControl/>
              <w:kinsoku/>
              <w:wordWrap/>
              <w:overflowPunct/>
              <w:topLinePunct w:val="0"/>
              <w:bidi w:val="0"/>
              <w:snapToGrid w:val="0"/>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事件处置</w:t>
            </w:r>
          </w:p>
        </w:tc>
        <w:tc>
          <w:tcPr>
            <w:tcW w:w="3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D177C">
            <w:pPr>
              <w:pageBreakBefore w:val="0"/>
              <w:widowControl/>
              <w:kinsoku/>
              <w:wordWrap/>
              <w:overflowPunct/>
              <w:topLinePunct w:val="0"/>
              <w:bidi w:val="0"/>
              <w:snapToGrid w:val="0"/>
              <w:spacing w:line="360" w:lineRule="auto"/>
              <w:jc w:val="left"/>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事件发生后，应及时向安徽省医疗保障信息平台主管部门进行报告</w:t>
            </w:r>
            <w:r>
              <w:rPr>
                <w:rFonts w:hint="eastAsia" w:asciiTheme="minorEastAsia" w:hAnsiTheme="minorEastAsia" w:eastAsiaTheme="minorEastAsia" w:cstheme="minorEastAsia"/>
                <w:color w:val="000000"/>
                <w:sz w:val="24"/>
                <w:szCs w:val="24"/>
                <w:lang w:val="en-US" w:eastAsia="zh-CN"/>
              </w:rPr>
              <w:t>并提出可行的处置措施及建议</w:t>
            </w:r>
            <w:r>
              <w:rPr>
                <w:rFonts w:hint="eastAsia" w:asciiTheme="minorEastAsia" w:hAnsiTheme="minorEastAsia" w:eastAsiaTheme="minorEastAsia" w:cstheme="minorEastAsia"/>
                <w:color w:val="000000"/>
                <w:sz w:val="24"/>
                <w:szCs w:val="24"/>
              </w:rPr>
              <w:t>；</w:t>
            </w:r>
          </w:p>
        </w:tc>
      </w:tr>
      <w:tr w14:paraId="5CA43523">
        <w:tblPrEx>
          <w:tblCellMar>
            <w:top w:w="0" w:type="dxa"/>
            <w:left w:w="108" w:type="dxa"/>
            <w:bottom w:w="0" w:type="dxa"/>
            <w:right w:w="108" w:type="dxa"/>
          </w:tblCellMar>
        </w:tblPrEx>
        <w:trPr>
          <w:trHeight w:val="510" w:hRule="atLeast"/>
        </w:trPr>
        <w:tc>
          <w:tcPr>
            <w:tcW w:w="7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46363B">
            <w:pPr>
              <w:pageBreakBefore w:val="0"/>
              <w:widowControl/>
              <w:kinsoku/>
              <w:wordWrap/>
              <w:overflowPunct/>
              <w:topLinePunct w:val="0"/>
              <w:bidi w:val="0"/>
              <w:spacing w:line="360" w:lineRule="auto"/>
              <w:jc w:val="left"/>
              <w:rPr>
                <w:rFonts w:asciiTheme="minorEastAsia" w:hAnsiTheme="minorEastAsia" w:eastAsiaTheme="minorEastAsia" w:cstheme="minorEastAsia"/>
                <w:color w:val="000000"/>
                <w:sz w:val="24"/>
                <w:szCs w:val="24"/>
              </w:rPr>
            </w:pPr>
          </w:p>
        </w:tc>
        <w:tc>
          <w:tcPr>
            <w:tcW w:w="10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1EAD7">
            <w:pPr>
              <w:pageBreakBefore w:val="0"/>
              <w:widowControl/>
              <w:kinsoku/>
              <w:wordWrap/>
              <w:overflowPunct/>
              <w:topLinePunct w:val="0"/>
              <w:bidi w:val="0"/>
              <w:snapToGrid w:val="0"/>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向有关主管部门上报处置情况</w:t>
            </w:r>
          </w:p>
        </w:tc>
        <w:tc>
          <w:tcPr>
            <w:tcW w:w="3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93979">
            <w:pPr>
              <w:pageBreakBefore w:val="0"/>
              <w:widowControl/>
              <w:kinsoku/>
              <w:wordWrap/>
              <w:overflowPunct/>
              <w:topLinePunct w:val="0"/>
              <w:bidi w:val="0"/>
              <w:snapToGrid w:val="0"/>
              <w:spacing w:line="360" w:lineRule="auto"/>
              <w:jc w:val="left"/>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事件处置完成后，应及时向安徽省医疗保障信息平台主管部门及归属的密码管理部门报告事件发生情况及处置情况。</w:t>
            </w:r>
          </w:p>
        </w:tc>
      </w:tr>
    </w:tbl>
    <w:p w14:paraId="11BF5098">
      <w:pPr>
        <w:pageBreakBefore w:val="0"/>
        <w:widowControl w:val="0"/>
        <w:kinsoku/>
        <w:wordWrap/>
        <w:overflowPunct/>
        <w:topLinePunct w:val="0"/>
        <w:autoSpaceDE/>
        <w:autoSpaceDN/>
        <w:bidi w:val="0"/>
        <w:adjustRightInd/>
        <w:snapToGrid/>
        <w:spacing w:line="360" w:lineRule="auto"/>
        <w:ind w:firstLine="482" w:firstLineChars="200"/>
        <w:textAlignment w:val="auto"/>
        <w:outlineLvl w:val="1"/>
        <w:rPr>
          <w:rFonts w:hint="eastAsia" w:ascii="宋体" w:hAnsi="宋体" w:eastAsia="宋体"/>
          <w:b/>
          <w:color w:val="auto"/>
          <w:sz w:val="24"/>
          <w:szCs w:val="18"/>
          <w:highlight w:val="none"/>
        </w:rPr>
      </w:pPr>
      <w:r>
        <w:rPr>
          <w:rFonts w:hint="eastAsia" w:ascii="宋体" w:hAnsi="宋体" w:eastAsia="宋体"/>
          <w:b/>
          <w:color w:val="auto"/>
          <w:sz w:val="24"/>
          <w:szCs w:val="18"/>
          <w:highlight w:val="none"/>
        </w:rPr>
        <w:t>四、项目实施要求</w:t>
      </w:r>
    </w:p>
    <w:p w14:paraId="139CFFA3">
      <w:pPr>
        <w:pStyle w:val="2"/>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（一）实施原则</w:t>
      </w:r>
    </w:p>
    <w:p w14:paraId="283FE849">
      <w:pPr>
        <w:pStyle w:val="2"/>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为保障项目的顺利实施，在项目实施过</w:t>
      </w:r>
      <w:r>
        <w:rPr>
          <w:rFonts w:hint="eastAsia" w:asciiTheme="minorEastAsia" w:hAnsiTheme="minorEastAsia" w:eastAsiaTheme="minorEastAsia" w:cstheme="minorEastAsia"/>
          <w:sz w:val="24"/>
          <w:szCs w:val="24"/>
          <w:lang w:eastAsia="zh-CN"/>
        </w:rPr>
        <w:t>程中</w:t>
      </w:r>
      <w:r>
        <w:rPr>
          <w:rFonts w:hint="eastAsia" w:asciiTheme="minorEastAsia" w:hAnsiTheme="minorEastAsia" w:eastAsiaTheme="minorEastAsia" w:cstheme="minorEastAsia"/>
          <w:sz w:val="24"/>
          <w:szCs w:val="24"/>
        </w:rPr>
        <w:t>须遵循以下原则：</w:t>
      </w:r>
    </w:p>
    <w:p w14:paraId="64D683C2">
      <w:pPr>
        <w:pStyle w:val="2"/>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1.客观性和公正性原则</w:t>
      </w:r>
    </w:p>
    <w:p w14:paraId="73C84BAB">
      <w:pPr>
        <w:pStyle w:val="2"/>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测评人员应当没有偏见，按照评估双方相互认可的评估方案，基于明确定义的测评方式和解释，客观公正的实施评估活动。</w:t>
      </w:r>
    </w:p>
    <w:p w14:paraId="23ADD8CD">
      <w:pPr>
        <w:pStyle w:val="2"/>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2.规范性原则</w:t>
      </w:r>
    </w:p>
    <w:p w14:paraId="5FA3C4AF">
      <w:pPr>
        <w:pStyle w:val="2"/>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测评服务的实施必须由专业的测评服务人员依照规范的操作流程进行，对操作过程和结果要有相应的记录，并提供完整的服务报告。</w:t>
      </w:r>
    </w:p>
    <w:p w14:paraId="53E0E847">
      <w:pPr>
        <w:pStyle w:val="2"/>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3.标准化原则</w:t>
      </w:r>
    </w:p>
    <w:p w14:paraId="539A5022">
      <w:pPr>
        <w:pStyle w:val="2"/>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测评过程须严格遵守国家的相关法律法规、规范、标准等相关要求。</w:t>
      </w:r>
    </w:p>
    <w:p w14:paraId="5F6E4507">
      <w:pPr>
        <w:pStyle w:val="2"/>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4.完整性原则</w:t>
      </w:r>
    </w:p>
    <w:p w14:paraId="7D385E16">
      <w:pPr>
        <w:pStyle w:val="2"/>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在测评过程中，必须确保测评数据、过程记录的完整性。测评内容要综合考虑所有测评对象的技术措施，并建立完整有效的测评流程，保证不存在影响测评结果的疏忽或遗漏。</w:t>
      </w:r>
    </w:p>
    <w:p w14:paraId="245D3254">
      <w:pPr>
        <w:pStyle w:val="2"/>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5.连续性原则</w:t>
      </w:r>
    </w:p>
    <w:p w14:paraId="515A564B">
      <w:pPr>
        <w:pStyle w:val="2"/>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确保在高速变化的信息安全环境中，在有效的服务期间内，保证采购人风险评估结论的准确性和及时性，对于采购人增设的信息资产和服务，或新建立的信息化项目，进行局部系统的重新评估。从经济上，降低采购人的成本，从信息安全性上，保证信息安全测评的动态稳定性。</w:t>
      </w:r>
    </w:p>
    <w:p w14:paraId="57E1117C">
      <w:pPr>
        <w:pStyle w:val="2"/>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6.扩展性原则</w:t>
      </w:r>
    </w:p>
    <w:p w14:paraId="28A0E7F3">
      <w:pPr>
        <w:pStyle w:val="2"/>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在评估过程结束后，信息安全测评过程要保持扩展性，从扩展的属性上进一步加强测评结束后采购人的安全管理有效性和可用性。</w:t>
      </w:r>
    </w:p>
    <w:p w14:paraId="04E0618B">
      <w:pPr>
        <w:pStyle w:val="2"/>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7.质量保障原则</w:t>
      </w:r>
    </w:p>
    <w:p w14:paraId="0F7A28F8">
      <w:pPr>
        <w:pStyle w:val="2"/>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在整个测评过程中，须特别重视项目质量管理。项目的实施将严格按照项目实施方案和流程进行，并做好项目质量监督工作，控制项目的进度和质量。</w:t>
      </w:r>
    </w:p>
    <w:p w14:paraId="48E3E390">
      <w:pPr>
        <w:pStyle w:val="2"/>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8.互动原则</w:t>
      </w:r>
    </w:p>
    <w:p w14:paraId="4C0FA20B">
      <w:pPr>
        <w:pStyle w:val="2"/>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在整个测评过程中，强调采购人的互动参与，每个阶段都能够及时根据采购人的要求和实际情况对测评的内容、方式做出相关调整，进而更好的进行风险评估工作。</w:t>
      </w:r>
    </w:p>
    <w:p w14:paraId="55E840C9">
      <w:pPr>
        <w:pStyle w:val="2"/>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9.影响最小原则</w:t>
      </w:r>
    </w:p>
    <w:p w14:paraId="226C179C">
      <w:pPr>
        <w:pStyle w:val="2"/>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测评工作应该尽可能小地影响系统和网络的正常运行，不能对业务的正常运行产生明显的影响（包括系统性能明显下降、网络阻塞、服务中断等），如无法避免，则应作出说明，采取必要的措施将相关风险降到最低。</w:t>
      </w:r>
    </w:p>
    <w:p w14:paraId="12182C0C">
      <w:pPr>
        <w:pStyle w:val="2"/>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10.保密性原则</w:t>
      </w:r>
    </w:p>
    <w:p w14:paraId="2FACD410">
      <w:pPr>
        <w:pStyle w:val="2"/>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在测评过程中，需严格遵循保密原则，双方签订保密协议，对服务过程中涉及的任何用户信息未经允许不向其他任何第三方泄露，以及不得利用这些信息损害采购人利益。</w:t>
      </w:r>
    </w:p>
    <w:p w14:paraId="61F01CB2">
      <w:pPr>
        <w:pStyle w:val="2"/>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（二）项目工期要求</w:t>
      </w:r>
    </w:p>
    <w:p w14:paraId="6CC69A47">
      <w:pPr>
        <w:pStyle w:val="2"/>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成交供应商</w:t>
      </w:r>
      <w:r>
        <w:rPr>
          <w:rFonts w:hint="eastAsia" w:asciiTheme="minorEastAsia" w:hAnsiTheme="minorEastAsia" w:eastAsiaTheme="minorEastAsia" w:cstheme="minorEastAsia"/>
          <w:sz w:val="24"/>
          <w:szCs w:val="24"/>
        </w:rPr>
        <w:t>需根据测评对象数量，合理评估测评工作量，保障项目顺利完成，配备足够的技术人员力量</w:t>
      </w:r>
      <w:r>
        <w:rPr>
          <w:rFonts w:hint="eastAsia" w:asciiTheme="minorEastAsia" w:hAnsiTheme="minorEastAsia" w:eastAsiaTheme="minorEastAsia" w:cstheme="minorEastAsia"/>
          <w:sz w:val="24"/>
          <w:szCs w:val="24"/>
          <w:lang w:eastAsia="zh-CN"/>
        </w:rPr>
        <w:t>。</w:t>
      </w:r>
    </w:p>
    <w:p w14:paraId="74152978">
      <w:pPr>
        <w:pStyle w:val="2"/>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（三）测评交付成果要求</w:t>
      </w:r>
    </w:p>
    <w:p w14:paraId="00EEA08F">
      <w:pPr>
        <w:pStyle w:val="2"/>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本项目以测评报告备案通过为验收前置条件，验收材料将以纸质文件和电子资料（光盘）的形式提供，其中纸质文件5套、电子资料（光盘）5套，包括但不限于：</w:t>
      </w:r>
    </w:p>
    <w:p w14:paraId="76066813">
      <w:pPr>
        <w:pStyle w:val="2"/>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项目实施类：《商用密码实施方案》、《商用密码测评计划及方案》、《项目管理方案》、《项目进度报告》、《质量报告》；</w:t>
      </w:r>
    </w:p>
    <w:p w14:paraId="5E79DB7A">
      <w:pPr>
        <w:pStyle w:val="2"/>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项目评测类：《安徽省医疗保障信息平台商用密码应用安全性评估报告》（按平台工程总报告和被测评对象信息系统分别提供）；</w:t>
      </w:r>
    </w:p>
    <w:p w14:paraId="4DEA54E6">
      <w:pPr>
        <w:pStyle w:val="2"/>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备案类：《安徽省医疗保障信息平台商用密码应用测评报告备案》（按系统提供）；</w:t>
      </w:r>
    </w:p>
    <w:p w14:paraId="6128F175">
      <w:pPr>
        <w:pStyle w:val="2"/>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培训类：《培训计划》、《培训教材》、《培训过程记录》、《培训考核记录》等。</w:t>
      </w:r>
    </w:p>
    <w:p w14:paraId="010F5AF2">
      <w:pPr>
        <w:pStyle w:val="2"/>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（四）培训服务</w:t>
      </w:r>
    </w:p>
    <w:p w14:paraId="763692E9">
      <w:pPr>
        <w:pStyle w:val="2"/>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对安徽省医疗保障系统内的安全技术及密码管理人员开展不少于2次的现场密码知识培训，现场培训人次不少于150人次，对相关系统承建单位开展不少于2次的密码知识培训活动。培训所需的场地费、师资费</w:t>
      </w:r>
      <w:r>
        <w:rPr>
          <w:rFonts w:hint="eastAsia" w:asciiTheme="minorEastAsia" w:hAnsiTheme="minorEastAsia" w:eastAsiaTheme="minorEastAsia" w:cstheme="minorEastAsia"/>
          <w:sz w:val="24"/>
          <w:szCs w:val="24"/>
          <w:lang w:val="en-US" w:eastAsia="zh-CN"/>
        </w:rPr>
        <w:t>包含在本项目报价中，采购人不再另行支付，</w:t>
      </w:r>
      <w:r>
        <w:rPr>
          <w:rFonts w:hint="eastAsia" w:asciiTheme="minorEastAsia" w:hAnsiTheme="minorEastAsia" w:eastAsiaTheme="minorEastAsia" w:cstheme="minorEastAsia"/>
          <w:sz w:val="24"/>
          <w:szCs w:val="24"/>
        </w:rPr>
        <w:t>培训方案经采购人认可后组织实施。</w:t>
      </w:r>
    </w:p>
    <w:p w14:paraId="5FF14D5A">
      <w:pPr>
        <w:pStyle w:val="2"/>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（五）其他</w:t>
      </w:r>
    </w:p>
    <w:p w14:paraId="2F1F5E79">
      <w:pPr>
        <w:pStyle w:val="2"/>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zh-CN" w:eastAsia="zh-CN"/>
        </w:rPr>
        <w:t>根据密评工作需要承办本项目实施中所</w:t>
      </w:r>
      <w:r>
        <w:rPr>
          <w:rFonts w:hint="eastAsia" w:asciiTheme="minorEastAsia" w:hAnsiTheme="minorEastAsia" w:eastAsiaTheme="minorEastAsia" w:cstheme="minorEastAsia"/>
          <w:sz w:val="24"/>
          <w:szCs w:val="24"/>
          <w:lang w:val="en-US" w:eastAsia="zh-CN"/>
        </w:rPr>
        <w:t>需的包含在本项目报价中，采购人不再另行支付，</w:t>
      </w:r>
      <w:r>
        <w:rPr>
          <w:rFonts w:hint="eastAsia" w:asciiTheme="minorEastAsia" w:hAnsiTheme="minorEastAsia" w:eastAsiaTheme="minorEastAsia" w:cstheme="minorEastAsia"/>
          <w:sz w:val="24"/>
          <w:szCs w:val="24"/>
        </w:rPr>
        <w:t>协助采购人完成密码测试相关的其他工作。</w:t>
      </w:r>
    </w:p>
    <w:p w14:paraId="12E6F677">
      <w:pPr>
        <w:pageBreakBefore w:val="0"/>
        <w:widowControl w:val="0"/>
        <w:kinsoku/>
        <w:wordWrap/>
        <w:overflowPunct/>
        <w:topLinePunct w:val="0"/>
        <w:autoSpaceDE/>
        <w:autoSpaceDN/>
        <w:bidi w:val="0"/>
        <w:adjustRightInd/>
        <w:snapToGrid/>
        <w:spacing w:line="360" w:lineRule="auto"/>
        <w:ind w:firstLine="482" w:firstLineChars="200"/>
        <w:textAlignment w:val="auto"/>
        <w:outlineLvl w:val="1"/>
        <w:rPr>
          <w:rFonts w:hint="eastAsia" w:ascii="宋体" w:hAnsi="宋体" w:eastAsia="宋体"/>
          <w:b/>
          <w:color w:val="auto"/>
          <w:sz w:val="24"/>
          <w:szCs w:val="18"/>
          <w:highlight w:val="none"/>
        </w:rPr>
      </w:pPr>
      <w:r>
        <w:rPr>
          <w:rFonts w:hint="eastAsia" w:ascii="宋体" w:hAnsi="宋体" w:eastAsia="宋体"/>
          <w:b/>
          <w:color w:val="auto"/>
          <w:sz w:val="24"/>
          <w:szCs w:val="18"/>
          <w:highlight w:val="none"/>
        </w:rPr>
        <w:t>五、服务要求及其他要求</w:t>
      </w:r>
    </w:p>
    <w:p w14:paraId="7A5C26E5">
      <w:pPr>
        <w:pStyle w:val="2"/>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（一）</w:t>
      </w:r>
      <w:r>
        <w:rPr>
          <w:rFonts w:hint="eastAsia" w:asciiTheme="minorEastAsia" w:hAnsiTheme="minorEastAsia" w:eastAsiaTheme="minorEastAsia" w:cstheme="minorEastAsia"/>
          <w:sz w:val="24"/>
          <w:szCs w:val="24"/>
          <w:lang w:val="en-US" w:eastAsia="zh-CN"/>
        </w:rPr>
        <w:t>成交</w:t>
      </w:r>
      <w:r>
        <w:rPr>
          <w:rFonts w:hint="eastAsia" w:asciiTheme="minorEastAsia" w:hAnsiTheme="minorEastAsia" w:eastAsiaTheme="minorEastAsia" w:cstheme="minorEastAsia"/>
          <w:sz w:val="24"/>
          <w:szCs w:val="24"/>
          <w:lang w:eastAsia="zh-CN"/>
        </w:rPr>
        <w:t>供应商</w:t>
      </w:r>
      <w:r>
        <w:rPr>
          <w:rFonts w:hint="eastAsia" w:asciiTheme="minorEastAsia" w:hAnsiTheme="minorEastAsia" w:eastAsiaTheme="minorEastAsia" w:cstheme="minorEastAsia"/>
          <w:sz w:val="24"/>
          <w:szCs w:val="24"/>
        </w:rPr>
        <w:t>能力要求</w:t>
      </w:r>
    </w:p>
    <w:p w14:paraId="51BDAA3C">
      <w:pPr>
        <w:pStyle w:val="2"/>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成交</w:t>
      </w:r>
      <w:r>
        <w:rPr>
          <w:rFonts w:hint="eastAsia" w:asciiTheme="minorEastAsia" w:hAnsiTheme="minorEastAsia" w:eastAsiaTheme="minorEastAsia" w:cstheme="minorEastAsia"/>
          <w:sz w:val="24"/>
          <w:szCs w:val="24"/>
          <w:lang w:eastAsia="zh-CN"/>
        </w:rPr>
        <w:t>供应商</w:t>
      </w:r>
      <w:r>
        <w:rPr>
          <w:rFonts w:hint="eastAsia" w:asciiTheme="minorEastAsia" w:hAnsiTheme="minorEastAsia" w:eastAsiaTheme="minorEastAsia" w:cstheme="minorEastAsia"/>
          <w:sz w:val="24"/>
          <w:szCs w:val="24"/>
        </w:rPr>
        <w:t>必须在充分理解需求文件中描述的采购人任务大纲的基础上，根据采购需求，提供对本项目的理解和详细描述，针对采购人提出的要求，通过客户化定制服务，满足采购人列出的所有需求。</w:t>
      </w:r>
    </w:p>
    <w:p w14:paraId="7BCA819F">
      <w:pPr>
        <w:pStyle w:val="2"/>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eastAsia="zh-CN"/>
        </w:rPr>
        <w:t>成交</w:t>
      </w:r>
      <w:r>
        <w:rPr>
          <w:rFonts w:hint="eastAsia" w:asciiTheme="minorEastAsia" w:hAnsiTheme="minorEastAsia" w:eastAsiaTheme="minorEastAsia" w:cstheme="minorEastAsia"/>
          <w:sz w:val="24"/>
          <w:szCs w:val="24"/>
          <w:lang w:eastAsia="zh-CN"/>
        </w:rPr>
        <w:t>供应商</w:t>
      </w:r>
      <w:r>
        <w:rPr>
          <w:rFonts w:hint="eastAsia" w:asciiTheme="minorEastAsia" w:hAnsiTheme="minorEastAsia" w:eastAsiaTheme="minorEastAsia" w:cstheme="minorEastAsia"/>
          <w:sz w:val="24"/>
          <w:szCs w:val="24"/>
        </w:rPr>
        <w:t>具有类似行业的密评咨询、测评经验，能为采购人提供有价值的咨询服务。</w:t>
      </w:r>
    </w:p>
    <w:p w14:paraId="095113D3">
      <w:pPr>
        <w:pStyle w:val="2"/>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r>
        <w:rPr>
          <w:rFonts w:hint="eastAsia" w:asciiTheme="minorEastAsia" w:hAnsiTheme="minorEastAsia" w:eastAsiaTheme="minorEastAsia" w:cstheme="minorEastAsia"/>
          <w:sz w:val="24"/>
          <w:szCs w:val="24"/>
          <w:lang w:val="en-US" w:eastAsia="zh-CN"/>
        </w:rPr>
        <w:t>成交</w:t>
      </w:r>
      <w:r>
        <w:rPr>
          <w:rFonts w:hint="eastAsia" w:asciiTheme="minorEastAsia" w:hAnsiTheme="minorEastAsia" w:eastAsiaTheme="minorEastAsia" w:cstheme="minorEastAsia"/>
          <w:sz w:val="24"/>
          <w:szCs w:val="24"/>
          <w:lang w:eastAsia="zh-CN"/>
        </w:rPr>
        <w:t>供应商</w:t>
      </w:r>
      <w:r>
        <w:rPr>
          <w:rFonts w:hint="eastAsia" w:asciiTheme="minorEastAsia" w:hAnsiTheme="minorEastAsia" w:eastAsiaTheme="minorEastAsia" w:cstheme="minorEastAsia"/>
          <w:sz w:val="24"/>
          <w:szCs w:val="24"/>
        </w:rPr>
        <w:t>能针对采购人复杂的应用系统和网络结构，能根据密评相关政策要求、专家评审要求和网安审核要求，对采购人提供合理、可操作、符合采购人管理要求的密码测评备案方案，并取得备案证明。</w:t>
      </w:r>
    </w:p>
    <w:p w14:paraId="4661045F">
      <w:pPr>
        <w:pStyle w:val="2"/>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w:t>
      </w:r>
      <w:r>
        <w:rPr>
          <w:rFonts w:hint="eastAsia" w:asciiTheme="minorEastAsia" w:hAnsiTheme="minorEastAsia" w:eastAsiaTheme="minorEastAsia" w:cstheme="minorEastAsia"/>
          <w:sz w:val="24"/>
          <w:szCs w:val="24"/>
          <w:lang w:val="en-US" w:eastAsia="zh-CN"/>
        </w:rPr>
        <w:t>成交</w:t>
      </w:r>
      <w:r>
        <w:rPr>
          <w:rFonts w:hint="eastAsia" w:asciiTheme="minorEastAsia" w:hAnsiTheme="minorEastAsia" w:eastAsiaTheme="minorEastAsia" w:cstheme="minorEastAsia"/>
          <w:sz w:val="24"/>
          <w:szCs w:val="24"/>
          <w:lang w:eastAsia="zh-CN"/>
        </w:rPr>
        <w:t>供应商</w:t>
      </w:r>
      <w:r>
        <w:rPr>
          <w:rFonts w:hint="eastAsia" w:asciiTheme="minorEastAsia" w:hAnsiTheme="minorEastAsia" w:eastAsiaTheme="minorEastAsia" w:cstheme="minorEastAsia"/>
          <w:sz w:val="24"/>
          <w:szCs w:val="24"/>
        </w:rPr>
        <w:t>需准确理解项目的背景和目标，制定的技术方案应具备较强的针对性和实施性。</w:t>
      </w:r>
    </w:p>
    <w:p w14:paraId="6F513598">
      <w:pPr>
        <w:pStyle w:val="2"/>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w:t>
      </w:r>
      <w:r>
        <w:rPr>
          <w:rFonts w:hint="eastAsia" w:asciiTheme="minorEastAsia" w:hAnsiTheme="minorEastAsia" w:eastAsiaTheme="minorEastAsia" w:cstheme="minorEastAsia"/>
          <w:sz w:val="24"/>
          <w:szCs w:val="24"/>
          <w:lang w:val="en-US" w:eastAsia="zh-CN"/>
        </w:rPr>
        <w:t>成交</w:t>
      </w:r>
      <w:r>
        <w:rPr>
          <w:rFonts w:hint="eastAsia" w:asciiTheme="minorEastAsia" w:hAnsiTheme="minorEastAsia" w:eastAsiaTheme="minorEastAsia" w:cstheme="minorEastAsia"/>
          <w:sz w:val="24"/>
          <w:szCs w:val="24"/>
          <w:lang w:eastAsia="zh-CN"/>
        </w:rPr>
        <w:t>供应商</w:t>
      </w:r>
      <w:r>
        <w:rPr>
          <w:rFonts w:hint="eastAsia" w:asciiTheme="minorEastAsia" w:hAnsiTheme="minorEastAsia" w:eastAsiaTheme="minorEastAsia" w:cstheme="minorEastAsia"/>
          <w:sz w:val="24"/>
          <w:szCs w:val="24"/>
        </w:rPr>
        <w:t>需根据采购人要求快速响应，24小时内安排人员上门沟通服务。</w:t>
      </w:r>
    </w:p>
    <w:p w14:paraId="631DFC40">
      <w:pPr>
        <w:pStyle w:val="2"/>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w:t>
      </w:r>
      <w:r>
        <w:rPr>
          <w:rFonts w:hint="eastAsia" w:asciiTheme="minorEastAsia" w:hAnsiTheme="minorEastAsia" w:eastAsiaTheme="minorEastAsia" w:cstheme="minorEastAsia"/>
          <w:sz w:val="24"/>
          <w:szCs w:val="24"/>
          <w:lang w:val="en-US" w:eastAsia="zh-CN"/>
        </w:rPr>
        <w:t>成交</w:t>
      </w:r>
      <w:r>
        <w:rPr>
          <w:rFonts w:hint="eastAsia" w:asciiTheme="minorEastAsia" w:hAnsiTheme="minorEastAsia" w:eastAsiaTheme="minorEastAsia" w:cstheme="minorEastAsia"/>
          <w:sz w:val="24"/>
          <w:szCs w:val="24"/>
          <w:lang w:eastAsia="zh-CN"/>
        </w:rPr>
        <w:t>供应商</w:t>
      </w:r>
      <w:r>
        <w:rPr>
          <w:rFonts w:hint="eastAsia" w:asciiTheme="minorEastAsia" w:hAnsiTheme="minorEastAsia" w:eastAsiaTheme="minorEastAsia" w:cstheme="minorEastAsia"/>
          <w:sz w:val="24"/>
          <w:szCs w:val="24"/>
        </w:rPr>
        <w:t>必须按照采购人的项目实施进度要求，提供整个项目的进度计划，提交实施方案，实施完成后提交项目报告。包括项目的组织和管理、投入的技术人员及其简介、详细的工作计划、具体工作内容及各项具体方案和应急计划等内容。文档及质量保障：</w:t>
      </w:r>
      <w:r>
        <w:rPr>
          <w:rFonts w:hint="eastAsia" w:asciiTheme="minorEastAsia" w:hAnsiTheme="minorEastAsia" w:eastAsiaTheme="minorEastAsia" w:cstheme="minorEastAsia"/>
          <w:sz w:val="24"/>
          <w:szCs w:val="24"/>
          <w:lang w:eastAsia="zh-CN"/>
        </w:rPr>
        <w:t>成交供应商</w:t>
      </w:r>
      <w:r>
        <w:rPr>
          <w:rFonts w:hint="eastAsia" w:asciiTheme="minorEastAsia" w:hAnsiTheme="minorEastAsia" w:eastAsiaTheme="minorEastAsia" w:cstheme="minorEastAsia"/>
          <w:sz w:val="24"/>
          <w:szCs w:val="24"/>
        </w:rPr>
        <w:t>必须认真理解所有质量保障需求，详细描述响应方案。</w:t>
      </w:r>
    </w:p>
    <w:p w14:paraId="66F067A6">
      <w:pPr>
        <w:pStyle w:val="2"/>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（二）人员要求</w:t>
      </w:r>
    </w:p>
    <w:p w14:paraId="6530D8D5">
      <w:pPr>
        <w:pStyle w:val="2"/>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成交供应商应确保能建立一支具有一定服务能力的管理和技术团队，在项目工作组的指导下承担具体的工作，并指定一名项目负责人负责本项目的具体实施。为确保按期完成各项任务，项目负责人应统一管理和调配项目实施进度，同时还需要负责与项目工作组保持联系，及时沟通。</w:t>
      </w:r>
    </w:p>
    <w:p w14:paraId="700363C3">
      <w:pPr>
        <w:pStyle w:val="2"/>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项目实施组的组成人员要求如下： </w:t>
      </w:r>
    </w:p>
    <w:p w14:paraId="4B473BFD">
      <w:pPr>
        <w:pStyle w:val="2"/>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1.项目总人数不得少于8人（项目经理除外），并合理安排实施人员，保障服务工作相关需要。</w:t>
      </w:r>
    </w:p>
    <w:p w14:paraId="4295728F">
      <w:pPr>
        <w:pStyle w:val="2"/>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eastAsia="zh-CN"/>
        </w:rPr>
        <w:t>成交供应商</w:t>
      </w:r>
      <w:r>
        <w:rPr>
          <w:rFonts w:hint="eastAsia" w:asciiTheme="minorEastAsia" w:hAnsiTheme="minorEastAsia" w:eastAsiaTheme="minorEastAsia" w:cstheme="minorEastAsia"/>
          <w:sz w:val="24"/>
          <w:szCs w:val="24"/>
        </w:rPr>
        <w:t>在项目实施中选派的团队人员，应工作责任心强、技术水平高、业务熟练，且专职于本项目，在采购人指定地点专职开展密评工作，服务期间不得从事与本项目无关事项。</w:t>
      </w:r>
    </w:p>
    <w:p w14:paraId="7F71A1F4">
      <w:pPr>
        <w:pStyle w:val="2"/>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3.项目实施人员具备本科及以上学历，五年</w:t>
      </w:r>
      <w:r>
        <w:rPr>
          <w:rFonts w:hint="eastAsia" w:asciiTheme="minorEastAsia" w:hAnsiTheme="minorEastAsia" w:eastAsiaTheme="minorEastAsia" w:cstheme="minorEastAsia"/>
          <w:sz w:val="24"/>
          <w:szCs w:val="24"/>
          <w:lang w:val="en-US" w:eastAsia="zh-CN"/>
        </w:rPr>
        <w:t>及</w:t>
      </w:r>
      <w:r>
        <w:rPr>
          <w:rFonts w:hint="eastAsia" w:asciiTheme="minorEastAsia" w:hAnsiTheme="minorEastAsia" w:eastAsiaTheme="minorEastAsia" w:cstheme="minorEastAsia"/>
          <w:sz w:val="24"/>
          <w:szCs w:val="24"/>
        </w:rPr>
        <w:t>以上信息安全或密码学领域的从业背景。项目实施人员，商用密码应用安全性评估人员考核成绩应在60分以上。项目负责人应具有研究生及以上学历，五年</w:t>
      </w:r>
      <w:r>
        <w:rPr>
          <w:rFonts w:hint="eastAsia" w:asciiTheme="minorEastAsia" w:hAnsiTheme="minorEastAsia" w:eastAsiaTheme="minorEastAsia" w:cstheme="minorEastAsia"/>
          <w:sz w:val="24"/>
          <w:szCs w:val="24"/>
          <w:lang w:val="en-US" w:eastAsia="zh-CN"/>
        </w:rPr>
        <w:t>及</w:t>
      </w:r>
      <w:r>
        <w:rPr>
          <w:rFonts w:hint="eastAsia" w:asciiTheme="minorEastAsia" w:hAnsiTheme="minorEastAsia" w:eastAsiaTheme="minorEastAsia" w:cstheme="minorEastAsia"/>
          <w:sz w:val="24"/>
          <w:szCs w:val="24"/>
        </w:rPr>
        <w:t>以上信息安全或密码学领域的从业背景；有较好的文字表达能力和沟通能力。</w:t>
      </w:r>
    </w:p>
    <w:p w14:paraId="26E1DCCB">
      <w:pPr>
        <w:keepNext/>
        <w:keepLines/>
        <w:pageBreakBefore w:val="0"/>
        <w:widowControl w:val="0"/>
        <w:numPr>
          <w:ilvl w:val="255"/>
          <w:numId w:val="0"/>
        </w:numPr>
        <w:kinsoku/>
        <w:wordWrap/>
        <w:overflowPunct/>
        <w:topLinePunct w:val="0"/>
        <w:autoSpaceDE/>
        <w:autoSpaceDN/>
        <w:bidi w:val="0"/>
        <w:adjustRightInd/>
        <w:snapToGrid/>
        <w:spacing w:line="360" w:lineRule="auto"/>
        <w:ind w:firstLine="482" w:firstLineChars="200"/>
        <w:textAlignment w:val="auto"/>
        <w:outlineLvl w:val="2"/>
        <w:rPr>
          <w:rFonts w:ascii="宋体" w:hAnsi="宋体" w:eastAsia="宋体"/>
          <w:bCs/>
          <w:sz w:val="24"/>
          <w:szCs w:val="18"/>
        </w:rPr>
      </w:pPr>
      <w:r>
        <w:rPr>
          <w:rFonts w:hint="eastAsia" w:ascii="宋体" w:hAnsi="宋体" w:eastAsia="宋体"/>
          <w:b/>
          <w:sz w:val="24"/>
          <w:szCs w:val="24"/>
        </w:rPr>
        <w:t>注：除评分标准中要求提供的相关人员证明材料作为评分条件外，供应商在响应文件中无须提供人员其他相关证明材料，由采购人在合同签订后成交供应商进场服务前核查人员配备情况，人员须按照要求配备到位。</w:t>
      </w:r>
    </w:p>
    <w:p w14:paraId="5BAB2FB0">
      <w:pPr>
        <w:pStyle w:val="2"/>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（三）知识产权</w:t>
      </w:r>
    </w:p>
    <w:p w14:paraId="560F3659">
      <w:pPr>
        <w:pStyle w:val="2"/>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采购人拥有安徽省医疗保障信息平台除第三方产品外所有工作件、交付文档、定制软件、应用系统软件、数据资源及其他附属产品的知识产权，未经采购人许可，</w:t>
      </w:r>
      <w:r>
        <w:rPr>
          <w:rFonts w:hint="eastAsia" w:asciiTheme="minorEastAsia" w:hAnsiTheme="minorEastAsia" w:eastAsiaTheme="minorEastAsia" w:cstheme="minorEastAsia"/>
          <w:sz w:val="24"/>
          <w:szCs w:val="24"/>
          <w:lang w:eastAsia="zh-CN"/>
        </w:rPr>
        <w:t>供应商</w:t>
      </w:r>
      <w:r>
        <w:rPr>
          <w:rFonts w:hint="eastAsia" w:asciiTheme="minorEastAsia" w:hAnsiTheme="minorEastAsia" w:eastAsiaTheme="minorEastAsia" w:cstheme="minorEastAsia"/>
          <w:sz w:val="24"/>
          <w:szCs w:val="24"/>
        </w:rPr>
        <w:t>不得用于第三方。</w:t>
      </w:r>
    </w:p>
    <w:p w14:paraId="75929A96">
      <w:pPr>
        <w:pStyle w:val="2"/>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项目实施过程中所收集、产生的所有与本项目相关文档、资料，包括文字、图片、表格、数字等各种形式所属权均归属采购人。</w:t>
      </w:r>
    </w:p>
    <w:p w14:paraId="02CDF83C">
      <w:pPr>
        <w:pStyle w:val="2"/>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供应商</w:t>
      </w:r>
      <w:r>
        <w:rPr>
          <w:rFonts w:hint="eastAsia" w:asciiTheme="minorEastAsia" w:hAnsiTheme="minorEastAsia" w:eastAsiaTheme="minorEastAsia" w:cstheme="minorEastAsia"/>
          <w:sz w:val="24"/>
          <w:szCs w:val="24"/>
        </w:rPr>
        <w:t>应保证提供给采购人使用的货物及服务或其中的任何一部分时，免受第三方提出的侵犯其知识产权的索赔或诉讼。如有任何上述指控，</w:t>
      </w:r>
      <w:r>
        <w:rPr>
          <w:rFonts w:hint="eastAsia" w:asciiTheme="minorEastAsia" w:hAnsiTheme="minorEastAsia" w:eastAsiaTheme="minorEastAsia" w:cstheme="minorEastAsia"/>
          <w:sz w:val="24"/>
          <w:szCs w:val="24"/>
          <w:lang w:eastAsia="zh-CN"/>
        </w:rPr>
        <w:t>供应商</w:t>
      </w:r>
      <w:r>
        <w:rPr>
          <w:rFonts w:hint="eastAsia" w:asciiTheme="minorEastAsia" w:hAnsiTheme="minorEastAsia" w:eastAsiaTheme="minorEastAsia" w:cstheme="minorEastAsia"/>
          <w:sz w:val="24"/>
          <w:szCs w:val="24"/>
        </w:rPr>
        <w:t>应独自承担可能发生的一切法律责任和费用。</w:t>
      </w:r>
    </w:p>
    <w:p w14:paraId="637A5D3B">
      <w:pPr>
        <w:pStyle w:val="2"/>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（四）保密要求</w:t>
      </w:r>
    </w:p>
    <w:p w14:paraId="2520CF87">
      <w:pPr>
        <w:pStyle w:val="2"/>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供应商</w:t>
      </w:r>
      <w:r>
        <w:rPr>
          <w:rFonts w:hint="eastAsia" w:asciiTheme="minorEastAsia" w:hAnsiTheme="minorEastAsia" w:eastAsiaTheme="minorEastAsia" w:cstheme="minorEastAsia"/>
          <w:sz w:val="24"/>
          <w:szCs w:val="24"/>
        </w:rPr>
        <w:t>必须对项目技术文件以及由采购人提供的所有内部资料、技术文档、数据和信息予以保密。</w:t>
      </w:r>
      <w:r>
        <w:rPr>
          <w:rFonts w:hint="eastAsia" w:asciiTheme="minorEastAsia" w:hAnsiTheme="minorEastAsia" w:eastAsiaTheme="minorEastAsia" w:cstheme="minorEastAsia"/>
          <w:sz w:val="24"/>
          <w:szCs w:val="24"/>
          <w:lang w:eastAsia="zh-CN"/>
        </w:rPr>
        <w:t>供应商</w:t>
      </w:r>
      <w:r>
        <w:rPr>
          <w:rFonts w:hint="eastAsia" w:asciiTheme="minorEastAsia" w:hAnsiTheme="minorEastAsia" w:eastAsiaTheme="minorEastAsia" w:cstheme="minorEastAsia"/>
          <w:sz w:val="24"/>
          <w:szCs w:val="24"/>
        </w:rPr>
        <w:t>必须与采购人签订保密协议并严格遵守，未经采购人书面许可，</w:t>
      </w:r>
      <w:r>
        <w:rPr>
          <w:rFonts w:hint="eastAsia" w:asciiTheme="minorEastAsia" w:hAnsiTheme="minorEastAsia" w:eastAsiaTheme="minorEastAsia" w:cstheme="minorEastAsia"/>
          <w:sz w:val="24"/>
          <w:szCs w:val="24"/>
          <w:lang w:eastAsia="zh-CN"/>
        </w:rPr>
        <w:t>供应商</w:t>
      </w:r>
      <w:r>
        <w:rPr>
          <w:rFonts w:hint="eastAsia" w:asciiTheme="minorEastAsia" w:hAnsiTheme="minorEastAsia" w:eastAsiaTheme="minorEastAsia" w:cstheme="minorEastAsia"/>
          <w:sz w:val="24"/>
          <w:szCs w:val="24"/>
        </w:rPr>
        <w:t>不得以任何形式向第三方透露本项目标书以及安徽省医疗保障信息平台的任何内容。</w:t>
      </w:r>
    </w:p>
    <w:p w14:paraId="72A9A497">
      <w:pPr>
        <w:pStyle w:val="2"/>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供应商</w:t>
      </w:r>
      <w:r>
        <w:rPr>
          <w:rFonts w:hint="eastAsia" w:asciiTheme="minorEastAsia" w:hAnsiTheme="minorEastAsia" w:eastAsiaTheme="minorEastAsia" w:cstheme="minorEastAsia"/>
          <w:sz w:val="24"/>
          <w:szCs w:val="24"/>
        </w:rPr>
        <w:t>团队所有人员应签订保密承诺书，承诺内容需得到采购人认可，并与合同、保密协议一并提交给采购人。</w:t>
      </w:r>
    </w:p>
    <w:p w14:paraId="21AE7F21">
      <w:pPr>
        <w:pStyle w:val="2"/>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（五）日常管理</w:t>
      </w:r>
    </w:p>
    <w:p w14:paraId="117CCBEA">
      <w:pPr>
        <w:pStyle w:val="2"/>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供应商</w:t>
      </w:r>
      <w:r>
        <w:rPr>
          <w:rFonts w:hint="eastAsia" w:asciiTheme="minorEastAsia" w:hAnsiTheme="minorEastAsia" w:eastAsiaTheme="minorEastAsia" w:cstheme="minorEastAsia"/>
          <w:sz w:val="24"/>
          <w:szCs w:val="24"/>
        </w:rPr>
        <w:t>需承诺服从采购人及其管理本部门制定的各项管理制度，驻场人员应严格遵守采购人制定的各项规章制度，服从采购人有关项目驻场人员绩效考核等管理规定；</w:t>
      </w:r>
      <w:r>
        <w:rPr>
          <w:rFonts w:hint="eastAsia" w:asciiTheme="minorEastAsia" w:hAnsiTheme="minorEastAsia" w:eastAsiaTheme="minorEastAsia" w:cstheme="minorEastAsia"/>
          <w:sz w:val="24"/>
          <w:szCs w:val="24"/>
          <w:lang w:eastAsia="zh-CN"/>
        </w:rPr>
        <w:t>供应商</w:t>
      </w:r>
      <w:r>
        <w:rPr>
          <w:rFonts w:hint="eastAsia" w:asciiTheme="minorEastAsia" w:hAnsiTheme="minorEastAsia" w:eastAsiaTheme="minorEastAsia" w:cstheme="minorEastAsia"/>
          <w:sz w:val="24"/>
          <w:szCs w:val="24"/>
        </w:rPr>
        <w:t>要主动接受安徽省医疗保障信息建设工程监理单位的监督管理，接受监理单位对本项目的过程、质量、绩效、进度等方面的监管；要主动接受安徽省医疗保障信息建设工程总集成单位的日常管理和调度安排；要积极主动组织和配合安徽省医疗保障信息建设工程其他承担单位的工作。</w:t>
      </w:r>
    </w:p>
    <w:p w14:paraId="718974B2">
      <w:pPr>
        <w:pStyle w:val="2"/>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（六）档案归集</w:t>
      </w:r>
    </w:p>
    <w:p w14:paraId="7069289F">
      <w:pPr>
        <w:pStyle w:val="2"/>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ascii="宋体" w:hAnsi="宋体" w:eastAsia="宋体"/>
          <w:b w:val="0"/>
          <w:bCs/>
          <w:color w:val="auto"/>
          <w:sz w:val="24"/>
          <w:szCs w:val="18"/>
          <w:highlight w:val="none"/>
        </w:rPr>
      </w:pPr>
      <w:r>
        <w:rPr>
          <w:rFonts w:hint="eastAsia" w:asciiTheme="minorEastAsia" w:hAnsiTheme="minorEastAsia" w:eastAsiaTheme="minorEastAsia" w:cstheme="minorEastAsia"/>
          <w:sz w:val="24"/>
          <w:szCs w:val="24"/>
        </w:rPr>
        <w:t>项目验收后应按照信息化工程档案管理有关规定，规范化标准化整理归集本项目实施过程中的各类资料、文件、纪要、测评报告等全流程的纸质档案和电子档案，作为申请项目验收的基本条件。</w:t>
      </w:r>
    </w:p>
    <w:p w14:paraId="2CA5BD21">
      <w:pPr>
        <w:pageBreakBefore w:val="0"/>
        <w:widowControl w:val="0"/>
        <w:kinsoku/>
        <w:wordWrap/>
        <w:overflowPunct/>
        <w:topLinePunct w:val="0"/>
        <w:autoSpaceDE/>
        <w:autoSpaceDN/>
        <w:bidi w:val="0"/>
        <w:adjustRightInd/>
        <w:snapToGrid/>
        <w:spacing w:line="360" w:lineRule="auto"/>
        <w:ind w:firstLine="482" w:firstLineChars="200"/>
        <w:textAlignment w:val="auto"/>
        <w:outlineLvl w:val="1"/>
        <w:rPr>
          <w:rFonts w:hint="eastAsia" w:ascii="宋体" w:hAnsi="宋体" w:eastAsia="宋体"/>
          <w:b/>
          <w:color w:val="auto"/>
          <w:sz w:val="24"/>
          <w:szCs w:val="18"/>
          <w:highlight w:val="none"/>
        </w:rPr>
      </w:pPr>
      <w:bookmarkStart w:id="8" w:name="_Toc18052"/>
      <w:r>
        <w:rPr>
          <w:rFonts w:hint="eastAsia" w:ascii="宋体" w:hAnsi="宋体" w:eastAsia="宋体"/>
          <w:b/>
          <w:color w:val="auto"/>
          <w:sz w:val="24"/>
          <w:szCs w:val="18"/>
          <w:highlight w:val="none"/>
          <w:lang w:val="en-US" w:eastAsia="zh-CN"/>
        </w:rPr>
        <w:t>六</w:t>
      </w:r>
      <w:r>
        <w:rPr>
          <w:rFonts w:hint="eastAsia" w:ascii="宋体" w:hAnsi="宋体" w:eastAsia="宋体"/>
          <w:b/>
          <w:color w:val="auto"/>
          <w:sz w:val="24"/>
          <w:szCs w:val="18"/>
          <w:highlight w:val="none"/>
        </w:rPr>
        <w:t>、报价要求</w:t>
      </w:r>
      <w:bookmarkEnd w:id="8"/>
    </w:p>
    <w:p w14:paraId="0A31E9C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stheme="minorEastAsia"/>
          <w:kern w:val="2"/>
          <w:sz w:val="24"/>
          <w:szCs w:val="24"/>
          <w:lang w:val="zh-CN" w:eastAsia="zh-CN" w:bidi="ar-SA"/>
        </w:rPr>
        <w:t>本项目报总价，报价包含完成本项目所需的全部费用，请供应商自行考虑后谨慎报价。</w:t>
      </w:r>
      <w:r>
        <w:rPr>
          <w:rFonts w:asciiTheme="minorEastAsia" w:hAnsiTheme="minorEastAsia" w:eastAsiaTheme="minorEastAsia"/>
          <w:color w:val="auto"/>
          <w:sz w:val="24"/>
          <w:highlight w:val="none"/>
        </w:rPr>
        <w:br w:type="page"/>
      </w:r>
    </w:p>
    <w:p w14:paraId="32F273E8">
      <w:pPr>
        <w:spacing w:line="360" w:lineRule="auto"/>
        <w:ind w:firstLine="437"/>
        <w:jc w:val="center"/>
        <w:outlineLvl w:val="1"/>
        <w:rPr>
          <w:rFonts w:hint="eastAsia" w:asciiTheme="minorEastAsia" w:hAnsiTheme="minorEastAsia" w:eastAsiaTheme="minorEastAsia"/>
          <w:b/>
          <w:sz w:val="28"/>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微软简标宋">
    <w:altName w:val="@宋体"/>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E0503BB"/>
    <w:multiLevelType w:val="singleLevel"/>
    <w:tmpl w:val="7E0503BB"/>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FhODI0MjAzYTEyZmIzODllYzRmZjg2MTA5ODcwZmQifQ=="/>
  </w:docVars>
  <w:rsids>
    <w:rsidRoot w:val="00000000"/>
    <w:rsid w:val="00EF73DD"/>
    <w:rsid w:val="15FB06EE"/>
    <w:rsid w:val="41A126E1"/>
    <w:rsid w:val="42E87780"/>
    <w:rsid w:val="5DCF1811"/>
    <w:rsid w:val="7AD635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9"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_GB2312" w:hAnsi="@仿宋_GB2312" w:eastAsia="@仿宋_GB2312" w:cs="@仿宋_GB2312"/>
      <w:kern w:val="2"/>
      <w:sz w:val="21"/>
      <w:lang w:val="en-US" w:eastAsia="zh-CN" w:bidi="ar-SA"/>
    </w:rPr>
  </w:style>
  <w:style w:type="paragraph" w:styleId="4">
    <w:name w:val="heading 2"/>
    <w:basedOn w:val="1"/>
    <w:next w:val="1"/>
    <w:unhideWhenUsed/>
    <w:qFormat/>
    <w:uiPriority w:val="0"/>
    <w:pPr>
      <w:keepNext/>
      <w:keepLines/>
      <w:spacing w:before="120" w:beforeLines="0" w:beforeAutospacing="0" w:after="120" w:afterLines="0" w:afterAutospacing="0" w:line="240" w:lineRule="auto"/>
      <w:ind w:firstLine="800" w:firstLineChars="200"/>
      <w:outlineLvl w:val="1"/>
    </w:pPr>
    <w:rPr>
      <w:rFonts w:ascii="Arial" w:hAnsi="Arial" w:eastAsia="楷体"/>
      <w:b/>
    </w:rPr>
  </w:style>
  <w:style w:type="paragraph" w:styleId="5">
    <w:name w:val="heading 3"/>
    <w:basedOn w:val="1"/>
    <w:next w:val="1"/>
    <w:semiHidden/>
    <w:unhideWhenUsed/>
    <w:qFormat/>
    <w:uiPriority w:val="9"/>
    <w:pPr>
      <w:keepNext/>
      <w:keepLines/>
      <w:spacing w:before="260" w:after="260" w:line="416" w:lineRule="auto"/>
      <w:outlineLvl w:val="2"/>
    </w:pPr>
    <w:rPr>
      <w:b/>
      <w:bCs/>
      <w:sz w:val="32"/>
      <w:szCs w:val="32"/>
    </w:rPr>
  </w:style>
  <w:style w:type="character" w:default="1" w:styleId="9">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Body Text First Indent"/>
    <w:basedOn w:val="3"/>
    <w:unhideWhenUsed/>
    <w:qFormat/>
    <w:uiPriority w:val="99"/>
    <w:pPr>
      <w:ind w:firstLine="420" w:firstLineChars="100"/>
    </w:pPr>
  </w:style>
  <w:style w:type="paragraph" w:styleId="3">
    <w:name w:val="Body Text"/>
    <w:basedOn w:val="1"/>
    <w:qFormat/>
    <w:uiPriority w:val="0"/>
    <w:pPr>
      <w:spacing w:after="120"/>
    </w:pPr>
    <w:rPr>
      <w:rFonts w:ascii="@微软简标宋" w:hAnsi="@微软简标宋" w:eastAsia="@微软简标宋" w:cs="@微软简标宋"/>
      <w:szCs w:val="24"/>
      <w:lang w:val="zh-CN"/>
    </w:rPr>
  </w:style>
  <w:style w:type="paragraph" w:styleId="6">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table" w:styleId="8">
    <w:name w:val="Table Grid"/>
    <w:basedOn w:val="7"/>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D&amp;L"/>
    <w:basedOn w:val="6"/>
    <w:qFormat/>
    <w:uiPriority w:val="0"/>
    <w:pPr>
      <w:pBdr>
        <w:bottom w:val="thinThickSmallGap" w:color="auto" w:sz="18" w:space="1"/>
      </w:pBdr>
      <w:adjustRightInd w:val="0"/>
      <w:snapToGrid/>
      <w:spacing w:line="240" w:lineRule="atLeast"/>
      <w:textAlignment w:val="baseline"/>
    </w:pPr>
    <w:rPr>
      <w:kern w:val="0"/>
      <w:sz w:val="24"/>
      <w:szCs w:val="20"/>
    </w:rPr>
  </w:style>
  <w:style w:type="paragraph" w:customStyle="1" w:styleId="11">
    <w:name w:val="xl31"/>
    <w:basedOn w:val="1"/>
    <w:qFormat/>
    <w:uiPriority w:val="0"/>
    <w:pPr>
      <w:widowControl/>
      <w:spacing w:before="100" w:beforeAutospacing="1" w:after="100" w:afterAutospacing="1"/>
      <w:jc w:val="center"/>
    </w:pPr>
    <w:rPr>
      <w:b/>
      <w:bCs/>
      <w:kern w:val="0"/>
      <w:sz w:val="28"/>
      <w:szCs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10079</Words>
  <Characters>10258</Characters>
  <Lines>0</Lines>
  <Paragraphs>0</Paragraphs>
  <TotalTime>0</TotalTime>
  <ScaleCrop>false</ScaleCrop>
  <LinksUpToDate>false</LinksUpToDate>
  <CharactersWithSpaces>10279</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2024-11-21T03:11:00Z</dcterms:created>
  <dc:creator>Administrator</dc:creator>
  <cp:lastModifiedBy>陈杨</cp:lastModifiedBy>
  <dcterms:modified xsi:type="dcterms:W3CDTF">2024-12-09T07:43:03Z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17A492AF642F4303BA9EEC176E453BB3_12</vt:lpwstr>
  </property>
</Properties>
</file>