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F74D2">
      <w:pPr>
        <w:jc w:val="center"/>
        <w:rPr>
          <w:rFonts w:ascii="仿宋_GB2312" w:hAnsi="宋体" w:eastAsia="仿宋_GB2312"/>
          <w:b/>
          <w:color w:val="auto"/>
          <w:sz w:val="30"/>
          <w:szCs w:val="30"/>
        </w:rPr>
      </w:pPr>
      <w:bookmarkStart w:id="4" w:name="_GoBack"/>
      <w:bookmarkEnd w:id="4"/>
      <w:r>
        <w:rPr>
          <w:rFonts w:hint="eastAsia" w:ascii="仿宋_GB2312" w:hAnsi="宋体" w:eastAsia="仿宋_GB2312"/>
          <w:b/>
          <w:color w:val="auto"/>
          <w:sz w:val="30"/>
          <w:szCs w:val="30"/>
        </w:rPr>
        <w:t>福建沙县农村产权交易中心</w:t>
      </w:r>
    </w:p>
    <w:p w14:paraId="5FB8BFD4">
      <w:pPr>
        <w:widowControl/>
        <w:wordWrap w:val="0"/>
        <w:jc w:val="center"/>
        <w:rPr>
          <w:rFonts w:hint="eastAsia" w:ascii="仿宋_GB2312" w:hAnsi="宋体" w:eastAsia="仿宋_GB2312"/>
          <w:b/>
          <w:color w:val="auto"/>
          <w:sz w:val="30"/>
          <w:szCs w:val="30"/>
        </w:rPr>
      </w:pP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202</w:t>
      </w:r>
      <w:r>
        <w:rPr>
          <w:rFonts w:hint="eastAsia" w:ascii="仿宋_GB2312" w:hAnsi="宋体" w:eastAsia="仿宋_GB2312"/>
          <w:b/>
          <w:color w:val="auto"/>
          <w:sz w:val="30"/>
          <w:szCs w:val="30"/>
          <w:lang w:val="en-US" w:eastAsia="zh-CN"/>
        </w:rPr>
        <w:t>50212</w:t>
      </w: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（周</w:t>
      </w:r>
      <w:r>
        <w:rPr>
          <w:rFonts w:hint="eastAsia" w:ascii="仿宋_GB2312" w:hAnsi="宋体" w:eastAsia="仿宋_GB2312"/>
          <w:b/>
          <w:color w:val="auto"/>
          <w:sz w:val="30"/>
          <w:szCs w:val="30"/>
          <w:lang w:val="en-US" w:eastAsia="zh-CN"/>
        </w:rPr>
        <w:t>三</w:t>
      </w: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）光泽县天源国有林场国家储备林</w:t>
      </w:r>
      <w:r>
        <w:rPr>
          <w:rFonts w:hint="eastAsia" w:ascii="仿宋_GB2312" w:hAnsi="宋体" w:eastAsia="仿宋_GB2312"/>
          <w:b/>
          <w:color w:val="auto"/>
          <w:sz w:val="30"/>
          <w:szCs w:val="30"/>
          <w:lang w:val="en-US" w:eastAsia="zh-CN"/>
        </w:rPr>
        <w:t>建设项目</w:t>
      </w: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202</w:t>
      </w:r>
      <w:r>
        <w:rPr>
          <w:rFonts w:hint="eastAsia" w:ascii="仿宋_GB2312" w:hAnsi="宋体" w:eastAsia="仿宋_GB2312"/>
          <w:b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年集约人工林栽培（</w:t>
      </w:r>
      <w:r>
        <w:rPr>
          <w:rFonts w:hint="eastAsia" w:ascii="仿宋_GB2312" w:hAnsi="宋体" w:eastAsia="仿宋_GB2312"/>
          <w:b/>
          <w:color w:val="auto"/>
          <w:sz w:val="30"/>
          <w:szCs w:val="30"/>
          <w:lang w:val="en-US" w:eastAsia="zh-CN"/>
        </w:rPr>
        <w:t>五</w:t>
      </w: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）</w:t>
      </w:r>
    </w:p>
    <w:p w14:paraId="3846D300">
      <w:pPr>
        <w:widowControl/>
        <w:wordWrap w:val="0"/>
        <w:jc w:val="center"/>
        <w:rPr>
          <w:rFonts w:ascii="仿宋_GB2312" w:hAnsi="宋体" w:eastAsia="仿宋_GB2312"/>
          <w:b/>
          <w:color w:val="auto"/>
          <w:sz w:val="30"/>
          <w:szCs w:val="30"/>
        </w:rPr>
      </w:pPr>
      <w:r>
        <w:rPr>
          <w:rFonts w:hint="eastAsia" w:ascii="仿宋_GB2312" w:hAnsi="宋体" w:eastAsia="仿宋_GB2312"/>
          <w:b/>
          <w:color w:val="auto"/>
          <w:sz w:val="30"/>
          <w:szCs w:val="30"/>
        </w:rPr>
        <w:t>网站公告</w:t>
      </w:r>
    </w:p>
    <w:tbl>
      <w:tblPr>
        <w:tblStyle w:val="8"/>
        <w:tblW w:w="1488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2474"/>
      </w:tblGrid>
      <w:tr w14:paraId="16A5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410" w:type="dxa"/>
            <w:noWrap/>
          </w:tcPr>
          <w:p w14:paraId="3EB1ED8B">
            <w:pPr>
              <w:spacing w:line="44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12474" w:type="dxa"/>
            <w:noWrap/>
          </w:tcPr>
          <w:p w14:paraId="47FF3817">
            <w:pPr>
              <w:widowControl/>
              <w:wordWrap w:val="0"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</w:rPr>
              <w:t>202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  <w:lang w:val="en-US" w:eastAsia="zh-CN"/>
              </w:rPr>
              <w:t>50212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</w:rPr>
              <w:t>（周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</w:rPr>
              <w:t>）光泽县天源国有林场国家储备林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  <w:lang w:val="en-US" w:eastAsia="zh-CN"/>
              </w:rPr>
              <w:t>建设项目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</w:rPr>
              <w:t>202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</w:rPr>
              <w:t>年集约人工林栽培（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宋体" w:eastAsia="仿宋_GB2312"/>
                <w:b/>
                <w:color w:val="auto"/>
                <w:sz w:val="30"/>
                <w:szCs w:val="30"/>
              </w:rPr>
              <w:t>）</w:t>
            </w:r>
          </w:p>
        </w:tc>
      </w:tr>
      <w:tr w14:paraId="0151E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noWrap/>
          </w:tcPr>
          <w:p w14:paraId="673092BA">
            <w:pPr>
              <w:spacing w:line="440" w:lineRule="exact"/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项目编号</w:t>
            </w:r>
          </w:p>
        </w:tc>
        <w:tc>
          <w:tcPr>
            <w:tcW w:w="12474" w:type="dxa"/>
            <w:noWrap/>
          </w:tcPr>
          <w:p w14:paraId="0F8E194C">
            <w:pP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37F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410" w:type="dxa"/>
            <w:noWrap/>
          </w:tcPr>
          <w:p w14:paraId="21C3DCEF">
            <w:pPr>
              <w:spacing w:line="440" w:lineRule="exact"/>
              <w:jc w:val="center"/>
              <w:rPr>
                <w:rStyle w:val="11"/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Style w:val="11"/>
                <w:rFonts w:hint="eastAsia" w:ascii="仿宋_GB2312" w:hAnsi="宋体" w:eastAsia="仿宋_GB2312"/>
                <w:color w:val="auto"/>
                <w:sz w:val="28"/>
                <w:szCs w:val="28"/>
              </w:rPr>
              <w:t>报名及交纳保证金截止时间</w:t>
            </w:r>
          </w:p>
        </w:tc>
        <w:tc>
          <w:tcPr>
            <w:tcW w:w="12474" w:type="dxa"/>
            <w:noWrap/>
            <w:vAlign w:val="center"/>
          </w:tcPr>
          <w:p w14:paraId="3057EF06">
            <w:pP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>: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0</w:t>
            </w:r>
            <w:r>
              <w:rPr>
                <w:rFonts w:ascii="仿宋_GB2312" w:eastAsia="仿宋_GB2312"/>
                <w:color w:val="auto"/>
                <w:sz w:val="28"/>
                <w:szCs w:val="28"/>
              </w:rPr>
              <w:t>0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前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(以到账为准，逾期缴纳保证金者报名无效)</w:t>
            </w:r>
          </w:p>
        </w:tc>
      </w:tr>
      <w:tr w14:paraId="117E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10" w:type="dxa"/>
            <w:noWrap/>
            <w:vAlign w:val="center"/>
          </w:tcPr>
          <w:p w14:paraId="37894BD9">
            <w:pPr>
              <w:spacing w:line="44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 xml:space="preserve"> 报（竞）价</w:t>
            </w:r>
          </w:p>
          <w:p w14:paraId="32487881">
            <w:pPr>
              <w:spacing w:line="440" w:lineRule="exact"/>
              <w:jc w:val="center"/>
              <w:rPr>
                <w:rStyle w:val="11"/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方式</w:t>
            </w:r>
          </w:p>
        </w:tc>
        <w:tc>
          <w:tcPr>
            <w:tcW w:w="12474" w:type="dxa"/>
            <w:noWrap/>
          </w:tcPr>
          <w:p w14:paraId="5012814E">
            <w:pPr>
              <w:spacing w:line="440" w:lineRule="exact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■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挂牌公告时间：202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08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日-202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</w:t>
            </w:r>
          </w:p>
          <w:p w14:paraId="3D6A3549">
            <w:pPr>
              <w:spacing w:line="440" w:lineRule="exact"/>
              <w:rPr>
                <w:rFonts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■竞价时间： 202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日10:00-10:30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(共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个标的，同时竞价)</w:t>
            </w:r>
          </w:p>
          <w:p w14:paraId="0EAC35C3">
            <w:pPr>
              <w:pStyle w:val="19"/>
              <w:spacing w:before="0" w:line="440" w:lineRule="exact"/>
              <w:jc w:val="left"/>
              <w:rPr>
                <w:rFonts w:hint="eastAsia" w:ascii="仿宋_GB2312" w:hAnsi="Times New Roman" w:eastAsia="仿宋_GB2312" w:cs="仿宋_GB2312"/>
                <w:b/>
                <w:color w:val="auto"/>
                <w:spacing w:val="0"/>
                <w:kern w:val="2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szCs w:val="28"/>
                <w:lang w:val="en-US" w:eastAsia="zh-CN"/>
              </w:rPr>
              <w:t>■</w:t>
            </w:r>
            <w:r>
              <w:rPr>
                <w:rFonts w:hint="eastAsia" w:ascii="仿宋_GB2312" w:hAnsi="Times New Roman" w:eastAsia="仿宋_GB2312" w:cs="仿宋_GB2312"/>
                <w:color w:val="auto"/>
                <w:spacing w:val="0"/>
                <w:kern w:val="2"/>
                <w:szCs w:val="28"/>
                <w:lang w:val="en-US" w:eastAsia="zh-CN"/>
              </w:rPr>
              <w:t>报价规则：</w:t>
            </w:r>
            <w:r>
              <w:rPr>
                <w:rFonts w:hint="eastAsia" w:ascii="仿宋_GB2312" w:hAnsi="Times New Roman" w:eastAsia="仿宋_GB2312" w:cs="仿宋_GB2312"/>
                <w:b/>
                <w:color w:val="auto"/>
                <w:spacing w:val="0"/>
                <w:kern w:val="2"/>
                <w:szCs w:val="28"/>
                <w:lang w:val="en-US" w:eastAsia="zh-CN"/>
              </w:rPr>
              <w:t>本次项目每个标的必须有3家以上意向供应方（含3家，且法人代表或个体工商户经营者不能为同一人或互为关联企业）按时报名缴纳交易保证金方为有效，否则撤销该项目标的交易。本次项目采取明标暗投方式，设置交易底价，意向供应方在报价时间内采取递减方式报价。报价开始后，意向供应方可以在规定时间内对目标标的多次报价，多次报价的,系统以意向供应方最后一次报价为准，报价低于或等于交易底价即为有效报价。报价时间截止后，最低有效报价的意向供应方确定为供应方。若同时出现两个或两个以上最低有效报价，则以交易系统显示的报价时间优先者确定为供应方。</w:t>
            </w:r>
          </w:p>
          <w:p w14:paraId="49F0E068">
            <w:pPr>
              <w:pStyle w:val="19"/>
              <w:spacing w:before="0" w:line="440" w:lineRule="exact"/>
              <w:ind w:firstLine="562" w:firstLineChars="200"/>
              <w:jc w:val="left"/>
              <w:rPr>
                <w:rFonts w:hint="eastAsia" w:ascii="仿宋_GB2312" w:hAnsi="Times New Roman" w:eastAsia="仿宋_GB2312" w:cs="仿宋_GB2312"/>
                <w:b/>
                <w:color w:val="auto"/>
                <w:spacing w:val="0"/>
                <w:kern w:val="2"/>
                <w:szCs w:val="28"/>
                <w:lang w:val="en-US" w:eastAsia="zh-CN"/>
              </w:rPr>
            </w:pPr>
            <w:r>
              <w:rPr>
                <w:rFonts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若意向供应方报价低于最高限价（或保留价）</w:t>
            </w:r>
            <w:r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10倍及10倍以上的，农交中心可认定该报价无效，将根据该项目报价规则从其他有效报价的意向供应方中确认供应方。</w:t>
            </w:r>
          </w:p>
          <w:p w14:paraId="5D1B1ED6">
            <w:pPr>
              <w:spacing w:line="440" w:lineRule="exac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■</w:t>
            </w: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竞价阶梯：1元/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>亩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及其整数倍</w:t>
            </w:r>
          </w:p>
          <w:p w14:paraId="7001B239">
            <w:pPr>
              <w:spacing w:line="440" w:lineRule="exact"/>
              <w:rPr>
                <w:rFonts w:hint="default" w:ascii="仿宋_GB2312" w:hAnsi="Arial" w:eastAsia="仿宋_GB2312" w:cs="Arial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  <w:t>■竞价单位：元</w:t>
            </w:r>
          </w:p>
        </w:tc>
      </w:tr>
    </w:tbl>
    <w:p w14:paraId="2A054B6F">
      <w:pPr>
        <w:spacing w:line="200" w:lineRule="exact"/>
        <w:rPr>
          <w:color w:val="auto"/>
          <w:sz w:val="28"/>
          <w:szCs w:val="28"/>
        </w:rPr>
      </w:pPr>
    </w:p>
    <w:tbl>
      <w:tblPr>
        <w:tblStyle w:val="8"/>
        <w:tblW w:w="14884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585"/>
        <w:gridCol w:w="13278"/>
      </w:tblGrid>
      <w:tr w14:paraId="483A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884" w:type="dxa"/>
            <w:gridSpan w:val="3"/>
            <w:noWrap/>
          </w:tcPr>
          <w:p w14:paraId="61D5D795">
            <w:pPr>
              <w:spacing w:line="440" w:lineRule="exact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一、风险告知</w:t>
            </w:r>
          </w:p>
        </w:tc>
      </w:tr>
      <w:tr w14:paraId="1C46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4884" w:type="dxa"/>
            <w:gridSpan w:val="3"/>
            <w:noWrap/>
          </w:tcPr>
          <w:p w14:paraId="38CC2E5E">
            <w:pPr>
              <w:spacing w:line="440" w:lineRule="exact"/>
              <w:ind w:firstLine="560" w:firstLineChars="200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本项目的面积、林地状况、交通现状等情况介绍均由采购方提供，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标的面积、林地状况等情况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仅供意向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供应方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参考。</w:t>
            </w:r>
          </w:p>
          <w:p w14:paraId="6032F6CE">
            <w:pPr>
              <w:spacing w:line="440" w:lineRule="exact"/>
              <w:ind w:firstLine="560" w:firstLineChars="200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参与竞价前，请各意向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供应方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务必详细阅读交易清单的所有内容，充分了解各项要求及存在的风险因素，到现场踏看标的，对标的范围内的林地及周边情况有充分了解和风险预估。意向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供应方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参与标的竞价，有可能实现盈利，也有可能出现亏损，意向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供应方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应对参与交易有充分了解和风险预估，一旦参与竞价交易表明其已认可并接受该风险，自行承担由该风险产生的一切后果和费用。</w:t>
            </w:r>
          </w:p>
        </w:tc>
      </w:tr>
      <w:tr w14:paraId="7C7E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4" w:type="dxa"/>
            <w:gridSpan w:val="3"/>
            <w:noWrap/>
          </w:tcPr>
          <w:p w14:paraId="54F2837B">
            <w:pPr>
              <w:spacing w:line="440" w:lineRule="exact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二、标的基本情况</w:t>
            </w:r>
          </w:p>
        </w:tc>
      </w:tr>
      <w:tr w14:paraId="2955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606" w:type="dxa"/>
            <w:gridSpan w:val="2"/>
            <w:noWrap/>
            <w:vAlign w:val="center"/>
          </w:tcPr>
          <w:p w14:paraId="1F363D25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标的简介</w:t>
            </w:r>
          </w:p>
        </w:tc>
        <w:tc>
          <w:tcPr>
            <w:tcW w:w="13278" w:type="dxa"/>
            <w:noWrap/>
          </w:tcPr>
          <w:tbl>
            <w:tblPr>
              <w:tblStyle w:val="8"/>
              <w:tblW w:w="13419" w:type="dxa"/>
              <w:tblInd w:w="-25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32"/>
              <w:gridCol w:w="870"/>
              <w:gridCol w:w="1155"/>
              <w:gridCol w:w="1070"/>
              <w:gridCol w:w="1675"/>
              <w:gridCol w:w="1710"/>
              <w:gridCol w:w="5007"/>
              <w:tblGridChange w:id="0">
                <w:tblGrid>
                  <w:gridCol w:w="15"/>
                  <w:gridCol w:w="27"/>
                  <w:gridCol w:w="5"/>
                  <w:gridCol w:w="1472"/>
                  <w:gridCol w:w="5"/>
                  <w:gridCol w:w="408"/>
                  <w:gridCol w:w="15"/>
                  <w:gridCol w:w="327"/>
                  <w:gridCol w:w="145"/>
                  <w:gridCol w:w="383"/>
                  <w:gridCol w:w="1155"/>
                  <w:gridCol w:w="1070"/>
                  <w:gridCol w:w="1675"/>
                  <w:gridCol w:w="1710"/>
                  <w:gridCol w:w="5007"/>
                </w:tblGrid>
              </w:tblGridChange>
            </w:tblGrid>
            <w:tr w14:paraId="064E93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auto"/>
                <w:trHeight w:val="389" w:hRule="atLeast"/>
              </w:trPr>
              <w:tc>
                <w:tcPr>
                  <w:tcW w:w="1932" w:type="dxa"/>
                  <w:noWrap/>
                  <w:vAlign w:val="center"/>
                </w:tcPr>
                <w:p w14:paraId="3F45E148">
                  <w:pPr>
                    <w:spacing w:line="360" w:lineRule="exact"/>
                    <w:jc w:val="center"/>
                    <w:rPr>
                      <w:rFonts w:ascii="仿宋_GB2312" w:eastAsia="仿宋_GB2312"/>
                      <w:color w:val="auto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color w:val="auto"/>
                      <w:sz w:val="24"/>
                    </w:rPr>
                    <w:t>标的名称</w:t>
                  </w:r>
                </w:p>
              </w:tc>
              <w:tc>
                <w:tcPr>
                  <w:tcW w:w="870" w:type="dxa"/>
                  <w:noWrap/>
                  <w:vAlign w:val="center"/>
                </w:tcPr>
                <w:p w14:paraId="1F301C08">
                  <w:pPr>
                    <w:spacing w:line="360" w:lineRule="exact"/>
                    <w:jc w:val="center"/>
                    <w:rPr>
                      <w:rFonts w:ascii="仿宋_GB2312" w:eastAsia="仿宋_GB2312"/>
                      <w:color w:val="auto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color w:val="auto"/>
                      <w:sz w:val="24"/>
                    </w:rPr>
                    <w:t>小班面积</w:t>
                  </w:r>
                </w:p>
              </w:tc>
              <w:tc>
                <w:tcPr>
                  <w:tcW w:w="1155" w:type="dxa"/>
                  <w:noWrap/>
                  <w:vAlign w:val="center"/>
                </w:tcPr>
                <w:p w14:paraId="54D85E18">
                  <w:pPr>
                    <w:spacing w:line="360" w:lineRule="exact"/>
                    <w:jc w:val="center"/>
                    <w:rPr>
                      <w:rFonts w:hint="eastAsia" w:ascii="仿宋_GB2312" w:eastAsia="仿宋_GB2312"/>
                      <w:color w:val="auto"/>
                      <w:sz w:val="24"/>
                    </w:rPr>
                  </w:pPr>
                  <w:r>
                    <w:rPr>
                      <w:rFonts w:ascii="仿宋_GB2312" w:hAnsi="宋体" w:eastAsia="仿宋_GB2312" w:cs="仿宋_GB2312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交易保证金（元）</w:t>
                  </w:r>
                </w:p>
              </w:tc>
              <w:tc>
                <w:tcPr>
                  <w:tcW w:w="1070" w:type="dxa"/>
                  <w:noWrap/>
                  <w:vAlign w:val="center"/>
                </w:tcPr>
                <w:p w14:paraId="427D32A6">
                  <w:pPr>
                    <w:spacing w:line="360" w:lineRule="exact"/>
                    <w:jc w:val="center"/>
                    <w:rPr>
                      <w:rFonts w:hint="eastAsia" w:ascii="仿宋_GB2312" w:eastAsia="仿宋_GB2312"/>
                      <w:color w:val="auto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color w:val="auto"/>
                      <w:sz w:val="24"/>
                    </w:rPr>
                    <w:t>交易底价(元/亩)</w:t>
                  </w:r>
                </w:p>
              </w:tc>
              <w:tc>
                <w:tcPr>
                  <w:tcW w:w="1675" w:type="dxa"/>
                  <w:noWrap/>
                  <w:vAlign w:val="center"/>
                </w:tcPr>
                <w:p w14:paraId="598F8A65">
                  <w:pPr>
                    <w:tabs>
                      <w:tab w:val="left" w:pos="236"/>
                    </w:tabs>
                    <w:spacing w:line="360" w:lineRule="exact"/>
                    <w:jc w:val="center"/>
                    <w:rPr>
                      <w:rFonts w:hint="eastAsia" w:ascii="仿宋_GB2312" w:eastAsia="仿宋_GB2312"/>
                      <w:color w:val="auto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color w:val="auto"/>
                      <w:sz w:val="24"/>
                      <w:lang w:eastAsia="zh-CN"/>
                    </w:rPr>
                    <w:t>竞价时间</w:t>
                  </w:r>
                </w:p>
              </w:tc>
              <w:tc>
                <w:tcPr>
                  <w:tcW w:w="1710" w:type="dxa"/>
                  <w:noWrap/>
                  <w:vAlign w:val="center"/>
                </w:tcPr>
                <w:p w14:paraId="54D24EF2">
                  <w:pPr>
                    <w:spacing w:line="360" w:lineRule="exact"/>
                    <w:jc w:val="center"/>
                    <w:rPr>
                      <w:rFonts w:hint="eastAsia" w:ascii="仿宋_GB2312" w:eastAsia="仿宋_GB2312"/>
                      <w:color w:val="auto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color w:val="auto"/>
                      <w:sz w:val="24"/>
                    </w:rPr>
                    <w:t>施工</w:t>
                  </w:r>
                </w:p>
                <w:p w14:paraId="453BD40B">
                  <w:pPr>
                    <w:spacing w:line="360" w:lineRule="exact"/>
                    <w:jc w:val="center"/>
                    <w:rPr>
                      <w:rFonts w:ascii="仿宋_GB2312" w:eastAsia="仿宋_GB2312"/>
                      <w:color w:val="auto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color w:val="auto"/>
                      <w:sz w:val="24"/>
                    </w:rPr>
                    <w:t>期限</w:t>
                  </w:r>
                </w:p>
              </w:tc>
              <w:tc>
                <w:tcPr>
                  <w:tcW w:w="5007" w:type="dxa"/>
                  <w:noWrap/>
                  <w:vAlign w:val="center"/>
                </w:tcPr>
                <w:p w14:paraId="354EB9F4">
                  <w:pPr>
                    <w:spacing w:line="360" w:lineRule="exact"/>
                    <w:jc w:val="center"/>
                    <w:rPr>
                      <w:rFonts w:ascii="仿宋_GB2312" w:eastAsia="仿宋_GB2312"/>
                      <w:color w:val="auto"/>
                      <w:sz w:val="24"/>
                    </w:rPr>
                  </w:pPr>
                  <w:r>
                    <w:rPr>
                      <w:rFonts w:hint="eastAsia" w:ascii="仿宋_GB2312" w:eastAsia="仿宋_GB2312"/>
                      <w:color w:val="auto"/>
                      <w:sz w:val="24"/>
                    </w:rPr>
                    <w:t>特别告知</w:t>
                  </w:r>
                </w:p>
              </w:tc>
            </w:tr>
            <w:tr w14:paraId="2874CC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17" w:hRule="atLeast"/>
              </w:trPr>
              <w:tc>
                <w:tcPr>
                  <w:tcW w:w="1932" w:type="dxa"/>
                  <w:noWrap/>
                  <w:vAlign w:val="center"/>
                </w:tcPr>
                <w:p w14:paraId="629EE8CA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光泽县天源国有林场国家储备林建设项目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集约人工林栽培</w:t>
                  </w: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（第13标）</w:t>
                  </w:r>
                </w:p>
              </w:tc>
              <w:tc>
                <w:tcPr>
                  <w:tcW w:w="870" w:type="dxa"/>
                  <w:noWrap/>
                  <w:vAlign w:val="center"/>
                </w:tcPr>
                <w:p w14:paraId="4DE29B07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501亩</w:t>
                  </w:r>
                </w:p>
              </w:tc>
              <w:tc>
                <w:tcPr>
                  <w:tcW w:w="1155" w:type="dxa"/>
                  <w:noWrap/>
                  <w:vAlign w:val="center"/>
                </w:tcPr>
                <w:p w14:paraId="30366CFB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31000</w:t>
                  </w:r>
                </w:p>
              </w:tc>
              <w:tc>
                <w:tcPr>
                  <w:tcW w:w="1070" w:type="dxa"/>
                  <w:noWrap/>
                  <w:vAlign w:val="center"/>
                </w:tcPr>
                <w:p w14:paraId="157BB096">
                  <w:pPr>
                    <w:spacing w:line="360" w:lineRule="exact"/>
                    <w:jc w:val="center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1267</w:t>
                  </w:r>
                </w:p>
              </w:tc>
              <w:tc>
                <w:tcPr>
                  <w:tcW w:w="1675" w:type="dxa"/>
                  <w:vMerge w:val="restart"/>
                  <w:noWrap/>
                  <w:vAlign w:val="center"/>
                </w:tcPr>
                <w:p w14:paraId="7DB776A5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10：00-10：30</w:t>
                  </w:r>
                </w:p>
              </w:tc>
              <w:tc>
                <w:tcPr>
                  <w:tcW w:w="1710" w:type="dxa"/>
                  <w:vMerge w:val="restart"/>
                  <w:noWrap/>
                  <w:vAlign w:val="center"/>
                </w:tcPr>
                <w:p w14:paraId="4C92DC65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  <w:t>详见交易清单</w:t>
                  </w:r>
                </w:p>
                <w:p w14:paraId="0AA1DC92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</w:p>
              </w:tc>
              <w:tc>
                <w:tcPr>
                  <w:tcW w:w="5007" w:type="dxa"/>
                  <w:noWrap/>
                  <w:vAlign w:val="center"/>
                </w:tcPr>
                <w:p w14:paraId="6EE332DC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  <w:t>1.按单价（元/亩）报价；</w:t>
                  </w:r>
                </w:p>
                <w:p w14:paraId="182990B8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  <w:t>2.以验收面积结算；</w:t>
                  </w:r>
                </w:p>
                <w:p w14:paraId="46D34C8D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  <w:t>3.松疫木按“510”规定处置；</w:t>
                  </w:r>
                </w:p>
                <w:p w14:paraId="44DBBE22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  <w:t>4.栽植6杉木4阔叶树，6成杉木为1年生裸根苗，2成阔叶树为1年生基质苗，2成阔叶树为2年生基质苗。</w:t>
                  </w:r>
                </w:p>
              </w:tc>
            </w:tr>
            <w:tr w14:paraId="034DB56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17" w:hRule="atLeast"/>
              </w:trPr>
              <w:tc>
                <w:tcPr>
                  <w:tcW w:w="1932" w:type="dxa"/>
                  <w:noWrap/>
                  <w:vAlign w:val="center"/>
                </w:tcPr>
                <w:p w14:paraId="3CB8739F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光泽县天源国有林场国家储备林建设项目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集约人工林栽培</w:t>
                  </w: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（第14标）</w:t>
                  </w:r>
                </w:p>
              </w:tc>
              <w:tc>
                <w:tcPr>
                  <w:tcW w:w="870" w:type="dxa"/>
                  <w:noWrap/>
                  <w:vAlign w:val="center"/>
                </w:tcPr>
                <w:p w14:paraId="7A1045AD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220亩</w:t>
                  </w:r>
                </w:p>
              </w:tc>
              <w:tc>
                <w:tcPr>
                  <w:tcW w:w="1155" w:type="dxa"/>
                  <w:noWrap/>
                  <w:vAlign w:val="center"/>
                </w:tcPr>
                <w:p w14:paraId="03FBC36F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15000</w:t>
                  </w:r>
                </w:p>
              </w:tc>
              <w:tc>
                <w:tcPr>
                  <w:tcW w:w="1070" w:type="dxa"/>
                  <w:noWrap/>
                  <w:vAlign w:val="center"/>
                </w:tcPr>
                <w:p w14:paraId="54431F55">
                  <w:pPr>
                    <w:spacing w:line="360" w:lineRule="exact"/>
                    <w:jc w:val="center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1326</w:t>
                  </w:r>
                </w:p>
              </w:tc>
              <w:tc>
                <w:tcPr>
                  <w:tcW w:w="1675" w:type="dxa"/>
                  <w:vMerge w:val="continue"/>
                  <w:noWrap/>
                  <w:vAlign w:val="center"/>
                </w:tcPr>
                <w:p w14:paraId="4640C59A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710" w:type="dxa"/>
                  <w:vMerge w:val="continue"/>
                  <w:noWrap/>
                  <w:vAlign w:val="center"/>
                </w:tcPr>
                <w:p w14:paraId="62CA9ECA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</w:p>
              </w:tc>
              <w:tc>
                <w:tcPr>
                  <w:tcW w:w="5007" w:type="dxa"/>
                  <w:noWrap/>
                  <w:vAlign w:val="center"/>
                </w:tcPr>
                <w:p w14:paraId="53525F5E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1.按单价（元/亩）报价；</w:t>
                  </w:r>
                </w:p>
                <w:p w14:paraId="5C39FA4E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2.以验收面积结算；</w:t>
                  </w:r>
                </w:p>
                <w:p w14:paraId="760A12DE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3.松疫木按“510”规定处置；</w:t>
                  </w:r>
                </w:p>
                <w:p w14:paraId="7CBED2A3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4.栽植6杉木4阔叶树，杉木为1年生裸根苗，阔叶树为1年生基质苗。</w:t>
                  </w:r>
                </w:p>
              </w:tc>
            </w:tr>
            <w:tr w14:paraId="03ED37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auto"/>
                <w:wAfter w:w="0" w:type="auto"/>
                <w:trHeight w:val="1417" w:hRule="atLeast"/>
              </w:trPr>
              <w:tc>
                <w:tcPr>
                  <w:tcW w:w="1932" w:type="dxa"/>
                  <w:noWrap/>
                  <w:vAlign w:val="center"/>
                </w:tcPr>
                <w:p w14:paraId="791AFAFF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光泽县天源国有林场国家储备林建设项目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集约人工林栽培</w:t>
                  </w: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（第15标）</w:t>
                  </w:r>
                </w:p>
              </w:tc>
              <w:tc>
                <w:tcPr>
                  <w:tcW w:w="870" w:type="dxa"/>
                  <w:noWrap/>
                  <w:vAlign w:val="center"/>
                </w:tcPr>
                <w:p w14:paraId="1A415EAB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color w:val="auto"/>
                      <w:sz w:val="24"/>
                      <w:szCs w:val="24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158亩</w:t>
                  </w:r>
                </w:p>
              </w:tc>
              <w:tc>
                <w:tcPr>
                  <w:tcW w:w="1155" w:type="dxa"/>
                  <w:noWrap/>
                  <w:vAlign w:val="center"/>
                </w:tcPr>
                <w:p w14:paraId="2187DC60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10000</w:t>
                  </w:r>
                </w:p>
              </w:tc>
              <w:tc>
                <w:tcPr>
                  <w:tcW w:w="1070" w:type="dxa"/>
                  <w:noWrap/>
                  <w:vAlign w:val="center"/>
                </w:tcPr>
                <w:p w14:paraId="10B8426B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1319</w:t>
                  </w:r>
                </w:p>
              </w:tc>
              <w:tc>
                <w:tcPr>
                  <w:tcW w:w="1675" w:type="dxa"/>
                  <w:vMerge w:val="continue"/>
                  <w:noWrap/>
                  <w:vAlign w:val="center"/>
                </w:tcPr>
                <w:p w14:paraId="2A1CAB84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710" w:type="dxa"/>
                  <w:vMerge w:val="continue"/>
                  <w:noWrap/>
                  <w:vAlign w:val="center"/>
                </w:tcPr>
                <w:p w14:paraId="4050AE30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</w:p>
              </w:tc>
              <w:tc>
                <w:tcPr>
                  <w:tcW w:w="5007" w:type="dxa"/>
                  <w:noWrap/>
                  <w:vAlign w:val="center"/>
                </w:tcPr>
                <w:p w14:paraId="5AA9AB3B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1.按单价（元/亩）报价；</w:t>
                  </w:r>
                </w:p>
                <w:p w14:paraId="5A4B538B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2.以验收面积结算；</w:t>
                  </w:r>
                </w:p>
                <w:p w14:paraId="1AD21420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3.松疫木按“510”规定处置；</w:t>
                  </w:r>
                </w:p>
                <w:p w14:paraId="32277B6F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  <w:t>4.栽植6杉木4阔叶树，6成杉木为1年生裸根苗，2成阔叶树为1年生基质苗，2成阔叶树为2年生基质苗。</w:t>
                  </w:r>
                </w:p>
              </w:tc>
            </w:tr>
            <w:tr w14:paraId="206284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auto"/>
                <w:trHeight w:val="1417" w:hRule="atLeast"/>
              </w:trPr>
              <w:tc>
                <w:tcPr>
                  <w:tcW w:w="1932" w:type="dxa"/>
                  <w:noWrap/>
                  <w:vAlign w:val="center"/>
                </w:tcPr>
                <w:p w14:paraId="118E0618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光泽县天源国有林场国家储备林建设项目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aps w:val="0"/>
                      <w:color w:val="000000"/>
                      <w:spacing w:val="0"/>
                      <w:sz w:val="24"/>
                      <w:szCs w:val="24"/>
                      <w:shd w:val="clear" w:fill="FFFFFF"/>
                    </w:rPr>
                    <w:t>集约人工林栽培</w:t>
                  </w: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（第16标）</w:t>
                  </w:r>
                </w:p>
              </w:tc>
              <w:tc>
                <w:tcPr>
                  <w:tcW w:w="870" w:type="dxa"/>
                  <w:noWrap/>
                  <w:vAlign w:val="center"/>
                </w:tcPr>
                <w:p w14:paraId="44ED7DD5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color w:val="auto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211亩</w:t>
                  </w:r>
                </w:p>
              </w:tc>
              <w:tc>
                <w:tcPr>
                  <w:tcW w:w="1155" w:type="dxa"/>
                  <w:noWrap/>
                  <w:vAlign w:val="center"/>
                </w:tcPr>
                <w:p w14:paraId="7B119442">
                  <w:pPr>
                    <w:keepNext w:val="0"/>
                    <w:keepLines w:val="0"/>
                    <w:widowControl/>
                    <w:suppressLineNumbers w:val="0"/>
                    <w:spacing w:line="360" w:lineRule="exact"/>
                    <w:jc w:val="center"/>
                    <w:textAlignment w:val="center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13000</w:t>
                  </w:r>
                </w:p>
              </w:tc>
              <w:tc>
                <w:tcPr>
                  <w:tcW w:w="1070" w:type="dxa"/>
                  <w:noWrap/>
                  <w:vAlign w:val="center"/>
                </w:tcPr>
                <w:p w14:paraId="316386EE">
                  <w:pPr>
                    <w:spacing w:line="360" w:lineRule="exact"/>
                    <w:jc w:val="center"/>
                    <w:rPr>
                      <w:rFonts w:hint="default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1229</w:t>
                  </w:r>
                </w:p>
              </w:tc>
              <w:tc>
                <w:tcPr>
                  <w:tcW w:w="1675" w:type="dxa"/>
                  <w:vMerge w:val="continue"/>
                  <w:noWrap/>
                  <w:vAlign w:val="center"/>
                </w:tcPr>
                <w:p w14:paraId="261CF5D4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</w:p>
              </w:tc>
              <w:tc>
                <w:tcPr>
                  <w:tcW w:w="1710" w:type="dxa"/>
                  <w:vMerge w:val="continue"/>
                  <w:noWrap/>
                  <w:vAlign w:val="center"/>
                </w:tcPr>
                <w:p w14:paraId="60513BA6">
                  <w:pPr>
                    <w:spacing w:line="360" w:lineRule="exact"/>
                    <w:jc w:val="center"/>
                    <w:rPr>
                      <w:rFonts w:hint="eastAsia" w:ascii="仿宋" w:hAnsi="仿宋" w:eastAsia="仿宋" w:cs="仿宋"/>
                      <w:color w:val="auto"/>
                      <w:sz w:val="24"/>
                    </w:rPr>
                  </w:pPr>
                </w:p>
              </w:tc>
              <w:tc>
                <w:tcPr>
                  <w:tcW w:w="5007" w:type="dxa"/>
                  <w:noWrap/>
                  <w:vAlign w:val="center"/>
                </w:tcPr>
                <w:p w14:paraId="4E1F92B9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1.按单价（元/亩）报价；</w:t>
                  </w:r>
                </w:p>
                <w:p w14:paraId="561F1629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2.以验收面积结算；</w:t>
                  </w:r>
                </w:p>
                <w:p w14:paraId="4BD23289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3.松疫木按“510”规定处置；</w:t>
                  </w:r>
                </w:p>
                <w:p w14:paraId="787D8F21">
                  <w:pPr>
                    <w:pStyle w:val="2"/>
                    <w:spacing w:line="360" w:lineRule="exact"/>
                    <w:ind w:firstLine="0"/>
                    <w:jc w:val="left"/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sz w:val="24"/>
                      <w:lang w:val="en-US" w:eastAsia="zh-CN"/>
                    </w:rPr>
                    <w:t>4.栽植6杉木4阔叶树，6成杉木为1年生裸根苗，2成阔叶树为1年生基质苗，2成阔叶树为2年生基质苗。</w:t>
                  </w:r>
                </w:p>
              </w:tc>
            </w:tr>
          </w:tbl>
          <w:p w14:paraId="71794C53">
            <w:pPr>
              <w:spacing w:line="440" w:lineRule="exact"/>
              <w:rPr>
                <w:rFonts w:ascii="微软雅黑" w:hAnsi="微软雅黑" w:eastAsia="微软雅黑"/>
                <w:b/>
                <w:bCs/>
                <w:color w:val="auto"/>
              </w:rPr>
            </w:pPr>
          </w:p>
        </w:tc>
      </w:tr>
      <w:tr w14:paraId="51EC7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06" w:type="dxa"/>
            <w:gridSpan w:val="2"/>
            <w:noWrap/>
          </w:tcPr>
          <w:p w14:paraId="67EA418B">
            <w:pPr>
              <w:spacing w:line="440" w:lineRule="exact"/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交易服务费</w:t>
            </w:r>
          </w:p>
        </w:tc>
        <w:tc>
          <w:tcPr>
            <w:tcW w:w="13278" w:type="dxa"/>
            <w:noWrap/>
          </w:tcPr>
          <w:p w14:paraId="35484C53">
            <w:pPr>
              <w:pStyle w:val="2"/>
              <w:tabs>
                <w:tab w:val="left" w:pos="312"/>
              </w:tabs>
              <w:spacing w:line="400" w:lineRule="exact"/>
              <w:ind w:firstLine="0"/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8"/>
                <w:szCs w:val="28"/>
              </w:rPr>
              <w:t>成交后，采购方按单个标的的挂牌总额的0.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8"/>
                <w:szCs w:val="28"/>
              </w:rPr>
              <w:t>%缴纳交易服务费，单个标的交易服务费不足1000元的按1000元收取</w:t>
            </w:r>
          </w:p>
        </w:tc>
      </w:tr>
      <w:tr w14:paraId="0C10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606" w:type="dxa"/>
            <w:gridSpan w:val="2"/>
            <w:noWrap/>
          </w:tcPr>
          <w:p w14:paraId="4365C425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重要信息披露</w:t>
            </w:r>
          </w:p>
        </w:tc>
        <w:tc>
          <w:tcPr>
            <w:tcW w:w="13278" w:type="dxa"/>
            <w:noWrap/>
          </w:tcPr>
          <w:p w14:paraId="483463FE">
            <w:pPr>
              <w:pStyle w:val="2"/>
              <w:spacing w:line="38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1.以上林地状况等情况仅供参考，可能与实际不符。参与竞价前，请各意向供应方到现场踏看标的山场情况，对标范围内的林地及周边情况有充分了解和风险预估，供方自愿参加竞价，自负盈亏，直至履行结束。</w:t>
            </w:r>
          </w:p>
          <w:p w14:paraId="5344D4C7">
            <w:pPr>
              <w:pStyle w:val="2"/>
              <w:spacing w:line="38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2.本项目成交价为各工序单价的总和（含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林地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清理，挖明穴、回表土，栽植及苗木人工搬运和分苗、苗木运费等套种栽植和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年抚育所有费用）,单价中已含安全费用2%、税费1%和管理费6%。</w:t>
            </w:r>
          </w:p>
          <w:p w14:paraId="2A3232E6">
            <w:pPr>
              <w:pStyle w:val="2"/>
              <w:spacing w:line="380" w:lineRule="exact"/>
              <w:ind w:firstLine="560" w:firstLineChars="200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3.工期要求：202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前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完成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造林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栽植；202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年4-6月份完成扩穴培土抚育；202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年8-10月份完成第1次劈草抚育；202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年4-6月完成第2次劈草抚育，202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年8-10月完成第3次劈草抚育；202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年8-10月完成第4次劈草抚育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  <w:p w14:paraId="3ABFAB5D">
            <w:pPr>
              <w:pStyle w:val="2"/>
              <w:spacing w:line="380" w:lineRule="exact"/>
              <w:ind w:firstLine="560" w:firstLineChars="200"/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4.作业设计内容：作业工序和措施为造林栽植（含劈杂，开设防火路，炼山、清杂，挖明穴、回表土，栽植及苗木人工搬运和分苗、苗木运费）和三年未成林抚育（扩穴培土、劈草）等。栽植杉木为1年生裸根苗，阔叶树为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年生基质苗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2年生基质苗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  <w:p w14:paraId="3769DB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5.施工质量要求</w:t>
            </w:r>
          </w:p>
          <w:p w14:paraId="6A95E5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）劈杂：将灌木、杂竹、藤条、杂草等地被物全部贴地劈倒，管茅挖净；所有劈倒的地被物残楂头应低于10cm以下，管茅根挖净、翻晒死，施工须按规划界限到边到界。</w:t>
            </w:r>
          </w:p>
          <w:p w14:paraId="3C035A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）开设防火路：按照设计规划开设炼山防火路，宽15m以上，拐弯处或陡峭处宽度必须在20米以上，耙净可燃物，见生土。</w:t>
            </w:r>
          </w:p>
          <w:p w14:paraId="0FE989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）炼山、清杂：炼山和堆烧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应遵守森林防火的有关规定，并执行报批手续。炼山应分片分次在规定的时间进行，面积在100亩以下的应组织20个劳力以上，面积在100亩以上200亩以下的应组织30个劳力以上，面积200亩以上的应组织40个劳力以上，不得组织未成年人或老弱病残者上山炼山或推烧。</w:t>
            </w:r>
          </w:p>
          <w:p w14:paraId="4AD124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炼山后对山场未烧干净的杂草、杂灌、树头等进行清理、堆杂，并堆烧干净，山场茅草头一律挖除；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松材剩余物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按照松疫木处置规定进行作业。</w:t>
            </w:r>
          </w:p>
          <w:p w14:paraId="5065CF3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）挖明穴、回表土：设计210穴/亩，标准株行距1.75米×1.8米；穴位规格：穴面50cm×底宽40cm×深30cm，按水平方向成正方形排列；穴位的宽深度及底部宽度要求达到标准以上，穴内的树根、石块、草根要随挖土清除干净；遇到山坡要向山坡内挖，防止水土流失，经一段时间晒干后，将表土打碎，清除石块、草根、树根后回填于穴内，回土应高于穴面10cm；坡度≥35°无法挖明穴时可挖暗穴，但深度和穴面要达到明穴标准。</w:t>
            </w:r>
          </w:p>
          <w:p w14:paraId="31E39D6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）栽植：栽植树种为6杉木4阔叶树；杉木为裸根苗；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阔叶树为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年生基质苗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2年生基质苗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  <w:p w14:paraId="0C2DFA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a.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苗木由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调拨提供，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安排施工员对苗木质量进行验收；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自行安排车辆到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指定的圃地装运，运费由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承担。</w:t>
            </w:r>
          </w:p>
          <w:p w14:paraId="639E004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b.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根据适地适树原则设计混交方法和树种配置，安排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栽植相应树种到山场适合位置，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应服从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安排，不得随意栽植。</w:t>
            </w:r>
          </w:p>
          <w:p w14:paraId="3FA1B47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.栽植裸根苗：尽量选择阴、雨天气适时栽植，栽植前苗根要粘满黄泥浆，黄泥浆适当添加生根粉，栽植时苗木要栽穴中点，苗木挺直，根系舒展，不返山，填土2/3后稍往上提苗（防止窝根），栽后要回土夯实踩实，使苗根和土壤结合，提高成活率；苗木用不完要及时假植。</w:t>
            </w:r>
          </w:p>
          <w:p w14:paraId="29E8A3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d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.栽植基质苗：栽植前要对苗木进行修枝，栽植时苗木要脱袋、捏紧；苗木要栽穴中点，要直，深度事宜；栽后要回土夯实踩实，使苗根和土壤结合，提高成活率。基质苗在运输和人工搬运过程中不得损伤苗木。</w:t>
            </w:r>
          </w:p>
          <w:p w14:paraId="605964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.补植：造林当年年底，经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验收当年成活率在90%以下的，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应进行补植，补植的苗木一个月内不计入成活率，正常补植的苗木及人工费用等由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承担。如属于天气异常造成的普遍成活率低下，经场务会通过，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采购方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可承担部分费用。</w:t>
            </w:r>
          </w:p>
          <w:p w14:paraId="3D310DC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）未成林抚育</w:t>
            </w:r>
          </w:p>
          <w:p w14:paraId="160D25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.扩穴培土：在以苗木为中心的规格宽1.0m×1.0m的穴位中进行锄草，深度达15cm以上，扶正苗木并对苗木培土；要求穴位上杂草全部锄净，挖净管茅头，翻转晒死，除草不伤苗、不压苗。</w:t>
            </w:r>
          </w:p>
          <w:p w14:paraId="46175A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560" w:firstLineChars="200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b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.劈草：全面劈草，除杉木萌芽条，将枯死枝打掉；劈草留茬低于10cm，到边到界。</w:t>
            </w:r>
          </w:p>
          <w:p w14:paraId="29A592AE">
            <w:pPr>
              <w:pStyle w:val="2"/>
              <w:spacing w:line="400" w:lineRule="exact"/>
              <w:ind w:firstLine="560" w:firstLineChars="200"/>
              <w:jc w:val="left"/>
              <w:rPr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6、</w:t>
            </w: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其他未尽事宜详见交易清单及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施工合同（范本）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本公告其他附件材料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  <w:t>。</w:t>
            </w:r>
          </w:p>
        </w:tc>
      </w:tr>
      <w:tr w14:paraId="413C2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4" w:type="dxa"/>
            <w:gridSpan w:val="3"/>
            <w:noWrap/>
          </w:tcPr>
          <w:p w14:paraId="0F1E95B9">
            <w:pPr>
              <w:spacing w:line="440" w:lineRule="exac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8"/>
                <w:szCs w:val="28"/>
              </w:rPr>
              <w:t>三、竞价登记</w:t>
            </w:r>
          </w:p>
        </w:tc>
      </w:tr>
      <w:tr w14:paraId="238F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606" w:type="dxa"/>
            <w:gridSpan w:val="2"/>
            <w:noWrap/>
            <w:vAlign w:val="center"/>
          </w:tcPr>
          <w:p w14:paraId="3BD7B777">
            <w:pPr>
              <w:spacing w:line="440" w:lineRule="exact"/>
              <w:ind w:firstLine="141" w:firstLineChars="50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供应方资格条件</w:t>
            </w:r>
          </w:p>
        </w:tc>
        <w:tc>
          <w:tcPr>
            <w:tcW w:w="13278" w:type="dxa"/>
            <w:noWrap/>
            <w:vAlign w:val="center"/>
          </w:tcPr>
          <w:p w14:paraId="2876B076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1.必须在工商注册登记、经营范围具有营林劳务服务资质的法人、个体工商户或其它经济组织。</w:t>
            </w:r>
          </w:p>
          <w:p w14:paraId="664F8118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2.具有营林劳务作业相关经验（需提供相关劳动合同及财务结算单复印件并加盖单位公章为证明）。</w:t>
            </w:r>
          </w:p>
          <w:p w14:paraId="532F8956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3.意向供应方在报名、资金往来、竞价、签订合同等过程中使用的名字（名称）必须一致。</w:t>
            </w:r>
          </w:p>
          <w:p w14:paraId="608747D4">
            <w:pPr>
              <w:spacing w:line="440" w:lineRule="exact"/>
              <w:ind w:firstLine="560" w:firstLineChars="200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意向供应方应在202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日15时前将下述材料提交至福建省光泽县天源国有林场办公室处：</w:t>
            </w:r>
          </w:p>
          <w:p w14:paraId="02F31C34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材料1：营业执照复印件（盖章）</w:t>
            </w:r>
          </w:p>
          <w:p w14:paraId="47A8DDCA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材料2：法人身份证复印件（盖章）</w:t>
            </w:r>
          </w:p>
          <w:p w14:paraId="56102E6C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材料3：营林劳务作业经历证明（以意向供应方提供的劳务合同及财务结算单复印件并盖章为证明）。</w:t>
            </w:r>
          </w:p>
          <w:p w14:paraId="62EDD572">
            <w:pPr>
              <w:spacing w:line="440" w:lineRule="exact"/>
              <w:rPr>
                <w:rFonts w:ascii="仿宋_GB2312" w:hAnsi="宋体" w:eastAsia="仿宋_GB2312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（注：意向供应方参与竞价前应认真阅读公告及交易清单的所有内容，按照供应方资格条件及要求提供相关材料，若不符合供应方资格条件参与竞价的，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农交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中心有权取消其竞价资格，认定其报价无效，并没收其交易保证金。）</w:t>
            </w:r>
          </w:p>
        </w:tc>
      </w:tr>
      <w:tr w14:paraId="655A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606" w:type="dxa"/>
            <w:gridSpan w:val="2"/>
            <w:noWrap/>
            <w:vAlign w:val="center"/>
          </w:tcPr>
          <w:p w14:paraId="31510A6F">
            <w:pPr>
              <w:spacing w:line="440" w:lineRule="exac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报名方式</w:t>
            </w:r>
          </w:p>
        </w:tc>
        <w:tc>
          <w:tcPr>
            <w:tcW w:w="13278" w:type="dxa"/>
            <w:noWrap/>
            <w:vAlign w:val="center"/>
          </w:tcPr>
          <w:p w14:paraId="6E9786A9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1.意向供应方首次报名须到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8"/>
                <w:szCs w:val="28"/>
              </w:rPr>
              <w:t>福建省光泽县天源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国有林场申请开户，填写《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"http://www.gxlycq.com/uploadfile/2019/0314/20190314063617881.pdf"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客户开户申请书》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，企业须提交加盖公章的《营业执照》复印件或其他经济组织的相关证明复印件、《个体工商户营业执照》复印件、法定代表人身份证、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shd w:val="clear" w:color="auto" w:fill="FFFFFF"/>
              </w:rPr>
              <w:t>伤保险信息系统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复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印件等相关材料。</w:t>
            </w:r>
          </w:p>
          <w:p w14:paraId="0079D542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2.意向供应方应根据本公告要求，按时、足额交纳交易保证金，且正确备注相关信息。经审核，符合供应方资格条件的意向供应方即可参与本期竞价。</w:t>
            </w:r>
          </w:p>
          <w:p w14:paraId="499B8188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3.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农交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中心向意向供应方发放交易账号（长期有效、注意保管）。交易保证金交纳截止日当天17: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0前未收到交易账号激活短信的意向供应方，请致电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农交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中心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t>0598-5728936。</w:t>
            </w:r>
          </w:p>
        </w:tc>
      </w:tr>
      <w:tr w14:paraId="6C056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" w:type="dxa"/>
            <w:vMerge w:val="restart"/>
            <w:noWrap/>
            <w:vAlign w:val="center"/>
          </w:tcPr>
          <w:p w14:paraId="774F24E1">
            <w:pPr>
              <w:spacing w:line="440" w:lineRule="exact"/>
              <w:jc w:val="center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查勘</w:t>
            </w:r>
          </w:p>
          <w:p w14:paraId="0BC0A6B5">
            <w:pPr>
              <w:spacing w:line="440" w:lineRule="exact"/>
              <w:jc w:val="center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现场</w:t>
            </w:r>
          </w:p>
        </w:tc>
        <w:tc>
          <w:tcPr>
            <w:tcW w:w="585" w:type="dxa"/>
            <w:noWrap/>
            <w:vAlign w:val="center"/>
          </w:tcPr>
          <w:p w14:paraId="0F72F59A">
            <w:pPr>
              <w:spacing w:line="440" w:lineRule="exact"/>
              <w:jc w:val="lef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地 点</w:t>
            </w:r>
          </w:p>
        </w:tc>
        <w:tc>
          <w:tcPr>
            <w:tcW w:w="13278" w:type="dxa"/>
            <w:noWrap/>
            <w:vAlign w:val="center"/>
          </w:tcPr>
          <w:p w14:paraId="1DAB3F10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标的所在地</w:t>
            </w:r>
          </w:p>
        </w:tc>
      </w:tr>
      <w:tr w14:paraId="215DA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" w:type="dxa"/>
            <w:vMerge w:val="continue"/>
            <w:noWrap/>
            <w:vAlign w:val="center"/>
          </w:tcPr>
          <w:p w14:paraId="24914D3F">
            <w:pPr>
              <w:spacing w:line="440" w:lineRule="exac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585" w:type="dxa"/>
            <w:noWrap/>
            <w:vAlign w:val="center"/>
          </w:tcPr>
          <w:p w14:paraId="75791AAB">
            <w:pPr>
              <w:spacing w:line="440" w:lineRule="exact"/>
              <w:jc w:val="lef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时 间</w:t>
            </w:r>
          </w:p>
        </w:tc>
        <w:tc>
          <w:tcPr>
            <w:tcW w:w="13278" w:type="dxa"/>
            <w:noWrap/>
            <w:vAlign w:val="center"/>
          </w:tcPr>
          <w:p w14:paraId="036C05F2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08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日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t>-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日</w:t>
            </w:r>
          </w:p>
        </w:tc>
      </w:tr>
      <w:tr w14:paraId="40C27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" w:type="dxa"/>
            <w:vMerge w:val="continue"/>
            <w:noWrap/>
            <w:vAlign w:val="center"/>
          </w:tcPr>
          <w:p w14:paraId="232ACD7A">
            <w:pPr>
              <w:spacing w:line="440" w:lineRule="exac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585" w:type="dxa"/>
            <w:noWrap/>
            <w:vAlign w:val="center"/>
          </w:tcPr>
          <w:p w14:paraId="1775E163">
            <w:pPr>
              <w:spacing w:line="440" w:lineRule="exact"/>
              <w:jc w:val="lef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3278" w:type="dxa"/>
            <w:noWrap/>
            <w:vAlign w:val="center"/>
          </w:tcPr>
          <w:p w14:paraId="6609F7FD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余先生 电话：17720975878</w:t>
            </w:r>
          </w:p>
        </w:tc>
      </w:tr>
      <w:tr w14:paraId="0ADE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606" w:type="dxa"/>
            <w:gridSpan w:val="2"/>
            <w:noWrap/>
            <w:vAlign w:val="center"/>
          </w:tcPr>
          <w:p w14:paraId="63E37CFE">
            <w:pPr>
              <w:spacing w:line="440" w:lineRule="exac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保证金及其处理方式</w:t>
            </w:r>
          </w:p>
        </w:tc>
        <w:tc>
          <w:tcPr>
            <w:tcW w:w="13278" w:type="dxa"/>
            <w:noWrap/>
            <w:vAlign w:val="center"/>
          </w:tcPr>
          <w:p w14:paraId="6A4BD712">
            <w:pPr>
              <w:pStyle w:val="7"/>
              <w:spacing w:before="0" w:beforeAutospacing="0" w:after="0" w:afterAutospacing="0" w:line="440" w:lineRule="exact"/>
              <w:rPr>
                <w:rFonts w:ascii="仿宋_GB2312" w:hAnsi="Arial" w:eastAsia="仿宋_GB2312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1.须交纳的交易保证金详见交易清单。</w:t>
            </w:r>
          </w:p>
          <w:p w14:paraId="04246D5A">
            <w:pPr>
              <w:pStyle w:val="7"/>
              <w:spacing w:before="0" w:beforeAutospacing="0" w:after="0" w:afterAutospacing="0" w:line="420" w:lineRule="exact"/>
              <w:rPr>
                <w:rFonts w:ascii="仿宋_GB2312" w:hAnsi="Arial" w:eastAsia="仿宋_GB2312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2.交易保证金应于 202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02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日15:</w:t>
            </w:r>
            <w:r>
              <w:rPr>
                <w:rFonts w:ascii="仿宋_GB2312" w:hAnsi="Arial" w:eastAsia="仿宋_GB2312" w:cs="Arial"/>
                <w:color w:val="auto"/>
                <w:sz w:val="28"/>
                <w:szCs w:val="28"/>
              </w:rPr>
              <w:t>00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前（到账为准）缴至如下账户：</w:t>
            </w:r>
          </w:p>
          <w:p w14:paraId="4CA4BDC3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户  名：福建沙县农村产权交易中心有限公司</w:t>
            </w:r>
          </w:p>
          <w:p w14:paraId="5DCD1370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账  号：3505 0164 2490 0000 1396</w:t>
            </w:r>
          </w:p>
          <w:p w14:paraId="48EC67F8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开户行：中国建设银行股份有限公司三明分行</w:t>
            </w:r>
          </w:p>
          <w:p w14:paraId="1CC154AD">
            <w:pPr>
              <w:spacing w:line="420" w:lineRule="exact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注：（1）交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易保证金只接受银行柜台、网银、电汇转账，不接受ATM转账、现金缴款</w:t>
            </w:r>
          </w:p>
          <w:p w14:paraId="4E37CD7C">
            <w:pPr>
              <w:spacing w:line="440" w:lineRule="exact"/>
              <w:ind w:firstLine="560" w:firstLineChars="200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（2）交易保证金转账单上须注明参与竞拍哪一标的保证金；(如：</w:t>
            </w:r>
            <w:bookmarkStart w:id="0" w:name="OLE_LINK5"/>
            <w:bookmarkStart w:id="1" w:name="OLE_LINK6"/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0212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光泽县天源林场国家储备林建设项目集约人工林栽培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标</w:t>
            </w:r>
            <w:bookmarkEnd w:id="0"/>
            <w:bookmarkEnd w:id="1"/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段保证金）</w:t>
            </w:r>
          </w:p>
          <w:p w14:paraId="3B2A859A">
            <w:pPr>
              <w:spacing w:line="440" w:lineRule="exact"/>
              <w:jc w:val="lef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3.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t>交易成交的，在收到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交易双方出具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t>的《正式合同签订确认函》后5个工作日内，供应方已交纳的交易保证金转为履约保证金，由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农交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t>中心划转至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光泽县天源国有林场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t>银行账户。履约保证金的处理方式根据交易双方签订的合同约定自行处理。</w:t>
            </w:r>
          </w:p>
          <w:p w14:paraId="72D7871D">
            <w:pPr>
              <w:spacing w:line="440" w:lineRule="exact"/>
              <w:ind w:firstLine="560" w:firstLineChars="200"/>
              <w:jc w:val="lef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户  名：光泽县天源国有林场</w:t>
            </w:r>
          </w:p>
          <w:p w14:paraId="290BC5AA">
            <w:pPr>
              <w:spacing w:line="440" w:lineRule="exact"/>
              <w:ind w:firstLine="560" w:firstLineChars="200"/>
              <w:jc w:val="lef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账  号：1398 0201 0400 0667 6</w:t>
            </w:r>
          </w:p>
          <w:p w14:paraId="10202F5C">
            <w:pPr>
              <w:spacing w:line="440" w:lineRule="exact"/>
              <w:ind w:firstLine="560" w:firstLineChars="200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开户行：光泽县农业银行城关支行</w:t>
            </w:r>
          </w:p>
          <w:p w14:paraId="0093F86B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4.交易成交的，供应方如未按公告约定与采购方签订成交文件的，或违反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农交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中心交易规则的，其已交纳的交易保证金将不予返还。</w:t>
            </w:r>
          </w:p>
          <w:p w14:paraId="6C7ED109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5.未成交者的交易保证金将由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农交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中心在交易结束后次日起3个工作日内全额无息返还。</w:t>
            </w:r>
          </w:p>
        </w:tc>
      </w:tr>
      <w:tr w14:paraId="47EF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4884" w:type="dxa"/>
            <w:gridSpan w:val="3"/>
            <w:shd w:val="clear" w:color="auto" w:fill="FFFFFF"/>
            <w:noWrap/>
          </w:tcPr>
          <w:p w14:paraId="3FD8335A">
            <w:pPr>
              <w:spacing w:line="400" w:lineRule="exact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四、交易方式</w:t>
            </w:r>
          </w:p>
        </w:tc>
      </w:tr>
      <w:tr w14:paraId="7D04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06" w:type="dxa"/>
            <w:gridSpan w:val="2"/>
            <w:shd w:val="clear" w:color="auto" w:fill="auto"/>
            <w:noWrap/>
            <w:vAlign w:val="center"/>
          </w:tcPr>
          <w:p w14:paraId="792CA1E9">
            <w:pPr>
              <w:rPr>
                <w:rFonts w:ascii="宋体" w:hAnsi="宋体" w:cs="宋体"/>
                <w:b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</w:rPr>
              <w:t>互联网竞价平台</w:t>
            </w:r>
          </w:p>
        </w:tc>
        <w:tc>
          <w:tcPr>
            <w:tcW w:w="13278" w:type="dxa"/>
            <w:shd w:val="clear" w:color="auto" w:fill="FFFFFF"/>
            <w:noWrap/>
            <w:vAlign w:val="center"/>
          </w:tcPr>
          <w:p w14:paraId="0FA2C0FC">
            <w:pPr>
              <w:rPr>
                <w:rFonts w:ascii="宋体" w:hAnsi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</w:rPr>
              <w:t>www.fncjys.com</w:t>
            </w:r>
          </w:p>
        </w:tc>
      </w:tr>
      <w:tr w14:paraId="3C924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606" w:type="dxa"/>
            <w:gridSpan w:val="2"/>
            <w:noWrap/>
            <w:vAlign w:val="center"/>
          </w:tcPr>
          <w:p w14:paraId="28CB4830">
            <w:pPr>
              <w:spacing w:line="440" w:lineRule="exact"/>
              <w:jc w:val="center"/>
              <w:rPr>
                <w:rFonts w:ascii="仿宋_GB2312" w:hAnsi="宋体" w:eastAsia="仿宋_GB2312"/>
                <w:color w:val="auto"/>
                <w:spacing w:val="-20"/>
                <w:kern w:val="11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成交确认、价款支付及合同签订</w:t>
            </w:r>
          </w:p>
        </w:tc>
        <w:tc>
          <w:tcPr>
            <w:tcW w:w="13278" w:type="dxa"/>
            <w:noWrap/>
          </w:tcPr>
          <w:p w14:paraId="63D41EA3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1.成交后两个工作日内供应方以微信、邮箱等方式收到《成交通知书》扫描件或电话通知，若供应方未及时收到成交通知书的，请主动与采购方联系。</w:t>
            </w:r>
          </w:p>
          <w:p w14:paraId="06D22D9E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2.标的成交后的5个工作日内，供应方持《成交通知书》及相关材料与采购方签订合同等文件，约定双方相关的责任和义务。</w:t>
            </w:r>
          </w:p>
          <w:p w14:paraId="0BBBB272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3.成交价款根据双方签订的合同要求进行结算，详见交易清单及合同范本。</w:t>
            </w:r>
          </w:p>
          <w:p w14:paraId="76EEA906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供应方须按照当期交易公告中交易清单的约定按时、按质、按量完成工程进度。供应方须按公告中约定的时间等要求与采购方办理相关验收事宜。</w:t>
            </w:r>
          </w:p>
          <w:p w14:paraId="77F1719C">
            <w:pPr>
              <w:spacing w:line="440" w:lineRule="exact"/>
              <w:rPr>
                <w:rFonts w:ascii="仿宋_GB2312" w:hAnsi="宋体" w:eastAsia="仿宋_GB2312"/>
                <w:color w:val="auto"/>
                <w:spacing w:val="-20"/>
                <w:kern w:val="11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4.供应方逾期不签订上述文件，视为自动放弃成交资格，其已交纳的交易保证金不予退回，并对此造成的损失承担违约赔偿责任。</w:t>
            </w:r>
          </w:p>
        </w:tc>
      </w:tr>
      <w:tr w14:paraId="65291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884" w:type="dxa"/>
            <w:gridSpan w:val="3"/>
            <w:shd w:val="clear" w:color="auto" w:fill="FFFFFF"/>
            <w:noWrap/>
          </w:tcPr>
          <w:p w14:paraId="77BA449C">
            <w:pPr>
              <w:spacing w:line="440" w:lineRule="exact"/>
              <w:rPr>
                <w:rFonts w:ascii="仿宋_GB2312" w:hAnsi="宋体" w:eastAsia="仿宋_GB2312" w:cs="宋体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8"/>
                <w:szCs w:val="28"/>
              </w:rPr>
              <w:t>五、其他事项</w:t>
            </w:r>
          </w:p>
        </w:tc>
      </w:tr>
      <w:tr w14:paraId="44F6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4" w:type="dxa"/>
            <w:gridSpan w:val="3"/>
            <w:shd w:val="clear" w:color="auto" w:fill="FFFFFF"/>
            <w:noWrap/>
          </w:tcPr>
          <w:p w14:paraId="4AC1D622">
            <w:pPr>
              <w:spacing w:line="440" w:lineRule="exact"/>
              <w:ind w:right="280"/>
              <w:jc w:val="lef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1.意向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参与交易前应仔细阅读本信息公告、“附件”中所有材料、阅读了解福建沙县农村产权交易中心相关交易规则等有关材料，一旦参与交易（报名）则视为意向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eastAsia="zh-CN"/>
              </w:rPr>
              <w:t>供应方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已充分了解并接受信息公告（含附件材料）、福建沙县农村产权交易中心交易规则等全部内容，愿意承担可能存在的一切交易风险。</w:t>
            </w:r>
          </w:p>
          <w:p w14:paraId="5F879D84">
            <w:pPr>
              <w:spacing w:line="440" w:lineRule="exact"/>
              <w:rPr>
                <w:rFonts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2. 福建沙县农村产权交易中心相关交易规则请查看</w:t>
            </w:r>
            <w:r>
              <w:rPr>
                <w:color w:val="auto"/>
              </w:rPr>
              <w:fldChar w:fldCharType="begin"/>
            </w:r>
            <w:r>
              <w:rPr>
                <w:color w:val="auto"/>
              </w:rPr>
              <w:instrText xml:space="preserve"> HYPERLINK "http://www.fncjys.cn/" \l "/trade/jygz" \t "_blank" </w:instrText>
            </w:r>
            <w:r>
              <w:rPr>
                <w:color w:val="auto"/>
              </w:rPr>
              <w:fldChar w:fldCharType="separate"/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农交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t>中心官网</w:t>
            </w:r>
            <w:r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。</w:t>
            </w:r>
          </w:p>
        </w:tc>
      </w:tr>
      <w:tr w14:paraId="05C1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4" w:type="dxa"/>
            <w:gridSpan w:val="3"/>
            <w:shd w:val="clear" w:color="auto" w:fill="FFFFFF"/>
            <w:noWrap/>
          </w:tcPr>
          <w:p w14:paraId="6F63B1FD">
            <w:pPr>
              <w:spacing w:line="440" w:lineRule="exact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 w:val="28"/>
                <w:szCs w:val="28"/>
              </w:rPr>
              <w:t>六</w:t>
            </w: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>、联系方式</w:t>
            </w:r>
          </w:p>
        </w:tc>
      </w:tr>
      <w:tr w14:paraId="4650E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4" w:type="dxa"/>
            <w:gridSpan w:val="3"/>
            <w:shd w:val="clear" w:color="auto" w:fill="FFFFFF"/>
            <w:noWrap/>
            <w:vAlign w:val="center"/>
          </w:tcPr>
          <w:p w14:paraId="47D5F1B2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联系人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  <w:lang w:val="en-US" w:eastAsia="zh-CN"/>
              </w:rPr>
              <w:t>张先生</w:t>
            </w: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（福建沙县农村产权交易中心）</w:t>
            </w:r>
          </w:p>
          <w:p w14:paraId="3F0D3546">
            <w:pPr>
              <w:spacing w:line="440" w:lineRule="exact"/>
              <w:rPr>
                <w:rFonts w:ascii="仿宋_GB2312" w:hAnsi="Arial" w:eastAsia="仿宋_GB2312" w:cs="Arial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联系电话：</w:t>
            </w:r>
            <w:bookmarkStart w:id="2" w:name="OLE_LINK4"/>
            <w:bookmarkStart w:id="3" w:name="OLE_LINK3"/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0598－5728818</w:t>
            </w:r>
            <w:bookmarkEnd w:id="2"/>
            <w:bookmarkEnd w:id="3"/>
          </w:p>
          <w:p w14:paraId="24570C20">
            <w:pPr>
              <w:spacing w:line="440" w:lineRule="exac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28"/>
                <w:szCs w:val="28"/>
              </w:rPr>
              <w:t>地址：三明市三元区和仁新村1幢工行大厦18楼1815</w:t>
            </w:r>
          </w:p>
        </w:tc>
      </w:tr>
      <w:tr w14:paraId="7105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4" w:type="dxa"/>
            <w:gridSpan w:val="3"/>
            <w:shd w:val="clear" w:color="auto" w:fill="FFFFFF"/>
            <w:noWrap/>
          </w:tcPr>
          <w:p w14:paraId="4D616725">
            <w:pPr>
              <w:spacing w:line="440" w:lineRule="exact"/>
              <w:rPr>
                <w:rFonts w:ascii="仿宋_GB2312" w:hAnsi="宋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color w:val="auto"/>
                <w:sz w:val="28"/>
                <w:szCs w:val="28"/>
              </w:rPr>
              <w:t xml:space="preserve">七、附件  </w:t>
            </w:r>
          </w:p>
        </w:tc>
      </w:tr>
      <w:tr w14:paraId="1DAE0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84" w:type="dxa"/>
            <w:gridSpan w:val="3"/>
            <w:shd w:val="clear" w:color="auto" w:fill="FFFFFF"/>
            <w:noWrap/>
          </w:tcPr>
          <w:p w14:paraId="7823C15F">
            <w:pPr>
              <w:spacing w:line="44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1.交易清单</w:t>
            </w:r>
          </w:p>
          <w:p w14:paraId="458C6DF3">
            <w:pPr>
              <w:snapToGrid w:val="0"/>
              <w:spacing w:line="500" w:lineRule="exact"/>
              <w:jc w:val="both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 w:bidi="ar-SA"/>
              </w:rPr>
              <w:t>国家储备林建设项目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bidi="ar-SA"/>
              </w:rPr>
              <w:t>光泽县天源国有林场202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 w:bidi="ar-SA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bidi="ar-SA"/>
              </w:rPr>
              <w:t>年集约人工林栽培劳务施工合同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（范本）</w:t>
            </w:r>
          </w:p>
        </w:tc>
      </w:tr>
    </w:tbl>
    <w:p w14:paraId="5EC65179">
      <w:pPr>
        <w:spacing w:line="440" w:lineRule="exact"/>
        <w:rPr>
          <w:color w:val="auto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ECC43">
    <w:pPr>
      <w:pStyle w:val="5"/>
      <w:framePr w:wrap="around" w:vAnchor="text" w:hAnchor="margin" w:xAlign="right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4F5325BA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5AD01">
    <w:pPr>
      <w:pStyle w:val="5"/>
      <w:framePr w:wrap="around" w:vAnchor="text" w:hAnchor="margin" w:xAlign="right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1978FE42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NotTrackMoves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2E5YTcyODA2NTY2ODc2ZjgyZTJjMmZjMzUyMTgxNTIifQ=="/>
  </w:docVars>
  <w:rsids>
    <w:rsidRoot w:val="003D56D5"/>
    <w:rsid w:val="00000171"/>
    <w:rsid w:val="000011AC"/>
    <w:rsid w:val="00003283"/>
    <w:rsid w:val="00005D98"/>
    <w:rsid w:val="000060FF"/>
    <w:rsid w:val="00006AD7"/>
    <w:rsid w:val="000103F5"/>
    <w:rsid w:val="0001136C"/>
    <w:rsid w:val="00013BC6"/>
    <w:rsid w:val="00015FE0"/>
    <w:rsid w:val="0001625F"/>
    <w:rsid w:val="00017224"/>
    <w:rsid w:val="000218DF"/>
    <w:rsid w:val="00021B8B"/>
    <w:rsid w:val="00021FCA"/>
    <w:rsid w:val="0002308A"/>
    <w:rsid w:val="000234D3"/>
    <w:rsid w:val="000246FA"/>
    <w:rsid w:val="00024C8A"/>
    <w:rsid w:val="00026719"/>
    <w:rsid w:val="00026CE5"/>
    <w:rsid w:val="00031E29"/>
    <w:rsid w:val="00033438"/>
    <w:rsid w:val="00033674"/>
    <w:rsid w:val="00033687"/>
    <w:rsid w:val="00035E69"/>
    <w:rsid w:val="00035E8B"/>
    <w:rsid w:val="000369B0"/>
    <w:rsid w:val="00036F9E"/>
    <w:rsid w:val="000427FC"/>
    <w:rsid w:val="0004300C"/>
    <w:rsid w:val="00044D6A"/>
    <w:rsid w:val="000456A3"/>
    <w:rsid w:val="000471CE"/>
    <w:rsid w:val="00051245"/>
    <w:rsid w:val="000519B0"/>
    <w:rsid w:val="00051C34"/>
    <w:rsid w:val="0005220D"/>
    <w:rsid w:val="00052B76"/>
    <w:rsid w:val="000539B5"/>
    <w:rsid w:val="00055883"/>
    <w:rsid w:val="00055FBF"/>
    <w:rsid w:val="000567EE"/>
    <w:rsid w:val="000603CF"/>
    <w:rsid w:val="00060827"/>
    <w:rsid w:val="00061759"/>
    <w:rsid w:val="000720D5"/>
    <w:rsid w:val="000729A5"/>
    <w:rsid w:val="0007485D"/>
    <w:rsid w:val="00077D70"/>
    <w:rsid w:val="00083A30"/>
    <w:rsid w:val="00083D07"/>
    <w:rsid w:val="00085D62"/>
    <w:rsid w:val="0009411F"/>
    <w:rsid w:val="000965E0"/>
    <w:rsid w:val="000965E5"/>
    <w:rsid w:val="000A3C43"/>
    <w:rsid w:val="000A5BF6"/>
    <w:rsid w:val="000B080E"/>
    <w:rsid w:val="000B1F8C"/>
    <w:rsid w:val="000B2312"/>
    <w:rsid w:val="000B4468"/>
    <w:rsid w:val="000B6429"/>
    <w:rsid w:val="000B650E"/>
    <w:rsid w:val="000B7D37"/>
    <w:rsid w:val="000C1C3A"/>
    <w:rsid w:val="000C39A8"/>
    <w:rsid w:val="000C41FB"/>
    <w:rsid w:val="000C56F9"/>
    <w:rsid w:val="000C61F9"/>
    <w:rsid w:val="000D0280"/>
    <w:rsid w:val="000D3814"/>
    <w:rsid w:val="000D4F98"/>
    <w:rsid w:val="000E03E5"/>
    <w:rsid w:val="000E3B32"/>
    <w:rsid w:val="000F1521"/>
    <w:rsid w:val="000F3BC8"/>
    <w:rsid w:val="000F4395"/>
    <w:rsid w:val="000F53CC"/>
    <w:rsid w:val="000F58F3"/>
    <w:rsid w:val="000F5E52"/>
    <w:rsid w:val="000F638C"/>
    <w:rsid w:val="000F7E43"/>
    <w:rsid w:val="00103A4C"/>
    <w:rsid w:val="00106461"/>
    <w:rsid w:val="00110E7A"/>
    <w:rsid w:val="0011203B"/>
    <w:rsid w:val="00112991"/>
    <w:rsid w:val="00113F11"/>
    <w:rsid w:val="0011434E"/>
    <w:rsid w:val="00115615"/>
    <w:rsid w:val="00115716"/>
    <w:rsid w:val="00115BF8"/>
    <w:rsid w:val="00116A48"/>
    <w:rsid w:val="00121D50"/>
    <w:rsid w:val="0012388F"/>
    <w:rsid w:val="00125A98"/>
    <w:rsid w:val="00126930"/>
    <w:rsid w:val="00130CC6"/>
    <w:rsid w:val="00132FB7"/>
    <w:rsid w:val="001336AA"/>
    <w:rsid w:val="00136218"/>
    <w:rsid w:val="00137654"/>
    <w:rsid w:val="001429D0"/>
    <w:rsid w:val="00145F7D"/>
    <w:rsid w:val="00146886"/>
    <w:rsid w:val="00146E5A"/>
    <w:rsid w:val="001504F9"/>
    <w:rsid w:val="001517F3"/>
    <w:rsid w:val="00152707"/>
    <w:rsid w:val="00152D6A"/>
    <w:rsid w:val="001531B7"/>
    <w:rsid w:val="00157E70"/>
    <w:rsid w:val="00163281"/>
    <w:rsid w:val="00166B5D"/>
    <w:rsid w:val="00166D87"/>
    <w:rsid w:val="001707F5"/>
    <w:rsid w:val="00174ACC"/>
    <w:rsid w:val="00182F53"/>
    <w:rsid w:val="001831A1"/>
    <w:rsid w:val="00184998"/>
    <w:rsid w:val="00184A3F"/>
    <w:rsid w:val="00186BDC"/>
    <w:rsid w:val="0019064F"/>
    <w:rsid w:val="00192CA9"/>
    <w:rsid w:val="001934DC"/>
    <w:rsid w:val="00193DC6"/>
    <w:rsid w:val="001942C0"/>
    <w:rsid w:val="001947E0"/>
    <w:rsid w:val="001952ED"/>
    <w:rsid w:val="00197CED"/>
    <w:rsid w:val="00197EF2"/>
    <w:rsid w:val="001A247B"/>
    <w:rsid w:val="001A2FC7"/>
    <w:rsid w:val="001A32D7"/>
    <w:rsid w:val="001A3EDB"/>
    <w:rsid w:val="001A4816"/>
    <w:rsid w:val="001B47A8"/>
    <w:rsid w:val="001B55E3"/>
    <w:rsid w:val="001B6E3E"/>
    <w:rsid w:val="001C0A94"/>
    <w:rsid w:val="001C180F"/>
    <w:rsid w:val="001C3ABC"/>
    <w:rsid w:val="001C5BBF"/>
    <w:rsid w:val="001D2AE5"/>
    <w:rsid w:val="001D51B6"/>
    <w:rsid w:val="001D5DC0"/>
    <w:rsid w:val="001E0499"/>
    <w:rsid w:val="001E0AFA"/>
    <w:rsid w:val="001E1BFC"/>
    <w:rsid w:val="001E5535"/>
    <w:rsid w:val="001E6821"/>
    <w:rsid w:val="001F4693"/>
    <w:rsid w:val="00201FEB"/>
    <w:rsid w:val="00202E6D"/>
    <w:rsid w:val="002042B1"/>
    <w:rsid w:val="002048CA"/>
    <w:rsid w:val="00205587"/>
    <w:rsid w:val="0020567E"/>
    <w:rsid w:val="00206EBF"/>
    <w:rsid w:val="00207584"/>
    <w:rsid w:val="00210CE8"/>
    <w:rsid w:val="00212D96"/>
    <w:rsid w:val="0021314E"/>
    <w:rsid w:val="00214BCD"/>
    <w:rsid w:val="00214FE7"/>
    <w:rsid w:val="00220531"/>
    <w:rsid w:val="00220679"/>
    <w:rsid w:val="00222DB1"/>
    <w:rsid w:val="00225E0E"/>
    <w:rsid w:val="00226ECA"/>
    <w:rsid w:val="00227A33"/>
    <w:rsid w:val="00232EA2"/>
    <w:rsid w:val="00235C67"/>
    <w:rsid w:val="00235F42"/>
    <w:rsid w:val="0023641B"/>
    <w:rsid w:val="00240E79"/>
    <w:rsid w:val="00241F56"/>
    <w:rsid w:val="00242330"/>
    <w:rsid w:val="00242372"/>
    <w:rsid w:val="002434B0"/>
    <w:rsid w:val="002436C1"/>
    <w:rsid w:val="00247844"/>
    <w:rsid w:val="00251E86"/>
    <w:rsid w:val="0025341C"/>
    <w:rsid w:val="0025440E"/>
    <w:rsid w:val="00254AF2"/>
    <w:rsid w:val="002566D1"/>
    <w:rsid w:val="00256AAD"/>
    <w:rsid w:val="00260A66"/>
    <w:rsid w:val="00261900"/>
    <w:rsid w:val="00261E2B"/>
    <w:rsid w:val="00262EB1"/>
    <w:rsid w:val="002640DB"/>
    <w:rsid w:val="00270E75"/>
    <w:rsid w:val="00274229"/>
    <w:rsid w:val="00276965"/>
    <w:rsid w:val="00277151"/>
    <w:rsid w:val="00283358"/>
    <w:rsid w:val="00291FBC"/>
    <w:rsid w:val="002937E6"/>
    <w:rsid w:val="002944DB"/>
    <w:rsid w:val="00295707"/>
    <w:rsid w:val="002967D7"/>
    <w:rsid w:val="002A02A7"/>
    <w:rsid w:val="002A2656"/>
    <w:rsid w:val="002A325B"/>
    <w:rsid w:val="002A3B63"/>
    <w:rsid w:val="002A49D4"/>
    <w:rsid w:val="002A60D5"/>
    <w:rsid w:val="002A6892"/>
    <w:rsid w:val="002A6C83"/>
    <w:rsid w:val="002A7BB0"/>
    <w:rsid w:val="002B1790"/>
    <w:rsid w:val="002B1891"/>
    <w:rsid w:val="002B1DB5"/>
    <w:rsid w:val="002B1E9D"/>
    <w:rsid w:val="002B3D07"/>
    <w:rsid w:val="002B4929"/>
    <w:rsid w:val="002B4B5A"/>
    <w:rsid w:val="002B554E"/>
    <w:rsid w:val="002B7855"/>
    <w:rsid w:val="002C0F28"/>
    <w:rsid w:val="002C0FD6"/>
    <w:rsid w:val="002C3031"/>
    <w:rsid w:val="002C7062"/>
    <w:rsid w:val="002D2EA4"/>
    <w:rsid w:val="002D7F44"/>
    <w:rsid w:val="002D7FFD"/>
    <w:rsid w:val="002E08DA"/>
    <w:rsid w:val="002E1021"/>
    <w:rsid w:val="002E1E77"/>
    <w:rsid w:val="002E2421"/>
    <w:rsid w:val="002E4F0E"/>
    <w:rsid w:val="002E6115"/>
    <w:rsid w:val="002E79D2"/>
    <w:rsid w:val="002E7ACA"/>
    <w:rsid w:val="002F068D"/>
    <w:rsid w:val="002F2C15"/>
    <w:rsid w:val="002F574A"/>
    <w:rsid w:val="002F71B1"/>
    <w:rsid w:val="00300A65"/>
    <w:rsid w:val="00300A7F"/>
    <w:rsid w:val="003040AE"/>
    <w:rsid w:val="00304307"/>
    <w:rsid w:val="0030722A"/>
    <w:rsid w:val="00310D04"/>
    <w:rsid w:val="00313892"/>
    <w:rsid w:val="00313C7C"/>
    <w:rsid w:val="0032021D"/>
    <w:rsid w:val="003205D9"/>
    <w:rsid w:val="003228EB"/>
    <w:rsid w:val="00323A1C"/>
    <w:rsid w:val="00326AA0"/>
    <w:rsid w:val="0032751B"/>
    <w:rsid w:val="00333EBE"/>
    <w:rsid w:val="00333F8B"/>
    <w:rsid w:val="0033417D"/>
    <w:rsid w:val="0033651E"/>
    <w:rsid w:val="00337493"/>
    <w:rsid w:val="00340D84"/>
    <w:rsid w:val="00343664"/>
    <w:rsid w:val="003441BD"/>
    <w:rsid w:val="003442AF"/>
    <w:rsid w:val="00345915"/>
    <w:rsid w:val="00345BD0"/>
    <w:rsid w:val="0034673B"/>
    <w:rsid w:val="003476D8"/>
    <w:rsid w:val="003510E9"/>
    <w:rsid w:val="00361783"/>
    <w:rsid w:val="003621D9"/>
    <w:rsid w:val="003626DA"/>
    <w:rsid w:val="00362E1C"/>
    <w:rsid w:val="0036358A"/>
    <w:rsid w:val="00364858"/>
    <w:rsid w:val="00366DAD"/>
    <w:rsid w:val="0037076F"/>
    <w:rsid w:val="003712BA"/>
    <w:rsid w:val="003723FE"/>
    <w:rsid w:val="00372C53"/>
    <w:rsid w:val="00376075"/>
    <w:rsid w:val="00376823"/>
    <w:rsid w:val="00377EEE"/>
    <w:rsid w:val="0038078D"/>
    <w:rsid w:val="003807E4"/>
    <w:rsid w:val="00381406"/>
    <w:rsid w:val="00381982"/>
    <w:rsid w:val="00383BA2"/>
    <w:rsid w:val="00383E58"/>
    <w:rsid w:val="0038733F"/>
    <w:rsid w:val="00387811"/>
    <w:rsid w:val="00390676"/>
    <w:rsid w:val="00393196"/>
    <w:rsid w:val="003934D6"/>
    <w:rsid w:val="00394E3D"/>
    <w:rsid w:val="00396913"/>
    <w:rsid w:val="003A06A1"/>
    <w:rsid w:val="003A077B"/>
    <w:rsid w:val="003A1E9E"/>
    <w:rsid w:val="003A3DF7"/>
    <w:rsid w:val="003A4C5B"/>
    <w:rsid w:val="003A5584"/>
    <w:rsid w:val="003A5A34"/>
    <w:rsid w:val="003A69DB"/>
    <w:rsid w:val="003B2E18"/>
    <w:rsid w:val="003B38ED"/>
    <w:rsid w:val="003B3F23"/>
    <w:rsid w:val="003B56C0"/>
    <w:rsid w:val="003B7375"/>
    <w:rsid w:val="003C20D7"/>
    <w:rsid w:val="003C52B8"/>
    <w:rsid w:val="003C6D65"/>
    <w:rsid w:val="003C70E6"/>
    <w:rsid w:val="003C7D23"/>
    <w:rsid w:val="003D0C6D"/>
    <w:rsid w:val="003D13A8"/>
    <w:rsid w:val="003D3F8F"/>
    <w:rsid w:val="003D53A8"/>
    <w:rsid w:val="003D566C"/>
    <w:rsid w:val="003D56D5"/>
    <w:rsid w:val="003D6E4F"/>
    <w:rsid w:val="003E047A"/>
    <w:rsid w:val="003E06B6"/>
    <w:rsid w:val="003E2E26"/>
    <w:rsid w:val="003E4E3F"/>
    <w:rsid w:val="003F1531"/>
    <w:rsid w:val="003F1957"/>
    <w:rsid w:val="003F2D64"/>
    <w:rsid w:val="003F488F"/>
    <w:rsid w:val="003F6B8F"/>
    <w:rsid w:val="003F7748"/>
    <w:rsid w:val="003F77DC"/>
    <w:rsid w:val="00401429"/>
    <w:rsid w:val="00405336"/>
    <w:rsid w:val="004111CC"/>
    <w:rsid w:val="00411FAF"/>
    <w:rsid w:val="00414225"/>
    <w:rsid w:val="004142EE"/>
    <w:rsid w:val="00416AB8"/>
    <w:rsid w:val="004221F0"/>
    <w:rsid w:val="004222BA"/>
    <w:rsid w:val="004225B5"/>
    <w:rsid w:val="00422CAC"/>
    <w:rsid w:val="00423DFC"/>
    <w:rsid w:val="00424E3D"/>
    <w:rsid w:val="00425F93"/>
    <w:rsid w:val="00430F32"/>
    <w:rsid w:val="00433275"/>
    <w:rsid w:val="004353E0"/>
    <w:rsid w:val="00435DE0"/>
    <w:rsid w:val="004361AE"/>
    <w:rsid w:val="004368DC"/>
    <w:rsid w:val="00437434"/>
    <w:rsid w:val="0044065B"/>
    <w:rsid w:val="00442AF3"/>
    <w:rsid w:val="00444BFC"/>
    <w:rsid w:val="0044599D"/>
    <w:rsid w:val="004468C6"/>
    <w:rsid w:val="00452E38"/>
    <w:rsid w:val="00454362"/>
    <w:rsid w:val="00454438"/>
    <w:rsid w:val="00456AA3"/>
    <w:rsid w:val="00457757"/>
    <w:rsid w:val="00457F43"/>
    <w:rsid w:val="00462FF9"/>
    <w:rsid w:val="004630C8"/>
    <w:rsid w:val="004658D4"/>
    <w:rsid w:val="004667B1"/>
    <w:rsid w:val="00470717"/>
    <w:rsid w:val="0047171A"/>
    <w:rsid w:val="00474470"/>
    <w:rsid w:val="00474BFD"/>
    <w:rsid w:val="00474FD4"/>
    <w:rsid w:val="00476D0D"/>
    <w:rsid w:val="00477FEF"/>
    <w:rsid w:val="00480A75"/>
    <w:rsid w:val="00480F97"/>
    <w:rsid w:val="004850B4"/>
    <w:rsid w:val="00491569"/>
    <w:rsid w:val="00491C21"/>
    <w:rsid w:val="00491E81"/>
    <w:rsid w:val="004933FA"/>
    <w:rsid w:val="0049366D"/>
    <w:rsid w:val="00497B1D"/>
    <w:rsid w:val="00497F89"/>
    <w:rsid w:val="004A2A24"/>
    <w:rsid w:val="004A2FCD"/>
    <w:rsid w:val="004A6003"/>
    <w:rsid w:val="004A78DB"/>
    <w:rsid w:val="004B08F7"/>
    <w:rsid w:val="004B194D"/>
    <w:rsid w:val="004B2040"/>
    <w:rsid w:val="004B2224"/>
    <w:rsid w:val="004B228E"/>
    <w:rsid w:val="004B3EDF"/>
    <w:rsid w:val="004B5FA3"/>
    <w:rsid w:val="004C3426"/>
    <w:rsid w:val="004C44BC"/>
    <w:rsid w:val="004C5876"/>
    <w:rsid w:val="004D0E08"/>
    <w:rsid w:val="004D30BE"/>
    <w:rsid w:val="004D56AE"/>
    <w:rsid w:val="004D5996"/>
    <w:rsid w:val="004D74A6"/>
    <w:rsid w:val="004E0ECC"/>
    <w:rsid w:val="004E2FC0"/>
    <w:rsid w:val="004E3354"/>
    <w:rsid w:val="004E4318"/>
    <w:rsid w:val="004E7202"/>
    <w:rsid w:val="004E7923"/>
    <w:rsid w:val="004F1590"/>
    <w:rsid w:val="004F227E"/>
    <w:rsid w:val="004F2459"/>
    <w:rsid w:val="004F2611"/>
    <w:rsid w:val="004F3577"/>
    <w:rsid w:val="004F51BA"/>
    <w:rsid w:val="004F7FF4"/>
    <w:rsid w:val="005063B2"/>
    <w:rsid w:val="00507443"/>
    <w:rsid w:val="00510D77"/>
    <w:rsid w:val="00510DBF"/>
    <w:rsid w:val="0051125B"/>
    <w:rsid w:val="00514680"/>
    <w:rsid w:val="0051496B"/>
    <w:rsid w:val="00514EA7"/>
    <w:rsid w:val="00521575"/>
    <w:rsid w:val="005229DF"/>
    <w:rsid w:val="00523FFE"/>
    <w:rsid w:val="00524C61"/>
    <w:rsid w:val="00524EE4"/>
    <w:rsid w:val="0052690D"/>
    <w:rsid w:val="00526CB7"/>
    <w:rsid w:val="00527FD4"/>
    <w:rsid w:val="005315C3"/>
    <w:rsid w:val="00532537"/>
    <w:rsid w:val="0053353F"/>
    <w:rsid w:val="0054061C"/>
    <w:rsid w:val="00540642"/>
    <w:rsid w:val="005408DB"/>
    <w:rsid w:val="00540A35"/>
    <w:rsid w:val="00542FCC"/>
    <w:rsid w:val="00544F84"/>
    <w:rsid w:val="00545684"/>
    <w:rsid w:val="0054585E"/>
    <w:rsid w:val="00545BCF"/>
    <w:rsid w:val="0054670C"/>
    <w:rsid w:val="005472A4"/>
    <w:rsid w:val="005476D4"/>
    <w:rsid w:val="00550B11"/>
    <w:rsid w:val="00551C30"/>
    <w:rsid w:val="00552999"/>
    <w:rsid w:val="00552C0D"/>
    <w:rsid w:val="00552D64"/>
    <w:rsid w:val="00553AC5"/>
    <w:rsid w:val="00553CA7"/>
    <w:rsid w:val="005579AC"/>
    <w:rsid w:val="005579F0"/>
    <w:rsid w:val="0056127B"/>
    <w:rsid w:val="0056603B"/>
    <w:rsid w:val="00566B50"/>
    <w:rsid w:val="0056713C"/>
    <w:rsid w:val="00570256"/>
    <w:rsid w:val="0057056B"/>
    <w:rsid w:val="005777D7"/>
    <w:rsid w:val="0058627B"/>
    <w:rsid w:val="005869DA"/>
    <w:rsid w:val="005879FF"/>
    <w:rsid w:val="00591561"/>
    <w:rsid w:val="00594A73"/>
    <w:rsid w:val="00595E3E"/>
    <w:rsid w:val="0059690B"/>
    <w:rsid w:val="005978C9"/>
    <w:rsid w:val="005A168A"/>
    <w:rsid w:val="005A44FB"/>
    <w:rsid w:val="005B4ABA"/>
    <w:rsid w:val="005B4B4F"/>
    <w:rsid w:val="005B4DF3"/>
    <w:rsid w:val="005B5038"/>
    <w:rsid w:val="005B5814"/>
    <w:rsid w:val="005B723B"/>
    <w:rsid w:val="005D07FA"/>
    <w:rsid w:val="005D1222"/>
    <w:rsid w:val="005D15A8"/>
    <w:rsid w:val="005D31FF"/>
    <w:rsid w:val="005D7AFC"/>
    <w:rsid w:val="005E020C"/>
    <w:rsid w:val="005E1D8E"/>
    <w:rsid w:val="005E24E1"/>
    <w:rsid w:val="005E27CD"/>
    <w:rsid w:val="005E46C0"/>
    <w:rsid w:val="005E7EA0"/>
    <w:rsid w:val="005F241F"/>
    <w:rsid w:val="005F3826"/>
    <w:rsid w:val="005F39FB"/>
    <w:rsid w:val="005F54DD"/>
    <w:rsid w:val="005F6121"/>
    <w:rsid w:val="005F6CDD"/>
    <w:rsid w:val="006029EB"/>
    <w:rsid w:val="00604636"/>
    <w:rsid w:val="006053BD"/>
    <w:rsid w:val="00606FF5"/>
    <w:rsid w:val="006070F8"/>
    <w:rsid w:val="00610772"/>
    <w:rsid w:val="00611B7B"/>
    <w:rsid w:val="00612828"/>
    <w:rsid w:val="00614D90"/>
    <w:rsid w:val="0061635D"/>
    <w:rsid w:val="0062008D"/>
    <w:rsid w:val="00623D4D"/>
    <w:rsid w:val="00624DC0"/>
    <w:rsid w:val="00630BF0"/>
    <w:rsid w:val="006310DD"/>
    <w:rsid w:val="00632B27"/>
    <w:rsid w:val="006336D2"/>
    <w:rsid w:val="00636465"/>
    <w:rsid w:val="00637266"/>
    <w:rsid w:val="00637945"/>
    <w:rsid w:val="00641410"/>
    <w:rsid w:val="00641A03"/>
    <w:rsid w:val="00644253"/>
    <w:rsid w:val="00644CFF"/>
    <w:rsid w:val="0064552E"/>
    <w:rsid w:val="00657742"/>
    <w:rsid w:val="0066044A"/>
    <w:rsid w:val="006609BC"/>
    <w:rsid w:val="00664C3D"/>
    <w:rsid w:val="00664EAE"/>
    <w:rsid w:val="0066514A"/>
    <w:rsid w:val="00665951"/>
    <w:rsid w:val="00677695"/>
    <w:rsid w:val="00677FAA"/>
    <w:rsid w:val="0068086C"/>
    <w:rsid w:val="00682415"/>
    <w:rsid w:val="006824CD"/>
    <w:rsid w:val="00685E07"/>
    <w:rsid w:val="00686596"/>
    <w:rsid w:val="00690140"/>
    <w:rsid w:val="00690C51"/>
    <w:rsid w:val="006921B3"/>
    <w:rsid w:val="00692262"/>
    <w:rsid w:val="00694AC1"/>
    <w:rsid w:val="0069595A"/>
    <w:rsid w:val="00697A8B"/>
    <w:rsid w:val="00697D97"/>
    <w:rsid w:val="006A0540"/>
    <w:rsid w:val="006A1861"/>
    <w:rsid w:val="006A1EF3"/>
    <w:rsid w:val="006A466D"/>
    <w:rsid w:val="006A46C4"/>
    <w:rsid w:val="006A6057"/>
    <w:rsid w:val="006A794C"/>
    <w:rsid w:val="006B1454"/>
    <w:rsid w:val="006B2E63"/>
    <w:rsid w:val="006B3D60"/>
    <w:rsid w:val="006B43DB"/>
    <w:rsid w:val="006B49E4"/>
    <w:rsid w:val="006B6D27"/>
    <w:rsid w:val="006C0928"/>
    <w:rsid w:val="006C144C"/>
    <w:rsid w:val="006C1889"/>
    <w:rsid w:val="006C2AA1"/>
    <w:rsid w:val="006C3673"/>
    <w:rsid w:val="006C496F"/>
    <w:rsid w:val="006C5951"/>
    <w:rsid w:val="006C5BC4"/>
    <w:rsid w:val="006C69B3"/>
    <w:rsid w:val="006D0693"/>
    <w:rsid w:val="006D13B1"/>
    <w:rsid w:val="006D361B"/>
    <w:rsid w:val="006D4B34"/>
    <w:rsid w:val="006D70CD"/>
    <w:rsid w:val="006D76A0"/>
    <w:rsid w:val="006E4C89"/>
    <w:rsid w:val="006E54A0"/>
    <w:rsid w:val="006E5E5D"/>
    <w:rsid w:val="006F058C"/>
    <w:rsid w:val="006F0949"/>
    <w:rsid w:val="006F0CEE"/>
    <w:rsid w:val="006F24CD"/>
    <w:rsid w:val="006F572E"/>
    <w:rsid w:val="006F621B"/>
    <w:rsid w:val="00701167"/>
    <w:rsid w:val="00703561"/>
    <w:rsid w:val="00704665"/>
    <w:rsid w:val="00705F78"/>
    <w:rsid w:val="00705F80"/>
    <w:rsid w:val="0070760C"/>
    <w:rsid w:val="00707EA6"/>
    <w:rsid w:val="00710560"/>
    <w:rsid w:val="0071077C"/>
    <w:rsid w:val="00711442"/>
    <w:rsid w:val="0071502E"/>
    <w:rsid w:val="00715755"/>
    <w:rsid w:val="00716200"/>
    <w:rsid w:val="00716E7C"/>
    <w:rsid w:val="00717658"/>
    <w:rsid w:val="00717FC6"/>
    <w:rsid w:val="007206E4"/>
    <w:rsid w:val="0072125B"/>
    <w:rsid w:val="00722BA8"/>
    <w:rsid w:val="00722C01"/>
    <w:rsid w:val="007247DF"/>
    <w:rsid w:val="007279FE"/>
    <w:rsid w:val="00730706"/>
    <w:rsid w:val="00733127"/>
    <w:rsid w:val="0073412D"/>
    <w:rsid w:val="00742684"/>
    <w:rsid w:val="007428AE"/>
    <w:rsid w:val="00744717"/>
    <w:rsid w:val="0074675A"/>
    <w:rsid w:val="0075215D"/>
    <w:rsid w:val="007527CB"/>
    <w:rsid w:val="0075453E"/>
    <w:rsid w:val="00754EB3"/>
    <w:rsid w:val="00755A54"/>
    <w:rsid w:val="00756F7B"/>
    <w:rsid w:val="0075721D"/>
    <w:rsid w:val="0076520F"/>
    <w:rsid w:val="0076638C"/>
    <w:rsid w:val="00767750"/>
    <w:rsid w:val="00773A25"/>
    <w:rsid w:val="00774EC0"/>
    <w:rsid w:val="007757DD"/>
    <w:rsid w:val="00775952"/>
    <w:rsid w:val="00777AC8"/>
    <w:rsid w:val="00783911"/>
    <w:rsid w:val="00786FCE"/>
    <w:rsid w:val="00787C42"/>
    <w:rsid w:val="007901B9"/>
    <w:rsid w:val="00793B6C"/>
    <w:rsid w:val="0079767C"/>
    <w:rsid w:val="007A0BF1"/>
    <w:rsid w:val="007A2864"/>
    <w:rsid w:val="007A3E7F"/>
    <w:rsid w:val="007A4376"/>
    <w:rsid w:val="007A4466"/>
    <w:rsid w:val="007A4F1F"/>
    <w:rsid w:val="007A60F0"/>
    <w:rsid w:val="007A693C"/>
    <w:rsid w:val="007A6BE5"/>
    <w:rsid w:val="007A758D"/>
    <w:rsid w:val="007A7F5C"/>
    <w:rsid w:val="007B0D3F"/>
    <w:rsid w:val="007B0EFA"/>
    <w:rsid w:val="007B16A6"/>
    <w:rsid w:val="007B30D6"/>
    <w:rsid w:val="007B7D32"/>
    <w:rsid w:val="007C2208"/>
    <w:rsid w:val="007C3D5E"/>
    <w:rsid w:val="007C3E05"/>
    <w:rsid w:val="007C4B0B"/>
    <w:rsid w:val="007C55F1"/>
    <w:rsid w:val="007C5A95"/>
    <w:rsid w:val="007C5AE1"/>
    <w:rsid w:val="007C7382"/>
    <w:rsid w:val="007D0AF3"/>
    <w:rsid w:val="007D1507"/>
    <w:rsid w:val="007D2947"/>
    <w:rsid w:val="007E2747"/>
    <w:rsid w:val="007E3BA0"/>
    <w:rsid w:val="007E4599"/>
    <w:rsid w:val="007F12D3"/>
    <w:rsid w:val="007F3EFF"/>
    <w:rsid w:val="007F45A2"/>
    <w:rsid w:val="007F6464"/>
    <w:rsid w:val="007F76E9"/>
    <w:rsid w:val="007F7D1A"/>
    <w:rsid w:val="007F7E1F"/>
    <w:rsid w:val="0080011F"/>
    <w:rsid w:val="008007FD"/>
    <w:rsid w:val="00800976"/>
    <w:rsid w:val="00801320"/>
    <w:rsid w:val="00803914"/>
    <w:rsid w:val="00803DC9"/>
    <w:rsid w:val="00806878"/>
    <w:rsid w:val="00807995"/>
    <w:rsid w:val="00810B20"/>
    <w:rsid w:val="008117A7"/>
    <w:rsid w:val="00813FBA"/>
    <w:rsid w:val="00816707"/>
    <w:rsid w:val="00816FD2"/>
    <w:rsid w:val="008244C3"/>
    <w:rsid w:val="00827FE6"/>
    <w:rsid w:val="008317FD"/>
    <w:rsid w:val="00831BDC"/>
    <w:rsid w:val="00833230"/>
    <w:rsid w:val="00835A5A"/>
    <w:rsid w:val="00836F90"/>
    <w:rsid w:val="00837CB8"/>
    <w:rsid w:val="008459C8"/>
    <w:rsid w:val="008465DC"/>
    <w:rsid w:val="0085272B"/>
    <w:rsid w:val="0085386A"/>
    <w:rsid w:val="0085588F"/>
    <w:rsid w:val="008568BE"/>
    <w:rsid w:val="00861278"/>
    <w:rsid w:val="008623DE"/>
    <w:rsid w:val="0086275D"/>
    <w:rsid w:val="00864217"/>
    <w:rsid w:val="00867869"/>
    <w:rsid w:val="0087071A"/>
    <w:rsid w:val="00871223"/>
    <w:rsid w:val="00872AA6"/>
    <w:rsid w:val="00874E26"/>
    <w:rsid w:val="0087757E"/>
    <w:rsid w:val="008811D3"/>
    <w:rsid w:val="00881E26"/>
    <w:rsid w:val="0088501B"/>
    <w:rsid w:val="00885965"/>
    <w:rsid w:val="008863E0"/>
    <w:rsid w:val="00887EF2"/>
    <w:rsid w:val="008913D1"/>
    <w:rsid w:val="00892291"/>
    <w:rsid w:val="008932D7"/>
    <w:rsid w:val="008935CC"/>
    <w:rsid w:val="00893D7E"/>
    <w:rsid w:val="0089731A"/>
    <w:rsid w:val="00897984"/>
    <w:rsid w:val="00897E29"/>
    <w:rsid w:val="008A1F7E"/>
    <w:rsid w:val="008A5B3D"/>
    <w:rsid w:val="008A75D9"/>
    <w:rsid w:val="008B02B0"/>
    <w:rsid w:val="008B0603"/>
    <w:rsid w:val="008B0C05"/>
    <w:rsid w:val="008B5DC0"/>
    <w:rsid w:val="008C1B9E"/>
    <w:rsid w:val="008C20D5"/>
    <w:rsid w:val="008C26DE"/>
    <w:rsid w:val="008C555E"/>
    <w:rsid w:val="008C7388"/>
    <w:rsid w:val="008C79C0"/>
    <w:rsid w:val="008D0BA0"/>
    <w:rsid w:val="008D0FB5"/>
    <w:rsid w:val="008D23D8"/>
    <w:rsid w:val="008D466C"/>
    <w:rsid w:val="008D4A5A"/>
    <w:rsid w:val="008D5C33"/>
    <w:rsid w:val="008D6403"/>
    <w:rsid w:val="008D7E4D"/>
    <w:rsid w:val="008E2C1D"/>
    <w:rsid w:val="008E2F07"/>
    <w:rsid w:val="008E39CA"/>
    <w:rsid w:val="008E545B"/>
    <w:rsid w:val="008E6498"/>
    <w:rsid w:val="008E69DD"/>
    <w:rsid w:val="008F1BDA"/>
    <w:rsid w:val="008F2A9C"/>
    <w:rsid w:val="008F4944"/>
    <w:rsid w:val="008F52A6"/>
    <w:rsid w:val="008F6F99"/>
    <w:rsid w:val="00902F8A"/>
    <w:rsid w:val="009030E8"/>
    <w:rsid w:val="00906FA8"/>
    <w:rsid w:val="0090704E"/>
    <w:rsid w:val="00907563"/>
    <w:rsid w:val="009119D0"/>
    <w:rsid w:val="009120CA"/>
    <w:rsid w:val="009140EA"/>
    <w:rsid w:val="009143F2"/>
    <w:rsid w:val="00916A89"/>
    <w:rsid w:val="00916FA6"/>
    <w:rsid w:val="00922452"/>
    <w:rsid w:val="009252FF"/>
    <w:rsid w:val="00927029"/>
    <w:rsid w:val="00930225"/>
    <w:rsid w:val="00931B87"/>
    <w:rsid w:val="00932B83"/>
    <w:rsid w:val="0093550B"/>
    <w:rsid w:val="00937287"/>
    <w:rsid w:val="0093770B"/>
    <w:rsid w:val="00941449"/>
    <w:rsid w:val="009419D2"/>
    <w:rsid w:val="00942B63"/>
    <w:rsid w:val="0095389F"/>
    <w:rsid w:val="00953CB3"/>
    <w:rsid w:val="009605B2"/>
    <w:rsid w:val="00960E21"/>
    <w:rsid w:val="00962619"/>
    <w:rsid w:val="009629DC"/>
    <w:rsid w:val="009633B8"/>
    <w:rsid w:val="00965E2D"/>
    <w:rsid w:val="00973D58"/>
    <w:rsid w:val="00974C85"/>
    <w:rsid w:val="00976740"/>
    <w:rsid w:val="00977BD9"/>
    <w:rsid w:val="0098341E"/>
    <w:rsid w:val="00984207"/>
    <w:rsid w:val="00984504"/>
    <w:rsid w:val="00987472"/>
    <w:rsid w:val="00994790"/>
    <w:rsid w:val="00997397"/>
    <w:rsid w:val="009A0D3F"/>
    <w:rsid w:val="009A148E"/>
    <w:rsid w:val="009A303C"/>
    <w:rsid w:val="009A643D"/>
    <w:rsid w:val="009A726D"/>
    <w:rsid w:val="009B1520"/>
    <w:rsid w:val="009B6A24"/>
    <w:rsid w:val="009C003F"/>
    <w:rsid w:val="009C0C28"/>
    <w:rsid w:val="009C4906"/>
    <w:rsid w:val="009C7B36"/>
    <w:rsid w:val="009D19CF"/>
    <w:rsid w:val="009D4066"/>
    <w:rsid w:val="009D4288"/>
    <w:rsid w:val="009D48B0"/>
    <w:rsid w:val="009D65C3"/>
    <w:rsid w:val="009D7DAA"/>
    <w:rsid w:val="009E0415"/>
    <w:rsid w:val="009E0C6F"/>
    <w:rsid w:val="009E137A"/>
    <w:rsid w:val="009E303A"/>
    <w:rsid w:val="009E3772"/>
    <w:rsid w:val="009E60C2"/>
    <w:rsid w:val="009E6FB5"/>
    <w:rsid w:val="009E779E"/>
    <w:rsid w:val="009F296A"/>
    <w:rsid w:val="009F3787"/>
    <w:rsid w:val="009F3C13"/>
    <w:rsid w:val="009F4834"/>
    <w:rsid w:val="009F785F"/>
    <w:rsid w:val="00A0150C"/>
    <w:rsid w:val="00A01A03"/>
    <w:rsid w:val="00A05A72"/>
    <w:rsid w:val="00A1242B"/>
    <w:rsid w:val="00A13C6D"/>
    <w:rsid w:val="00A14CBE"/>
    <w:rsid w:val="00A14D49"/>
    <w:rsid w:val="00A1632B"/>
    <w:rsid w:val="00A178C4"/>
    <w:rsid w:val="00A17FCE"/>
    <w:rsid w:val="00A20420"/>
    <w:rsid w:val="00A22D63"/>
    <w:rsid w:val="00A24F15"/>
    <w:rsid w:val="00A276BC"/>
    <w:rsid w:val="00A31768"/>
    <w:rsid w:val="00A32A76"/>
    <w:rsid w:val="00A32A78"/>
    <w:rsid w:val="00A359B6"/>
    <w:rsid w:val="00A35E60"/>
    <w:rsid w:val="00A365BB"/>
    <w:rsid w:val="00A367F4"/>
    <w:rsid w:val="00A370B2"/>
    <w:rsid w:val="00A379DC"/>
    <w:rsid w:val="00A42FD8"/>
    <w:rsid w:val="00A45BA2"/>
    <w:rsid w:val="00A45CFA"/>
    <w:rsid w:val="00A46750"/>
    <w:rsid w:val="00A46E68"/>
    <w:rsid w:val="00A47BC0"/>
    <w:rsid w:val="00A5229C"/>
    <w:rsid w:val="00A52766"/>
    <w:rsid w:val="00A527D7"/>
    <w:rsid w:val="00A52C7E"/>
    <w:rsid w:val="00A52DD4"/>
    <w:rsid w:val="00A5508F"/>
    <w:rsid w:val="00A55300"/>
    <w:rsid w:val="00A56084"/>
    <w:rsid w:val="00A572AE"/>
    <w:rsid w:val="00A57635"/>
    <w:rsid w:val="00A6243A"/>
    <w:rsid w:val="00A62B53"/>
    <w:rsid w:val="00A63E04"/>
    <w:rsid w:val="00A650D2"/>
    <w:rsid w:val="00A66733"/>
    <w:rsid w:val="00A66FE6"/>
    <w:rsid w:val="00A67947"/>
    <w:rsid w:val="00A71359"/>
    <w:rsid w:val="00A7213A"/>
    <w:rsid w:val="00A72BD2"/>
    <w:rsid w:val="00A73A40"/>
    <w:rsid w:val="00A74F7F"/>
    <w:rsid w:val="00A76CC9"/>
    <w:rsid w:val="00A77C3A"/>
    <w:rsid w:val="00A81DB2"/>
    <w:rsid w:val="00A83CA5"/>
    <w:rsid w:val="00A84C84"/>
    <w:rsid w:val="00A86614"/>
    <w:rsid w:val="00A86658"/>
    <w:rsid w:val="00A91E41"/>
    <w:rsid w:val="00A935E8"/>
    <w:rsid w:val="00A949E6"/>
    <w:rsid w:val="00A94DFD"/>
    <w:rsid w:val="00AA1FC8"/>
    <w:rsid w:val="00AA2C3C"/>
    <w:rsid w:val="00AA4B8B"/>
    <w:rsid w:val="00AA6D79"/>
    <w:rsid w:val="00AB4350"/>
    <w:rsid w:val="00AB60BB"/>
    <w:rsid w:val="00AB6AD1"/>
    <w:rsid w:val="00AB7BCE"/>
    <w:rsid w:val="00AB7CF5"/>
    <w:rsid w:val="00AC4C9F"/>
    <w:rsid w:val="00AC5F0B"/>
    <w:rsid w:val="00AC6806"/>
    <w:rsid w:val="00AC7375"/>
    <w:rsid w:val="00AD57E0"/>
    <w:rsid w:val="00AE1363"/>
    <w:rsid w:val="00AE25E7"/>
    <w:rsid w:val="00AE5223"/>
    <w:rsid w:val="00AE5A17"/>
    <w:rsid w:val="00AE6417"/>
    <w:rsid w:val="00AE64C1"/>
    <w:rsid w:val="00AE7E38"/>
    <w:rsid w:val="00AF4070"/>
    <w:rsid w:val="00AF40CD"/>
    <w:rsid w:val="00AF50D6"/>
    <w:rsid w:val="00AF6001"/>
    <w:rsid w:val="00AF64FB"/>
    <w:rsid w:val="00AF7E54"/>
    <w:rsid w:val="00B037DE"/>
    <w:rsid w:val="00B03B89"/>
    <w:rsid w:val="00B064B3"/>
    <w:rsid w:val="00B11FB0"/>
    <w:rsid w:val="00B12D26"/>
    <w:rsid w:val="00B14CA0"/>
    <w:rsid w:val="00B15D45"/>
    <w:rsid w:val="00B166E4"/>
    <w:rsid w:val="00B24F44"/>
    <w:rsid w:val="00B251E9"/>
    <w:rsid w:val="00B2548C"/>
    <w:rsid w:val="00B258AD"/>
    <w:rsid w:val="00B2644C"/>
    <w:rsid w:val="00B2781C"/>
    <w:rsid w:val="00B3159F"/>
    <w:rsid w:val="00B32D61"/>
    <w:rsid w:val="00B376B5"/>
    <w:rsid w:val="00B4145B"/>
    <w:rsid w:val="00B429A2"/>
    <w:rsid w:val="00B43EED"/>
    <w:rsid w:val="00B515EA"/>
    <w:rsid w:val="00B532D8"/>
    <w:rsid w:val="00B5664B"/>
    <w:rsid w:val="00B56A07"/>
    <w:rsid w:val="00B61658"/>
    <w:rsid w:val="00B616D5"/>
    <w:rsid w:val="00B63CBF"/>
    <w:rsid w:val="00B65411"/>
    <w:rsid w:val="00B655D0"/>
    <w:rsid w:val="00B66DAA"/>
    <w:rsid w:val="00B710E0"/>
    <w:rsid w:val="00B71101"/>
    <w:rsid w:val="00B7141D"/>
    <w:rsid w:val="00B74C71"/>
    <w:rsid w:val="00B77538"/>
    <w:rsid w:val="00B77584"/>
    <w:rsid w:val="00B81BF6"/>
    <w:rsid w:val="00B81C3B"/>
    <w:rsid w:val="00B87BBB"/>
    <w:rsid w:val="00B92B72"/>
    <w:rsid w:val="00B9386A"/>
    <w:rsid w:val="00B96A8B"/>
    <w:rsid w:val="00B96C30"/>
    <w:rsid w:val="00BA0D2D"/>
    <w:rsid w:val="00BA14EB"/>
    <w:rsid w:val="00BA3AF3"/>
    <w:rsid w:val="00BA4E5E"/>
    <w:rsid w:val="00BB27C4"/>
    <w:rsid w:val="00BB357A"/>
    <w:rsid w:val="00BB4207"/>
    <w:rsid w:val="00BB6F15"/>
    <w:rsid w:val="00BC0A77"/>
    <w:rsid w:val="00BC1AAE"/>
    <w:rsid w:val="00BC1B76"/>
    <w:rsid w:val="00BC21F8"/>
    <w:rsid w:val="00BC67E7"/>
    <w:rsid w:val="00BC7B2D"/>
    <w:rsid w:val="00BD0CA2"/>
    <w:rsid w:val="00BD16ED"/>
    <w:rsid w:val="00BD4121"/>
    <w:rsid w:val="00BD49E9"/>
    <w:rsid w:val="00BD4EB3"/>
    <w:rsid w:val="00BD6912"/>
    <w:rsid w:val="00BE22C0"/>
    <w:rsid w:val="00BE30AA"/>
    <w:rsid w:val="00BE58B7"/>
    <w:rsid w:val="00BE6B53"/>
    <w:rsid w:val="00BE6F96"/>
    <w:rsid w:val="00BE7AFB"/>
    <w:rsid w:val="00BF042C"/>
    <w:rsid w:val="00BF0820"/>
    <w:rsid w:val="00BF1A0D"/>
    <w:rsid w:val="00BF4217"/>
    <w:rsid w:val="00BF6764"/>
    <w:rsid w:val="00BF752D"/>
    <w:rsid w:val="00C00A8D"/>
    <w:rsid w:val="00C00B23"/>
    <w:rsid w:val="00C00FBA"/>
    <w:rsid w:val="00C01DA2"/>
    <w:rsid w:val="00C031E4"/>
    <w:rsid w:val="00C0361D"/>
    <w:rsid w:val="00C039C5"/>
    <w:rsid w:val="00C04E2E"/>
    <w:rsid w:val="00C20725"/>
    <w:rsid w:val="00C20A49"/>
    <w:rsid w:val="00C2488B"/>
    <w:rsid w:val="00C2526C"/>
    <w:rsid w:val="00C3162B"/>
    <w:rsid w:val="00C35A40"/>
    <w:rsid w:val="00C37A36"/>
    <w:rsid w:val="00C40A06"/>
    <w:rsid w:val="00C43B58"/>
    <w:rsid w:val="00C46195"/>
    <w:rsid w:val="00C464BE"/>
    <w:rsid w:val="00C52759"/>
    <w:rsid w:val="00C563F4"/>
    <w:rsid w:val="00C61288"/>
    <w:rsid w:val="00C613CC"/>
    <w:rsid w:val="00C702D0"/>
    <w:rsid w:val="00C7299E"/>
    <w:rsid w:val="00C73F71"/>
    <w:rsid w:val="00C82638"/>
    <w:rsid w:val="00C82EFE"/>
    <w:rsid w:val="00C83A15"/>
    <w:rsid w:val="00C852AC"/>
    <w:rsid w:val="00C85692"/>
    <w:rsid w:val="00C859C9"/>
    <w:rsid w:val="00C90AD6"/>
    <w:rsid w:val="00C919EC"/>
    <w:rsid w:val="00C92C92"/>
    <w:rsid w:val="00C962F1"/>
    <w:rsid w:val="00C964FE"/>
    <w:rsid w:val="00C9695B"/>
    <w:rsid w:val="00C97599"/>
    <w:rsid w:val="00C9775F"/>
    <w:rsid w:val="00CA0B12"/>
    <w:rsid w:val="00CA3120"/>
    <w:rsid w:val="00CA7FCA"/>
    <w:rsid w:val="00CB592A"/>
    <w:rsid w:val="00CB59C1"/>
    <w:rsid w:val="00CB5C34"/>
    <w:rsid w:val="00CC1E49"/>
    <w:rsid w:val="00CC22B0"/>
    <w:rsid w:val="00CC3C82"/>
    <w:rsid w:val="00CC4A83"/>
    <w:rsid w:val="00CD0B47"/>
    <w:rsid w:val="00CD3673"/>
    <w:rsid w:val="00CD5671"/>
    <w:rsid w:val="00CD5B8A"/>
    <w:rsid w:val="00CE0534"/>
    <w:rsid w:val="00CE08C3"/>
    <w:rsid w:val="00CE1815"/>
    <w:rsid w:val="00CE275D"/>
    <w:rsid w:val="00CE5C9D"/>
    <w:rsid w:val="00CF09D6"/>
    <w:rsid w:val="00CF177E"/>
    <w:rsid w:val="00CF2175"/>
    <w:rsid w:val="00CF5856"/>
    <w:rsid w:val="00CF5919"/>
    <w:rsid w:val="00CF6FDB"/>
    <w:rsid w:val="00CF7C08"/>
    <w:rsid w:val="00D03411"/>
    <w:rsid w:val="00D05539"/>
    <w:rsid w:val="00D07F60"/>
    <w:rsid w:val="00D11399"/>
    <w:rsid w:val="00D140F2"/>
    <w:rsid w:val="00D14770"/>
    <w:rsid w:val="00D168E6"/>
    <w:rsid w:val="00D171DA"/>
    <w:rsid w:val="00D221CF"/>
    <w:rsid w:val="00D22697"/>
    <w:rsid w:val="00D260CE"/>
    <w:rsid w:val="00D27626"/>
    <w:rsid w:val="00D30447"/>
    <w:rsid w:val="00D32E76"/>
    <w:rsid w:val="00D34725"/>
    <w:rsid w:val="00D354A8"/>
    <w:rsid w:val="00D35697"/>
    <w:rsid w:val="00D41379"/>
    <w:rsid w:val="00D42B11"/>
    <w:rsid w:val="00D42ED1"/>
    <w:rsid w:val="00D44D67"/>
    <w:rsid w:val="00D458EC"/>
    <w:rsid w:val="00D45E73"/>
    <w:rsid w:val="00D5343B"/>
    <w:rsid w:val="00D53580"/>
    <w:rsid w:val="00D551E1"/>
    <w:rsid w:val="00D55E4F"/>
    <w:rsid w:val="00D5601F"/>
    <w:rsid w:val="00D560E2"/>
    <w:rsid w:val="00D57FE6"/>
    <w:rsid w:val="00D630DB"/>
    <w:rsid w:val="00D634F5"/>
    <w:rsid w:val="00D63F45"/>
    <w:rsid w:val="00D63FFD"/>
    <w:rsid w:val="00D640F9"/>
    <w:rsid w:val="00D65E26"/>
    <w:rsid w:val="00D66E44"/>
    <w:rsid w:val="00D66F3E"/>
    <w:rsid w:val="00D71022"/>
    <w:rsid w:val="00D7158D"/>
    <w:rsid w:val="00D71FF2"/>
    <w:rsid w:val="00D731A0"/>
    <w:rsid w:val="00D74CE1"/>
    <w:rsid w:val="00D76503"/>
    <w:rsid w:val="00D767EB"/>
    <w:rsid w:val="00D76CB6"/>
    <w:rsid w:val="00D77445"/>
    <w:rsid w:val="00D776A8"/>
    <w:rsid w:val="00D87AE9"/>
    <w:rsid w:val="00D9224A"/>
    <w:rsid w:val="00D92992"/>
    <w:rsid w:val="00D92BC0"/>
    <w:rsid w:val="00D974C0"/>
    <w:rsid w:val="00D978E2"/>
    <w:rsid w:val="00DA0734"/>
    <w:rsid w:val="00DA23B0"/>
    <w:rsid w:val="00DA3C2F"/>
    <w:rsid w:val="00DA6A45"/>
    <w:rsid w:val="00DB74AE"/>
    <w:rsid w:val="00DB7769"/>
    <w:rsid w:val="00DB7EE9"/>
    <w:rsid w:val="00DC0CEC"/>
    <w:rsid w:val="00DC0F58"/>
    <w:rsid w:val="00DC2068"/>
    <w:rsid w:val="00DC34F4"/>
    <w:rsid w:val="00DE1F02"/>
    <w:rsid w:val="00DE29BA"/>
    <w:rsid w:val="00DE3FE3"/>
    <w:rsid w:val="00DE5BBF"/>
    <w:rsid w:val="00DE6248"/>
    <w:rsid w:val="00DF6DBA"/>
    <w:rsid w:val="00DF73A2"/>
    <w:rsid w:val="00DF7478"/>
    <w:rsid w:val="00DF795B"/>
    <w:rsid w:val="00E015B3"/>
    <w:rsid w:val="00E046E3"/>
    <w:rsid w:val="00E04737"/>
    <w:rsid w:val="00E06F3D"/>
    <w:rsid w:val="00E10243"/>
    <w:rsid w:val="00E10D91"/>
    <w:rsid w:val="00E13454"/>
    <w:rsid w:val="00E1543F"/>
    <w:rsid w:val="00E16B59"/>
    <w:rsid w:val="00E22602"/>
    <w:rsid w:val="00E22BF2"/>
    <w:rsid w:val="00E23797"/>
    <w:rsid w:val="00E24814"/>
    <w:rsid w:val="00E2612F"/>
    <w:rsid w:val="00E272C0"/>
    <w:rsid w:val="00E27E2C"/>
    <w:rsid w:val="00E30432"/>
    <w:rsid w:val="00E32EA4"/>
    <w:rsid w:val="00E35B6E"/>
    <w:rsid w:val="00E3662A"/>
    <w:rsid w:val="00E43476"/>
    <w:rsid w:val="00E47BE4"/>
    <w:rsid w:val="00E50BD7"/>
    <w:rsid w:val="00E53C2D"/>
    <w:rsid w:val="00E54FCE"/>
    <w:rsid w:val="00E5727B"/>
    <w:rsid w:val="00E618D2"/>
    <w:rsid w:val="00E6253C"/>
    <w:rsid w:val="00E62C6A"/>
    <w:rsid w:val="00E632DB"/>
    <w:rsid w:val="00E71D9E"/>
    <w:rsid w:val="00E7514A"/>
    <w:rsid w:val="00E824B1"/>
    <w:rsid w:val="00E82D03"/>
    <w:rsid w:val="00E83479"/>
    <w:rsid w:val="00E848EB"/>
    <w:rsid w:val="00E84AB6"/>
    <w:rsid w:val="00E93428"/>
    <w:rsid w:val="00E94459"/>
    <w:rsid w:val="00E96481"/>
    <w:rsid w:val="00EA5478"/>
    <w:rsid w:val="00EB02D0"/>
    <w:rsid w:val="00EB07CE"/>
    <w:rsid w:val="00EB372D"/>
    <w:rsid w:val="00EB424F"/>
    <w:rsid w:val="00EB4315"/>
    <w:rsid w:val="00EB6C4D"/>
    <w:rsid w:val="00EB74EE"/>
    <w:rsid w:val="00EB761C"/>
    <w:rsid w:val="00EC00B1"/>
    <w:rsid w:val="00EC5C8D"/>
    <w:rsid w:val="00EC76AA"/>
    <w:rsid w:val="00ED0BFB"/>
    <w:rsid w:val="00ED1C77"/>
    <w:rsid w:val="00EE2155"/>
    <w:rsid w:val="00EE27F3"/>
    <w:rsid w:val="00EE445E"/>
    <w:rsid w:val="00EE4EC7"/>
    <w:rsid w:val="00EE4FFC"/>
    <w:rsid w:val="00EE64CB"/>
    <w:rsid w:val="00EE7626"/>
    <w:rsid w:val="00EF12E9"/>
    <w:rsid w:val="00EF240B"/>
    <w:rsid w:val="00EF3129"/>
    <w:rsid w:val="00EF4961"/>
    <w:rsid w:val="00EF7C58"/>
    <w:rsid w:val="00F052A0"/>
    <w:rsid w:val="00F053F0"/>
    <w:rsid w:val="00F0561A"/>
    <w:rsid w:val="00F06575"/>
    <w:rsid w:val="00F06B90"/>
    <w:rsid w:val="00F07C68"/>
    <w:rsid w:val="00F07CA4"/>
    <w:rsid w:val="00F11BE9"/>
    <w:rsid w:val="00F13340"/>
    <w:rsid w:val="00F203E7"/>
    <w:rsid w:val="00F2095C"/>
    <w:rsid w:val="00F25853"/>
    <w:rsid w:val="00F30497"/>
    <w:rsid w:val="00F316FF"/>
    <w:rsid w:val="00F35DCE"/>
    <w:rsid w:val="00F37452"/>
    <w:rsid w:val="00F37470"/>
    <w:rsid w:val="00F374AF"/>
    <w:rsid w:val="00F41955"/>
    <w:rsid w:val="00F46435"/>
    <w:rsid w:val="00F5052C"/>
    <w:rsid w:val="00F50A79"/>
    <w:rsid w:val="00F542EE"/>
    <w:rsid w:val="00F572A0"/>
    <w:rsid w:val="00F57DD9"/>
    <w:rsid w:val="00F57FEA"/>
    <w:rsid w:val="00F603A0"/>
    <w:rsid w:val="00F60B50"/>
    <w:rsid w:val="00F6360F"/>
    <w:rsid w:val="00F65092"/>
    <w:rsid w:val="00F65BC2"/>
    <w:rsid w:val="00F70CB7"/>
    <w:rsid w:val="00F7137B"/>
    <w:rsid w:val="00F72849"/>
    <w:rsid w:val="00F72C07"/>
    <w:rsid w:val="00F81237"/>
    <w:rsid w:val="00F843AB"/>
    <w:rsid w:val="00F84D79"/>
    <w:rsid w:val="00F85DF2"/>
    <w:rsid w:val="00F86BB8"/>
    <w:rsid w:val="00F90691"/>
    <w:rsid w:val="00F924C7"/>
    <w:rsid w:val="00F93FDD"/>
    <w:rsid w:val="00F957B9"/>
    <w:rsid w:val="00FA056C"/>
    <w:rsid w:val="00FA3C40"/>
    <w:rsid w:val="00FA41D6"/>
    <w:rsid w:val="00FA46AB"/>
    <w:rsid w:val="00FA62F4"/>
    <w:rsid w:val="00FB0762"/>
    <w:rsid w:val="00FB2E81"/>
    <w:rsid w:val="00FB56D0"/>
    <w:rsid w:val="00FC4E8B"/>
    <w:rsid w:val="00FC7C66"/>
    <w:rsid w:val="00FD28A2"/>
    <w:rsid w:val="00FE2BA6"/>
    <w:rsid w:val="00FF6AFF"/>
    <w:rsid w:val="00FF7100"/>
    <w:rsid w:val="016411F1"/>
    <w:rsid w:val="030135E9"/>
    <w:rsid w:val="03573003"/>
    <w:rsid w:val="04247D50"/>
    <w:rsid w:val="04572021"/>
    <w:rsid w:val="04597BE3"/>
    <w:rsid w:val="07656FE4"/>
    <w:rsid w:val="082C7C8E"/>
    <w:rsid w:val="08C215C3"/>
    <w:rsid w:val="09241E8E"/>
    <w:rsid w:val="09554348"/>
    <w:rsid w:val="09A54489"/>
    <w:rsid w:val="0A643E43"/>
    <w:rsid w:val="0A8C3F2A"/>
    <w:rsid w:val="0B551D66"/>
    <w:rsid w:val="0C673B33"/>
    <w:rsid w:val="0D1D7A06"/>
    <w:rsid w:val="0E97694C"/>
    <w:rsid w:val="0ED27C8C"/>
    <w:rsid w:val="10B872CB"/>
    <w:rsid w:val="12D119A4"/>
    <w:rsid w:val="133111F6"/>
    <w:rsid w:val="142E5941"/>
    <w:rsid w:val="144D7852"/>
    <w:rsid w:val="14D62EA9"/>
    <w:rsid w:val="16374E96"/>
    <w:rsid w:val="184B569F"/>
    <w:rsid w:val="18694035"/>
    <w:rsid w:val="1C2D71DC"/>
    <w:rsid w:val="1FCC33B1"/>
    <w:rsid w:val="210D3E03"/>
    <w:rsid w:val="21116115"/>
    <w:rsid w:val="22A83E6A"/>
    <w:rsid w:val="25C67F97"/>
    <w:rsid w:val="289C2441"/>
    <w:rsid w:val="28A946D5"/>
    <w:rsid w:val="2A9D4E9C"/>
    <w:rsid w:val="2B5E10AB"/>
    <w:rsid w:val="2D630CD0"/>
    <w:rsid w:val="30B87309"/>
    <w:rsid w:val="356C368E"/>
    <w:rsid w:val="378305D0"/>
    <w:rsid w:val="3795666A"/>
    <w:rsid w:val="3796107F"/>
    <w:rsid w:val="395B041E"/>
    <w:rsid w:val="3B007297"/>
    <w:rsid w:val="3C120FC2"/>
    <w:rsid w:val="3C6E0417"/>
    <w:rsid w:val="3C930D7C"/>
    <w:rsid w:val="3FB059CA"/>
    <w:rsid w:val="40CC3D56"/>
    <w:rsid w:val="417E204F"/>
    <w:rsid w:val="44224A4D"/>
    <w:rsid w:val="454A6B2C"/>
    <w:rsid w:val="46196588"/>
    <w:rsid w:val="46515745"/>
    <w:rsid w:val="468A764A"/>
    <w:rsid w:val="46FB431D"/>
    <w:rsid w:val="49BA1706"/>
    <w:rsid w:val="4A724A9A"/>
    <w:rsid w:val="4ACD02FA"/>
    <w:rsid w:val="4B83670F"/>
    <w:rsid w:val="4BCB1BCD"/>
    <w:rsid w:val="4C7E088A"/>
    <w:rsid w:val="4D0509D0"/>
    <w:rsid w:val="4DDE4018"/>
    <w:rsid w:val="4E757502"/>
    <w:rsid w:val="4ED65D0D"/>
    <w:rsid w:val="4EE35DE6"/>
    <w:rsid w:val="4F4B4B32"/>
    <w:rsid w:val="4F6D0ED6"/>
    <w:rsid w:val="4FAF38CA"/>
    <w:rsid w:val="512C5624"/>
    <w:rsid w:val="52562E1B"/>
    <w:rsid w:val="53E51828"/>
    <w:rsid w:val="55F45A1F"/>
    <w:rsid w:val="55FF04E7"/>
    <w:rsid w:val="567C5BC0"/>
    <w:rsid w:val="56811293"/>
    <w:rsid w:val="5713699D"/>
    <w:rsid w:val="5917523A"/>
    <w:rsid w:val="5AA968EB"/>
    <w:rsid w:val="5AE71455"/>
    <w:rsid w:val="5B7C5FC7"/>
    <w:rsid w:val="5E446CD5"/>
    <w:rsid w:val="5E806C19"/>
    <w:rsid w:val="5F0931D3"/>
    <w:rsid w:val="5F0A3D82"/>
    <w:rsid w:val="5F595DB7"/>
    <w:rsid w:val="60AD2020"/>
    <w:rsid w:val="60D216E0"/>
    <w:rsid w:val="636D09A0"/>
    <w:rsid w:val="64B74DAD"/>
    <w:rsid w:val="651944CA"/>
    <w:rsid w:val="67455945"/>
    <w:rsid w:val="676C4D9F"/>
    <w:rsid w:val="67C61840"/>
    <w:rsid w:val="67E32F48"/>
    <w:rsid w:val="68133212"/>
    <w:rsid w:val="6A3D0AEC"/>
    <w:rsid w:val="6A512F47"/>
    <w:rsid w:val="6B3158B9"/>
    <w:rsid w:val="6BA76544"/>
    <w:rsid w:val="6BB44CA8"/>
    <w:rsid w:val="6BB74979"/>
    <w:rsid w:val="6D6130A0"/>
    <w:rsid w:val="6DBB55FB"/>
    <w:rsid w:val="6E542639"/>
    <w:rsid w:val="6E654250"/>
    <w:rsid w:val="6ECC3B74"/>
    <w:rsid w:val="6FF45414"/>
    <w:rsid w:val="716C1A27"/>
    <w:rsid w:val="72267E67"/>
    <w:rsid w:val="7295479D"/>
    <w:rsid w:val="73030BF6"/>
    <w:rsid w:val="73BC2433"/>
    <w:rsid w:val="73D641B2"/>
    <w:rsid w:val="73D87991"/>
    <w:rsid w:val="741C69DA"/>
    <w:rsid w:val="742A42E2"/>
    <w:rsid w:val="74DF1B14"/>
    <w:rsid w:val="75986535"/>
    <w:rsid w:val="76010B4D"/>
    <w:rsid w:val="79324C03"/>
    <w:rsid w:val="79AC6698"/>
    <w:rsid w:val="7A784379"/>
    <w:rsid w:val="7AA70279"/>
    <w:rsid w:val="7C264B7C"/>
    <w:rsid w:val="7C4A066F"/>
    <w:rsid w:val="7CF31A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 w:locked="1"/>
    <w:lsdException w:uiPriority="99" w:name="footnote text" w:locked="1"/>
    <w:lsdException w:qFormat="1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qFormat="1" w:uiPriority="99" w:semiHidden="0" w:name="FollowedHyperlink" w:locked="1"/>
    <w:lsdException w:qFormat="1" w:unhideWhenUsed="0" w:uiPriority="22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locked/>
    <w:uiPriority w:val="99"/>
    <w:pPr>
      <w:ind w:firstLine="420"/>
    </w:pPr>
    <w:rPr>
      <w:szCs w:val="21"/>
    </w:rPr>
  </w:style>
  <w:style w:type="paragraph" w:styleId="3">
    <w:name w:val="annotation text"/>
    <w:basedOn w:val="1"/>
    <w:unhideWhenUsed/>
    <w:qFormat/>
    <w:locked/>
    <w:uiPriority w:val="99"/>
    <w:pPr>
      <w:jc w:val="left"/>
    </w:pPr>
  </w:style>
  <w:style w:type="paragraph" w:styleId="4">
    <w:name w:val="Balloon Text"/>
    <w:basedOn w:val="1"/>
    <w:link w:val="17"/>
    <w:semiHidden/>
    <w:qFormat/>
    <w:uiPriority w:val="99"/>
    <w:rPr>
      <w:kern w:val="0"/>
      <w:sz w:val="16"/>
      <w:szCs w:val="16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22"/>
    <w:rPr>
      <w:rFonts w:cs="Times New Roman"/>
      <w:b/>
      <w:bCs/>
    </w:r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FollowedHyperlink"/>
    <w:unhideWhenUsed/>
    <w:qFormat/>
    <w:locked/>
    <w:uiPriority w:val="99"/>
    <w:rPr>
      <w:color w:val="800080"/>
      <w:u w:val="single"/>
    </w:rPr>
  </w:style>
  <w:style w:type="character" w:styleId="14">
    <w:name w:val="Hyperlink"/>
    <w:unhideWhenUsed/>
    <w:qFormat/>
    <w:locked/>
    <w:uiPriority w:val="99"/>
    <w:rPr>
      <w:color w:val="0000FF"/>
      <w:u w:val="single"/>
    </w:rPr>
  </w:style>
  <w:style w:type="character" w:customStyle="1" w:styleId="15">
    <w:name w:val="页眉 Char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6">
    <w:name w:val="页脚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批注框文本 Char"/>
    <w:link w:val="4"/>
    <w:semiHidden/>
    <w:qFormat/>
    <w:locked/>
    <w:uiPriority w:val="99"/>
    <w:rPr>
      <w:rFonts w:cs="Times New Roman"/>
      <w:sz w:val="16"/>
      <w:szCs w:val="16"/>
    </w:rPr>
  </w:style>
  <w:style w:type="character" w:customStyle="1" w:styleId="18">
    <w:name w:val="Body text|2_"/>
    <w:link w:val="19"/>
    <w:qFormat/>
    <w:uiPriority w:val="0"/>
    <w:rPr>
      <w:rFonts w:ascii="PMingLiU" w:hAnsi="PMingLiU" w:eastAsia="PMingLiU"/>
      <w:spacing w:val="30"/>
      <w:sz w:val="28"/>
      <w:shd w:val="clear" w:color="auto" w:fill="FFFFFF"/>
    </w:rPr>
  </w:style>
  <w:style w:type="paragraph" w:customStyle="1" w:styleId="19">
    <w:name w:val="Body text|2"/>
    <w:basedOn w:val="1"/>
    <w:link w:val="18"/>
    <w:unhideWhenUsed/>
    <w:qFormat/>
    <w:uiPriority w:val="0"/>
    <w:pPr>
      <w:shd w:val="clear" w:color="auto" w:fill="FFFFFF"/>
      <w:spacing w:before="600" w:line="598" w:lineRule="exact"/>
      <w:jc w:val="center"/>
    </w:pPr>
    <w:rPr>
      <w:rFonts w:ascii="PMingLiU" w:hAnsi="PMingLiU" w:eastAsia="PMingLiU"/>
      <w:spacing w:val="30"/>
      <w:kern w:val="0"/>
      <w:sz w:val="28"/>
      <w:szCs w:val="20"/>
    </w:rPr>
  </w:style>
  <w:style w:type="paragraph" w:customStyle="1" w:styleId="20">
    <w:name w:val="Char Char Char1 Char Char Char Char Char Char Char Char Char Char Char"/>
    <w:basedOn w:val="1"/>
    <w:qFormat/>
    <w:uiPriority w:val="99"/>
    <w:rPr>
      <w:szCs w:val="20"/>
    </w:rPr>
  </w:style>
  <w:style w:type="paragraph" w:customStyle="1" w:styleId="21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5272</Words>
  <Characters>5705</Characters>
  <Lines>29</Lines>
  <Paragraphs>8</Paragraphs>
  <TotalTime>17</TotalTime>
  <ScaleCrop>false</ScaleCrop>
  <LinksUpToDate>false</LinksUpToDate>
  <CharactersWithSpaces>5730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2022-11-22T09:15:00Z</dcterms:created>
  <dc:creator>Lenovo</dc:creator>
  <cp:lastModifiedBy>An</cp:lastModifiedBy>
  <cp:lastPrinted>2022-12-13T07:38:00Z</cp:lastPrinted>
  <dcterms:modified xsi:type="dcterms:W3CDTF">2025-02-08T03:31:51Z</dcterms:modified>
  <dc:title>广西北部湾产权交易所网站公告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C7120F97A8FE4F8599B8DB8B229649E6</vt:lpwstr>
  </property>
  <property fmtid="{D5CDD505-2E9C-101B-9397-08002B2CF9AE}" pid="4" name="KSOTemplateDocerSaveRecord">
    <vt:lpwstr>eyJoZGlkIjoiOTU0MjEyMWZiNDFhZmM5ZWM0NmQxNzBhNzRlYTY0YTkiLCJ1c2VySWQiOiIxMTY0MzE1NjY1In0=</vt:lpwstr>
  </property>
</Properties>
</file>