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Theme="minorEastAsia" w:hAnsiTheme="minorEastAsia" w:eastAsiaTheme="minorEastAsia"/>
          <w:b/>
          <w:color w:val="auto"/>
          <w:sz w:val="28"/>
          <w:szCs w:val="28"/>
          <w:highlight w:val="none"/>
          <w:lang w:eastAsia="zh-CN"/>
        </w:rPr>
      </w:pPr>
      <w:r>
        <w:rPr>
          <w:rFonts w:hint="eastAsia" w:asciiTheme="minorEastAsia" w:hAnsiTheme="minorEastAsia" w:eastAsiaTheme="minorEastAsia"/>
          <w:b/>
          <w:color w:val="auto"/>
          <w:sz w:val="28"/>
          <w:szCs w:val="28"/>
          <w:highlight w:val="none"/>
        </w:rPr>
        <w:t>项目名称：</w:t>
      </w:r>
      <w:r>
        <w:rPr>
          <w:rFonts w:hint="eastAsia" w:asciiTheme="minorEastAsia" w:hAnsiTheme="minorEastAsia" w:eastAsiaTheme="minorEastAsia"/>
          <w:b/>
          <w:color w:val="auto"/>
          <w:sz w:val="28"/>
          <w:szCs w:val="28"/>
          <w:highlight w:val="none"/>
          <w:lang w:eastAsia="zh-CN"/>
        </w:rPr>
        <w:t>律师事务所代理建设用地使用权出让合同纠纷（重庆豪德财富商业地产开发有限公司）</w:t>
      </w:r>
    </w:p>
    <w:p>
      <w:pPr>
        <w:jc w:val="center"/>
        <w:rPr>
          <w:rFonts w:asciiTheme="minorEastAsia" w:hAnsiTheme="minorEastAsia" w:eastAsiaTheme="minorEastAsia"/>
          <w:color w:val="auto"/>
          <w:sz w:val="44"/>
          <w:szCs w:val="44"/>
          <w:highlight w:val="none"/>
        </w:rPr>
      </w:pPr>
    </w:p>
    <w:p>
      <w:pPr>
        <w:pStyle w:val="2"/>
        <w:rPr>
          <w:color w:val="auto"/>
          <w:highlight w:val="none"/>
        </w:rPr>
      </w:pPr>
    </w:p>
    <w:p>
      <w:pPr>
        <w:jc w:val="center"/>
        <w:rPr>
          <w:rFonts w:asciiTheme="minorEastAsia" w:hAnsiTheme="minorEastAsia" w:eastAsiaTheme="minorEastAsia"/>
          <w:color w:val="auto"/>
          <w:sz w:val="44"/>
          <w:szCs w:val="44"/>
          <w:highlight w:val="none"/>
        </w:rPr>
      </w:pPr>
    </w:p>
    <w:p>
      <w:pPr>
        <w:jc w:val="center"/>
        <w:rPr>
          <w:rFonts w:asciiTheme="minorEastAsia" w:hAnsiTheme="minorEastAsia" w:eastAsiaTheme="minorEastAsia"/>
          <w:color w:val="auto"/>
          <w:sz w:val="44"/>
          <w:szCs w:val="44"/>
          <w:highlight w:val="none"/>
        </w:rPr>
      </w:pPr>
    </w:p>
    <w:p>
      <w:pPr>
        <w:jc w:val="center"/>
        <w:rPr>
          <w:rFonts w:asciiTheme="minorEastAsia" w:hAnsiTheme="minorEastAsia" w:eastAsiaTheme="minorEastAsia"/>
          <w:color w:val="auto"/>
          <w:sz w:val="44"/>
          <w:szCs w:val="44"/>
          <w:highlight w:val="none"/>
        </w:rPr>
      </w:pPr>
    </w:p>
    <w:p>
      <w:pPr>
        <w:jc w:val="center"/>
        <w:rPr>
          <w:rFonts w:asciiTheme="minorEastAsia" w:hAnsiTheme="minorEastAsia" w:eastAsiaTheme="minorEastAsia"/>
          <w:color w:val="auto"/>
          <w:sz w:val="44"/>
          <w:szCs w:val="44"/>
          <w:highlight w:val="none"/>
        </w:rPr>
      </w:pPr>
    </w:p>
    <w:p>
      <w:pPr>
        <w:jc w:val="center"/>
        <w:rPr>
          <w:rFonts w:asciiTheme="minorEastAsia" w:hAnsiTheme="minorEastAsia" w:eastAsiaTheme="minorEastAsia"/>
          <w:b/>
          <w:color w:val="auto"/>
          <w:sz w:val="84"/>
          <w:szCs w:val="84"/>
          <w:highlight w:val="none"/>
        </w:rPr>
      </w:pPr>
      <w:r>
        <w:rPr>
          <w:rFonts w:hint="eastAsia" w:asciiTheme="minorEastAsia" w:hAnsiTheme="minorEastAsia" w:eastAsiaTheme="minorEastAsia"/>
          <w:b/>
          <w:color w:val="auto"/>
          <w:sz w:val="84"/>
          <w:szCs w:val="84"/>
          <w:highlight w:val="none"/>
        </w:rPr>
        <w:t>竞争性比选文件</w:t>
      </w: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spacing w:line="400" w:lineRule="exact"/>
        <w:rPr>
          <w:rFonts w:asciiTheme="minorEastAsia" w:hAnsiTheme="minorEastAsia" w:eastAsiaTheme="minorEastAsia"/>
          <w:color w:val="auto"/>
          <w:highlight w:val="none"/>
        </w:rPr>
      </w:pPr>
    </w:p>
    <w:p>
      <w:pPr>
        <w:autoSpaceDE w:val="0"/>
        <w:autoSpaceDN w:val="0"/>
        <w:adjustRightInd w:val="0"/>
        <w:snapToGrid w:val="0"/>
        <w:spacing w:line="360" w:lineRule="auto"/>
        <w:jc w:val="left"/>
        <w:rPr>
          <w:rFonts w:cs="MingLiU" w:asciiTheme="minorEastAsia" w:hAnsiTheme="minorEastAsia" w:eastAsiaTheme="minorEastAsia"/>
          <w:color w:val="auto"/>
          <w:kern w:val="0"/>
          <w:sz w:val="20"/>
          <w:szCs w:val="20"/>
          <w:highlight w:val="none"/>
        </w:rPr>
      </w:pPr>
    </w:p>
    <w:p>
      <w:pPr>
        <w:tabs>
          <w:tab w:val="left" w:pos="6219"/>
        </w:tabs>
        <w:autoSpaceDE w:val="0"/>
        <w:autoSpaceDN w:val="0"/>
        <w:adjustRightInd w:val="0"/>
        <w:snapToGrid w:val="0"/>
        <w:spacing w:line="480" w:lineRule="auto"/>
        <w:ind w:right="-227" w:rightChars="-108"/>
        <w:jc w:val="left"/>
        <w:rPr>
          <w:rFonts w:hint="eastAsia" w:cs="宋体" w:asciiTheme="minorEastAsia" w:hAnsiTheme="minorEastAsia" w:eastAsiaTheme="minorEastAsia"/>
          <w:b/>
          <w:color w:val="auto"/>
          <w:kern w:val="0"/>
          <w:sz w:val="30"/>
          <w:szCs w:val="30"/>
          <w:highlight w:val="none"/>
          <w:lang w:eastAsia="zh-CN"/>
        </w:rPr>
      </w:pPr>
      <w:r>
        <w:rPr>
          <w:rFonts w:hint="eastAsia" w:cs="宋体" w:asciiTheme="minorEastAsia" w:hAnsiTheme="minorEastAsia" w:eastAsiaTheme="minorEastAsia"/>
          <w:b/>
          <w:color w:val="auto"/>
          <w:kern w:val="0"/>
          <w:sz w:val="30"/>
          <w:szCs w:val="30"/>
          <w:highlight w:val="none"/>
          <w:lang w:val="en-US" w:eastAsia="zh-CN"/>
        </w:rPr>
        <w:t>比选</w:t>
      </w:r>
      <w:r>
        <w:rPr>
          <w:rFonts w:hint="eastAsia" w:cs="宋体" w:asciiTheme="minorEastAsia" w:hAnsiTheme="minorEastAsia" w:eastAsiaTheme="minorEastAsia"/>
          <w:b/>
          <w:color w:val="auto"/>
          <w:kern w:val="0"/>
          <w:sz w:val="30"/>
          <w:szCs w:val="30"/>
          <w:highlight w:val="none"/>
        </w:rPr>
        <w:t>人：</w:t>
      </w:r>
      <w:r>
        <w:rPr>
          <w:rFonts w:hint="eastAsia" w:cs="宋体" w:asciiTheme="minorEastAsia" w:hAnsiTheme="minorEastAsia" w:eastAsiaTheme="minorEastAsia"/>
          <w:b/>
          <w:color w:val="auto"/>
          <w:kern w:val="0"/>
          <w:sz w:val="30"/>
          <w:szCs w:val="30"/>
          <w:highlight w:val="none"/>
          <w:u w:val="single"/>
          <w:lang w:eastAsia="zh-CN"/>
        </w:rPr>
        <w:t>重庆市江南城市建设发展（集团）有限公司</w:t>
      </w:r>
    </w:p>
    <w:p>
      <w:pPr>
        <w:tabs>
          <w:tab w:val="left" w:pos="6219"/>
        </w:tabs>
        <w:autoSpaceDE w:val="0"/>
        <w:autoSpaceDN w:val="0"/>
        <w:adjustRightInd w:val="0"/>
        <w:snapToGrid w:val="0"/>
        <w:spacing w:line="480" w:lineRule="auto"/>
        <w:ind w:right="-227" w:rightChars="-108"/>
        <w:rPr>
          <w:rFonts w:hint="eastAsia" w:cs="宋体" w:asciiTheme="minorEastAsia" w:hAnsiTheme="minorEastAsia" w:eastAsiaTheme="minorEastAsia"/>
          <w:b/>
          <w:color w:val="auto"/>
          <w:kern w:val="0"/>
          <w:sz w:val="30"/>
          <w:szCs w:val="30"/>
          <w:highlight w:val="none"/>
          <w:lang w:eastAsia="zh-CN"/>
        </w:rPr>
      </w:pPr>
      <w:r>
        <w:rPr>
          <w:rFonts w:hint="eastAsia" w:cs="宋体" w:asciiTheme="minorEastAsia" w:hAnsiTheme="minorEastAsia" w:eastAsiaTheme="minorEastAsia"/>
          <w:b/>
          <w:color w:val="auto"/>
          <w:kern w:val="0"/>
          <w:sz w:val="30"/>
          <w:szCs w:val="30"/>
          <w:highlight w:val="none"/>
        </w:rPr>
        <w:t>代理机构：</w:t>
      </w:r>
      <w:r>
        <w:rPr>
          <w:rFonts w:hint="eastAsia" w:cs="宋体" w:asciiTheme="minorEastAsia" w:hAnsiTheme="minorEastAsia" w:eastAsiaTheme="minorEastAsia"/>
          <w:b/>
          <w:color w:val="auto"/>
          <w:kern w:val="0"/>
          <w:sz w:val="30"/>
          <w:szCs w:val="30"/>
          <w:highlight w:val="none"/>
          <w:u w:val="single"/>
          <w:lang w:eastAsia="zh-CN"/>
        </w:rPr>
        <w:t>天之瓴建设股份有限公司</w:t>
      </w:r>
    </w:p>
    <w:p>
      <w:pPr>
        <w:spacing w:line="480" w:lineRule="auto"/>
        <w:jc w:val="center"/>
        <w:rPr>
          <w:rFonts w:cs="宋体" w:asciiTheme="minorEastAsia" w:hAnsiTheme="minorEastAsia" w:eastAsiaTheme="minorEastAsia"/>
          <w:b/>
          <w:color w:val="auto"/>
          <w:kern w:val="0"/>
          <w:sz w:val="30"/>
          <w:highlight w:val="none"/>
        </w:rPr>
      </w:pPr>
    </w:p>
    <w:p>
      <w:pPr>
        <w:spacing w:line="480" w:lineRule="auto"/>
        <w:jc w:val="center"/>
        <w:rPr>
          <w:rFonts w:asciiTheme="minorEastAsia" w:hAnsiTheme="minorEastAsia" w:eastAsiaTheme="minorEastAsia"/>
          <w:b/>
          <w:color w:val="auto"/>
          <w:sz w:val="36"/>
          <w:szCs w:val="44"/>
          <w:highlight w:val="none"/>
        </w:rPr>
        <w:sectPr>
          <w:headerReference r:id="rId3" w:type="default"/>
          <w:footerReference r:id="rId4" w:type="default"/>
          <w:pgSz w:w="11906" w:h="16838"/>
          <w:pgMar w:top="1247" w:right="1134" w:bottom="1134" w:left="1418" w:header="851" w:footer="522" w:gutter="0"/>
          <w:pgNumType w:start="1"/>
          <w:cols w:space="720" w:num="1"/>
          <w:docGrid w:type="lines" w:linePitch="312" w:charSpace="0"/>
        </w:sectPr>
      </w:pPr>
      <w:r>
        <w:rPr>
          <w:rFonts w:hint="eastAsia" w:cs="宋体" w:asciiTheme="minorEastAsia" w:hAnsiTheme="minorEastAsia" w:eastAsiaTheme="minorEastAsia"/>
          <w:b/>
          <w:color w:val="auto"/>
          <w:kern w:val="0"/>
          <w:sz w:val="30"/>
          <w:highlight w:val="none"/>
        </w:rPr>
        <w:t>二○二</w:t>
      </w:r>
      <w:r>
        <w:rPr>
          <w:rFonts w:hint="eastAsia" w:cs="宋体" w:asciiTheme="minorEastAsia" w:hAnsiTheme="minorEastAsia" w:eastAsiaTheme="minorEastAsia"/>
          <w:b/>
          <w:color w:val="auto"/>
          <w:kern w:val="0"/>
          <w:sz w:val="30"/>
          <w:highlight w:val="none"/>
          <w:lang w:val="en-US" w:eastAsia="zh-CN"/>
        </w:rPr>
        <w:t>三</w:t>
      </w:r>
      <w:r>
        <w:rPr>
          <w:rFonts w:hint="eastAsia" w:cs="宋体" w:asciiTheme="minorEastAsia" w:hAnsiTheme="minorEastAsia" w:eastAsiaTheme="minorEastAsia"/>
          <w:b/>
          <w:color w:val="auto"/>
          <w:kern w:val="0"/>
          <w:sz w:val="30"/>
          <w:highlight w:val="none"/>
        </w:rPr>
        <w:t>年</w:t>
      </w:r>
      <w:r>
        <w:rPr>
          <w:rFonts w:hint="eastAsia" w:cs="宋体" w:asciiTheme="minorEastAsia" w:hAnsiTheme="minorEastAsia" w:eastAsiaTheme="minorEastAsia"/>
          <w:b/>
          <w:color w:val="auto"/>
          <w:kern w:val="0"/>
          <w:sz w:val="30"/>
          <w:highlight w:val="none"/>
          <w:lang w:val="en-US" w:eastAsia="zh-CN"/>
        </w:rPr>
        <w:t>八</w:t>
      </w:r>
      <w:r>
        <w:rPr>
          <w:rFonts w:hint="eastAsia" w:cs="宋体" w:asciiTheme="minorEastAsia" w:hAnsiTheme="minorEastAsia" w:eastAsiaTheme="minorEastAsia"/>
          <w:b/>
          <w:color w:val="auto"/>
          <w:kern w:val="0"/>
          <w:sz w:val="30"/>
          <w:highlight w:val="none"/>
        </w:rPr>
        <w:t>月</w:t>
      </w:r>
    </w:p>
    <w:p>
      <w:pPr>
        <w:spacing w:line="500" w:lineRule="exact"/>
        <w:jc w:val="center"/>
        <w:rPr>
          <w:rFonts w:asciiTheme="minorEastAsia" w:hAnsiTheme="minorEastAsia" w:eastAsiaTheme="minorEastAsia"/>
          <w:b/>
          <w:color w:val="auto"/>
          <w:sz w:val="36"/>
          <w:szCs w:val="44"/>
          <w:highlight w:val="none"/>
        </w:rPr>
      </w:pPr>
      <w:r>
        <w:rPr>
          <w:rFonts w:hint="eastAsia" w:asciiTheme="minorEastAsia" w:hAnsiTheme="minorEastAsia" w:eastAsiaTheme="minorEastAsia"/>
          <w:b/>
          <w:color w:val="auto"/>
          <w:sz w:val="36"/>
          <w:szCs w:val="44"/>
          <w:highlight w:val="none"/>
        </w:rPr>
        <w:t>目  录</w:t>
      </w:r>
    </w:p>
    <w:p>
      <w:pPr>
        <w:spacing w:line="500" w:lineRule="exact"/>
        <w:jc w:val="center"/>
        <w:rPr>
          <w:rFonts w:asciiTheme="minorEastAsia" w:hAnsiTheme="minorEastAsia" w:eastAsiaTheme="minorEastAsia"/>
          <w:b/>
          <w:color w:val="auto"/>
          <w:sz w:val="44"/>
          <w:szCs w:val="44"/>
          <w:highlight w:val="none"/>
        </w:rPr>
      </w:pP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bookmarkStart w:id="0" w:name="A3"/>
      <w:bookmarkStart w:id="1" w:name="_Toc179632527"/>
      <w:r>
        <w:rPr>
          <w:rFonts w:cs="宋体" w:asciiTheme="minorEastAsia" w:hAnsiTheme="minorEastAsia" w:eastAsiaTheme="minorEastAsia"/>
          <w:b w:val="0"/>
          <w:bCs w:val="0"/>
          <w:caps w:val="0"/>
          <w:color w:val="auto"/>
          <w:kern w:val="0"/>
          <w:sz w:val="36"/>
          <w:szCs w:val="36"/>
          <w:highlight w:val="none"/>
        </w:rPr>
        <w:fldChar w:fldCharType="begin"/>
      </w:r>
      <w:r>
        <w:rPr>
          <w:rFonts w:hint="eastAsia" w:cs="宋体" w:asciiTheme="minorEastAsia" w:hAnsiTheme="minorEastAsia" w:eastAsiaTheme="minorEastAsia"/>
          <w:b w:val="0"/>
          <w:bCs w:val="0"/>
          <w:caps w:val="0"/>
          <w:color w:val="auto"/>
          <w:kern w:val="0"/>
          <w:sz w:val="36"/>
          <w:szCs w:val="36"/>
          <w:highlight w:val="none"/>
        </w:rPr>
        <w:instrText xml:space="preserve">TOC \o "1-3" \h \z \u</w:instrText>
      </w:r>
      <w:r>
        <w:rPr>
          <w:rFonts w:cs="宋体" w:asciiTheme="minorEastAsia" w:hAnsiTheme="minorEastAsia" w:eastAsiaTheme="minorEastAsia"/>
          <w:b w:val="0"/>
          <w:bCs w:val="0"/>
          <w:caps w:val="0"/>
          <w:color w:val="auto"/>
          <w:kern w:val="0"/>
          <w:sz w:val="36"/>
          <w:szCs w:val="36"/>
          <w:highlight w:val="none"/>
        </w:rPr>
        <w:fldChar w:fldCharType="separate"/>
      </w:r>
      <w:r>
        <w:rPr>
          <w:rFonts w:cs="宋体" w:asciiTheme="minorEastAsia" w:hAnsiTheme="minorEastAsia" w:eastAsiaTheme="minorEastAsia"/>
          <w:bCs w:val="0"/>
          <w:caps w:val="0"/>
          <w:color w:val="auto"/>
          <w:kern w:val="0"/>
          <w:szCs w:val="36"/>
          <w:highlight w:val="none"/>
        </w:rPr>
        <w:fldChar w:fldCharType="begin"/>
      </w:r>
      <w:r>
        <w:rPr>
          <w:rFonts w:cs="宋体" w:asciiTheme="minorEastAsia" w:hAnsiTheme="minorEastAsia" w:eastAsiaTheme="minorEastAsia"/>
          <w:bCs w:val="0"/>
          <w:caps w:val="0"/>
          <w:color w:val="auto"/>
          <w:kern w:val="0"/>
          <w:szCs w:val="36"/>
          <w:highlight w:val="none"/>
        </w:rPr>
        <w:instrText xml:space="preserve"> HYPERLINK \l _Toc4128 </w:instrText>
      </w:r>
      <w:r>
        <w:rPr>
          <w:rFonts w:cs="宋体" w:asciiTheme="minorEastAsia" w:hAnsiTheme="minorEastAsia" w:eastAsiaTheme="minorEastAsia"/>
          <w:bCs w:val="0"/>
          <w:caps w:val="0"/>
          <w:color w:val="auto"/>
          <w:kern w:val="0"/>
          <w:szCs w:val="36"/>
          <w:highlight w:val="none"/>
        </w:rPr>
        <w:fldChar w:fldCharType="separate"/>
      </w:r>
      <w:r>
        <w:rPr>
          <w:rFonts w:hint="eastAsia" w:cs="宋体" w:asciiTheme="minorEastAsia" w:hAnsiTheme="minorEastAsia" w:eastAsiaTheme="minorEastAsia"/>
          <w:color w:val="auto"/>
          <w:highlight w:val="none"/>
        </w:rPr>
        <w:t>第一章  比选公告</w:t>
      </w:r>
      <w:r>
        <w:rPr>
          <w:color w:val="auto"/>
        </w:rPr>
        <w:tab/>
      </w:r>
      <w:r>
        <w:rPr>
          <w:color w:val="auto"/>
        </w:rPr>
        <w:fldChar w:fldCharType="begin"/>
      </w:r>
      <w:r>
        <w:rPr>
          <w:color w:val="auto"/>
        </w:rPr>
        <w:instrText xml:space="preserve"> PAGEREF _Toc4128 \h </w:instrText>
      </w:r>
      <w:r>
        <w:rPr>
          <w:color w:val="auto"/>
        </w:rPr>
        <w:fldChar w:fldCharType="separate"/>
      </w:r>
      <w:r>
        <w:rPr>
          <w:color w:val="auto"/>
        </w:rPr>
        <w:t>2</w:t>
      </w:r>
      <w:r>
        <w:rPr>
          <w:color w:val="auto"/>
        </w:rPr>
        <w:fldChar w:fldCharType="end"/>
      </w:r>
      <w:r>
        <w:rPr>
          <w:rFonts w:cs="宋体" w:asciiTheme="minorEastAsia" w:hAnsiTheme="minorEastAsia" w:eastAsiaTheme="minorEastAsia"/>
          <w:bCs w:val="0"/>
          <w:caps w:val="0"/>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_Toc21763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1.比选条件</w:t>
      </w:r>
      <w:r>
        <w:rPr>
          <w:color w:val="auto"/>
        </w:rPr>
        <w:tab/>
      </w:r>
      <w:r>
        <w:rPr>
          <w:color w:val="auto"/>
        </w:rPr>
        <w:fldChar w:fldCharType="begin"/>
      </w:r>
      <w:r>
        <w:rPr>
          <w:color w:val="auto"/>
        </w:rPr>
        <w:instrText xml:space="preserve"> PAGEREF _Toc21763 \h </w:instrText>
      </w:r>
      <w:r>
        <w:rPr>
          <w:color w:val="auto"/>
        </w:rPr>
        <w:fldChar w:fldCharType="separate"/>
      </w:r>
      <w:r>
        <w:rPr>
          <w:color w:val="auto"/>
        </w:rPr>
        <w:t>2</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_Toc16040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2.项目概况与比选范围</w:t>
      </w:r>
      <w:r>
        <w:rPr>
          <w:color w:val="auto"/>
        </w:rPr>
        <w:tab/>
      </w:r>
      <w:r>
        <w:rPr>
          <w:color w:val="auto"/>
        </w:rPr>
        <w:fldChar w:fldCharType="begin"/>
      </w:r>
      <w:r>
        <w:rPr>
          <w:color w:val="auto"/>
        </w:rPr>
        <w:instrText xml:space="preserve"> PAGEREF _Toc16040 \h </w:instrText>
      </w:r>
      <w:r>
        <w:rPr>
          <w:color w:val="auto"/>
        </w:rPr>
        <w:fldChar w:fldCharType="separate"/>
      </w:r>
      <w:r>
        <w:rPr>
          <w:color w:val="auto"/>
        </w:rPr>
        <w:t>2</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_Toc18365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3.竞选人资格要求</w:t>
      </w:r>
      <w:r>
        <w:rPr>
          <w:color w:val="auto"/>
        </w:rPr>
        <w:tab/>
      </w:r>
      <w:r>
        <w:rPr>
          <w:color w:val="auto"/>
        </w:rPr>
        <w:fldChar w:fldCharType="begin"/>
      </w:r>
      <w:r>
        <w:rPr>
          <w:color w:val="auto"/>
        </w:rPr>
        <w:instrText xml:space="preserve"> PAGEREF _Toc18365 \h </w:instrText>
      </w:r>
      <w:r>
        <w:rPr>
          <w:color w:val="auto"/>
        </w:rPr>
        <w:fldChar w:fldCharType="separate"/>
      </w:r>
      <w:r>
        <w:rPr>
          <w:color w:val="auto"/>
        </w:rPr>
        <w:t>2</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_Toc19877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4.比选文件的获取</w:t>
      </w:r>
      <w:r>
        <w:rPr>
          <w:color w:val="auto"/>
        </w:rPr>
        <w:tab/>
      </w:r>
      <w:r>
        <w:rPr>
          <w:color w:val="auto"/>
        </w:rPr>
        <w:fldChar w:fldCharType="begin"/>
      </w:r>
      <w:r>
        <w:rPr>
          <w:color w:val="auto"/>
        </w:rPr>
        <w:instrText xml:space="preserve"> PAGEREF _Toc19877 \h </w:instrText>
      </w:r>
      <w:r>
        <w:rPr>
          <w:color w:val="auto"/>
        </w:rPr>
        <w:fldChar w:fldCharType="separate"/>
      </w:r>
      <w:r>
        <w:rPr>
          <w:color w:val="auto"/>
        </w:rPr>
        <w:t>2</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_Toc16105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5.竞选文件递交的截止时间和开标时间及地点</w:t>
      </w:r>
      <w:r>
        <w:rPr>
          <w:color w:val="auto"/>
        </w:rPr>
        <w:tab/>
      </w:r>
      <w:r>
        <w:rPr>
          <w:color w:val="auto"/>
        </w:rPr>
        <w:fldChar w:fldCharType="begin"/>
      </w:r>
      <w:r>
        <w:rPr>
          <w:color w:val="auto"/>
        </w:rPr>
        <w:instrText xml:space="preserve"> PAGEREF _Toc16105 \h </w:instrText>
      </w:r>
      <w:r>
        <w:rPr>
          <w:color w:val="auto"/>
        </w:rPr>
        <w:fldChar w:fldCharType="separate"/>
      </w:r>
      <w:r>
        <w:rPr>
          <w:color w:val="auto"/>
        </w:rPr>
        <w:t>3</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_Toc28378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6.联系方式</w:t>
      </w:r>
      <w:r>
        <w:rPr>
          <w:color w:val="auto"/>
        </w:rPr>
        <w:tab/>
      </w:r>
      <w:r>
        <w:rPr>
          <w:color w:val="auto"/>
        </w:rPr>
        <w:fldChar w:fldCharType="begin"/>
      </w:r>
      <w:r>
        <w:rPr>
          <w:color w:val="auto"/>
        </w:rPr>
        <w:instrText xml:space="preserve"> PAGEREF _Toc28378 \h </w:instrText>
      </w:r>
      <w:r>
        <w:rPr>
          <w:color w:val="auto"/>
        </w:rPr>
        <w:fldChar w:fldCharType="separate"/>
      </w:r>
      <w:r>
        <w:rPr>
          <w:color w:val="auto"/>
        </w:rPr>
        <w:t>3</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_Toc28092 </w:instrText>
      </w:r>
      <w:r>
        <w:rPr>
          <w:rFonts w:cs="宋体" w:asciiTheme="minorEastAsia" w:hAnsiTheme="minorEastAsia" w:eastAsiaTheme="minorEastAsia"/>
          <w:bCs/>
          <w:caps/>
          <w:color w:val="auto"/>
          <w:kern w:val="0"/>
          <w:szCs w:val="36"/>
          <w:highlight w:val="none"/>
        </w:rPr>
        <w:fldChar w:fldCharType="separate"/>
      </w:r>
      <w:r>
        <w:rPr>
          <w:rFonts w:hint="eastAsia" w:cs="宋体" w:asciiTheme="minorEastAsia" w:hAnsiTheme="minorEastAsia" w:eastAsiaTheme="minorEastAsia"/>
          <w:color w:val="auto"/>
          <w:highlight w:val="none"/>
        </w:rPr>
        <w:t>第二章  竞选人须知前附表</w:t>
      </w:r>
      <w:r>
        <w:rPr>
          <w:color w:val="auto"/>
        </w:rPr>
        <w:tab/>
      </w:r>
      <w:r>
        <w:rPr>
          <w:color w:val="auto"/>
        </w:rPr>
        <w:fldChar w:fldCharType="begin"/>
      </w:r>
      <w:r>
        <w:rPr>
          <w:color w:val="auto"/>
        </w:rPr>
        <w:instrText xml:space="preserve"> PAGEREF _Toc28092 \h </w:instrText>
      </w:r>
      <w:r>
        <w:rPr>
          <w:color w:val="auto"/>
        </w:rPr>
        <w:fldChar w:fldCharType="separate"/>
      </w:r>
      <w:r>
        <w:rPr>
          <w:color w:val="auto"/>
        </w:rPr>
        <w:t>4</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_Toc14115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44"/>
          <w:highlight w:val="none"/>
        </w:rPr>
        <w:t>第三章 评选办法(综合评估法)</w:t>
      </w:r>
      <w:r>
        <w:rPr>
          <w:color w:val="auto"/>
        </w:rPr>
        <w:tab/>
      </w:r>
      <w:r>
        <w:rPr>
          <w:color w:val="auto"/>
        </w:rPr>
        <w:fldChar w:fldCharType="begin"/>
      </w:r>
      <w:r>
        <w:rPr>
          <w:color w:val="auto"/>
        </w:rPr>
        <w:instrText xml:space="preserve"> PAGEREF _Toc14115 \h </w:instrText>
      </w:r>
      <w:r>
        <w:rPr>
          <w:color w:val="auto"/>
        </w:rPr>
        <w:fldChar w:fldCharType="separate"/>
      </w:r>
      <w:r>
        <w:rPr>
          <w:color w:val="auto"/>
        </w:rPr>
        <w:t>17</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_Toc29243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1.  评选方法</w:t>
      </w:r>
      <w:r>
        <w:rPr>
          <w:color w:val="auto"/>
        </w:rPr>
        <w:tab/>
      </w:r>
      <w:r>
        <w:rPr>
          <w:color w:val="auto"/>
        </w:rPr>
        <w:fldChar w:fldCharType="begin"/>
      </w:r>
      <w:r>
        <w:rPr>
          <w:color w:val="auto"/>
        </w:rPr>
        <w:instrText xml:space="preserve"> PAGEREF _Toc29243 \h </w:instrText>
      </w:r>
      <w:r>
        <w:rPr>
          <w:color w:val="auto"/>
        </w:rPr>
        <w:fldChar w:fldCharType="separate"/>
      </w:r>
      <w:r>
        <w:rPr>
          <w:color w:val="auto"/>
        </w:rPr>
        <w:t>20</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_Toc32445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2.  评审标准</w:t>
      </w:r>
      <w:r>
        <w:rPr>
          <w:color w:val="auto"/>
        </w:rPr>
        <w:tab/>
      </w:r>
      <w:r>
        <w:rPr>
          <w:color w:val="auto"/>
        </w:rPr>
        <w:fldChar w:fldCharType="begin"/>
      </w:r>
      <w:r>
        <w:rPr>
          <w:color w:val="auto"/>
        </w:rPr>
        <w:instrText xml:space="preserve"> PAGEREF _Toc32445 \h </w:instrText>
      </w:r>
      <w:r>
        <w:rPr>
          <w:color w:val="auto"/>
        </w:rPr>
        <w:fldChar w:fldCharType="separate"/>
      </w:r>
      <w:r>
        <w:rPr>
          <w:color w:val="auto"/>
        </w:rPr>
        <w:t>20</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_Toc21709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2.1  初步评审标准</w:t>
      </w:r>
      <w:r>
        <w:rPr>
          <w:color w:val="auto"/>
        </w:rPr>
        <w:tab/>
      </w:r>
      <w:r>
        <w:rPr>
          <w:color w:val="auto"/>
        </w:rPr>
        <w:fldChar w:fldCharType="begin"/>
      </w:r>
      <w:r>
        <w:rPr>
          <w:color w:val="auto"/>
        </w:rPr>
        <w:instrText xml:space="preserve"> PAGEREF _Toc21709 \h </w:instrText>
      </w:r>
      <w:r>
        <w:rPr>
          <w:color w:val="auto"/>
        </w:rPr>
        <w:fldChar w:fldCharType="separate"/>
      </w:r>
      <w:r>
        <w:rPr>
          <w:color w:val="auto"/>
        </w:rPr>
        <w:t>20</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_Toc264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2.2  分值构成与评分标准</w:t>
      </w:r>
      <w:r>
        <w:rPr>
          <w:color w:val="auto"/>
        </w:rPr>
        <w:tab/>
      </w:r>
      <w:r>
        <w:rPr>
          <w:color w:val="auto"/>
        </w:rPr>
        <w:fldChar w:fldCharType="begin"/>
      </w:r>
      <w:r>
        <w:rPr>
          <w:color w:val="auto"/>
        </w:rPr>
        <w:instrText xml:space="preserve"> PAGEREF _Toc264 \h </w:instrText>
      </w:r>
      <w:r>
        <w:rPr>
          <w:color w:val="auto"/>
        </w:rPr>
        <w:fldChar w:fldCharType="separate"/>
      </w:r>
      <w:r>
        <w:rPr>
          <w:color w:val="auto"/>
        </w:rPr>
        <w:t>20</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_Toc19843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3. 评选程序</w:t>
      </w:r>
      <w:r>
        <w:rPr>
          <w:color w:val="auto"/>
        </w:rPr>
        <w:tab/>
      </w:r>
      <w:r>
        <w:rPr>
          <w:color w:val="auto"/>
        </w:rPr>
        <w:fldChar w:fldCharType="begin"/>
      </w:r>
      <w:r>
        <w:rPr>
          <w:color w:val="auto"/>
        </w:rPr>
        <w:instrText xml:space="preserve"> PAGEREF _Toc19843 \h </w:instrText>
      </w:r>
      <w:r>
        <w:rPr>
          <w:color w:val="auto"/>
        </w:rPr>
        <w:fldChar w:fldCharType="separate"/>
      </w:r>
      <w:r>
        <w:rPr>
          <w:color w:val="auto"/>
        </w:rPr>
        <w:t>20</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_Toc8001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3.1  初步评审</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20</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_Toc17514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3.2  详细评审</w:t>
      </w:r>
      <w:r>
        <w:rPr>
          <w:color w:val="auto"/>
        </w:rPr>
        <w:tab/>
      </w:r>
      <w:r>
        <w:rPr>
          <w:color w:val="auto"/>
        </w:rPr>
        <w:fldChar w:fldCharType="begin"/>
      </w:r>
      <w:r>
        <w:rPr>
          <w:color w:val="auto"/>
        </w:rPr>
        <w:instrText xml:space="preserve"> PAGEREF _Toc17514 \h </w:instrText>
      </w:r>
      <w:r>
        <w:rPr>
          <w:color w:val="auto"/>
        </w:rPr>
        <w:fldChar w:fldCharType="separate"/>
      </w:r>
      <w:r>
        <w:rPr>
          <w:color w:val="auto"/>
        </w:rPr>
        <w:t>21</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_Toc1528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3.3  竞选文件的澄清和补正</w:t>
      </w:r>
      <w:r>
        <w:rPr>
          <w:color w:val="auto"/>
        </w:rPr>
        <w:tab/>
      </w:r>
      <w:r>
        <w:rPr>
          <w:color w:val="auto"/>
        </w:rPr>
        <w:fldChar w:fldCharType="begin"/>
      </w:r>
      <w:r>
        <w:rPr>
          <w:color w:val="auto"/>
        </w:rPr>
        <w:instrText xml:space="preserve"> PAGEREF _Toc1528 \h </w:instrText>
      </w:r>
      <w:r>
        <w:rPr>
          <w:color w:val="auto"/>
        </w:rPr>
        <w:fldChar w:fldCharType="separate"/>
      </w:r>
      <w:r>
        <w:rPr>
          <w:color w:val="auto"/>
        </w:rPr>
        <w:t>21</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_Toc28067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21"/>
          <w:highlight w:val="none"/>
        </w:rPr>
        <w:t>3.4  评选结果</w:t>
      </w:r>
      <w:r>
        <w:rPr>
          <w:color w:val="auto"/>
        </w:rPr>
        <w:tab/>
      </w:r>
      <w:r>
        <w:rPr>
          <w:color w:val="auto"/>
        </w:rPr>
        <w:fldChar w:fldCharType="begin"/>
      </w:r>
      <w:r>
        <w:rPr>
          <w:color w:val="auto"/>
        </w:rPr>
        <w:instrText xml:space="preserve"> PAGEREF _Toc28067 \h </w:instrText>
      </w:r>
      <w:r>
        <w:rPr>
          <w:color w:val="auto"/>
        </w:rPr>
        <w:fldChar w:fldCharType="separate"/>
      </w:r>
      <w:r>
        <w:rPr>
          <w:color w:val="auto"/>
        </w:rPr>
        <w:t>21</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_Toc13139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44"/>
          <w:highlight w:val="none"/>
        </w:rPr>
        <w:t>第四章 合同条款及格式</w:t>
      </w:r>
      <w:r>
        <w:rPr>
          <w:color w:val="auto"/>
        </w:rPr>
        <w:tab/>
      </w:r>
      <w:r>
        <w:rPr>
          <w:color w:val="auto"/>
        </w:rPr>
        <w:fldChar w:fldCharType="begin"/>
      </w:r>
      <w:r>
        <w:rPr>
          <w:color w:val="auto"/>
        </w:rPr>
        <w:instrText xml:space="preserve"> PAGEREF _Toc13139 \h </w:instrText>
      </w:r>
      <w:r>
        <w:rPr>
          <w:color w:val="auto"/>
        </w:rPr>
        <w:fldChar w:fldCharType="separate"/>
      </w:r>
      <w:r>
        <w:rPr>
          <w:color w:val="auto"/>
        </w:rPr>
        <w:t>24</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1"/>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_Toc10012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eastAsia="zh-CN"/>
        </w:rPr>
        <w:t>五</w:t>
      </w:r>
      <w:r>
        <w:rPr>
          <w:rFonts w:hint="eastAsia" w:asciiTheme="minorEastAsia" w:hAnsiTheme="minorEastAsia" w:eastAsiaTheme="minorEastAsia"/>
          <w:color w:val="auto"/>
          <w:highlight w:val="none"/>
        </w:rPr>
        <w:t>章　竞选文件格式</w:t>
      </w:r>
      <w:r>
        <w:rPr>
          <w:color w:val="auto"/>
        </w:rPr>
        <w:tab/>
      </w:r>
      <w:r>
        <w:rPr>
          <w:color w:val="auto"/>
        </w:rPr>
        <w:fldChar w:fldCharType="begin"/>
      </w:r>
      <w:r>
        <w:rPr>
          <w:color w:val="auto"/>
        </w:rPr>
        <w:instrText xml:space="preserve"> PAGEREF _Toc10012 \h </w:instrText>
      </w:r>
      <w:r>
        <w:rPr>
          <w:color w:val="auto"/>
        </w:rPr>
        <w:fldChar w:fldCharType="separate"/>
      </w:r>
      <w:r>
        <w:rPr>
          <w:color w:val="auto"/>
        </w:rPr>
        <w:t>25</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_Toc3172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32"/>
          <w:highlight w:val="none"/>
        </w:rPr>
        <w:t>一、竞选函部分</w:t>
      </w:r>
      <w:r>
        <w:rPr>
          <w:color w:val="auto"/>
        </w:rPr>
        <w:tab/>
      </w:r>
      <w:r>
        <w:rPr>
          <w:color w:val="auto"/>
        </w:rPr>
        <w:fldChar w:fldCharType="begin"/>
      </w:r>
      <w:r>
        <w:rPr>
          <w:color w:val="auto"/>
        </w:rPr>
        <w:instrText xml:space="preserve"> PAGEREF _Toc3172 \h </w:instrText>
      </w:r>
      <w:r>
        <w:rPr>
          <w:color w:val="auto"/>
        </w:rPr>
        <w:fldChar w:fldCharType="separate"/>
      </w:r>
      <w:r>
        <w:rPr>
          <w:color w:val="auto"/>
        </w:rPr>
        <w:t>26</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_Toc11542 </w:instrText>
      </w:r>
      <w:r>
        <w:rPr>
          <w:rFonts w:cs="宋体" w:asciiTheme="minorEastAsia" w:hAnsiTheme="minorEastAsia" w:eastAsiaTheme="minorEastAsia"/>
          <w:bCs/>
          <w:caps/>
          <w:color w:val="auto"/>
          <w:kern w:val="0"/>
          <w:szCs w:val="36"/>
          <w:highlight w:val="none"/>
        </w:rPr>
        <w:fldChar w:fldCharType="separate"/>
      </w:r>
      <w:r>
        <w:rPr>
          <w:rFonts w:hint="eastAsia" w:cs="MingLiU" w:asciiTheme="minorEastAsia" w:hAnsiTheme="minorEastAsia" w:eastAsiaTheme="minorEastAsia"/>
          <w:color w:val="auto"/>
          <w:kern w:val="0"/>
          <w:szCs w:val="32"/>
          <w:highlight w:val="none"/>
        </w:rPr>
        <w:t>（一）法定代表人身份证明及授权委托书</w:t>
      </w:r>
      <w:r>
        <w:rPr>
          <w:color w:val="auto"/>
        </w:rPr>
        <w:tab/>
      </w:r>
      <w:r>
        <w:rPr>
          <w:color w:val="auto"/>
        </w:rPr>
        <w:fldChar w:fldCharType="begin"/>
      </w:r>
      <w:r>
        <w:rPr>
          <w:color w:val="auto"/>
        </w:rPr>
        <w:instrText xml:space="preserve"> PAGEREF _Toc11542 \h </w:instrText>
      </w:r>
      <w:r>
        <w:rPr>
          <w:color w:val="auto"/>
        </w:rPr>
        <w:fldChar w:fldCharType="separate"/>
      </w:r>
      <w:r>
        <w:rPr>
          <w:color w:val="auto"/>
        </w:rPr>
        <w:t>29</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_Toc25103 </w:instrText>
      </w:r>
      <w:r>
        <w:rPr>
          <w:rFonts w:cs="宋体" w:asciiTheme="minorEastAsia" w:hAnsiTheme="minorEastAsia" w:eastAsiaTheme="minorEastAsia"/>
          <w:bCs/>
          <w:caps/>
          <w:color w:val="auto"/>
          <w:kern w:val="0"/>
          <w:szCs w:val="36"/>
          <w:highlight w:val="none"/>
        </w:rPr>
        <w:fldChar w:fldCharType="separate"/>
      </w:r>
      <w:r>
        <w:rPr>
          <w:rFonts w:hint="eastAsia" w:cs="MingLiU" w:asciiTheme="minorEastAsia" w:hAnsiTheme="minorEastAsia" w:eastAsiaTheme="minorEastAsia"/>
          <w:color w:val="auto"/>
          <w:kern w:val="0"/>
          <w:szCs w:val="32"/>
          <w:highlight w:val="none"/>
        </w:rPr>
        <w:t>（二）比选文件确认书</w:t>
      </w:r>
      <w:r>
        <w:rPr>
          <w:color w:val="auto"/>
        </w:rPr>
        <w:tab/>
      </w:r>
      <w:r>
        <w:rPr>
          <w:color w:val="auto"/>
        </w:rPr>
        <w:fldChar w:fldCharType="begin"/>
      </w:r>
      <w:r>
        <w:rPr>
          <w:color w:val="auto"/>
        </w:rPr>
        <w:instrText xml:space="preserve"> PAGEREF _Toc25103 \h </w:instrText>
      </w:r>
      <w:r>
        <w:rPr>
          <w:color w:val="auto"/>
        </w:rPr>
        <w:fldChar w:fldCharType="separate"/>
      </w:r>
      <w:r>
        <w:rPr>
          <w:color w:val="auto"/>
        </w:rPr>
        <w:t>31</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6"/>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_Toc9187 </w:instrText>
      </w:r>
      <w:r>
        <w:rPr>
          <w:rFonts w:cs="宋体" w:asciiTheme="minorEastAsia" w:hAnsiTheme="minorEastAsia" w:eastAsiaTheme="minorEastAsia"/>
          <w:bCs/>
          <w:caps/>
          <w:color w:val="auto"/>
          <w:kern w:val="0"/>
          <w:szCs w:val="36"/>
          <w:highlight w:val="none"/>
        </w:rPr>
        <w:fldChar w:fldCharType="separate"/>
      </w:r>
      <w:r>
        <w:rPr>
          <w:rFonts w:hint="eastAsia" w:cs="MingLiU" w:asciiTheme="minorEastAsia" w:hAnsiTheme="minorEastAsia" w:eastAsiaTheme="minorEastAsia"/>
          <w:color w:val="auto"/>
          <w:kern w:val="0"/>
          <w:szCs w:val="32"/>
          <w:highlight w:val="none"/>
        </w:rPr>
        <w:t>（三）竞选函</w:t>
      </w:r>
      <w:r>
        <w:rPr>
          <w:color w:val="auto"/>
        </w:rPr>
        <w:tab/>
      </w:r>
      <w:r>
        <w:rPr>
          <w:color w:val="auto"/>
        </w:rPr>
        <w:fldChar w:fldCharType="begin"/>
      </w:r>
      <w:r>
        <w:rPr>
          <w:color w:val="auto"/>
        </w:rPr>
        <w:instrText xml:space="preserve"> PAGEREF _Toc9187 \h </w:instrText>
      </w:r>
      <w:r>
        <w:rPr>
          <w:color w:val="auto"/>
        </w:rPr>
        <w:fldChar w:fldCharType="separate"/>
      </w:r>
      <w:r>
        <w:rPr>
          <w:color w:val="auto"/>
        </w:rPr>
        <w:t>32</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color w:val="auto"/>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_Toc2654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32"/>
          <w:highlight w:val="none"/>
        </w:rPr>
        <w:t>二、资格审查资料（含商务部分）</w:t>
      </w:r>
      <w:r>
        <w:rPr>
          <w:color w:val="auto"/>
        </w:rPr>
        <w:tab/>
      </w:r>
      <w:r>
        <w:rPr>
          <w:color w:val="auto"/>
        </w:rPr>
        <w:fldChar w:fldCharType="begin"/>
      </w:r>
      <w:r>
        <w:rPr>
          <w:color w:val="auto"/>
        </w:rPr>
        <w:instrText xml:space="preserve"> PAGEREF _Toc2654 \h </w:instrText>
      </w:r>
      <w:r>
        <w:rPr>
          <w:color w:val="auto"/>
        </w:rPr>
        <w:fldChar w:fldCharType="separate"/>
      </w:r>
      <w:r>
        <w:rPr>
          <w:color w:val="auto"/>
        </w:rPr>
        <w:t>33</w:t>
      </w:r>
      <w:r>
        <w:rPr>
          <w:color w:val="auto"/>
        </w:rPr>
        <w:fldChar w:fldCharType="end"/>
      </w:r>
      <w:r>
        <w:rPr>
          <w:rFonts w:cs="宋体" w:asciiTheme="minorEastAsia" w:hAnsiTheme="minorEastAsia" w:eastAsiaTheme="minorEastAsia"/>
          <w:bCs/>
          <w:caps/>
          <w:color w:val="auto"/>
          <w:kern w:val="0"/>
          <w:szCs w:val="36"/>
          <w:highlight w:val="none"/>
        </w:rPr>
        <w:fldChar w:fldCharType="end"/>
      </w:r>
    </w:p>
    <w:p>
      <w:pPr>
        <w:pStyle w:val="14"/>
        <w:keepNext w:val="0"/>
        <w:keepLines w:val="0"/>
        <w:pageBreakBefore w:val="0"/>
        <w:widowControl w:val="0"/>
        <w:tabs>
          <w:tab w:val="right" w:leader="dot" w:pos="9354"/>
        </w:tabs>
        <w:kinsoku/>
        <w:wordWrap/>
        <w:overflowPunct/>
        <w:topLinePunct w:val="0"/>
        <w:autoSpaceDE/>
        <w:autoSpaceDN/>
        <w:bidi w:val="0"/>
        <w:adjustRightInd/>
        <w:snapToGrid/>
        <w:spacing w:line="360" w:lineRule="auto"/>
        <w:jc w:val="both"/>
        <w:textAlignment w:val="auto"/>
        <w:rPr>
          <w:rFonts w:asciiTheme="minorEastAsia" w:hAnsiTheme="minorEastAsia" w:eastAsiaTheme="minorEastAsia"/>
          <w:color w:val="auto"/>
          <w:sz w:val="44"/>
          <w:szCs w:val="44"/>
          <w:highlight w:val="none"/>
        </w:rPr>
      </w:pPr>
      <w:r>
        <w:rPr>
          <w:rFonts w:cs="宋体" w:asciiTheme="minorEastAsia" w:hAnsiTheme="minorEastAsia" w:eastAsiaTheme="minorEastAsia"/>
          <w:bCs/>
          <w:caps/>
          <w:color w:val="auto"/>
          <w:kern w:val="0"/>
          <w:szCs w:val="36"/>
          <w:highlight w:val="none"/>
        </w:rPr>
        <w:fldChar w:fldCharType="begin"/>
      </w:r>
      <w:r>
        <w:rPr>
          <w:rFonts w:cs="宋体" w:asciiTheme="minorEastAsia" w:hAnsiTheme="minorEastAsia" w:eastAsiaTheme="minorEastAsia"/>
          <w:bCs/>
          <w:caps/>
          <w:color w:val="auto"/>
          <w:kern w:val="0"/>
          <w:szCs w:val="36"/>
          <w:highlight w:val="none"/>
        </w:rPr>
        <w:instrText xml:space="preserve"> HYPERLINK \l _Toc10362 </w:instrText>
      </w:r>
      <w:r>
        <w:rPr>
          <w:rFonts w:cs="宋体" w:asciiTheme="minorEastAsia" w:hAnsiTheme="minorEastAsia" w:eastAsiaTheme="minorEastAsia"/>
          <w:bCs/>
          <w:caps/>
          <w:color w:val="auto"/>
          <w:kern w:val="0"/>
          <w:szCs w:val="36"/>
          <w:highlight w:val="none"/>
        </w:rPr>
        <w:fldChar w:fldCharType="separate"/>
      </w:r>
      <w:r>
        <w:rPr>
          <w:rFonts w:hint="eastAsia" w:asciiTheme="minorEastAsia" w:hAnsiTheme="minorEastAsia" w:eastAsiaTheme="minorEastAsia"/>
          <w:color w:val="auto"/>
          <w:szCs w:val="32"/>
          <w:highlight w:val="none"/>
        </w:rPr>
        <w:t>三、</w:t>
      </w:r>
      <w:r>
        <w:rPr>
          <w:rFonts w:hint="eastAsia" w:asciiTheme="minorEastAsia" w:hAnsiTheme="minorEastAsia" w:eastAsiaTheme="minorEastAsia"/>
          <w:color w:val="auto"/>
          <w:szCs w:val="32"/>
          <w:highlight w:val="none"/>
          <w:lang w:eastAsia="zh-CN"/>
        </w:rPr>
        <w:t>服务</w:t>
      </w:r>
      <w:r>
        <w:rPr>
          <w:rFonts w:hint="eastAsia" w:asciiTheme="minorEastAsia" w:hAnsiTheme="minorEastAsia" w:eastAsiaTheme="minorEastAsia"/>
          <w:color w:val="auto"/>
          <w:szCs w:val="32"/>
          <w:highlight w:val="none"/>
        </w:rPr>
        <w:t>部分</w:t>
      </w:r>
      <w:r>
        <w:rPr>
          <w:color w:val="auto"/>
        </w:rPr>
        <w:tab/>
      </w:r>
      <w:r>
        <w:rPr>
          <w:color w:val="auto"/>
        </w:rPr>
        <w:fldChar w:fldCharType="begin"/>
      </w:r>
      <w:r>
        <w:rPr>
          <w:color w:val="auto"/>
        </w:rPr>
        <w:instrText xml:space="preserve"> PAGEREF _Toc10362 \h </w:instrText>
      </w:r>
      <w:r>
        <w:rPr>
          <w:color w:val="auto"/>
        </w:rPr>
        <w:fldChar w:fldCharType="separate"/>
      </w:r>
      <w:r>
        <w:rPr>
          <w:color w:val="auto"/>
        </w:rPr>
        <w:t>36</w:t>
      </w:r>
      <w:r>
        <w:rPr>
          <w:color w:val="auto"/>
        </w:rPr>
        <w:fldChar w:fldCharType="end"/>
      </w:r>
      <w:r>
        <w:rPr>
          <w:rFonts w:cs="宋体" w:asciiTheme="minorEastAsia" w:hAnsiTheme="minorEastAsia" w:eastAsiaTheme="minorEastAsia"/>
          <w:bCs/>
          <w:caps/>
          <w:color w:val="auto"/>
          <w:kern w:val="0"/>
          <w:szCs w:val="36"/>
          <w:highlight w:val="none"/>
        </w:rPr>
        <w:fldChar w:fldCharType="end"/>
      </w:r>
      <w:r>
        <w:rPr>
          <w:rFonts w:cs="宋体" w:asciiTheme="minorEastAsia" w:hAnsiTheme="minorEastAsia" w:eastAsiaTheme="minorEastAsia"/>
          <w:bCs/>
          <w:caps/>
          <w:color w:val="auto"/>
          <w:kern w:val="0"/>
          <w:szCs w:val="36"/>
          <w:highlight w:val="none"/>
        </w:rPr>
        <w:fldChar w:fldCharType="end"/>
      </w:r>
    </w:p>
    <w:p>
      <w:pPr>
        <w:pStyle w:val="3"/>
        <w:spacing w:line="500" w:lineRule="exact"/>
        <w:jc w:val="center"/>
        <w:rPr>
          <w:rFonts w:cs="宋体" w:asciiTheme="minorEastAsia" w:hAnsiTheme="minorEastAsia" w:eastAsiaTheme="minorEastAsia"/>
          <w:b w:val="0"/>
          <w:color w:val="auto"/>
          <w:highlight w:val="none"/>
        </w:rPr>
      </w:pPr>
      <w:r>
        <w:rPr>
          <w:rFonts w:cs="宋体" w:asciiTheme="minorEastAsia" w:hAnsiTheme="minorEastAsia" w:eastAsiaTheme="minorEastAsia"/>
          <w:b w:val="0"/>
          <w:color w:val="auto"/>
          <w:kern w:val="0"/>
          <w:highlight w:val="none"/>
        </w:rPr>
        <w:br w:type="page"/>
      </w:r>
      <w:bookmarkStart w:id="2" w:name="_Toc4128"/>
      <w:r>
        <w:rPr>
          <w:rFonts w:hint="eastAsia" w:cs="宋体" w:asciiTheme="minorEastAsia" w:hAnsiTheme="minorEastAsia" w:eastAsiaTheme="minorEastAsia"/>
          <w:color w:val="auto"/>
          <w:highlight w:val="none"/>
        </w:rPr>
        <w:t>第一章  比选公告</w:t>
      </w:r>
      <w:bookmarkEnd w:id="2"/>
    </w:p>
    <w:p>
      <w:pPr>
        <w:pStyle w:val="15"/>
        <w:spacing w:before="0" w:beforeAutospacing="0" w:after="0" w:afterAutospacing="0" w:line="360" w:lineRule="auto"/>
        <w:ind w:firstLine="482" w:firstLineChars="200"/>
        <w:outlineLvl w:val="1"/>
        <w:rPr>
          <w:rFonts w:cs="宋体" w:asciiTheme="minorEastAsia" w:hAnsiTheme="minorEastAsia" w:eastAsiaTheme="minorEastAsia"/>
          <w:b/>
          <w:color w:val="auto"/>
          <w:highlight w:val="none"/>
        </w:rPr>
      </w:pPr>
      <w:bookmarkStart w:id="3" w:name="_Toc21763"/>
      <w:r>
        <w:rPr>
          <w:rFonts w:hint="eastAsia" w:cs="宋体" w:asciiTheme="minorEastAsia" w:hAnsiTheme="minorEastAsia" w:eastAsiaTheme="minorEastAsia"/>
          <w:b/>
          <w:color w:val="auto"/>
          <w:highlight w:val="none"/>
        </w:rPr>
        <w:t>1.比选条件</w:t>
      </w:r>
      <w:bookmarkEnd w:id="3"/>
    </w:p>
    <w:p>
      <w:pPr>
        <w:tabs>
          <w:tab w:val="center" w:pos="4620"/>
          <w:tab w:val="left" w:pos="8370"/>
        </w:tabs>
        <w:spacing w:line="360" w:lineRule="auto"/>
        <w:ind w:firstLine="480" w:firstLineChars="200"/>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本次比选项目</w:t>
      </w:r>
      <w:r>
        <w:rPr>
          <w:rFonts w:hint="eastAsia" w:asciiTheme="minorEastAsia" w:hAnsiTheme="minorEastAsia" w:eastAsiaTheme="minorEastAsia"/>
          <w:color w:val="auto"/>
          <w:sz w:val="24"/>
          <w:szCs w:val="24"/>
          <w:highlight w:val="none"/>
          <w:u w:val="single"/>
          <w:lang w:eastAsia="zh-CN"/>
        </w:rPr>
        <w:t>律师事务所代理建设用地使用权出让合同纠纷（重庆豪德财富商业地产开发有限公司）</w:t>
      </w:r>
      <w:r>
        <w:rPr>
          <w:rFonts w:hint="eastAsia" w:asciiTheme="minorEastAsia" w:hAnsiTheme="minorEastAsia" w:eastAsiaTheme="minorEastAsia"/>
          <w:color w:val="auto"/>
          <w:sz w:val="24"/>
          <w:szCs w:val="24"/>
          <w:highlight w:val="none"/>
        </w:rPr>
        <w:t>已具备比选条件</w:t>
      </w:r>
      <w:r>
        <w:rPr>
          <w:rFonts w:hint="eastAsia" w:cs="宋体" w:asciiTheme="minorEastAsia" w:hAnsiTheme="minorEastAsia" w:eastAsiaTheme="minorEastAsia"/>
          <w:color w:val="auto"/>
          <w:sz w:val="24"/>
          <w:szCs w:val="24"/>
          <w:highlight w:val="none"/>
        </w:rPr>
        <w:t>，现以竞争性比选方式确定</w:t>
      </w:r>
      <w:r>
        <w:rPr>
          <w:rFonts w:hint="eastAsia" w:cs="宋体" w:asciiTheme="minorEastAsia" w:hAnsiTheme="minorEastAsia" w:eastAsiaTheme="minorEastAsia"/>
          <w:color w:val="auto"/>
          <w:sz w:val="24"/>
          <w:szCs w:val="24"/>
          <w:highlight w:val="none"/>
          <w:lang w:eastAsia="zh-CN"/>
        </w:rPr>
        <w:t>律师事务所代理单位</w:t>
      </w:r>
      <w:r>
        <w:rPr>
          <w:rFonts w:hint="eastAsia" w:asciiTheme="minorEastAsia" w:hAnsiTheme="minorEastAsia" w:eastAsiaTheme="minorEastAsia"/>
          <w:color w:val="auto"/>
          <w:sz w:val="24"/>
          <w:szCs w:val="24"/>
          <w:highlight w:val="none"/>
        </w:rPr>
        <w:t>。</w:t>
      </w:r>
    </w:p>
    <w:p>
      <w:pPr>
        <w:pStyle w:val="15"/>
        <w:spacing w:before="0" w:beforeAutospacing="0" w:after="0" w:afterAutospacing="0" w:line="360" w:lineRule="auto"/>
        <w:ind w:firstLine="482" w:firstLineChars="200"/>
        <w:outlineLvl w:val="1"/>
        <w:rPr>
          <w:rFonts w:cs="宋体" w:asciiTheme="minorEastAsia" w:hAnsiTheme="minorEastAsia" w:eastAsiaTheme="minorEastAsia"/>
          <w:b/>
          <w:color w:val="auto"/>
          <w:highlight w:val="none"/>
        </w:rPr>
      </w:pPr>
      <w:bookmarkStart w:id="4" w:name="_Toc16040"/>
      <w:r>
        <w:rPr>
          <w:rFonts w:hint="eastAsia" w:cs="宋体" w:asciiTheme="minorEastAsia" w:hAnsiTheme="minorEastAsia" w:eastAsiaTheme="minorEastAsia"/>
          <w:b/>
          <w:color w:val="auto"/>
          <w:highlight w:val="none"/>
        </w:rPr>
        <w:t>2.项目概况与比选范围</w:t>
      </w:r>
      <w:bookmarkEnd w:id="4"/>
    </w:p>
    <w:p>
      <w:pPr>
        <w:tabs>
          <w:tab w:val="left" w:pos="1260"/>
          <w:tab w:val="left" w:pos="1620"/>
        </w:tabs>
        <w:adjustRightInd w:val="0"/>
        <w:spacing w:line="360" w:lineRule="auto"/>
        <w:ind w:firstLine="480" w:firstLineChars="200"/>
        <w:jc w:val="left"/>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2.1项目名称：</w:t>
      </w:r>
      <w:r>
        <w:rPr>
          <w:rFonts w:hint="eastAsia" w:cs="宋体" w:asciiTheme="minorEastAsia" w:hAnsiTheme="minorEastAsia" w:eastAsiaTheme="minorEastAsia"/>
          <w:color w:val="auto"/>
          <w:sz w:val="24"/>
          <w:szCs w:val="24"/>
          <w:highlight w:val="none"/>
          <w:lang w:eastAsia="zh-CN"/>
        </w:rPr>
        <w:t>律师事务所代理建设用地使用权出让合同纠纷（重庆豪德财富商业地产开发有限公司）</w:t>
      </w:r>
      <w:r>
        <w:rPr>
          <w:rFonts w:hint="eastAsia" w:cs="宋体" w:asciiTheme="minorEastAsia" w:hAnsiTheme="minorEastAsia" w:eastAsiaTheme="minorEastAsia"/>
          <w:color w:val="auto"/>
          <w:sz w:val="24"/>
          <w:szCs w:val="24"/>
          <w:highlight w:val="none"/>
        </w:rPr>
        <w:t>。</w:t>
      </w:r>
    </w:p>
    <w:p>
      <w:pPr>
        <w:tabs>
          <w:tab w:val="left" w:pos="1260"/>
          <w:tab w:val="left" w:pos="1620"/>
        </w:tabs>
        <w:adjustRightInd w:val="0"/>
        <w:spacing w:line="360" w:lineRule="auto"/>
        <w:ind w:firstLine="480" w:firstLineChars="200"/>
        <w:jc w:val="left"/>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2.2建设地点：重庆市南岸区。</w:t>
      </w:r>
    </w:p>
    <w:p>
      <w:pPr>
        <w:tabs>
          <w:tab w:val="left" w:pos="1260"/>
          <w:tab w:val="left" w:pos="1620"/>
        </w:tabs>
        <w:adjustRightInd w:val="0"/>
        <w:spacing w:line="360" w:lineRule="auto"/>
        <w:ind w:firstLine="480" w:firstLineChars="200"/>
        <w:jc w:val="left"/>
        <w:textAlignment w:val="baseline"/>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w:t>
      </w:r>
      <w:r>
        <w:rPr>
          <w:rFonts w:hint="eastAsia" w:cs="宋体" w:asciiTheme="minorEastAsia" w:hAnsiTheme="minorEastAsia" w:eastAsiaTheme="minorEastAsia"/>
          <w:color w:val="auto"/>
          <w:sz w:val="24"/>
          <w:szCs w:val="24"/>
          <w:highlight w:val="none"/>
          <w:lang w:eastAsia="zh-CN"/>
        </w:rPr>
        <w:t>项目</w:t>
      </w:r>
      <w:r>
        <w:rPr>
          <w:rFonts w:hint="eastAsia" w:cs="宋体" w:asciiTheme="minorEastAsia" w:hAnsiTheme="minorEastAsia" w:eastAsiaTheme="minorEastAsia"/>
          <w:color w:val="auto"/>
          <w:sz w:val="24"/>
          <w:szCs w:val="24"/>
          <w:highlight w:val="none"/>
        </w:rPr>
        <w:t>基本情况：</w:t>
      </w:r>
      <w:r>
        <w:rPr>
          <w:rFonts w:hint="eastAsia" w:cs="宋体" w:asciiTheme="minorEastAsia" w:hAnsiTheme="minorEastAsia" w:eastAsiaTheme="minorEastAsia"/>
          <w:color w:val="auto"/>
          <w:sz w:val="24"/>
          <w:szCs w:val="24"/>
          <w:highlight w:val="none"/>
          <w:lang w:eastAsia="zh-CN"/>
        </w:rPr>
        <w:t>律师事务所代理建设用地使用权出让合同纠纷。</w:t>
      </w:r>
    </w:p>
    <w:p>
      <w:pPr>
        <w:snapToGrid w:val="0"/>
        <w:spacing w:before="156" w:beforeLines="50"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2.4比选范围：</w:t>
      </w:r>
      <w:r>
        <w:rPr>
          <w:rFonts w:hint="eastAsia" w:cs="宋体" w:asciiTheme="minorEastAsia" w:hAnsiTheme="minorEastAsia" w:eastAsiaTheme="minorEastAsia"/>
          <w:color w:val="auto"/>
          <w:sz w:val="24"/>
          <w:szCs w:val="24"/>
          <w:highlight w:val="none"/>
          <w:lang w:eastAsia="zh-CN"/>
        </w:rPr>
        <w:t>律师事务所代理建设用地使用权出让合同纠纷（重庆豪德财富商业地产开发有限公司）</w:t>
      </w:r>
      <w:r>
        <w:rPr>
          <w:rFonts w:hint="eastAsia" w:cs="宋体" w:asciiTheme="minorEastAsia" w:hAnsiTheme="minorEastAsia" w:eastAsiaTheme="minorEastAsia"/>
          <w:color w:val="auto"/>
          <w:sz w:val="24"/>
          <w:szCs w:val="24"/>
          <w:highlight w:val="none"/>
        </w:rPr>
        <w:t>。</w:t>
      </w:r>
    </w:p>
    <w:p>
      <w:pPr>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2.5服务期限：</w:t>
      </w:r>
      <w:r>
        <w:rPr>
          <w:rFonts w:hint="eastAsia" w:asciiTheme="minorEastAsia" w:hAnsiTheme="minorEastAsia" w:eastAsiaTheme="minorEastAsia"/>
          <w:color w:val="auto"/>
          <w:sz w:val="24"/>
          <w:szCs w:val="24"/>
          <w:highlight w:val="none"/>
          <w:lang w:val="en-US" w:eastAsia="zh-CN"/>
        </w:rPr>
        <w:t>自与比选人签订合同之日起至一审、二审结束，如未发生二审，至二审前的法律文书（含判决、裁定、调解书、案外和解协议）生效之日止</w:t>
      </w:r>
      <w:r>
        <w:rPr>
          <w:rFonts w:hint="eastAsia" w:asciiTheme="minorEastAsia" w:hAnsiTheme="minorEastAsia" w:eastAsiaTheme="minorEastAsia"/>
          <w:color w:val="auto"/>
          <w:sz w:val="24"/>
          <w:szCs w:val="24"/>
          <w:highlight w:val="none"/>
        </w:rPr>
        <w:t>。</w:t>
      </w:r>
    </w:p>
    <w:p>
      <w:pPr>
        <w:pStyle w:val="15"/>
        <w:spacing w:before="0" w:beforeAutospacing="0" w:after="0" w:afterAutospacing="0" w:line="360" w:lineRule="auto"/>
        <w:ind w:firstLine="600" w:firstLineChars="249"/>
        <w:outlineLvl w:val="1"/>
        <w:rPr>
          <w:rFonts w:cs="宋体" w:asciiTheme="minorEastAsia" w:hAnsiTheme="minorEastAsia" w:eastAsiaTheme="minorEastAsia"/>
          <w:b/>
          <w:color w:val="auto"/>
          <w:highlight w:val="none"/>
        </w:rPr>
      </w:pPr>
      <w:bookmarkStart w:id="5" w:name="_Toc18365"/>
      <w:r>
        <w:rPr>
          <w:rFonts w:hint="eastAsia" w:cs="宋体" w:asciiTheme="minorEastAsia" w:hAnsiTheme="minorEastAsia" w:eastAsiaTheme="minorEastAsia"/>
          <w:b/>
          <w:color w:val="auto"/>
          <w:highlight w:val="none"/>
        </w:rPr>
        <w:t>3.竞选人资格要求</w:t>
      </w:r>
      <w:bookmarkEnd w:id="5"/>
    </w:p>
    <w:p>
      <w:pPr>
        <w:snapToGrid w:val="0"/>
        <w:spacing w:before="156" w:beforeLines="50"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3.1 注册在中国大陆境内，具有有效的《律师事务所执业许可证》或《律师事务所分所执业许可证》（提供执业许可证复印件并加盖供应商公章）。</w:t>
      </w:r>
    </w:p>
    <w:p>
      <w:pPr>
        <w:snapToGrid w:val="0"/>
        <w:spacing w:before="156" w:beforeLines="50"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注：供应商应为司法行政机关批准成立且前三年内（含</w:t>
      </w:r>
      <w:r>
        <w:rPr>
          <w:rFonts w:hint="eastAsia" w:cs="宋体" w:asciiTheme="minorEastAsia" w:hAnsiTheme="minorEastAsia" w:eastAsiaTheme="minorEastAsia"/>
          <w:color w:val="auto"/>
          <w:sz w:val="24"/>
          <w:szCs w:val="24"/>
          <w:highlight w:val="none"/>
          <w:lang w:val="en-US" w:eastAsia="zh-CN"/>
        </w:rPr>
        <w:t>2020</w:t>
      </w:r>
      <w:r>
        <w:rPr>
          <w:rFonts w:hint="eastAsia" w:cs="宋体" w:asciiTheme="minorEastAsia" w:hAnsiTheme="minorEastAsia" w:eastAsiaTheme="minorEastAsia"/>
          <w:color w:val="auto"/>
          <w:sz w:val="24"/>
          <w:szCs w:val="24"/>
          <w:highlight w:val="none"/>
          <w:lang w:eastAsia="zh-CN"/>
        </w:rPr>
        <w:t>年）未受过行政处罚或业务处分的律师事务所。</w:t>
      </w:r>
    </w:p>
    <w:p>
      <w:pPr>
        <w:pStyle w:val="15"/>
        <w:spacing w:before="0" w:beforeAutospacing="0" w:after="0" w:afterAutospacing="0" w:line="360" w:lineRule="auto"/>
        <w:ind w:firstLine="600" w:firstLineChars="249"/>
        <w:outlineLvl w:val="1"/>
        <w:rPr>
          <w:rFonts w:cs="宋体" w:asciiTheme="minorEastAsia" w:hAnsiTheme="minorEastAsia" w:eastAsiaTheme="minorEastAsia"/>
          <w:b/>
          <w:color w:val="auto"/>
          <w:highlight w:val="none"/>
        </w:rPr>
      </w:pPr>
      <w:bookmarkStart w:id="6" w:name="_Toc19877"/>
      <w:r>
        <w:rPr>
          <w:rFonts w:hint="eastAsia" w:cs="宋体" w:asciiTheme="minorEastAsia" w:hAnsiTheme="minorEastAsia" w:eastAsiaTheme="minorEastAsia"/>
          <w:b/>
          <w:color w:val="auto"/>
          <w:highlight w:val="none"/>
        </w:rPr>
        <w:t>4.比选文件的获取</w:t>
      </w:r>
      <w:bookmarkEnd w:id="6"/>
    </w:p>
    <w:p>
      <w:pPr>
        <w:spacing w:line="360" w:lineRule="auto"/>
        <w:ind w:firstLine="480" w:firstLineChars="200"/>
        <w:rPr>
          <w:rFonts w:hint="eastAsia"/>
          <w:color w:val="auto"/>
          <w:sz w:val="24"/>
          <w:szCs w:val="24"/>
          <w:highlight w:val="none"/>
        </w:rPr>
      </w:pPr>
      <w:r>
        <w:rPr>
          <w:rFonts w:hint="eastAsia"/>
          <w:color w:val="auto"/>
          <w:sz w:val="24"/>
          <w:szCs w:val="24"/>
          <w:highlight w:val="none"/>
        </w:rPr>
        <w:t>4.1竞标人在竞标前可在行采家（https://www.gec123.com/）进行注册。</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4.2潜在竞标人请在“行采家”网上下载本项目竞争性比选文件以及补遗等开标前公布的所有项目资料，无论竞标人下载与否，均视为已知晓所有比选内容。</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4.3凡有意参加比选的竞标人，请于2023年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21</w:t>
      </w:r>
      <w:r>
        <w:rPr>
          <w:rFonts w:hint="eastAsia"/>
          <w:color w:val="auto"/>
          <w:sz w:val="24"/>
          <w:szCs w:val="24"/>
          <w:highlight w:val="none"/>
        </w:rPr>
        <w:t>日起-2023年</w:t>
      </w:r>
      <w:r>
        <w:rPr>
          <w:rFonts w:hint="eastAsia"/>
          <w:color w:val="auto"/>
          <w:sz w:val="24"/>
          <w:szCs w:val="24"/>
          <w:highlight w:val="none"/>
          <w:lang w:val="en-US" w:eastAsia="zh-CN"/>
        </w:rPr>
        <w:t>8</w:t>
      </w:r>
      <w:r>
        <w:rPr>
          <w:rFonts w:hint="eastAsia"/>
          <w:color w:val="auto"/>
          <w:sz w:val="24"/>
          <w:szCs w:val="24"/>
          <w:highlight w:val="none"/>
        </w:rPr>
        <w:t>月</w:t>
      </w:r>
      <w:r>
        <w:rPr>
          <w:rFonts w:hint="eastAsia"/>
          <w:color w:val="auto"/>
          <w:sz w:val="24"/>
          <w:szCs w:val="24"/>
          <w:highlight w:val="none"/>
          <w:lang w:val="en-US" w:eastAsia="zh-CN"/>
        </w:rPr>
        <w:t>23</w:t>
      </w:r>
      <w:r>
        <w:rPr>
          <w:rFonts w:hint="eastAsia"/>
          <w:color w:val="auto"/>
          <w:sz w:val="24"/>
          <w:szCs w:val="24"/>
          <w:highlight w:val="none"/>
        </w:rPr>
        <w:t>日（9:00-17:00）内完成报名，未在规定时间内完成报名不得参与竞标。报名方式为：</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4.3.1比选文件售价：500元/标段（售后不退），在递交竞标文件时支付比选文件费用，售后不退。</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4.3.2潜在竞标人将《比选文件发售登记表》（加盖竞标人公章）扫描后发送至</w:t>
      </w:r>
      <w:r>
        <w:rPr>
          <w:rFonts w:hint="eastAsia"/>
          <w:color w:val="auto"/>
          <w:sz w:val="24"/>
          <w:szCs w:val="24"/>
          <w:highlight w:val="none"/>
          <w:lang w:val="en-US" w:eastAsia="zh-CN"/>
        </w:rPr>
        <w:t>tianzhiling2021</w:t>
      </w:r>
      <w:r>
        <w:rPr>
          <w:rFonts w:hint="eastAsia"/>
          <w:color w:val="auto"/>
          <w:sz w:val="24"/>
          <w:szCs w:val="24"/>
          <w:highlight w:val="none"/>
        </w:rPr>
        <w:t>@</w:t>
      </w:r>
      <w:r>
        <w:rPr>
          <w:rFonts w:hint="eastAsia"/>
          <w:color w:val="auto"/>
          <w:sz w:val="24"/>
          <w:szCs w:val="24"/>
          <w:highlight w:val="none"/>
          <w:lang w:val="en-US" w:eastAsia="zh-CN"/>
        </w:rPr>
        <w:t>126</w:t>
      </w:r>
      <w:r>
        <w:rPr>
          <w:rFonts w:hint="eastAsia"/>
          <w:color w:val="auto"/>
          <w:sz w:val="24"/>
          <w:szCs w:val="24"/>
          <w:highlight w:val="none"/>
        </w:rPr>
        <w:t>.com邮箱进行报名。</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注：比选申请人须满足以下要求，其竞标文件才被接受：</w:t>
      </w:r>
    </w:p>
    <w:p>
      <w:pPr>
        <w:spacing w:line="360" w:lineRule="auto"/>
        <w:ind w:firstLine="480" w:firstLineChars="200"/>
        <w:rPr>
          <w:rFonts w:hint="eastAsia"/>
          <w:color w:val="auto"/>
          <w:sz w:val="24"/>
          <w:szCs w:val="24"/>
          <w:highlight w:val="none"/>
        </w:rPr>
      </w:pPr>
      <w:r>
        <w:rPr>
          <w:rFonts w:hint="eastAsia"/>
          <w:color w:val="auto"/>
          <w:sz w:val="24"/>
          <w:szCs w:val="24"/>
          <w:highlight w:val="none"/>
        </w:rPr>
        <w:t>（1）按时报名；</w:t>
      </w:r>
    </w:p>
    <w:p>
      <w:pPr>
        <w:spacing w:line="360" w:lineRule="auto"/>
        <w:ind w:firstLine="480" w:firstLineChars="200"/>
        <w:rPr>
          <w:rFonts w:cs="宋体" w:asciiTheme="minorEastAsia" w:hAnsiTheme="minorEastAsia" w:eastAsiaTheme="minorEastAsia"/>
          <w:color w:val="auto"/>
          <w:sz w:val="24"/>
          <w:szCs w:val="24"/>
          <w:highlight w:val="none"/>
          <w:u w:val="single"/>
        </w:rPr>
      </w:pPr>
      <w:r>
        <w:rPr>
          <w:rFonts w:hint="eastAsia"/>
          <w:color w:val="auto"/>
          <w:sz w:val="24"/>
          <w:szCs w:val="24"/>
          <w:highlight w:val="none"/>
        </w:rPr>
        <w:t>（2）按时签到并递交竞标文件。</w:t>
      </w:r>
    </w:p>
    <w:p>
      <w:pPr>
        <w:pStyle w:val="15"/>
        <w:spacing w:before="0" w:beforeAutospacing="0" w:after="0" w:afterAutospacing="0" w:line="360" w:lineRule="auto"/>
        <w:ind w:firstLine="600" w:firstLineChars="249"/>
        <w:outlineLvl w:val="1"/>
        <w:rPr>
          <w:rFonts w:cs="宋体" w:asciiTheme="minorEastAsia" w:hAnsiTheme="minorEastAsia" w:eastAsiaTheme="minorEastAsia"/>
          <w:b/>
          <w:color w:val="auto"/>
          <w:highlight w:val="none"/>
        </w:rPr>
      </w:pPr>
      <w:bookmarkStart w:id="7" w:name="_Toc16105"/>
      <w:r>
        <w:rPr>
          <w:rFonts w:hint="eastAsia" w:cs="宋体" w:asciiTheme="minorEastAsia" w:hAnsiTheme="minorEastAsia" w:eastAsiaTheme="minorEastAsia"/>
          <w:b/>
          <w:color w:val="auto"/>
          <w:highlight w:val="none"/>
        </w:rPr>
        <w:t>5.竞选文件递交的截止时间和开标时间及地点</w:t>
      </w:r>
      <w:bookmarkEnd w:id="7"/>
    </w:p>
    <w:p>
      <w:pPr>
        <w:widowControl/>
        <w:tabs>
          <w:tab w:val="center" w:pos="4620"/>
          <w:tab w:val="left" w:pos="8370"/>
        </w:tabs>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5.1递交竞选文件的时间为:20</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28 </w:t>
      </w:r>
      <w:r>
        <w:rPr>
          <w:rFonts w:hint="eastAsia" w:ascii="宋体" w:hAnsi="宋体" w:cs="宋体"/>
          <w:color w:val="auto"/>
          <w:sz w:val="24"/>
          <w:szCs w:val="24"/>
          <w:highlight w:val="none"/>
        </w:rPr>
        <w:t>日09时30分至10时00分（北京时间），比选时间：20</w:t>
      </w:r>
      <w:r>
        <w:rPr>
          <w:rFonts w:hint="eastAsia" w:ascii="宋体" w:hAnsi="宋体" w:cs="宋体"/>
          <w:color w:val="auto"/>
          <w:sz w:val="24"/>
          <w:szCs w:val="24"/>
          <w:highlight w:val="none"/>
          <w:lang w:val="en-US" w:eastAsia="zh-CN"/>
        </w:rPr>
        <w:t>23</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8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28 </w:t>
      </w:r>
      <w:r>
        <w:rPr>
          <w:rFonts w:hint="eastAsia" w:ascii="宋体" w:hAnsi="宋体" w:cs="宋体"/>
          <w:color w:val="auto"/>
          <w:sz w:val="24"/>
          <w:szCs w:val="24"/>
          <w:highlight w:val="none"/>
        </w:rPr>
        <w:t>日10时00分，地点为:</w:t>
      </w:r>
      <w:r>
        <w:rPr>
          <w:rFonts w:hint="eastAsia" w:ascii="宋体" w:hAnsi="宋体" w:cs="宋体"/>
          <w:color w:val="auto"/>
          <w:sz w:val="24"/>
          <w:szCs w:val="24"/>
          <w:highlight w:val="none"/>
          <w:lang w:eastAsia="zh-CN"/>
        </w:rPr>
        <w:t>重庆市南岸区通江大道214号卓越国虹时代中心2号楼</w:t>
      </w:r>
      <w:r>
        <w:rPr>
          <w:rFonts w:hint="eastAsia" w:ascii="宋体" w:hAnsi="宋体" w:cs="宋体"/>
          <w:color w:val="auto"/>
          <w:sz w:val="24"/>
          <w:szCs w:val="24"/>
          <w:highlight w:val="none"/>
          <w:lang w:val="en-US" w:eastAsia="zh-CN"/>
        </w:rPr>
        <w:t>2单元</w:t>
      </w:r>
      <w:r>
        <w:rPr>
          <w:rFonts w:hint="eastAsia" w:ascii="宋体" w:hAnsi="宋体" w:cs="宋体"/>
          <w:color w:val="auto"/>
          <w:sz w:val="24"/>
          <w:szCs w:val="24"/>
          <w:highlight w:val="none"/>
          <w:lang w:eastAsia="zh-CN"/>
        </w:rPr>
        <w:t>3-3</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eastAsia="zh-CN"/>
        </w:rPr>
        <w:t>天之瓴建设股份有限公司</w:t>
      </w:r>
      <w:r>
        <w:rPr>
          <w:rFonts w:hint="eastAsia" w:cs="宋体" w:asciiTheme="minorEastAsia" w:hAnsiTheme="minorEastAsia" w:eastAsiaTheme="minorEastAsia"/>
          <w:color w:val="auto"/>
          <w:sz w:val="24"/>
          <w:szCs w:val="24"/>
          <w:highlight w:val="none"/>
        </w:rPr>
        <w:t>)</w:t>
      </w:r>
      <w:r>
        <w:rPr>
          <w:rFonts w:hint="eastAsia" w:ascii="宋体" w:hAnsi="宋体" w:cs="宋体"/>
          <w:color w:val="auto"/>
          <w:kern w:val="1"/>
          <w:sz w:val="24"/>
          <w:szCs w:val="24"/>
          <w:highlight w:val="none"/>
        </w:rPr>
        <w:t>。</w:t>
      </w:r>
    </w:p>
    <w:p>
      <w:pPr>
        <w:widowControl/>
        <w:tabs>
          <w:tab w:val="center" w:pos="4620"/>
          <w:tab w:val="left" w:pos="8370"/>
        </w:tabs>
        <w:spacing w:line="360" w:lineRule="auto"/>
        <w:ind w:left="53" w:leftChars="25"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5.2 逾期送达的或者未送达指定地点的竞选文件，比选人不予受理。</w:t>
      </w:r>
    </w:p>
    <w:p>
      <w:pPr>
        <w:pStyle w:val="15"/>
        <w:spacing w:before="0" w:beforeAutospacing="0" w:after="0" w:afterAutospacing="0" w:line="360" w:lineRule="auto"/>
        <w:ind w:firstLine="600" w:firstLineChars="249"/>
        <w:outlineLvl w:val="1"/>
        <w:rPr>
          <w:rFonts w:cs="宋体" w:asciiTheme="minorEastAsia" w:hAnsiTheme="minorEastAsia" w:eastAsiaTheme="minorEastAsia"/>
          <w:b/>
          <w:color w:val="auto"/>
          <w:highlight w:val="none"/>
        </w:rPr>
      </w:pPr>
      <w:bookmarkStart w:id="8" w:name="_Toc28378"/>
      <w:r>
        <w:rPr>
          <w:rFonts w:hint="eastAsia" w:cs="宋体" w:asciiTheme="minorEastAsia" w:hAnsiTheme="minorEastAsia" w:eastAsiaTheme="minorEastAsia"/>
          <w:b/>
          <w:color w:val="auto"/>
          <w:highlight w:val="none"/>
        </w:rPr>
        <w:t>6</w:t>
      </w:r>
      <w:bookmarkStart w:id="9" w:name="_Toc352589293"/>
      <w:bookmarkStart w:id="10" w:name="_Toc339006792"/>
      <w:r>
        <w:rPr>
          <w:rFonts w:hint="eastAsia" w:cs="宋体" w:asciiTheme="minorEastAsia" w:hAnsiTheme="minorEastAsia" w:eastAsiaTheme="minorEastAsia"/>
          <w:b/>
          <w:color w:val="auto"/>
          <w:highlight w:val="none"/>
        </w:rPr>
        <w:t>.联系方式</w:t>
      </w:r>
      <w:bookmarkEnd w:id="8"/>
      <w:bookmarkEnd w:id="9"/>
      <w:bookmarkEnd w:id="10"/>
    </w:p>
    <w:bookmarkEnd w:id="0"/>
    <w:bookmarkEnd w:id="1"/>
    <w:p>
      <w:pPr>
        <w:tabs>
          <w:tab w:val="left" w:pos="1260"/>
          <w:tab w:val="left" w:pos="1620"/>
        </w:tabs>
        <w:adjustRightInd w:val="0"/>
        <w:spacing w:line="360" w:lineRule="auto"/>
        <w:ind w:firstLine="480" w:firstLineChars="200"/>
        <w:jc w:val="left"/>
        <w:textAlignment w:val="baseline"/>
        <w:rPr>
          <w:rFonts w:hint="eastAsia" w:cs="宋体" w:asciiTheme="minorEastAsia" w:hAnsiTheme="minorEastAsia" w:eastAsiaTheme="minorEastAsia"/>
          <w:color w:val="auto"/>
          <w:sz w:val="24"/>
          <w:szCs w:val="24"/>
          <w:highlight w:val="none"/>
          <w:lang w:eastAsia="zh-CN"/>
        </w:rPr>
      </w:pPr>
      <w:bookmarkStart w:id="11" w:name="_Toc179632544"/>
      <w:bookmarkStart w:id="12" w:name="A4"/>
      <w:bookmarkStart w:id="13" w:name="_Toc152042303"/>
      <w:bookmarkStart w:id="14" w:name="_Toc152045527"/>
      <w:bookmarkStart w:id="15" w:name="_Toc144974495"/>
      <w:r>
        <w:rPr>
          <w:rFonts w:hint="eastAsia" w:cs="宋体" w:asciiTheme="minorEastAsia" w:hAnsiTheme="minorEastAsia" w:eastAsiaTheme="minorEastAsia"/>
          <w:color w:val="auto"/>
          <w:sz w:val="24"/>
          <w:szCs w:val="24"/>
          <w:highlight w:val="none"/>
          <w:lang w:eastAsia="zh-CN"/>
        </w:rPr>
        <w:t>比选人</w:t>
      </w:r>
      <w:r>
        <w:rPr>
          <w:rFonts w:hint="eastAsia" w:cs="宋体" w:asciiTheme="minorEastAsia" w:hAnsiTheme="minorEastAsia" w:eastAsiaTheme="minorEastAsia"/>
          <w:color w:val="auto"/>
          <w:sz w:val="24"/>
          <w:szCs w:val="24"/>
          <w:highlight w:val="none"/>
        </w:rPr>
        <w:t>名称：</w:t>
      </w:r>
      <w:r>
        <w:rPr>
          <w:rFonts w:hint="eastAsia" w:cs="宋体" w:asciiTheme="minorEastAsia" w:hAnsiTheme="minorEastAsia" w:eastAsiaTheme="minorEastAsia"/>
          <w:color w:val="auto"/>
          <w:sz w:val="24"/>
          <w:szCs w:val="24"/>
          <w:highlight w:val="none"/>
          <w:lang w:eastAsia="zh-CN"/>
        </w:rPr>
        <w:t>重庆市江南城市建设发展（集团）有限公司</w:t>
      </w:r>
    </w:p>
    <w:p>
      <w:pPr>
        <w:tabs>
          <w:tab w:val="left" w:pos="1260"/>
          <w:tab w:val="left" w:pos="1620"/>
        </w:tabs>
        <w:adjustRightInd w:val="0"/>
        <w:spacing w:line="360" w:lineRule="auto"/>
        <w:ind w:firstLine="480" w:firstLineChars="200"/>
        <w:jc w:val="left"/>
        <w:textAlignment w:val="baseline"/>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联系人：刘老师</w:t>
      </w:r>
      <w:r>
        <w:rPr>
          <w:rFonts w:hint="eastAsia" w:cs="宋体" w:asciiTheme="minorEastAsia" w:hAnsiTheme="minorEastAsia" w:eastAsiaTheme="minorEastAsia"/>
          <w:color w:val="auto"/>
          <w:sz w:val="24"/>
          <w:szCs w:val="24"/>
          <w:highlight w:val="none"/>
          <w:lang w:val="en-US" w:eastAsia="zh-CN"/>
        </w:rPr>
        <w:t xml:space="preserve"> </w:t>
      </w:r>
    </w:p>
    <w:p>
      <w:pPr>
        <w:tabs>
          <w:tab w:val="left" w:pos="1260"/>
          <w:tab w:val="left" w:pos="1620"/>
        </w:tabs>
        <w:adjustRightInd w:val="0"/>
        <w:spacing w:line="360" w:lineRule="auto"/>
        <w:ind w:firstLine="480" w:firstLineChars="200"/>
        <w:jc w:val="left"/>
        <w:textAlignment w:val="baseline"/>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联系电话： 13996205609</w:t>
      </w:r>
      <w:r>
        <w:rPr>
          <w:rFonts w:hint="eastAsia" w:cs="宋体" w:asciiTheme="minorEastAsia" w:hAnsiTheme="minorEastAsia" w:eastAsiaTheme="minorEastAsia"/>
          <w:color w:val="auto"/>
          <w:sz w:val="24"/>
          <w:szCs w:val="24"/>
          <w:highlight w:val="none"/>
          <w:lang w:val="en-US" w:eastAsia="zh-CN"/>
        </w:rPr>
        <w:t xml:space="preserve"> </w:t>
      </w:r>
      <w:r>
        <w:rPr>
          <w:rFonts w:hint="eastAsia" w:cs="宋体" w:asciiTheme="minorEastAsia" w:hAnsiTheme="minorEastAsia" w:eastAsiaTheme="minorEastAsia"/>
          <w:color w:val="auto"/>
          <w:sz w:val="24"/>
          <w:szCs w:val="24"/>
          <w:highlight w:val="none"/>
        </w:rPr>
        <w:t xml:space="preserve"> </w:t>
      </w:r>
      <w:r>
        <w:rPr>
          <w:rFonts w:hint="eastAsia" w:cs="宋体" w:asciiTheme="minorEastAsia" w:hAnsiTheme="minorEastAsia" w:eastAsiaTheme="minorEastAsia"/>
          <w:color w:val="auto"/>
          <w:sz w:val="24"/>
          <w:szCs w:val="24"/>
          <w:highlight w:val="none"/>
          <w:lang w:val="en-US" w:eastAsia="zh-CN"/>
        </w:rPr>
        <w:t xml:space="preserve"> </w:t>
      </w:r>
    </w:p>
    <w:p>
      <w:pPr>
        <w:tabs>
          <w:tab w:val="left" w:pos="1260"/>
          <w:tab w:val="left" w:pos="1620"/>
        </w:tabs>
        <w:adjustRightInd w:val="0"/>
        <w:spacing w:line="360" w:lineRule="auto"/>
        <w:ind w:firstLine="480" w:firstLineChars="200"/>
        <w:jc w:val="left"/>
        <w:textAlignment w:val="baseline"/>
        <w:rPr>
          <w:rFonts w:hint="default" w:cs="宋体" w:asciiTheme="minorEastAsia" w:hAnsiTheme="minorEastAsia" w:eastAsiaTheme="minorEastAsia"/>
          <w:color w:val="auto"/>
          <w:sz w:val="24"/>
          <w:szCs w:val="24"/>
          <w:highlight w:val="none"/>
          <w:lang w:val="en-US" w:eastAsia="zh-CN"/>
        </w:rPr>
      </w:pPr>
      <w:r>
        <w:rPr>
          <w:rFonts w:hint="eastAsia" w:cs="宋体" w:asciiTheme="minorEastAsia" w:hAnsiTheme="minorEastAsia" w:eastAsiaTheme="minorEastAsia"/>
          <w:color w:val="auto"/>
          <w:sz w:val="24"/>
          <w:szCs w:val="24"/>
          <w:highlight w:val="none"/>
        </w:rPr>
        <w:t>地址：南岸区</w:t>
      </w:r>
      <w:r>
        <w:rPr>
          <w:rFonts w:hint="eastAsia" w:cs="宋体" w:asciiTheme="minorEastAsia" w:hAnsiTheme="minorEastAsia" w:eastAsiaTheme="minorEastAsia"/>
          <w:color w:val="auto"/>
          <w:sz w:val="24"/>
          <w:szCs w:val="24"/>
          <w:highlight w:val="none"/>
          <w:lang w:eastAsia="zh-CN"/>
        </w:rPr>
        <w:t>南岸区米兰路51号7楼</w:t>
      </w:r>
    </w:p>
    <w:p>
      <w:pPr>
        <w:tabs>
          <w:tab w:val="left" w:pos="1260"/>
          <w:tab w:val="left" w:pos="1620"/>
        </w:tabs>
        <w:adjustRightInd w:val="0"/>
        <w:spacing w:line="360" w:lineRule="auto"/>
        <w:ind w:firstLine="480" w:firstLineChars="200"/>
        <w:jc w:val="left"/>
        <w:textAlignment w:val="baseline"/>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代理机构名称：</w:t>
      </w:r>
      <w:r>
        <w:rPr>
          <w:rFonts w:hint="eastAsia" w:cs="宋体" w:asciiTheme="minorEastAsia" w:hAnsiTheme="minorEastAsia" w:eastAsiaTheme="minorEastAsia"/>
          <w:color w:val="auto"/>
          <w:sz w:val="24"/>
          <w:szCs w:val="24"/>
          <w:highlight w:val="none"/>
          <w:lang w:eastAsia="zh-CN"/>
        </w:rPr>
        <w:t>天之瓴建设股份有限公司</w:t>
      </w:r>
    </w:p>
    <w:p>
      <w:pPr>
        <w:tabs>
          <w:tab w:val="left" w:pos="1260"/>
          <w:tab w:val="left" w:pos="1620"/>
        </w:tabs>
        <w:adjustRightInd w:val="0"/>
        <w:spacing w:line="360" w:lineRule="auto"/>
        <w:ind w:firstLine="480" w:firstLineChars="200"/>
        <w:jc w:val="left"/>
        <w:textAlignment w:val="baseline"/>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代理机构联系人：</w:t>
      </w:r>
      <w:r>
        <w:rPr>
          <w:rFonts w:hint="eastAsia" w:cs="宋体" w:asciiTheme="minorEastAsia" w:hAnsiTheme="minorEastAsia" w:eastAsiaTheme="minorEastAsia"/>
          <w:color w:val="auto"/>
          <w:sz w:val="24"/>
          <w:szCs w:val="24"/>
          <w:highlight w:val="none"/>
          <w:lang w:val="en-US" w:eastAsia="zh-CN"/>
        </w:rPr>
        <w:t xml:space="preserve">杨老师 </w:t>
      </w:r>
    </w:p>
    <w:p>
      <w:pPr>
        <w:tabs>
          <w:tab w:val="left" w:pos="1260"/>
          <w:tab w:val="left" w:pos="1620"/>
        </w:tabs>
        <w:adjustRightInd w:val="0"/>
        <w:spacing w:line="360" w:lineRule="auto"/>
        <w:ind w:firstLine="480" w:firstLineChars="200"/>
        <w:jc w:val="left"/>
        <w:textAlignment w:val="baseline"/>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rPr>
        <w:t>代理机构联系电话：</w:t>
      </w:r>
      <w:r>
        <w:rPr>
          <w:rFonts w:hint="eastAsia" w:cs="宋体" w:asciiTheme="minorEastAsia" w:hAnsiTheme="minorEastAsia" w:eastAsiaTheme="minorEastAsia"/>
          <w:color w:val="auto"/>
          <w:sz w:val="24"/>
          <w:szCs w:val="24"/>
          <w:highlight w:val="none"/>
          <w:lang w:eastAsia="zh-CN"/>
        </w:rPr>
        <w:t>023-62652790</w:t>
      </w:r>
      <w:r>
        <w:rPr>
          <w:rFonts w:hint="eastAsia" w:cs="宋体" w:asciiTheme="minorEastAsia" w:hAnsiTheme="minorEastAsia" w:eastAsiaTheme="minorEastAsia"/>
          <w:color w:val="auto"/>
          <w:sz w:val="24"/>
          <w:szCs w:val="24"/>
          <w:highlight w:val="none"/>
          <w:lang w:val="en-US" w:eastAsia="zh-CN"/>
        </w:rPr>
        <w:t xml:space="preserve"> </w:t>
      </w:r>
    </w:p>
    <w:p>
      <w:pPr>
        <w:spacing w:line="360" w:lineRule="auto"/>
        <w:ind w:firstLine="480" w:firstLineChars="200"/>
        <w:rPr>
          <w:rFonts w:hint="eastAsia" w:asciiTheme="minorEastAsia" w:hAnsiTheme="minorEastAsia" w:eastAsiaTheme="minorEastAsia"/>
          <w:color w:val="auto"/>
          <w:highlight w:val="none"/>
          <w:lang w:eastAsia="zh-CN"/>
        </w:rPr>
        <w:sectPr>
          <w:footerReference r:id="rId5" w:type="default"/>
          <w:pgSz w:w="11906" w:h="16838"/>
          <w:pgMar w:top="1247" w:right="1134" w:bottom="1134" w:left="1418" w:header="851" w:footer="522" w:gutter="0"/>
          <w:pgNumType w:start="1"/>
          <w:cols w:space="720" w:num="1"/>
          <w:docGrid w:type="lines" w:linePitch="312" w:charSpace="0"/>
        </w:sectPr>
      </w:pPr>
      <w:r>
        <w:rPr>
          <w:rFonts w:hint="eastAsia" w:cs="宋体" w:asciiTheme="minorEastAsia" w:hAnsiTheme="minorEastAsia" w:eastAsiaTheme="minorEastAsia"/>
          <w:color w:val="auto"/>
          <w:sz w:val="24"/>
          <w:szCs w:val="24"/>
          <w:highlight w:val="none"/>
        </w:rPr>
        <w:t>代理机构地址：</w:t>
      </w:r>
      <w:r>
        <w:rPr>
          <w:rFonts w:hint="eastAsia" w:cs="宋体" w:asciiTheme="minorEastAsia" w:hAnsiTheme="minorEastAsia" w:eastAsiaTheme="minorEastAsia"/>
          <w:color w:val="auto"/>
          <w:sz w:val="24"/>
          <w:szCs w:val="24"/>
          <w:highlight w:val="none"/>
          <w:lang w:eastAsia="zh-CN"/>
        </w:rPr>
        <w:t>重庆市南岸区通江大道214号卓越国虹时代中心2号楼</w:t>
      </w:r>
      <w:r>
        <w:rPr>
          <w:rFonts w:hint="eastAsia" w:cs="宋体" w:asciiTheme="minorEastAsia" w:hAnsiTheme="minorEastAsia" w:eastAsiaTheme="minorEastAsia"/>
          <w:color w:val="auto"/>
          <w:sz w:val="24"/>
          <w:szCs w:val="24"/>
          <w:highlight w:val="none"/>
          <w:lang w:val="en-US" w:eastAsia="zh-CN"/>
        </w:rPr>
        <w:t>2单元</w:t>
      </w:r>
      <w:r>
        <w:rPr>
          <w:rFonts w:hint="eastAsia" w:cs="宋体" w:asciiTheme="minorEastAsia" w:hAnsiTheme="minorEastAsia" w:eastAsiaTheme="minorEastAsia"/>
          <w:color w:val="auto"/>
          <w:sz w:val="24"/>
          <w:szCs w:val="24"/>
          <w:highlight w:val="none"/>
          <w:lang w:eastAsia="zh-CN"/>
        </w:rPr>
        <w:t>3-3</w:t>
      </w:r>
    </w:p>
    <w:p>
      <w:pPr>
        <w:pStyle w:val="3"/>
        <w:spacing w:before="0" w:after="0" w:line="500" w:lineRule="exact"/>
        <w:jc w:val="center"/>
        <w:rPr>
          <w:rFonts w:cs="宋体" w:asciiTheme="minorEastAsia" w:hAnsiTheme="minorEastAsia" w:eastAsiaTheme="minorEastAsia"/>
          <w:color w:val="auto"/>
          <w:highlight w:val="none"/>
        </w:rPr>
      </w:pPr>
      <w:bookmarkStart w:id="16" w:name="_Toc28092"/>
      <w:r>
        <w:rPr>
          <w:rFonts w:hint="eastAsia" w:cs="宋体" w:asciiTheme="minorEastAsia" w:hAnsiTheme="minorEastAsia" w:eastAsiaTheme="minorEastAsia"/>
          <w:color w:val="auto"/>
          <w:highlight w:val="none"/>
        </w:rPr>
        <w:t>第二章  竞选人须知</w:t>
      </w:r>
      <w:bookmarkEnd w:id="11"/>
      <w:bookmarkEnd w:id="12"/>
      <w:bookmarkEnd w:id="13"/>
      <w:bookmarkEnd w:id="14"/>
      <w:bookmarkEnd w:id="15"/>
      <w:r>
        <w:rPr>
          <w:rFonts w:hint="eastAsia" w:cs="宋体" w:asciiTheme="minorEastAsia" w:hAnsiTheme="minorEastAsia" w:eastAsiaTheme="minorEastAsia"/>
          <w:color w:val="auto"/>
          <w:highlight w:val="none"/>
        </w:rPr>
        <w:t>前附表</w:t>
      </w:r>
      <w:bookmarkEnd w:id="16"/>
    </w:p>
    <w:tbl>
      <w:tblPr>
        <w:tblStyle w:val="17"/>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b/>
                <w:color w:val="auto"/>
                <w:kern w:val="0"/>
                <w:szCs w:val="21"/>
                <w:highlight w:val="none"/>
              </w:rPr>
            </w:pPr>
            <w:bookmarkStart w:id="17" w:name="A5"/>
            <w:r>
              <w:rPr>
                <w:rFonts w:hint="eastAsia" w:cs="宋体" w:asciiTheme="minorEastAsia" w:hAnsiTheme="minorEastAsia" w:eastAsiaTheme="minorEastAsia"/>
                <w:b/>
                <w:color w:val="auto"/>
                <w:kern w:val="0"/>
                <w:szCs w:val="21"/>
                <w:highlight w:val="none"/>
              </w:rPr>
              <w:t>条 款 号</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条款名称</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比选人</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比选人</w:t>
            </w: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eastAsia="zh-CN"/>
              </w:rPr>
              <w:t>重庆市江南城市建设发展（集团）有限公司</w:t>
            </w:r>
          </w:p>
          <w:p>
            <w:pPr>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联系人：</w:t>
            </w:r>
            <w:r>
              <w:rPr>
                <w:rFonts w:hint="eastAsia" w:cs="宋体" w:asciiTheme="minorEastAsia" w:hAnsiTheme="minorEastAsia" w:eastAsiaTheme="minorEastAsia"/>
                <w:color w:val="auto"/>
                <w:szCs w:val="21"/>
                <w:highlight w:val="none"/>
                <w:lang w:eastAsia="zh-CN"/>
              </w:rPr>
              <w:t>刘老师</w:t>
            </w:r>
          </w:p>
          <w:p>
            <w:pPr>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联系电话：</w:t>
            </w:r>
            <w:r>
              <w:rPr>
                <w:rFonts w:hint="eastAsia" w:cs="宋体" w:asciiTheme="minorEastAsia" w:hAnsiTheme="minorEastAsia" w:eastAsiaTheme="minorEastAsia"/>
                <w:color w:val="auto"/>
                <w:sz w:val="24"/>
                <w:szCs w:val="24"/>
                <w:highlight w:val="none"/>
              </w:rPr>
              <w:t>13996205609</w:t>
            </w:r>
            <w:r>
              <w:rPr>
                <w:rFonts w:hint="eastAsia" w:cs="宋体" w:asciiTheme="minorEastAsia" w:hAnsiTheme="minorEastAsia" w:eastAsiaTheme="minorEastAsia"/>
                <w:color w:val="auto"/>
                <w:sz w:val="24"/>
                <w:szCs w:val="24"/>
                <w:highlight w:val="none"/>
                <w:lang w:val="en-US" w:eastAsia="zh-CN"/>
              </w:rPr>
              <w:t xml:space="preserve"> </w:t>
            </w:r>
          </w:p>
          <w:p>
            <w:pPr>
              <w:spacing w:line="400" w:lineRule="exact"/>
              <w:ind w:right="56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地址：南岸区</w:t>
            </w:r>
            <w:r>
              <w:rPr>
                <w:rFonts w:hint="eastAsia" w:cs="宋体" w:asciiTheme="minorEastAsia" w:hAnsiTheme="minorEastAsia" w:eastAsiaTheme="minorEastAsia"/>
                <w:color w:val="auto"/>
                <w:szCs w:val="21"/>
                <w:highlight w:val="none"/>
                <w:lang w:eastAsia="zh-CN"/>
              </w:rPr>
              <w:t>南岸区米兰路51号7楼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ind w:firstLine="210" w:firstLine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代理机构</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right="56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代理机构名称：</w:t>
            </w:r>
            <w:r>
              <w:rPr>
                <w:rFonts w:hint="eastAsia" w:cs="宋体" w:asciiTheme="minorEastAsia" w:hAnsiTheme="minorEastAsia" w:eastAsiaTheme="minorEastAsia"/>
                <w:color w:val="auto"/>
                <w:szCs w:val="21"/>
                <w:highlight w:val="none"/>
                <w:lang w:eastAsia="zh-CN"/>
              </w:rPr>
              <w:t>天之瓴建设股份有限公司</w:t>
            </w:r>
          </w:p>
          <w:p>
            <w:pPr>
              <w:spacing w:line="400" w:lineRule="exact"/>
              <w:ind w:right="56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代理机构联系人：</w:t>
            </w:r>
            <w:r>
              <w:rPr>
                <w:rFonts w:hint="eastAsia" w:cs="宋体" w:asciiTheme="minorEastAsia" w:hAnsiTheme="minorEastAsia" w:eastAsiaTheme="minorEastAsia"/>
                <w:color w:val="auto"/>
                <w:szCs w:val="21"/>
                <w:highlight w:val="none"/>
                <w:lang w:val="en-US" w:eastAsia="zh-CN"/>
              </w:rPr>
              <w:t>杨</w:t>
            </w:r>
            <w:r>
              <w:rPr>
                <w:rFonts w:hint="eastAsia" w:cs="宋体" w:asciiTheme="minorEastAsia" w:hAnsiTheme="minorEastAsia" w:eastAsiaTheme="minorEastAsia"/>
                <w:color w:val="auto"/>
                <w:szCs w:val="21"/>
                <w:highlight w:val="none"/>
              </w:rPr>
              <w:t xml:space="preserve">老师 </w:t>
            </w:r>
          </w:p>
          <w:p>
            <w:pPr>
              <w:spacing w:line="400" w:lineRule="exact"/>
              <w:ind w:right="56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代理机构联系电话：</w:t>
            </w:r>
            <w:r>
              <w:rPr>
                <w:rFonts w:hint="eastAsia" w:cs="宋体" w:asciiTheme="minorEastAsia" w:hAnsiTheme="minorEastAsia" w:eastAsiaTheme="minorEastAsia"/>
                <w:color w:val="auto"/>
                <w:szCs w:val="21"/>
                <w:highlight w:val="none"/>
                <w:lang w:eastAsia="zh-CN"/>
              </w:rPr>
              <w:t>023-62652790</w:t>
            </w:r>
            <w:r>
              <w:rPr>
                <w:rFonts w:hint="eastAsia" w:cs="宋体" w:asciiTheme="minorEastAsia" w:hAnsiTheme="minorEastAsia" w:eastAsiaTheme="minorEastAsia"/>
                <w:color w:val="auto"/>
                <w:szCs w:val="21"/>
                <w:highlight w:val="none"/>
              </w:rPr>
              <w:t xml:space="preserve"> </w:t>
            </w:r>
          </w:p>
          <w:p>
            <w:pPr>
              <w:spacing w:line="400" w:lineRule="exact"/>
              <w:ind w:right="11" w:rightChars="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代理机构地址：</w:t>
            </w:r>
            <w:r>
              <w:rPr>
                <w:rFonts w:hint="eastAsia" w:cs="宋体" w:asciiTheme="minorEastAsia" w:hAnsiTheme="minorEastAsia" w:eastAsiaTheme="minorEastAsia"/>
                <w:color w:val="auto"/>
                <w:szCs w:val="21"/>
                <w:highlight w:val="none"/>
                <w:lang w:eastAsia="zh-CN"/>
              </w:rPr>
              <w:t>南岸区通江大道214号卓越国虹时代中心2号楼</w:t>
            </w:r>
            <w:r>
              <w:rPr>
                <w:rFonts w:hint="eastAsia" w:cs="宋体" w:asciiTheme="minorEastAsia" w:hAnsiTheme="minorEastAsia" w:eastAsiaTheme="minorEastAsia"/>
                <w:color w:val="auto"/>
                <w:szCs w:val="21"/>
                <w:highlight w:val="none"/>
                <w:lang w:val="en-US" w:eastAsia="zh-CN"/>
              </w:rPr>
              <w:t>2单元</w:t>
            </w:r>
            <w:r>
              <w:rPr>
                <w:rFonts w:hint="eastAsia" w:cs="宋体" w:asciiTheme="minorEastAsia" w:hAnsiTheme="minorEastAsia" w:eastAsiaTheme="minorEastAsia"/>
                <w:color w:val="auto"/>
                <w:szCs w:val="21"/>
                <w:highlight w:val="none"/>
                <w:lang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 xml:space="preserve"> 律师事务所代理建设用地使用权出让合同纠纷（重庆豪德财富商业地产开发有限公司）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建设地点</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重庆市南岸区。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资金落实情况</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比选范围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eastAsia="zh-CN"/>
              </w:rPr>
              <w:t>律师事务所代理建设用地使用权出让合同纠纷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服务期限</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Theme="minorEastAsia" w:hAnsiTheme="minorEastAsia" w:eastAsiaTheme="minorEastAsia"/>
                <w:color w:val="auto"/>
                <w:highlight w:val="none"/>
              </w:rPr>
            </w:pPr>
            <w:r>
              <w:rPr>
                <w:rFonts w:hint="eastAsia" w:cs="Times New Roman" w:asciiTheme="minorEastAsia" w:hAnsiTheme="minorEastAsia" w:eastAsiaTheme="minorEastAsia"/>
                <w:color w:val="auto"/>
                <w:highlight w:val="none"/>
                <w:lang w:val="en-US" w:eastAsia="zh-CN"/>
              </w:rPr>
              <w:t>自与比选人签订合同之日起至一审、二审结束，如未发生二审，至二审前的法律文书（含判决、裁定、调解书、案外和解协议）生效之日止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1.3.3</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满足比选人的法律需求。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1.4.1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p>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竞选人资质条件、能力和信誉</w:t>
            </w:r>
          </w:p>
          <w:p>
            <w:pPr>
              <w:spacing w:line="400" w:lineRule="exact"/>
              <w:rPr>
                <w:rFonts w:cs="宋体" w:asciiTheme="minorEastAsia" w:hAnsiTheme="minorEastAsia" w:eastAsiaTheme="minorEastAsia"/>
                <w:color w:val="auto"/>
                <w:szCs w:val="21"/>
                <w:highlight w:val="none"/>
              </w:rPr>
            </w:pP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本次竞选实行资格后审，竞选人应具备以下资格条件：</w:t>
            </w:r>
          </w:p>
          <w:p>
            <w:pPr>
              <w:snapToGrid w:val="0"/>
              <w:spacing w:line="400" w:lineRule="exact"/>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1.资质条件</w:t>
            </w:r>
          </w:p>
          <w:p>
            <w:pPr>
              <w:snapToGrid w:val="0"/>
              <w:spacing w:line="400" w:lineRule="exact"/>
              <w:ind w:firstLine="420" w:firstLineChars="200"/>
              <w:rPr>
                <w:rFonts w:hint="eastAsia" w:cs="Times New Roman" w:asciiTheme="minorEastAsia" w:hAnsiTheme="minorEastAsia" w:eastAsiaTheme="minorEastAsia"/>
                <w:color w:val="auto"/>
                <w:szCs w:val="21"/>
                <w:highlight w:val="none"/>
                <w:lang w:eastAsia="zh-CN"/>
              </w:rPr>
            </w:pPr>
            <w:r>
              <w:rPr>
                <w:rFonts w:hint="eastAsia" w:cs="Times New Roman" w:asciiTheme="minorEastAsia" w:hAnsiTheme="minorEastAsia" w:eastAsiaTheme="minorEastAsia"/>
                <w:color w:val="auto"/>
                <w:szCs w:val="21"/>
                <w:highlight w:val="none"/>
                <w:lang w:eastAsia="zh-CN"/>
              </w:rPr>
              <w:t>注册在中</w:t>
            </w:r>
            <w:bookmarkStart w:id="243" w:name="_GoBack"/>
            <w:bookmarkEnd w:id="243"/>
            <w:r>
              <w:rPr>
                <w:rFonts w:hint="eastAsia" w:cs="Times New Roman" w:asciiTheme="minorEastAsia" w:hAnsiTheme="minorEastAsia" w:eastAsiaTheme="minorEastAsia"/>
                <w:color w:val="auto"/>
                <w:szCs w:val="21"/>
                <w:highlight w:val="none"/>
                <w:lang w:eastAsia="zh-CN"/>
              </w:rPr>
              <w:t>国大陆境内，具有有效的《律师事务所执业许可证》或《律师事务所分所执业许可证》（提供执业许可证复印件并加盖供应商公章）。</w:t>
            </w:r>
          </w:p>
          <w:p>
            <w:pPr>
              <w:snapToGrid w:val="0"/>
              <w:spacing w:line="400" w:lineRule="exact"/>
              <w:ind w:firstLine="420" w:firstLineChars="200"/>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lang w:eastAsia="zh-CN"/>
              </w:rPr>
              <w:t>注：供应商应为司法行政机关批准成立且前三年内（含</w:t>
            </w:r>
            <w:r>
              <w:rPr>
                <w:rFonts w:hint="eastAsia" w:cs="Times New Roman" w:asciiTheme="minorEastAsia" w:hAnsiTheme="minorEastAsia" w:eastAsiaTheme="minorEastAsia"/>
                <w:color w:val="auto"/>
                <w:szCs w:val="21"/>
                <w:highlight w:val="none"/>
                <w:lang w:val="en-US" w:eastAsia="zh-CN"/>
              </w:rPr>
              <w:t>2020</w:t>
            </w:r>
            <w:r>
              <w:rPr>
                <w:rFonts w:hint="eastAsia" w:cs="Times New Roman" w:asciiTheme="minorEastAsia" w:hAnsiTheme="minorEastAsia" w:eastAsiaTheme="minorEastAsia"/>
                <w:color w:val="auto"/>
                <w:szCs w:val="21"/>
                <w:highlight w:val="none"/>
                <w:lang w:eastAsia="zh-CN"/>
              </w:rPr>
              <w:t>年）未受过行政处罚或业务处分的律师事务所。</w:t>
            </w:r>
          </w:p>
          <w:p>
            <w:pPr>
              <w:widowControl/>
              <w:spacing w:line="400" w:lineRule="exact"/>
              <w:ind w:firstLine="422" w:firstLineChars="200"/>
              <w:jc w:val="left"/>
              <w:rPr>
                <w:rFonts w:cs="宋体" w:asciiTheme="minorEastAsia" w:hAnsiTheme="minorEastAsia" w:eastAsiaTheme="minorEastAsia"/>
                <w:b/>
                <w:color w:val="auto"/>
                <w:szCs w:val="21"/>
                <w:highlight w:val="none"/>
              </w:rPr>
            </w:pPr>
            <w:r>
              <w:rPr>
                <w:rFonts w:hint="eastAsia" w:asciiTheme="minorEastAsia" w:hAnsiTheme="minorEastAsia" w:eastAsiaTheme="minorEastAsia"/>
                <w:b/>
                <w:color w:val="auto"/>
                <w:kern w:val="0"/>
                <w:highlight w:val="none"/>
                <w:lang w:val="zh-CN"/>
              </w:rPr>
              <w:t>2.</w:t>
            </w:r>
            <w:r>
              <w:rPr>
                <w:rFonts w:hint="eastAsia" w:asciiTheme="minorEastAsia" w:hAnsiTheme="minorEastAsia" w:eastAsiaTheme="minorEastAsia"/>
                <w:b/>
                <w:snapToGrid w:val="0"/>
                <w:color w:val="auto"/>
                <w:highlight w:val="none"/>
              </w:rPr>
              <w:t>竞选截止日竞选资格情况</w:t>
            </w:r>
          </w:p>
          <w:p>
            <w:pPr>
              <w:snapToGrid w:val="0"/>
              <w:spacing w:line="400" w:lineRule="exact"/>
              <w:ind w:firstLine="420" w:firstLineChars="200"/>
              <w:jc w:val="left"/>
              <w:rPr>
                <w:rFonts w:hAnsi="宋体"/>
                <w:color w:val="auto"/>
                <w:kern w:val="0"/>
                <w:szCs w:val="21"/>
                <w:highlight w:val="none"/>
              </w:rPr>
            </w:pPr>
            <w:r>
              <w:rPr>
                <w:rFonts w:hint="eastAsia" w:hAnsi="宋体"/>
                <w:color w:val="auto"/>
                <w:kern w:val="0"/>
                <w:szCs w:val="21"/>
                <w:highlight w:val="none"/>
                <w:lang w:val="zh-CN"/>
              </w:rPr>
              <w:t>竞标人</w:t>
            </w:r>
            <w:r>
              <w:rPr>
                <w:rFonts w:hint="eastAsia" w:hAnsi="宋体"/>
                <w:b/>
                <w:bCs/>
                <w:color w:val="auto"/>
                <w:kern w:val="0"/>
                <w:szCs w:val="21"/>
                <w:highlight w:val="none"/>
                <w:lang w:val="zh-CN"/>
              </w:rPr>
              <w:t>自行承诺</w:t>
            </w:r>
            <w:r>
              <w:rPr>
                <w:rFonts w:hint="eastAsia" w:hAnsi="宋体"/>
                <w:b/>
                <w:bCs/>
                <w:color w:val="auto"/>
                <w:kern w:val="0"/>
                <w:szCs w:val="21"/>
                <w:highlight w:val="none"/>
              </w:rPr>
              <w:t>（</w:t>
            </w:r>
            <w:r>
              <w:rPr>
                <w:rFonts w:hint="eastAsia" w:hAnsi="宋体"/>
                <w:b/>
                <w:bCs/>
                <w:color w:val="auto"/>
                <w:kern w:val="0"/>
                <w:szCs w:val="21"/>
                <w:highlight w:val="none"/>
                <w:lang w:val="zh-CN"/>
              </w:rPr>
              <w:t>格式自拟</w:t>
            </w:r>
            <w:r>
              <w:rPr>
                <w:rFonts w:hint="eastAsia" w:hAnsi="宋体"/>
                <w:b/>
                <w:bCs/>
                <w:color w:val="auto"/>
                <w:kern w:val="0"/>
                <w:szCs w:val="21"/>
                <w:highlight w:val="none"/>
              </w:rPr>
              <w:t>）</w:t>
            </w:r>
            <w:r>
              <w:rPr>
                <w:rFonts w:hint="eastAsia" w:hAnsi="宋体"/>
                <w:color w:val="auto"/>
                <w:kern w:val="0"/>
                <w:szCs w:val="21"/>
                <w:highlight w:val="none"/>
                <w:lang w:val="zh-CN"/>
              </w:rPr>
              <w:t>不得存在下列情形之一</w:t>
            </w:r>
            <w:r>
              <w:rPr>
                <w:rFonts w:hint="eastAsia" w:hAnsi="宋体"/>
                <w:color w:val="auto"/>
                <w:kern w:val="0"/>
                <w:szCs w:val="21"/>
                <w:highlight w:val="none"/>
              </w:rPr>
              <w:t>：</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（1）被人民法院在“信用中国”网站（www.creditchina.gov.cn）列入失信被执行人名单且在被执行期内；</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）被国家、重庆市（含市或任意区县）有关行政部门处以暂停投标资格行政处罚，且在处罚期限内；</w:t>
            </w:r>
          </w:p>
          <w:p>
            <w:pPr>
              <w:spacing w:line="400" w:lineRule="exact"/>
              <w:ind w:firstLine="525" w:firstLineChars="250"/>
              <w:contextualSpacing/>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由竞选人就以上内容提交信誉声明，若被</w:t>
            </w:r>
            <w:r>
              <w:rPr>
                <w:rFonts w:hint="eastAsia" w:asciiTheme="minorEastAsia" w:hAnsiTheme="minorEastAsia" w:eastAsiaTheme="minorEastAsia"/>
                <w:color w:val="auto"/>
                <w:szCs w:val="21"/>
                <w:highlight w:val="none"/>
                <w:lang w:eastAsia="zh-CN"/>
              </w:rPr>
              <w:t>比选人</w:t>
            </w:r>
            <w:r>
              <w:rPr>
                <w:rFonts w:hint="eastAsia" w:asciiTheme="minorEastAsia" w:hAnsiTheme="minorEastAsia" w:eastAsiaTheme="minorEastAsia"/>
                <w:color w:val="auto"/>
                <w:szCs w:val="21"/>
                <w:highlight w:val="none"/>
              </w:rPr>
              <w:t>发现声明与实际不符，将被取消竞选或中选资格，其竞选保证金不予退还。</w:t>
            </w:r>
          </w:p>
          <w:p>
            <w:pPr>
              <w:autoSpaceDE w:val="0"/>
              <w:autoSpaceDN w:val="0"/>
              <w:adjustRightInd w:val="0"/>
              <w:spacing w:line="400" w:lineRule="exact"/>
              <w:ind w:firstLine="219" w:firstLineChars="104"/>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备注：</w:t>
            </w:r>
          </w:p>
          <w:p>
            <w:pPr>
              <w:autoSpaceDE w:val="0"/>
              <w:autoSpaceDN w:val="0"/>
              <w:adjustRightInd w:val="0"/>
              <w:spacing w:line="400" w:lineRule="exact"/>
              <w:ind w:firstLine="323" w:firstLineChars="153"/>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（1）以上所有要求提交的复印件资料均须加盖竞选人单位公章，加盖的单位公章须清晰可见。</w:t>
            </w:r>
          </w:p>
          <w:p>
            <w:pPr>
              <w:autoSpaceDE w:val="0"/>
              <w:autoSpaceDN w:val="0"/>
              <w:adjustRightInd w:val="0"/>
              <w:spacing w:line="400" w:lineRule="exact"/>
              <w:ind w:firstLine="323" w:firstLineChars="153"/>
              <w:rPr>
                <w:rFonts w:cs="楷体" w:asciiTheme="minorEastAsia" w:hAnsiTheme="minorEastAsia" w:eastAsiaTheme="minorEastAsia"/>
                <w:b/>
                <w:color w:val="auto"/>
                <w:szCs w:val="21"/>
                <w:highlight w:val="none"/>
              </w:rPr>
            </w:pPr>
            <w:r>
              <w:rPr>
                <w:rFonts w:hint="eastAsia" w:cs="楷体" w:asciiTheme="minorEastAsia" w:hAnsiTheme="minorEastAsia" w:eastAsiaTheme="minorEastAsia"/>
                <w:b/>
                <w:color w:val="auto"/>
                <w:szCs w:val="21"/>
                <w:highlight w:val="none"/>
              </w:rPr>
              <w:t>（2）竞选人应对上述资料真实性负责，如提供虚假材料，一经查实，将取消竞选资格或中选资格，并且其竞选保证金不予退还。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1.4.2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ind w:left="420" w:hanging="420" w:hangingChars="20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是否接受联合体竞选</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1.9.1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踏勘现场</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■不组织</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比选人</w:t>
            </w:r>
            <w:r>
              <w:rPr>
                <w:rFonts w:hint="eastAsia" w:cs="宋体" w:asciiTheme="minorEastAsia" w:hAnsiTheme="minorEastAsia" w:eastAsiaTheme="minorEastAsia"/>
                <w:color w:val="auto"/>
                <w:szCs w:val="21"/>
                <w:highlight w:val="none"/>
              </w:rPr>
              <w:t>不组织现场踏勘，竞选人需现场踏勘的自行组织，踏勘费用和踏勘期间的安全由竞选人自行负责。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1.10.1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竞选预备会</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1.11.1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分包</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竞选人提出问题的截止时间</w:t>
            </w:r>
          </w:p>
        </w:tc>
        <w:tc>
          <w:tcPr>
            <w:tcW w:w="6527" w:type="dxa"/>
            <w:tcBorders>
              <w:top w:val="single" w:color="auto" w:sz="4" w:space="0"/>
              <w:left w:val="single" w:color="auto" w:sz="4" w:space="0"/>
              <w:bottom w:val="single" w:color="auto" w:sz="4" w:space="0"/>
              <w:right w:val="single" w:color="auto" w:sz="4" w:space="0"/>
            </w:tcBorders>
            <w:vAlign w:val="center"/>
          </w:tcPr>
          <w:p>
            <w:pPr>
              <w:tabs>
                <w:tab w:val="left" w:pos="3840"/>
                <w:tab w:val="left" w:pos="5300"/>
              </w:tabs>
              <w:autoSpaceDE w:val="0"/>
              <w:autoSpaceDN w:val="0"/>
              <w:adjustRightInd w:val="0"/>
              <w:spacing w:line="400" w:lineRule="exact"/>
              <w:ind w:firstLine="420" w:firstLineChars="200"/>
              <w:jc w:val="left"/>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参选人在获取竞争性比选文件后，若对本比选文件有疑问需要进行澄清时，请在</w:t>
            </w:r>
            <w:r>
              <w:rPr>
                <w:rFonts w:hint="eastAsia" w:ascii="宋体" w:hAnsi="宋体" w:cs="宋体"/>
                <w:b/>
                <w:bCs/>
                <w:color w:val="auto"/>
                <w:szCs w:val="21"/>
                <w:highlight w:val="none"/>
              </w:rPr>
              <w:t>20</w:t>
            </w:r>
            <w:r>
              <w:rPr>
                <w:rFonts w:hint="eastAsia" w:ascii="宋体" w:hAnsi="宋体" w:cs="宋体"/>
                <w:b/>
                <w:bCs/>
                <w:color w:val="auto"/>
                <w:szCs w:val="21"/>
                <w:highlight w:val="none"/>
                <w:lang w:val="en-US" w:eastAsia="zh-CN"/>
              </w:rPr>
              <w:t>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 xml:space="preserve"> 8 </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 xml:space="preserve"> 24 </w:t>
            </w:r>
            <w:r>
              <w:rPr>
                <w:rFonts w:hint="eastAsia" w:ascii="宋体" w:hAnsi="宋体" w:cs="宋体"/>
                <w:b/>
                <w:bCs/>
                <w:color w:val="auto"/>
                <w:szCs w:val="21"/>
                <w:highlight w:val="none"/>
              </w:rPr>
              <w:t>日10时00分</w:t>
            </w:r>
            <w:r>
              <w:rPr>
                <w:rFonts w:hint="eastAsia" w:ascii="宋体" w:hAnsi="宋体" w:cs="宋体"/>
                <w:color w:val="auto"/>
                <w:szCs w:val="21"/>
                <w:highlight w:val="none"/>
              </w:rPr>
              <w:t>前以书面形式向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或代理机构提出。如在规定时间内没有对本项目比选文件提出异议的，视为完全理解并接受该比选文件的所有内容。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比选人</w:t>
            </w:r>
            <w:r>
              <w:rPr>
                <w:rFonts w:hint="eastAsia" w:cs="宋体" w:asciiTheme="minorEastAsia" w:hAnsiTheme="minorEastAsia" w:eastAsiaTheme="minorEastAsia"/>
                <w:color w:val="auto"/>
                <w:szCs w:val="21"/>
                <w:highlight w:val="none"/>
              </w:rPr>
              <w:t>书面澄清的时间</w:t>
            </w:r>
          </w:p>
        </w:tc>
        <w:tc>
          <w:tcPr>
            <w:tcW w:w="6527" w:type="dxa"/>
            <w:tcBorders>
              <w:top w:val="single" w:color="auto" w:sz="4" w:space="0"/>
              <w:left w:val="single" w:color="auto" w:sz="4" w:space="0"/>
              <w:bottom w:val="single" w:color="auto" w:sz="4" w:space="0"/>
              <w:right w:val="single" w:color="auto" w:sz="4" w:space="0"/>
            </w:tcBorders>
            <w:vAlign w:val="center"/>
          </w:tcPr>
          <w:p>
            <w:pPr>
              <w:tabs>
                <w:tab w:val="left" w:pos="3840"/>
                <w:tab w:val="left" w:pos="5300"/>
              </w:tabs>
              <w:autoSpaceDE w:val="0"/>
              <w:autoSpaceDN w:val="0"/>
              <w:adjustRightInd w:val="0"/>
              <w:spacing w:line="400" w:lineRule="exact"/>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比选人</w:t>
            </w:r>
            <w:r>
              <w:rPr>
                <w:rFonts w:hint="eastAsia" w:cs="宋体" w:asciiTheme="minorEastAsia" w:hAnsiTheme="minorEastAsia" w:eastAsiaTheme="minorEastAsia"/>
                <w:color w:val="auto"/>
                <w:szCs w:val="21"/>
                <w:highlight w:val="none"/>
              </w:rPr>
              <w:t>对已发出的比选文件需要进行澄清或修改的，在“行采家”（https://www.gec123.com/）上以书面形式在竞选截止时间前发出。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竞选人要求澄清比选文件的截止时间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5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选人在收到比选文件后，应仔细检查比选文件的所有内容，如有残缺或文字表述不清，图纸尺寸标注不明以及存在错、碰、漏、缺、概念模糊和有可能出现歧义或理解上的偏差的内容等应按本表2.2.1条的规定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2.2.4</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比选会时间</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同比选公告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3.1.1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构成竞选文件的其他材料</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竞选人的书面澄清、说明和补正（但不得改变竞选文件的实质性内容）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42" w:firstLineChars="163"/>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竞选报价</w:t>
            </w:r>
          </w:p>
        </w:tc>
        <w:tc>
          <w:tcPr>
            <w:tcW w:w="65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56"/>
              <w:jc w:val="left"/>
              <w:rPr>
                <w:rFonts w:hint="eastAsia"/>
                <w:color w:val="auto"/>
                <w:highlight w:val="none"/>
              </w:rPr>
            </w:pPr>
            <w:r>
              <w:rPr>
                <w:rFonts w:hint="eastAsia"/>
                <w:color w:val="auto"/>
                <w:highlight w:val="none"/>
                <w:lang w:val="en-US" w:eastAsia="zh-CN"/>
              </w:rPr>
              <w:t>竞选</w:t>
            </w:r>
            <w:r>
              <w:rPr>
                <w:rFonts w:hint="eastAsia"/>
                <w:color w:val="auto"/>
                <w:highlight w:val="none"/>
              </w:rPr>
              <w:t>报价包括完成本项目询比文件约定的工作内容所需的法律顾问服务费、诉讼（仲裁）案件代理费、所有税费、交通费、住宿费、差旅费、通讯费、餐费等所有费用。因成交供应商自身原因造成漏报、少报皆由其自行承担责任，</w:t>
            </w:r>
            <w:r>
              <w:rPr>
                <w:rFonts w:hint="eastAsia"/>
                <w:color w:val="auto"/>
                <w:highlight w:val="none"/>
                <w:lang w:eastAsia="zh-CN"/>
              </w:rPr>
              <w:t>比选人</w:t>
            </w:r>
            <w:r>
              <w:rPr>
                <w:rFonts w:hint="eastAsia"/>
                <w:color w:val="auto"/>
                <w:highlight w:val="none"/>
              </w:rPr>
              <w:t>不再补偿。</w:t>
            </w:r>
          </w:p>
          <w:p>
            <w:pPr>
              <w:snapToGrid w:val="0"/>
              <w:spacing w:line="400" w:lineRule="exact"/>
              <w:ind w:firstLine="420" w:firstLineChars="200"/>
              <w:rPr>
                <w:rFonts w:hint="default" w:eastAsia="宋体"/>
                <w:color w:val="auto"/>
                <w:lang w:val="en-US" w:eastAsia="zh-CN"/>
              </w:rPr>
            </w:pPr>
            <w:r>
              <w:rPr>
                <w:rFonts w:hint="eastAsia"/>
                <w:color w:val="auto"/>
                <w:highlight w:val="none"/>
                <w:lang w:val="en-US" w:eastAsia="zh-CN"/>
              </w:rPr>
              <w:t>本项目竞选总价最高限价为700000元（大写：柒拾万整），各竞选人的竞选总报价不得超过竞选总价最高限价，</w:t>
            </w:r>
            <w:r>
              <w:rPr>
                <w:rFonts w:hint="eastAsia"/>
                <w:b/>
                <w:bCs/>
                <w:color w:val="auto"/>
                <w:highlight w:val="none"/>
                <w:lang w:val="en-US" w:eastAsia="zh-CN"/>
              </w:rPr>
              <w:t>否则其竞选文件按否决竞选处理。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42" w:firstLineChars="163"/>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付款方式</w:t>
            </w:r>
          </w:p>
        </w:tc>
        <w:tc>
          <w:tcPr>
            <w:tcW w:w="65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5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合同签订后</w:t>
            </w:r>
            <w:r>
              <w:rPr>
                <w:rFonts w:hint="eastAsia" w:cs="宋体" w:asciiTheme="minorEastAsia" w:hAnsiTheme="minorEastAsia" w:eastAsiaTheme="minorEastAsia"/>
                <w:color w:val="auto"/>
                <w:szCs w:val="21"/>
                <w:highlight w:val="none"/>
              </w:rPr>
              <w:t>前期费用10个工作日付款，后期费用生效法律文书作出后10个工作日内。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3.3.1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竞选有效期</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90</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日历天（从提交竞选文件截止日起计算）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3.4.1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竞选保证金</w:t>
            </w:r>
          </w:p>
        </w:tc>
        <w:tc>
          <w:tcPr>
            <w:tcW w:w="652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1、竞标保证金的金额</w:t>
            </w:r>
          </w:p>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竞标保证金金额：大写</w:t>
            </w:r>
            <w:r>
              <w:rPr>
                <w:rFonts w:hint="eastAsia" w:cs="宋体" w:asciiTheme="minorEastAsia" w:hAnsiTheme="minorEastAsia" w:eastAsiaTheme="minorEastAsia"/>
                <w:color w:val="auto"/>
                <w:szCs w:val="21"/>
                <w:highlight w:val="none"/>
                <w:lang w:val="en-US" w:eastAsia="zh-CN"/>
              </w:rPr>
              <w:t>壹万</w:t>
            </w:r>
            <w:r>
              <w:rPr>
                <w:rFonts w:hint="eastAsia" w:cs="宋体" w:asciiTheme="minorEastAsia" w:hAnsiTheme="minorEastAsia" w:eastAsiaTheme="minorEastAsia"/>
                <w:color w:val="auto"/>
                <w:szCs w:val="21"/>
                <w:highlight w:val="none"/>
                <w:lang w:eastAsia="zh-CN"/>
              </w:rPr>
              <w:t>元整，小写：</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lang w:eastAsia="zh-CN"/>
              </w:rPr>
              <w:t>000</w:t>
            </w:r>
            <w:r>
              <w:rPr>
                <w:rFonts w:hint="eastAsia" w:cs="宋体" w:asciiTheme="minorEastAsia" w:hAnsiTheme="minorEastAsia" w:eastAsiaTheme="minorEastAsia"/>
                <w:color w:val="auto"/>
                <w:szCs w:val="21"/>
                <w:highlight w:val="none"/>
                <w:lang w:val="en-US" w:eastAsia="zh-CN"/>
              </w:rPr>
              <w:t>.00</w:t>
            </w:r>
            <w:r>
              <w:rPr>
                <w:rFonts w:hint="eastAsia" w:cs="宋体" w:asciiTheme="minorEastAsia" w:hAnsiTheme="minorEastAsia" w:eastAsiaTheme="minorEastAsia"/>
                <w:color w:val="auto"/>
                <w:szCs w:val="21"/>
                <w:highlight w:val="none"/>
                <w:lang w:eastAsia="zh-CN"/>
              </w:rPr>
              <w:t>元</w:t>
            </w:r>
          </w:p>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2、竞标保证金缴纳递交</w:t>
            </w:r>
          </w:p>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竞选人应足额交纳保证金，并汇至所投包对应的账户，由竞选人从其基本账户将保证金汇至以下账户，保证金的到账截止时间为递交投标文件截止时间前一个工作日下午17:00。竞选人必须在付款凭证备注栏中注明是“律师事务所代理建设用地使用权出让合同纠纷（重庆豪德财富商业地产开发有限公司）”（项目名称可简写</w:t>
            </w:r>
            <w:r>
              <w:rPr>
                <w:rFonts w:hint="eastAsia" w:cs="宋体" w:asciiTheme="minorEastAsia" w:hAnsiTheme="minorEastAsia" w:eastAsiaTheme="minorEastAsia"/>
                <w:color w:val="auto"/>
                <w:szCs w:val="21"/>
                <w:highlight w:val="none"/>
                <w:lang w:val="en-US" w:eastAsia="zh-CN"/>
              </w:rPr>
              <w:t>为：建设用地使用权出让合同纠纷</w:t>
            </w:r>
            <w:r>
              <w:rPr>
                <w:rFonts w:hint="eastAsia" w:cs="宋体" w:asciiTheme="minorEastAsia" w:hAnsiTheme="minorEastAsia" w:eastAsiaTheme="minorEastAsia"/>
                <w:color w:val="auto"/>
                <w:szCs w:val="21"/>
                <w:highlight w:val="none"/>
                <w:lang w:eastAsia="zh-CN"/>
              </w:rPr>
              <w:t>）。</w:t>
            </w:r>
          </w:p>
          <w:p>
            <w:pPr>
              <w:widowControl/>
              <w:spacing w:line="400" w:lineRule="exact"/>
              <w:ind w:firstLine="456"/>
              <w:jc w:val="left"/>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b/>
                <w:bCs/>
                <w:color w:val="auto"/>
                <w:szCs w:val="21"/>
                <w:highlight w:val="none"/>
                <w:lang w:eastAsia="zh-CN"/>
              </w:rPr>
              <w:t>户  名：</w:t>
            </w:r>
            <w:r>
              <w:rPr>
                <w:rFonts w:hint="eastAsia" w:cs="宋体" w:asciiTheme="minorEastAsia" w:hAnsiTheme="minorEastAsia" w:eastAsiaTheme="minorEastAsia"/>
                <w:b/>
                <w:bCs/>
                <w:color w:val="auto"/>
                <w:szCs w:val="21"/>
                <w:highlight w:val="none"/>
                <w:lang w:val="en-US" w:eastAsia="zh-CN"/>
              </w:rPr>
              <w:t>天之瓴建设股份有限公司重庆分公司</w:t>
            </w:r>
          </w:p>
          <w:p>
            <w:pPr>
              <w:widowControl/>
              <w:spacing w:line="400" w:lineRule="exact"/>
              <w:ind w:firstLine="456"/>
              <w:jc w:val="left"/>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b/>
                <w:bCs/>
                <w:color w:val="auto"/>
                <w:szCs w:val="21"/>
                <w:highlight w:val="none"/>
                <w:lang w:eastAsia="zh-CN"/>
              </w:rPr>
              <w:t>开户行：</w:t>
            </w:r>
            <w:r>
              <w:rPr>
                <w:rFonts w:hint="eastAsia" w:cs="宋体" w:asciiTheme="minorEastAsia" w:hAnsiTheme="minorEastAsia" w:eastAsiaTheme="minorEastAsia"/>
                <w:b/>
                <w:bCs/>
                <w:color w:val="auto"/>
                <w:szCs w:val="21"/>
                <w:highlight w:val="none"/>
                <w:lang w:val="en-US" w:eastAsia="zh-CN"/>
              </w:rPr>
              <w:t>交通银行股份有限公司重庆南岸支行</w:t>
            </w:r>
          </w:p>
          <w:p>
            <w:pPr>
              <w:widowControl/>
              <w:spacing w:line="400" w:lineRule="exact"/>
              <w:ind w:firstLine="456"/>
              <w:jc w:val="left"/>
              <w:rPr>
                <w:rFonts w:hint="eastAsia" w:cs="宋体" w:asciiTheme="minorEastAsia" w:hAnsiTheme="minorEastAsia" w:eastAsiaTheme="minorEastAsia"/>
                <w:b/>
                <w:bCs/>
                <w:color w:val="auto"/>
                <w:szCs w:val="21"/>
                <w:highlight w:val="none"/>
                <w:lang w:eastAsia="zh-CN"/>
              </w:rPr>
            </w:pPr>
            <w:r>
              <w:rPr>
                <w:rFonts w:hint="eastAsia" w:cs="宋体" w:asciiTheme="minorEastAsia" w:hAnsiTheme="minorEastAsia" w:eastAsiaTheme="minorEastAsia"/>
                <w:b/>
                <w:bCs/>
                <w:color w:val="auto"/>
                <w:szCs w:val="21"/>
                <w:highlight w:val="none"/>
                <w:lang w:eastAsia="zh-CN"/>
              </w:rPr>
              <w:t>账  号：</w:t>
            </w:r>
            <w:r>
              <w:rPr>
                <w:rFonts w:hint="eastAsia" w:cs="宋体" w:asciiTheme="minorEastAsia" w:hAnsiTheme="minorEastAsia" w:eastAsiaTheme="minorEastAsia"/>
                <w:b/>
                <w:bCs/>
                <w:color w:val="auto"/>
                <w:szCs w:val="21"/>
                <w:highlight w:val="none"/>
                <w:lang w:val="en-US" w:eastAsia="zh-CN"/>
              </w:rPr>
              <w:t>500114012018000077673</w:t>
            </w:r>
          </w:p>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eastAsia="zh-CN"/>
              </w:rPr>
              <w:t>特别提示：各竞选人在银行转账（电汇）时，须充分考虑银行转账（电汇）的时间差风险，如同城转账、异地转账或汇款、跨行转账或电汇的时间要求。</w:t>
            </w:r>
          </w:p>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保证金退还方式</w:t>
            </w:r>
          </w:p>
          <w:p>
            <w:pPr>
              <w:widowControl/>
              <w:spacing w:line="400" w:lineRule="exact"/>
              <w:ind w:firstLine="456"/>
              <w:jc w:val="lef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1</w:t>
            </w:r>
            <w:r>
              <w:rPr>
                <w:rFonts w:hint="eastAsia" w:cs="宋体" w:asciiTheme="minorEastAsia" w:hAnsiTheme="minorEastAsia" w:eastAsiaTheme="minorEastAsia"/>
                <w:color w:val="auto"/>
                <w:szCs w:val="21"/>
                <w:highlight w:val="none"/>
                <w:lang w:val="en-US" w:eastAsia="zh-CN"/>
              </w:rPr>
              <w:t xml:space="preserve"> </w:t>
            </w:r>
            <w:r>
              <w:rPr>
                <w:rFonts w:hint="eastAsia" w:cs="宋体" w:asciiTheme="minorEastAsia" w:hAnsiTheme="minorEastAsia" w:eastAsiaTheme="minorEastAsia"/>
                <w:color w:val="auto"/>
                <w:szCs w:val="21"/>
                <w:highlight w:val="none"/>
                <w:lang w:eastAsia="zh-CN"/>
              </w:rPr>
              <w:t>未中标竞选人的保证金，在中标通知书发放后，在五个工作日内按来款渠道直接退还。</w:t>
            </w:r>
          </w:p>
          <w:p>
            <w:pPr>
              <w:widowControl/>
              <w:spacing w:line="400" w:lineRule="exact"/>
              <w:ind w:firstLine="456"/>
              <w:jc w:val="left"/>
              <w:rPr>
                <w:rFonts w:ascii="宋体" w:hAnsi="宋体" w:cs="宋体"/>
                <w:color w:val="auto"/>
                <w:kern w:val="0"/>
                <w:sz w:val="32"/>
                <w:szCs w:val="32"/>
                <w:highlight w:val="none"/>
              </w:rPr>
            </w:pP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lang w:eastAsia="zh-CN"/>
              </w:rPr>
              <w:t>2</w:t>
            </w:r>
            <w:r>
              <w:rPr>
                <w:rFonts w:hint="eastAsia" w:cs="宋体" w:asciiTheme="minorEastAsia" w:hAnsiTheme="minorEastAsia" w:eastAsiaTheme="minorEastAsia"/>
                <w:color w:val="auto"/>
                <w:szCs w:val="21"/>
                <w:highlight w:val="none"/>
                <w:lang w:val="en-US" w:eastAsia="zh-CN"/>
              </w:rPr>
              <w:t xml:space="preserve"> 中标</w:t>
            </w:r>
            <w:r>
              <w:rPr>
                <w:rFonts w:hint="eastAsia" w:cs="宋体" w:asciiTheme="minorEastAsia" w:hAnsiTheme="minorEastAsia" w:eastAsiaTheme="minorEastAsia"/>
                <w:color w:val="auto"/>
                <w:szCs w:val="21"/>
                <w:highlight w:val="none"/>
                <w:lang w:eastAsia="zh-CN"/>
              </w:rPr>
              <w:t>竞选人的保证金，在中标竞选人与比选人签订合同后，在五个工作日内按资金来款渠道直接退还。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3.5</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资格审查资料</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3.6</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是否允许递交备选竞选方案</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■不允许</w:t>
            </w:r>
          </w:p>
          <w:p>
            <w:pPr>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口允许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3.7.3</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签字盖章要求</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竞选文件应由竞选人的法定代表人或其授权的代理人签字或盖章，并加盖竞选人单位公章。否则其竞选文件按否决竞选处理。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3.7.4</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竞选文件份数</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1.竞选函部分：一式</w:t>
            </w:r>
            <w:r>
              <w:rPr>
                <w:rFonts w:hint="eastAsia" w:ascii="宋体" w:hAnsi="宋体"/>
                <w:color w:val="auto"/>
                <w:szCs w:val="21"/>
                <w:highlight w:val="none"/>
                <w:lang w:eastAsia="zh-CN"/>
              </w:rPr>
              <w:t>三</w:t>
            </w:r>
            <w:r>
              <w:rPr>
                <w:rFonts w:hint="eastAsia" w:ascii="宋体" w:hAnsi="宋体"/>
                <w:color w:val="auto"/>
                <w:szCs w:val="21"/>
                <w:highlight w:val="none"/>
              </w:rPr>
              <w:t>份，正本一份，副本</w:t>
            </w:r>
            <w:r>
              <w:rPr>
                <w:rFonts w:hint="eastAsia" w:ascii="宋体" w:hAnsi="宋体"/>
                <w:color w:val="auto"/>
                <w:szCs w:val="21"/>
                <w:highlight w:val="none"/>
                <w:lang w:eastAsia="zh-CN"/>
              </w:rPr>
              <w:t>二</w:t>
            </w:r>
            <w:r>
              <w:rPr>
                <w:rFonts w:hint="eastAsia" w:ascii="宋体" w:hAnsi="宋体"/>
                <w:color w:val="auto"/>
                <w:szCs w:val="21"/>
                <w:highlight w:val="none"/>
              </w:rPr>
              <w:t>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2.资格审查资料（含商务部分）：一式</w:t>
            </w:r>
            <w:r>
              <w:rPr>
                <w:rFonts w:hint="eastAsia" w:ascii="宋体" w:hAnsi="宋体"/>
                <w:color w:val="auto"/>
                <w:szCs w:val="21"/>
                <w:highlight w:val="none"/>
                <w:lang w:eastAsia="zh-CN"/>
              </w:rPr>
              <w:t>三</w:t>
            </w:r>
            <w:r>
              <w:rPr>
                <w:rFonts w:hint="eastAsia" w:ascii="宋体" w:hAnsi="宋体"/>
                <w:color w:val="auto"/>
                <w:szCs w:val="21"/>
                <w:highlight w:val="none"/>
              </w:rPr>
              <w:t>份，正本一份，副本</w:t>
            </w:r>
            <w:r>
              <w:rPr>
                <w:rFonts w:hint="eastAsia" w:ascii="宋体" w:hAnsi="宋体"/>
                <w:color w:val="auto"/>
                <w:szCs w:val="21"/>
                <w:highlight w:val="none"/>
                <w:lang w:eastAsia="zh-CN"/>
              </w:rPr>
              <w:t>二</w:t>
            </w:r>
            <w:r>
              <w:rPr>
                <w:rFonts w:hint="eastAsia" w:ascii="宋体" w:hAnsi="宋体"/>
                <w:color w:val="auto"/>
                <w:szCs w:val="21"/>
                <w:highlight w:val="none"/>
              </w:rPr>
              <w:t>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服务</w:t>
            </w:r>
            <w:r>
              <w:rPr>
                <w:rFonts w:hint="eastAsia" w:ascii="宋体" w:hAnsi="宋体"/>
                <w:color w:val="auto"/>
                <w:szCs w:val="21"/>
                <w:highlight w:val="none"/>
              </w:rPr>
              <w:t>部分：一式</w:t>
            </w:r>
            <w:r>
              <w:rPr>
                <w:rFonts w:hint="eastAsia" w:ascii="宋体" w:hAnsi="宋体"/>
                <w:color w:val="auto"/>
                <w:szCs w:val="21"/>
                <w:highlight w:val="none"/>
                <w:lang w:eastAsia="zh-CN"/>
              </w:rPr>
              <w:t>三</w:t>
            </w:r>
            <w:r>
              <w:rPr>
                <w:rFonts w:hint="eastAsia" w:ascii="宋体" w:hAnsi="宋体"/>
                <w:color w:val="auto"/>
                <w:szCs w:val="21"/>
                <w:highlight w:val="none"/>
              </w:rPr>
              <w:t>份，正本一份，副本</w:t>
            </w:r>
            <w:r>
              <w:rPr>
                <w:rFonts w:hint="eastAsia" w:ascii="宋体" w:hAnsi="宋体"/>
                <w:color w:val="auto"/>
                <w:szCs w:val="21"/>
                <w:highlight w:val="none"/>
                <w:lang w:eastAsia="zh-CN"/>
              </w:rPr>
              <w:t>二</w:t>
            </w:r>
            <w:r>
              <w:rPr>
                <w:rFonts w:hint="eastAsia" w:ascii="宋体" w:hAnsi="宋体"/>
                <w:color w:val="auto"/>
                <w:szCs w:val="21"/>
                <w:highlight w:val="none"/>
              </w:rPr>
              <w:t>份；</w:t>
            </w:r>
          </w:p>
          <w:p>
            <w:pPr>
              <w:snapToGrid w:val="0"/>
              <w:spacing w:line="400" w:lineRule="exact"/>
              <w:ind w:firstLine="420" w:firstLineChars="200"/>
              <w:rPr>
                <w:rFonts w:asciiTheme="minorEastAsia" w:hAnsiTheme="minorEastAsia" w:eastAsiaTheme="minorEastAsia"/>
                <w:color w:val="auto"/>
                <w:kern w:val="0"/>
                <w:szCs w:val="21"/>
                <w:highlight w:val="none"/>
              </w:rPr>
            </w:pPr>
            <w:r>
              <w:rPr>
                <w:rFonts w:hint="eastAsia" w:ascii="宋体" w:hAnsi="宋体"/>
                <w:color w:val="auto"/>
                <w:szCs w:val="21"/>
                <w:highlight w:val="none"/>
              </w:rPr>
              <w:t>4.电子文件：包含竞选文件所有内容的电子文件</w:t>
            </w:r>
            <w:r>
              <w:rPr>
                <w:rFonts w:hint="eastAsia" w:ascii="宋体" w:hAnsi="宋体"/>
                <w:color w:val="auto"/>
                <w:szCs w:val="21"/>
                <w:highlight w:val="none"/>
                <w:lang w:val="en-US" w:eastAsia="zh-CN"/>
              </w:rPr>
              <w:t>1</w:t>
            </w:r>
            <w:r>
              <w:rPr>
                <w:rFonts w:hint="eastAsia" w:ascii="宋体" w:hAnsi="宋体"/>
                <w:color w:val="auto"/>
                <w:szCs w:val="21"/>
                <w:highlight w:val="none"/>
              </w:rPr>
              <w:t>份【要求光盘或U盘形式（注明项目名称和竞选单位名称）提交，封装到竞选文件袋中】。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3.7.5</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装订要求</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1．将竞选函部分、资格审查资料（含商务部分）、技术部分各自分别装订成册，采用左侧胶装。</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2．装订</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（1）竞选函部分的装订要求</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应按照第</w:t>
            </w:r>
            <w:r>
              <w:rPr>
                <w:rFonts w:hint="eastAsia" w:asciiTheme="minorEastAsia" w:hAnsiTheme="minorEastAsia" w:eastAsiaTheme="minorEastAsia"/>
                <w:color w:val="auto"/>
                <w:szCs w:val="21"/>
                <w:highlight w:val="none"/>
                <w:lang w:eastAsia="zh-CN"/>
              </w:rPr>
              <w:t>五</w:t>
            </w:r>
            <w:r>
              <w:rPr>
                <w:rFonts w:hint="eastAsia" w:asciiTheme="minorEastAsia" w:hAnsiTheme="minorEastAsia" w:eastAsiaTheme="minorEastAsia"/>
                <w:color w:val="auto"/>
                <w:szCs w:val="21"/>
                <w:highlight w:val="none"/>
              </w:rPr>
              <w:t>章规定格式装订成册，并应编制目录。</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（2）资格审查资料（含商务部分）的装订要求</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应按照第</w:t>
            </w:r>
            <w:r>
              <w:rPr>
                <w:rFonts w:hint="eastAsia" w:asciiTheme="minorEastAsia" w:hAnsiTheme="minorEastAsia" w:eastAsiaTheme="minorEastAsia"/>
                <w:color w:val="auto"/>
                <w:szCs w:val="21"/>
                <w:highlight w:val="none"/>
                <w:lang w:eastAsia="zh-CN"/>
              </w:rPr>
              <w:t>五</w:t>
            </w:r>
            <w:r>
              <w:rPr>
                <w:rFonts w:hint="eastAsia" w:asciiTheme="minorEastAsia" w:hAnsiTheme="minorEastAsia" w:eastAsiaTheme="minorEastAsia"/>
                <w:color w:val="auto"/>
                <w:szCs w:val="21"/>
                <w:highlight w:val="none"/>
              </w:rPr>
              <w:t>章规定格式装订成册，并应编制目录。</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（3）技术部分的装订要求</w:t>
            </w:r>
          </w:p>
          <w:p>
            <w:pPr>
              <w:spacing w:line="400" w:lineRule="exact"/>
              <w:ind w:firstLine="422" w:firstLineChars="20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应按照第</w:t>
            </w:r>
            <w:r>
              <w:rPr>
                <w:rFonts w:hint="eastAsia" w:asciiTheme="minorEastAsia" w:hAnsiTheme="minorEastAsia" w:eastAsiaTheme="minorEastAsia"/>
                <w:color w:val="auto"/>
                <w:szCs w:val="21"/>
                <w:highlight w:val="none"/>
                <w:lang w:eastAsia="zh-CN"/>
              </w:rPr>
              <w:t>五</w:t>
            </w:r>
            <w:r>
              <w:rPr>
                <w:rFonts w:hint="eastAsia" w:asciiTheme="minorEastAsia" w:hAnsiTheme="minorEastAsia" w:eastAsiaTheme="minorEastAsia"/>
                <w:color w:val="auto"/>
                <w:szCs w:val="21"/>
                <w:highlight w:val="none"/>
              </w:rPr>
              <w:t>章规定格式装订成册，并应编制目录。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4.1.1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竞选文件的密封</w:t>
            </w:r>
          </w:p>
        </w:tc>
        <w:tc>
          <w:tcPr>
            <w:tcW w:w="6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1.竞选文件应全部装入“竞选文件大袋”中，若竞选文件较厚，不能装入相应的一个袋中，可自行增加；</w:t>
            </w:r>
          </w:p>
          <w:p>
            <w:pPr>
              <w:autoSpaceDE w:val="0"/>
              <w:autoSpaceDN w:val="0"/>
              <w:adjustRightIn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 “竞选文件大袋”不限形式，只要密封并在封口处加盖有竞选人单位公章即可；</w:t>
            </w:r>
          </w:p>
          <w:p>
            <w:pPr>
              <w:autoSpaceDE w:val="0"/>
              <w:autoSpaceDN w:val="0"/>
              <w:adjustRightInd w:val="0"/>
              <w:spacing w:line="400" w:lineRule="exact"/>
              <w:ind w:firstLine="420" w:firstLineChars="200"/>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 “竞选文件大袋”封套上应按4.1.2条格式写明。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4.1.2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封套上写明</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应在“竞选文件”封套上写明如下内容：</w:t>
            </w:r>
          </w:p>
          <w:p>
            <w:pPr>
              <w:snapToGrid w:val="0"/>
              <w:spacing w:line="400" w:lineRule="exact"/>
              <w:ind w:firstLine="420" w:firstLineChars="200"/>
              <w:rPr>
                <w:rFonts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lang w:eastAsia="zh-CN"/>
              </w:rPr>
              <w:t>比选人</w:t>
            </w:r>
            <w:r>
              <w:rPr>
                <w:rFonts w:hint="eastAsia" w:cs="宋体" w:asciiTheme="minorEastAsia" w:hAnsiTheme="minorEastAsia" w:eastAsiaTheme="minorEastAsia"/>
                <w:color w:val="auto"/>
                <w:kern w:val="0"/>
                <w:szCs w:val="21"/>
                <w:highlight w:val="none"/>
              </w:rPr>
              <w:t>的地址：</w:t>
            </w:r>
          </w:p>
          <w:p>
            <w:pPr>
              <w:snapToGrid w:val="0"/>
              <w:spacing w:line="40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eastAsia="zh-CN"/>
              </w:rPr>
              <w:t>比选人</w:t>
            </w:r>
            <w:r>
              <w:rPr>
                <w:rFonts w:hint="eastAsia" w:cs="宋体" w:asciiTheme="minorEastAsia" w:hAnsiTheme="minorEastAsia" w:eastAsiaTheme="minorEastAsia"/>
                <w:color w:val="auto"/>
                <w:kern w:val="0"/>
                <w:szCs w:val="21"/>
                <w:highlight w:val="none"/>
              </w:rPr>
              <w:t>名称：</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u w:val="single"/>
              </w:rPr>
              <w:t xml:space="preserve">(项目名称)                 </w:t>
            </w:r>
            <w:r>
              <w:rPr>
                <w:rFonts w:hint="eastAsia" w:cs="宋体" w:asciiTheme="minorEastAsia" w:hAnsiTheme="minorEastAsia" w:eastAsiaTheme="minorEastAsia"/>
                <w:color w:val="auto"/>
                <w:kern w:val="0"/>
                <w:szCs w:val="21"/>
                <w:highlight w:val="none"/>
              </w:rPr>
              <w:t>竞选文件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4.2.2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递交竞选文件</w:t>
            </w:r>
          </w:p>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地点</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具体详见比选公告。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4.2.3</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是否退还竞选</w:t>
            </w:r>
          </w:p>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文件</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■否</w:t>
            </w:r>
          </w:p>
          <w:p>
            <w:pPr>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比选时间和地点</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比选时间：同竞选截止时间</w:t>
            </w:r>
          </w:p>
          <w:p>
            <w:pPr>
              <w:snapToGrid w:val="0"/>
              <w:spacing w:line="400" w:lineRule="exact"/>
              <w:rPr>
                <w:rFonts w:cs="宋体" w:asciiTheme="minorEastAsia" w:hAnsiTheme="minorEastAsia" w:eastAsiaTheme="minorEastAsia"/>
                <w:color w:val="auto"/>
                <w:kern w:val="0"/>
                <w:szCs w:val="21"/>
                <w:highlight w:val="none"/>
                <w:u w:val="single"/>
              </w:rPr>
            </w:pPr>
            <w:r>
              <w:rPr>
                <w:rFonts w:hint="eastAsia" w:cs="宋体" w:asciiTheme="minorEastAsia" w:hAnsiTheme="minorEastAsia" w:eastAsiaTheme="minorEastAsia"/>
                <w:color w:val="auto"/>
                <w:kern w:val="0"/>
                <w:szCs w:val="21"/>
                <w:highlight w:val="none"/>
              </w:rPr>
              <w:t>比选地点：</w:t>
            </w:r>
            <w:r>
              <w:rPr>
                <w:rFonts w:hint="eastAsia" w:cs="宋体" w:asciiTheme="minorEastAsia" w:hAnsiTheme="minorEastAsia" w:eastAsiaTheme="minorEastAsia"/>
                <w:color w:val="auto"/>
                <w:szCs w:val="21"/>
                <w:highlight w:val="none"/>
                <w:u w:val="single"/>
              </w:rPr>
              <w:t>具体详见比选公告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5.2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开标程序</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主持人按下列程序进行开标：</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 核验参加开标会议的竞选人的法定代表人或委托代理人本人身份证（原件），核验被授权代理人的授权委托书（原件），以确认其身份合法有效；</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公布在竞选截止时间前递交竞选文件的竞选人名称，并点名确认竞选人是否派人到场；</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color w:val="auto"/>
                <w:highlight w:val="none"/>
              </w:rPr>
              <w:t xml:space="preserve"> </w:t>
            </w:r>
            <w:r>
              <w:rPr>
                <w:rFonts w:hint="eastAsia" w:cs="宋体" w:asciiTheme="minorEastAsia" w:hAnsiTheme="minorEastAsia" w:eastAsiaTheme="minorEastAsia"/>
                <w:color w:val="auto"/>
                <w:szCs w:val="21"/>
                <w:highlight w:val="none"/>
              </w:rPr>
              <w:t>公布竞标保证金缴纳情况，未在规定时间将竞标保证金打入指定账户的，当场退还其响应文件，其余情况在开标记录中如实记载并交由评标委员会评审。竞标保证金的缴纳情况均以</w:t>
            </w:r>
            <w:r>
              <w:rPr>
                <w:rFonts w:hint="eastAsia" w:cs="宋体" w:asciiTheme="minorEastAsia" w:hAnsiTheme="minorEastAsia" w:eastAsiaTheme="minorEastAsia"/>
                <w:color w:val="auto"/>
                <w:szCs w:val="21"/>
                <w:highlight w:val="none"/>
                <w:lang w:eastAsia="zh-CN"/>
              </w:rPr>
              <w:t>天之瓴建设股份有限公司</w:t>
            </w:r>
            <w:r>
              <w:rPr>
                <w:rFonts w:hint="eastAsia" w:cs="宋体" w:asciiTheme="minorEastAsia" w:hAnsiTheme="minorEastAsia" w:eastAsiaTheme="minorEastAsia"/>
                <w:color w:val="auto"/>
                <w:szCs w:val="21"/>
                <w:highlight w:val="none"/>
              </w:rPr>
              <w:t>所提供的竞标保证金到账信息为准。</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 密封情况检查：竞选人或者其推选的代表检查竞选文件的密封情况并确认。</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 开启竞选文件顺序：随机开启；</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 当众开标，开启竞选文件并唱标；</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 竞选人代表、</w:t>
            </w:r>
            <w:r>
              <w:rPr>
                <w:rFonts w:hint="eastAsia" w:cs="宋体" w:asciiTheme="minorEastAsia" w:hAnsiTheme="minorEastAsia" w:eastAsiaTheme="minorEastAsia"/>
                <w:color w:val="auto"/>
                <w:szCs w:val="21"/>
                <w:highlight w:val="none"/>
                <w:lang w:eastAsia="zh-CN"/>
              </w:rPr>
              <w:t>比选人</w:t>
            </w:r>
            <w:r>
              <w:rPr>
                <w:rFonts w:hint="eastAsia" w:cs="宋体" w:asciiTheme="minorEastAsia" w:hAnsiTheme="minorEastAsia" w:eastAsiaTheme="minorEastAsia"/>
                <w:color w:val="auto"/>
                <w:szCs w:val="21"/>
                <w:highlight w:val="none"/>
              </w:rPr>
              <w:t>代表等有关人员在开标记录等文件上签字确认。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6.1.1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评选委员会的</w:t>
            </w:r>
          </w:p>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组建</w:t>
            </w:r>
          </w:p>
        </w:tc>
        <w:tc>
          <w:tcPr>
            <w:tcW w:w="652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评选委员会构成：由比选人依法组建。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7.1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是否授权评选委员会确定中选人</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105" w:firstLineChars="5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口是</w:t>
            </w:r>
          </w:p>
          <w:p>
            <w:pPr>
              <w:snapToGrid w:val="0"/>
              <w:spacing w:line="400" w:lineRule="exact"/>
              <w:ind w:left="317" w:leftChars="50" w:hanging="212" w:hangingChars="101"/>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■否，推荐经评审得分由高到低排名前1～3名为中选候选人。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strike w:val="0"/>
                <w:dstrike w:val="0"/>
                <w:color w:val="auto"/>
                <w:kern w:val="0"/>
                <w:szCs w:val="21"/>
                <w:highlight w:val="none"/>
              </w:rPr>
            </w:pPr>
            <w:r>
              <w:rPr>
                <w:rFonts w:hint="eastAsia" w:cs="宋体" w:asciiTheme="minorEastAsia" w:hAnsiTheme="minorEastAsia" w:eastAsiaTheme="minorEastAsia"/>
                <w:strike w:val="0"/>
                <w:dstrike w:val="0"/>
                <w:color w:val="auto"/>
                <w:kern w:val="0"/>
                <w:szCs w:val="21"/>
                <w:highlight w:val="none"/>
              </w:rPr>
              <w:t>7.3.1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strike w:val="0"/>
                <w:dstrike w:val="0"/>
                <w:color w:val="auto"/>
                <w:kern w:val="0"/>
                <w:szCs w:val="21"/>
                <w:highlight w:val="none"/>
              </w:rPr>
            </w:pPr>
            <w:r>
              <w:rPr>
                <w:rFonts w:hint="eastAsia" w:cs="宋体" w:asciiTheme="minorEastAsia" w:hAnsiTheme="minorEastAsia" w:eastAsiaTheme="minorEastAsia"/>
                <w:strike w:val="0"/>
                <w:dstrike w:val="0"/>
                <w:color w:val="auto"/>
                <w:kern w:val="0"/>
                <w:szCs w:val="21"/>
                <w:highlight w:val="none"/>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pPr>
              <w:rPr>
                <w:rFonts w:hint="default" w:eastAsiaTheme="minorEastAsia"/>
                <w:color w:val="auto"/>
                <w:highlight w:val="none"/>
                <w:lang w:val="en-US" w:eastAsia="zh-CN"/>
              </w:rPr>
            </w:pPr>
            <w:r>
              <w:rPr>
                <w:rFonts w:hint="eastAsia" w:cs="宋体" w:asciiTheme="minorEastAsia" w:hAnsiTheme="minorEastAsia" w:eastAsiaTheme="minorEastAsia"/>
                <w:strike w:val="0"/>
                <w:dstrike w:val="0"/>
                <w:color w:val="auto"/>
                <w:kern w:val="0"/>
                <w:sz w:val="28"/>
                <w:szCs w:val="28"/>
                <w:highlight w:val="none"/>
                <w:lang w:val="en-US" w:eastAsia="zh-CN"/>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重新比选</w:t>
            </w:r>
          </w:p>
        </w:tc>
        <w:tc>
          <w:tcPr>
            <w:tcW w:w="6527" w:type="dxa"/>
            <w:tcBorders>
              <w:top w:val="single" w:color="auto" w:sz="4" w:space="0"/>
              <w:left w:val="single" w:color="auto" w:sz="4" w:space="0"/>
              <w:bottom w:val="single" w:color="auto" w:sz="4" w:space="0"/>
              <w:right w:val="single" w:color="auto" w:sz="4" w:space="0"/>
            </w:tcBorders>
            <w:vAlign w:val="center"/>
          </w:tcPr>
          <w:p>
            <w:pPr>
              <w:spacing w:line="46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按竞选人须知第8.1执行。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8.2</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cs="宋体" w:asciiTheme="minorEastAsia" w:hAnsiTheme="minorEastAsia" w:eastAsiaTheme="minorEastAsia"/>
                <w:color w:val="auto"/>
                <w:kern w:val="0"/>
                <w:szCs w:val="21"/>
                <w:highlight w:val="none"/>
              </w:rPr>
            </w:pPr>
            <w:bookmarkStart w:id="18" w:name="_Toc347847775"/>
            <w:r>
              <w:rPr>
                <w:rFonts w:hint="eastAsia" w:cs="宋体" w:asciiTheme="minorEastAsia" w:hAnsiTheme="minorEastAsia" w:eastAsiaTheme="minorEastAsia"/>
                <w:color w:val="auto"/>
                <w:kern w:val="0"/>
                <w:szCs w:val="21"/>
                <w:highlight w:val="none"/>
              </w:rPr>
              <w:t>二次比选和不再</w:t>
            </w:r>
            <w:bookmarkEnd w:id="18"/>
            <w:r>
              <w:rPr>
                <w:rFonts w:hint="eastAsia" w:cs="宋体" w:asciiTheme="minorEastAsia" w:hAnsiTheme="minorEastAsia" w:eastAsiaTheme="minorEastAsia"/>
                <w:color w:val="auto"/>
                <w:kern w:val="0"/>
                <w:szCs w:val="21"/>
                <w:highlight w:val="none"/>
              </w:rPr>
              <w:t>比选</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365" w:firstLineChars="174"/>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重新比选后竞选人仍少于3个，按法定程序开标和评选，确定中选人。经评审无合格竞选人，属于必须审批或核准的工程建设项目，经原审批或核准部门批准后不再进行比选。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10</w:t>
            </w:r>
          </w:p>
        </w:tc>
        <w:tc>
          <w:tcPr>
            <w:tcW w:w="82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10.1</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eastAsiaTheme="minorEastAsia"/>
                <w:color w:val="auto"/>
                <w:kern w:val="0"/>
                <w:szCs w:val="21"/>
                <w:highlight w:val="none"/>
                <w:lang w:val="en-US" w:eastAsia="zh-CN"/>
              </w:rPr>
              <w:t>代理费</w:t>
            </w:r>
          </w:p>
        </w:tc>
        <w:tc>
          <w:tcPr>
            <w:tcW w:w="65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eastAsiaTheme="minorEastAsia"/>
                <w:color w:val="auto"/>
                <w:kern w:val="0"/>
                <w:szCs w:val="21"/>
                <w:highlight w:val="none"/>
                <w:lang w:val="en-US" w:eastAsia="zh-CN"/>
              </w:rPr>
              <w:t>由比选人支付。</w:t>
            </w:r>
          </w:p>
        </w:tc>
      </w:tr>
      <w:bookmarkEnd w:id="17"/>
    </w:tbl>
    <w:p>
      <w:pPr>
        <w:tabs>
          <w:tab w:val="left" w:pos="2032"/>
        </w:tabs>
        <w:autoSpaceDE w:val="0"/>
        <w:autoSpaceDN w:val="0"/>
        <w:adjustRightInd w:val="0"/>
        <w:spacing w:line="500" w:lineRule="exact"/>
        <w:ind w:right="-127"/>
        <w:rPr>
          <w:rFonts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注：如本前附表与竞选人须知及比选文件有矛盾或不一致的，若有补遗澄清说明的，将以补遗澄清说明为准；如果没有补遗澄清说明的，均以本前附表为准。</w:t>
      </w:r>
    </w:p>
    <w:p>
      <w:pPr>
        <w:widowControl/>
        <w:jc w:val="left"/>
        <w:rPr>
          <w:rFonts w:cs="宋体" w:asciiTheme="minorEastAsia" w:hAnsiTheme="minorEastAsia" w:eastAsiaTheme="minorEastAsia"/>
          <w:b/>
          <w:bCs/>
          <w:color w:val="auto"/>
          <w:kern w:val="44"/>
          <w:sz w:val="24"/>
          <w:szCs w:val="24"/>
          <w:highlight w:val="none"/>
        </w:rPr>
      </w:pPr>
      <w:r>
        <w:rPr>
          <w:rFonts w:cs="宋体" w:asciiTheme="minorEastAsia" w:hAnsiTheme="minorEastAsia" w:eastAsiaTheme="minorEastAsia"/>
          <w:b/>
          <w:bCs/>
          <w:color w:val="auto"/>
          <w:kern w:val="44"/>
          <w:sz w:val="24"/>
          <w:szCs w:val="24"/>
          <w:highlight w:val="none"/>
        </w:rPr>
        <w:br w:type="page"/>
      </w:r>
    </w:p>
    <w:p>
      <w:pPr>
        <w:pStyle w:val="15"/>
        <w:rPr>
          <w:rFonts w:asciiTheme="minorEastAsia" w:hAnsiTheme="minorEastAsia" w:eastAsiaTheme="minorEastAsia"/>
          <w:b/>
          <w:snapToGrid w:val="0"/>
          <w:color w:val="auto"/>
          <w:highlight w:val="none"/>
        </w:rPr>
      </w:pPr>
      <w:bookmarkStart w:id="19" w:name="_Toc200513126"/>
      <w:bookmarkStart w:id="20" w:name="_Toc224103317"/>
      <w:bookmarkStart w:id="21" w:name="A6"/>
      <w:r>
        <w:rPr>
          <w:rFonts w:hint="eastAsia" w:asciiTheme="minorEastAsia" w:hAnsiTheme="minorEastAsia" w:eastAsiaTheme="minorEastAsia"/>
          <w:b/>
          <w:snapToGrid w:val="0"/>
          <w:color w:val="auto"/>
          <w:highlight w:val="none"/>
        </w:rPr>
        <w:t>1.  总则</w:t>
      </w:r>
      <w:bookmarkEnd w:id="19"/>
      <w:bookmarkEnd w:id="20"/>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22" w:name="_Toc200513127"/>
      <w:bookmarkStart w:id="23" w:name="_Toc224103318"/>
      <w:r>
        <w:rPr>
          <w:rFonts w:hint="eastAsia" w:cs="宋体" w:asciiTheme="minorEastAsia" w:hAnsiTheme="minorEastAsia" w:eastAsiaTheme="minorEastAsia"/>
          <w:snapToGrid w:val="0"/>
          <w:color w:val="auto"/>
          <w:szCs w:val="21"/>
          <w:highlight w:val="none"/>
        </w:rPr>
        <w:t>1.1  项目概况</w:t>
      </w:r>
      <w:bookmarkEnd w:id="22"/>
      <w:bookmarkEnd w:id="23"/>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1.1.1  根据《中华人民共和国</w:t>
      </w:r>
      <w:r>
        <w:rPr>
          <w:rFonts w:hint="eastAsia" w:cs="宋体" w:asciiTheme="minorEastAsia" w:hAnsiTheme="minorEastAsia" w:eastAsiaTheme="minorEastAsia"/>
          <w:snapToGrid w:val="0"/>
          <w:color w:val="auto"/>
          <w:kern w:val="0"/>
          <w:szCs w:val="21"/>
          <w:highlight w:val="none"/>
          <w:lang w:eastAsia="zh-CN"/>
        </w:rPr>
        <w:t>招标投标法</w:t>
      </w:r>
      <w:r>
        <w:rPr>
          <w:rFonts w:hint="eastAsia" w:cs="宋体" w:asciiTheme="minorEastAsia" w:hAnsiTheme="minorEastAsia" w:eastAsiaTheme="minorEastAsia"/>
          <w:snapToGrid w:val="0"/>
          <w:color w:val="auto"/>
          <w:kern w:val="0"/>
          <w:szCs w:val="21"/>
          <w:highlight w:val="none"/>
        </w:rPr>
        <w:t>》等有关法律、法规和规章的规定，本比选项目已具备比选条件，现对本项目进行比选。</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1.1.2  本比选项目比选人：见竞选人须知前附表。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1.1.3  本比选代理机构：见竞选人须知前附表。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1.1.4  本比选项目名称：见竞选人须知前附表。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1.1.5  本项目建设地点：见竞选人须知前附表。</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24" w:name="_Toc200513128"/>
      <w:bookmarkStart w:id="25" w:name="_Toc224103319"/>
      <w:r>
        <w:rPr>
          <w:rFonts w:hint="eastAsia" w:cs="宋体" w:asciiTheme="minorEastAsia" w:hAnsiTheme="minorEastAsia" w:eastAsiaTheme="minorEastAsia"/>
          <w:snapToGrid w:val="0"/>
          <w:color w:val="auto"/>
          <w:szCs w:val="21"/>
          <w:highlight w:val="none"/>
        </w:rPr>
        <w:t>1.2  资金来源和落实情况</w:t>
      </w:r>
      <w:bookmarkEnd w:id="24"/>
      <w:bookmarkEnd w:id="25"/>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1.2.1  本比选项目的资金来源：见竞选人须知前附表。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1.2.2  本比选项目的出资比例：见竞选人须知前附表。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1.2.3  本比选项目的资金落实情况：见竞选人须知前附表。</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26" w:name="_Toc224103320"/>
      <w:bookmarkStart w:id="27" w:name="_Toc200513129"/>
      <w:r>
        <w:rPr>
          <w:rFonts w:hint="eastAsia" w:cs="宋体" w:asciiTheme="minorEastAsia" w:hAnsiTheme="minorEastAsia" w:eastAsiaTheme="minorEastAsia"/>
          <w:snapToGrid w:val="0"/>
          <w:color w:val="auto"/>
          <w:szCs w:val="21"/>
          <w:highlight w:val="none"/>
        </w:rPr>
        <w:t>1.3  比选范围、计划工期和质量要求</w:t>
      </w:r>
      <w:bookmarkEnd w:id="26"/>
      <w:bookmarkEnd w:id="27"/>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1.3.1  本次比选范围：见竞选人须知前附表。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1.3.2  本项目的工期：见竞选人须知前附表。</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1.3.3  本项目的质量要求：见竞选人须知前附表。</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28" w:name="_Toc200513131"/>
      <w:bookmarkStart w:id="29" w:name="_Toc224103322"/>
      <w:r>
        <w:rPr>
          <w:rFonts w:hint="eastAsia" w:cs="宋体" w:asciiTheme="minorEastAsia" w:hAnsiTheme="minorEastAsia" w:eastAsiaTheme="minorEastAsia"/>
          <w:snapToGrid w:val="0"/>
          <w:color w:val="auto"/>
          <w:szCs w:val="21"/>
          <w:highlight w:val="none"/>
        </w:rPr>
        <w:t>1.4  竞选人资格要求</w:t>
      </w:r>
      <w:bookmarkEnd w:id="28"/>
      <w:bookmarkEnd w:id="29"/>
    </w:p>
    <w:p>
      <w:pPr>
        <w:autoSpaceDE w:val="0"/>
        <w:autoSpaceDN w:val="0"/>
        <w:adjustRightInd w:val="0"/>
        <w:snapToGrid w:val="0"/>
        <w:spacing w:line="450" w:lineRule="exact"/>
        <w:ind w:firstLine="735" w:firstLineChars="3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1.4.1 竞选人应具备承担本项目的资质条件、能力和信誉。</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（1）资质条件：按比选文件要求；</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（2）业绩要求：按比选文件要求；</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（3）人员要求：按比选文件要求；</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（4）竞选截止日竞选资格情况：按比选文件要求；</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（5）其他要求：按比选文件要求。</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1.4.2  竞选人须知前附表规定接受联合体竞选的，除应符合本章第1.4.1项和竞选人须知前附表的要求外，还应遵守以下规定：</w:t>
      </w:r>
    </w:p>
    <w:p>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（1）联合体各方应按比选文件提供的格式签订联合体协议书，明确联合体牵头人和各方权利义务；</w:t>
      </w:r>
    </w:p>
    <w:p>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（2）由同一专业的单位组成的联合体，按照资质等级较低的单位确定资质等级；</w:t>
      </w:r>
    </w:p>
    <w:p>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（3）联合体各方不得再以自己名义单独或参加其他联合体在同一标段中竞选。</w:t>
      </w:r>
    </w:p>
    <w:p>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1.4.3  竞选人不得存在下列情形之一：</w:t>
      </w:r>
    </w:p>
    <w:p>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（1）与比选人存在利害关系可能影响比选公正性的法人、其他组织或者个人；</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（2）为本项目前期准备提供设计或咨询服务的，但设计施工总承包的除外；</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（3）为本项目的监理人；</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（4）为本项目的代建人；</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（5）为本项目提供比选代理服务的；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（6）与本项目的监理人或代建人或比选代理机构同为一个法定代表人的；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（7）与本项目的监理人或代建人或比选代理机构相互控股或参股的；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（8）与本项目的监理人或代建人或比选代理机构相互任职或工作的；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（9）被责令停业的；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（10）被暂停或取消竞选人资格的；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（11）财产被接管或冻结的；</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snapToGrid w:val="0"/>
          <w:color w:val="auto"/>
          <w:kern w:val="0"/>
          <w:szCs w:val="21"/>
          <w:highlight w:val="none"/>
        </w:rPr>
        <w:t>（12）单位负责人为同一人或者存在控股、管理关系的不同单位，不得在同一标段中同时竞选。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30" w:name="_Toc224103323"/>
      <w:bookmarkStart w:id="31" w:name="_Toc200513132"/>
      <w:r>
        <w:rPr>
          <w:rFonts w:hint="eastAsia" w:cs="宋体" w:asciiTheme="minorEastAsia" w:hAnsiTheme="minorEastAsia" w:eastAsiaTheme="minorEastAsia"/>
          <w:snapToGrid w:val="0"/>
          <w:color w:val="auto"/>
          <w:szCs w:val="21"/>
          <w:highlight w:val="none"/>
        </w:rPr>
        <w:t>1.5  费用承担</w:t>
      </w:r>
      <w:bookmarkEnd w:id="30"/>
      <w:bookmarkEnd w:id="31"/>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竞选人准备和参加竞选活动发生的费用自理。</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32" w:name="_Toc200513133"/>
      <w:bookmarkStart w:id="33" w:name="_Toc224103324"/>
      <w:r>
        <w:rPr>
          <w:rFonts w:hint="eastAsia" w:cs="宋体" w:asciiTheme="minorEastAsia" w:hAnsiTheme="minorEastAsia" w:eastAsiaTheme="minorEastAsia"/>
          <w:snapToGrid w:val="0"/>
          <w:color w:val="auto"/>
          <w:szCs w:val="21"/>
          <w:highlight w:val="none"/>
        </w:rPr>
        <w:t>1.6  保密</w:t>
      </w:r>
      <w:bookmarkEnd w:id="32"/>
      <w:bookmarkEnd w:id="33"/>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参与比选竞选活动的各方应对比选文件和竞选文件中的商业和技术等秘密保密，未经比选人书面同意而违反保密义务的，违者应对由此造成的后果承担法律责任。</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34" w:name="_Toc200513134"/>
      <w:bookmarkStart w:id="35" w:name="_Toc224103325"/>
      <w:r>
        <w:rPr>
          <w:rFonts w:hint="eastAsia" w:cs="宋体" w:asciiTheme="minorEastAsia" w:hAnsiTheme="minorEastAsia" w:eastAsiaTheme="minorEastAsia"/>
          <w:snapToGrid w:val="0"/>
          <w:color w:val="auto"/>
          <w:szCs w:val="21"/>
          <w:highlight w:val="none"/>
        </w:rPr>
        <w:t>1.7  语言文字</w:t>
      </w:r>
      <w:bookmarkEnd w:id="34"/>
      <w:bookmarkEnd w:id="35"/>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除专用术语外，与比选竞选有关的语言均使用中文。必要时专用术语应附有中文注释，且内容以中文版本为准。</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36" w:name="_Toc200513135"/>
      <w:bookmarkStart w:id="37" w:name="_Toc224103326"/>
      <w:r>
        <w:rPr>
          <w:rFonts w:hint="eastAsia" w:cs="宋体" w:asciiTheme="minorEastAsia" w:hAnsiTheme="minorEastAsia" w:eastAsiaTheme="minorEastAsia"/>
          <w:snapToGrid w:val="0"/>
          <w:color w:val="auto"/>
          <w:szCs w:val="21"/>
          <w:highlight w:val="none"/>
        </w:rPr>
        <w:t>1.8  计量单位</w:t>
      </w:r>
      <w:bookmarkEnd w:id="36"/>
      <w:bookmarkEnd w:id="37"/>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所有计量均采用中华人民共和国法定计量单位。</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38" w:name="_Toc200513136"/>
      <w:bookmarkStart w:id="39" w:name="_Toc224103327"/>
      <w:r>
        <w:rPr>
          <w:rFonts w:hint="eastAsia" w:cs="宋体" w:asciiTheme="minorEastAsia" w:hAnsiTheme="minorEastAsia" w:eastAsiaTheme="minorEastAsia"/>
          <w:snapToGrid w:val="0"/>
          <w:color w:val="auto"/>
          <w:szCs w:val="21"/>
          <w:highlight w:val="none"/>
        </w:rPr>
        <w:t>1.9  踏勘现场</w:t>
      </w:r>
      <w:bookmarkEnd w:id="38"/>
      <w:bookmarkEnd w:id="39"/>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无。</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40" w:name="_Toc224103328"/>
      <w:bookmarkStart w:id="41" w:name="_Toc200513137"/>
      <w:r>
        <w:rPr>
          <w:rFonts w:hint="eastAsia" w:cs="宋体" w:asciiTheme="minorEastAsia" w:hAnsiTheme="minorEastAsia" w:eastAsiaTheme="minorEastAsia"/>
          <w:snapToGrid w:val="0"/>
          <w:color w:val="auto"/>
          <w:szCs w:val="21"/>
          <w:highlight w:val="none"/>
        </w:rPr>
        <w:t>1.10  竞选预备会</w:t>
      </w:r>
      <w:bookmarkEnd w:id="40"/>
      <w:bookmarkEnd w:id="41"/>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无。</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42" w:name="_Toc200513139"/>
      <w:bookmarkStart w:id="43" w:name="_Toc224103330"/>
      <w:r>
        <w:rPr>
          <w:rFonts w:hint="eastAsia" w:cs="宋体" w:asciiTheme="minorEastAsia" w:hAnsiTheme="minorEastAsia" w:eastAsiaTheme="minorEastAsia"/>
          <w:snapToGrid w:val="0"/>
          <w:color w:val="auto"/>
          <w:szCs w:val="21"/>
          <w:highlight w:val="none"/>
        </w:rPr>
        <w:t>1.11  偏离</w:t>
      </w:r>
      <w:bookmarkEnd w:id="42"/>
      <w:bookmarkEnd w:id="43"/>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竞选人须知前附表允许竞选文件偏离比选文件某些要求的，偏离应当符合比选文件规定的偏离范围和幅度。</w:t>
      </w:r>
    </w:p>
    <w:p>
      <w:pPr>
        <w:pStyle w:val="15"/>
        <w:rPr>
          <w:rFonts w:asciiTheme="minorEastAsia" w:hAnsiTheme="minorEastAsia" w:eastAsiaTheme="minorEastAsia"/>
          <w:b/>
          <w:snapToGrid w:val="0"/>
          <w:color w:val="auto"/>
          <w:highlight w:val="none"/>
        </w:rPr>
      </w:pPr>
      <w:bookmarkStart w:id="44" w:name="_Toc224103331"/>
      <w:bookmarkStart w:id="45" w:name="_Toc200513140"/>
      <w:r>
        <w:rPr>
          <w:rFonts w:hint="eastAsia" w:asciiTheme="minorEastAsia" w:hAnsiTheme="minorEastAsia" w:eastAsiaTheme="minorEastAsia"/>
          <w:b/>
          <w:snapToGrid w:val="0"/>
          <w:color w:val="auto"/>
          <w:highlight w:val="none"/>
        </w:rPr>
        <w:t>2.  比选文件</w:t>
      </w:r>
      <w:bookmarkEnd w:id="44"/>
      <w:bookmarkEnd w:id="45"/>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46" w:name="_Toc224103332"/>
      <w:bookmarkStart w:id="47" w:name="_Toc200513141"/>
      <w:r>
        <w:rPr>
          <w:rFonts w:hint="eastAsia" w:cs="宋体" w:asciiTheme="minorEastAsia" w:hAnsiTheme="minorEastAsia" w:eastAsiaTheme="minorEastAsia"/>
          <w:snapToGrid w:val="0"/>
          <w:color w:val="auto"/>
          <w:szCs w:val="21"/>
          <w:highlight w:val="none"/>
        </w:rPr>
        <w:t>2.1  比选文件的组成</w:t>
      </w:r>
      <w:bookmarkEnd w:id="46"/>
      <w:bookmarkEnd w:id="47"/>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本比选文件包括：</w:t>
      </w:r>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（1）比选公告；</w:t>
      </w:r>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（2）竞选人须知；</w:t>
      </w:r>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（3）评选办法；</w:t>
      </w:r>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（4）合同条款；</w:t>
      </w:r>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（5）竞选文件格式；</w:t>
      </w:r>
    </w:p>
    <w:p>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w:t>
      </w:r>
      <w:r>
        <w:rPr>
          <w:rFonts w:hint="eastAsia" w:cs="宋体" w:asciiTheme="minorEastAsia" w:hAnsiTheme="minorEastAsia" w:eastAsiaTheme="minorEastAsia"/>
          <w:snapToGrid w:val="0"/>
          <w:color w:val="auto"/>
          <w:kern w:val="0"/>
          <w:szCs w:val="21"/>
          <w:highlight w:val="none"/>
          <w:lang w:eastAsia="zh-CN"/>
        </w:rPr>
        <w:t>六</w:t>
      </w:r>
      <w:r>
        <w:rPr>
          <w:rFonts w:hint="eastAsia" w:cs="宋体" w:asciiTheme="minorEastAsia" w:hAnsiTheme="minorEastAsia" w:eastAsiaTheme="minorEastAsia"/>
          <w:snapToGrid w:val="0"/>
          <w:color w:val="auto"/>
          <w:kern w:val="0"/>
          <w:szCs w:val="21"/>
          <w:highlight w:val="none"/>
        </w:rPr>
        <w:t>）竞选人须知前附表规定的其他材料。</w:t>
      </w:r>
    </w:p>
    <w:p>
      <w:pPr>
        <w:autoSpaceDE w:val="0"/>
        <w:autoSpaceDN w:val="0"/>
        <w:adjustRightInd w:val="0"/>
        <w:snapToGrid w:val="0"/>
        <w:spacing w:line="450" w:lineRule="exact"/>
        <w:ind w:firstLine="735" w:firstLineChars="35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根据本章第1.10款、第2.2款和第2.3款对比选文件所作的澄清、修改，构成比选文件的组成部分。</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48" w:name="_Toc224103333"/>
      <w:bookmarkStart w:id="49" w:name="_Toc200513142"/>
      <w:r>
        <w:rPr>
          <w:rFonts w:hint="eastAsia" w:cs="宋体" w:asciiTheme="minorEastAsia" w:hAnsiTheme="minorEastAsia" w:eastAsiaTheme="minorEastAsia"/>
          <w:snapToGrid w:val="0"/>
          <w:color w:val="auto"/>
          <w:szCs w:val="21"/>
          <w:highlight w:val="none"/>
        </w:rPr>
        <w:t>2.2  比选文件的澄清</w:t>
      </w:r>
      <w:bookmarkEnd w:id="48"/>
      <w:bookmarkEnd w:id="49"/>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2.2.1  竞选人应仔细阅读和检查比选文件的全部内容。如发现缺页或附件不全，应及时向比选人提出，以便补齐。如有疑问，应在竞选人须知前附表规定的时间前以书面形式（包括信函、电报、传真等可以有形地表现所载内容的形式，下同），要求比选人对比选文件予以澄清。</w:t>
      </w:r>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2.2.2  比选文件的澄清将在竞选人须知前附表规定的竞选截止时间前以书面形式发给所有购买比选文件的竞选人，但不指明澄清问题的来源。</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position w:val="-2"/>
          <w:szCs w:val="21"/>
          <w:highlight w:val="none"/>
        </w:rPr>
        <w:t>2.2.3  竞选人在收到澄清后，应在竞选人须知前附表规定的时间内以书面形式通知比选人</w:t>
      </w:r>
      <w:r>
        <w:rPr>
          <w:rFonts w:hint="eastAsia" w:cs="宋体" w:asciiTheme="minorEastAsia" w:hAnsiTheme="minorEastAsia" w:eastAsiaTheme="minorEastAsia"/>
          <w:snapToGrid w:val="0"/>
          <w:color w:val="auto"/>
          <w:kern w:val="0"/>
          <w:szCs w:val="21"/>
          <w:highlight w:val="none"/>
        </w:rPr>
        <w:t>，确认已收到该澄清。</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50" w:name="_Toc200513143"/>
      <w:bookmarkStart w:id="51" w:name="_Toc224103334"/>
      <w:r>
        <w:rPr>
          <w:rFonts w:hint="eastAsia" w:cs="宋体" w:asciiTheme="minorEastAsia" w:hAnsiTheme="minorEastAsia" w:eastAsiaTheme="minorEastAsia"/>
          <w:snapToGrid w:val="0"/>
          <w:color w:val="auto"/>
          <w:szCs w:val="21"/>
          <w:highlight w:val="none"/>
        </w:rPr>
        <w:t>2.3  比选文件的修改</w:t>
      </w:r>
      <w:bookmarkEnd w:id="50"/>
      <w:bookmarkEnd w:id="51"/>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2.3.1  在竞选截止时间前，比选人可以书面形式修改比选文件，并通知所有已购买比选文件的竞选人。</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2.3.2  竞选人收到修改内容后，应在竞选人须知前附表规定的时间内以书面形式通知比选人，确认已收到该修改。</w:t>
      </w:r>
    </w:p>
    <w:p>
      <w:pPr>
        <w:spacing w:line="450" w:lineRule="exact"/>
        <w:ind w:firstLine="422" w:firstLineChars="200"/>
        <w:rPr>
          <w:rFonts w:cs="宋体" w:asciiTheme="minorEastAsia" w:hAnsiTheme="minorEastAsia" w:eastAsiaTheme="minorEastAsia"/>
          <w:b/>
          <w:snapToGrid w:val="0"/>
          <w:color w:val="auto"/>
          <w:szCs w:val="21"/>
          <w:highlight w:val="none"/>
        </w:rPr>
      </w:pPr>
      <w:bookmarkStart w:id="52" w:name="_Toc200513144"/>
      <w:bookmarkStart w:id="53" w:name="_Toc224103335"/>
      <w:r>
        <w:rPr>
          <w:rFonts w:hint="eastAsia" w:cs="宋体" w:asciiTheme="minorEastAsia" w:hAnsiTheme="minorEastAsia" w:eastAsiaTheme="minorEastAsia"/>
          <w:b/>
          <w:snapToGrid w:val="0"/>
          <w:color w:val="auto"/>
          <w:szCs w:val="21"/>
          <w:highlight w:val="none"/>
        </w:rPr>
        <w:t>3.  竞选文件</w:t>
      </w:r>
      <w:bookmarkEnd w:id="52"/>
      <w:bookmarkEnd w:id="53"/>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54" w:name="_Toc200513145"/>
      <w:bookmarkStart w:id="55" w:name="_Toc224103336"/>
      <w:r>
        <w:rPr>
          <w:rFonts w:hint="eastAsia" w:cs="宋体" w:asciiTheme="minorEastAsia" w:hAnsiTheme="minorEastAsia" w:eastAsiaTheme="minorEastAsia"/>
          <w:snapToGrid w:val="0"/>
          <w:color w:val="auto"/>
          <w:szCs w:val="21"/>
          <w:highlight w:val="none"/>
        </w:rPr>
        <w:t>3.1  竞选文件的组成</w:t>
      </w:r>
      <w:bookmarkEnd w:id="54"/>
      <w:bookmarkEnd w:id="55"/>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3.1.1 竞选文件应包括下列内容：</w:t>
      </w:r>
    </w:p>
    <w:p>
      <w:pPr>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3.1.1.1竞选函部分</w:t>
      </w:r>
    </w:p>
    <w:p>
      <w:pPr>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（1）法定代表人身份证明及授权委托书</w:t>
      </w:r>
    </w:p>
    <w:p>
      <w:pPr>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（2）比选文件确认书竞选函</w:t>
      </w:r>
    </w:p>
    <w:p>
      <w:pPr>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（3）竞选函及竞选函附表</w:t>
      </w:r>
    </w:p>
    <w:p>
      <w:pPr>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3.1.1.2资格审查资料(含商务部分)</w:t>
      </w:r>
    </w:p>
    <w:p>
      <w:pPr>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3.1.1.3技术部分</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3.1.2  竞选人须知前附表规定不接受联合体竞选的，或竞选人没有组成联合体的，竞选文件不包括本章第3.1.1（3）目所指的联合体协议书。</w:t>
      </w:r>
    </w:p>
    <w:p>
      <w:pPr>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bookmarkStart w:id="56" w:name="_Toc224103337"/>
      <w:bookmarkStart w:id="57" w:name="_Toc200513146"/>
      <w:r>
        <w:rPr>
          <w:rFonts w:hint="eastAsia" w:cs="宋体" w:asciiTheme="minorEastAsia" w:hAnsiTheme="minorEastAsia" w:eastAsiaTheme="minorEastAsia"/>
          <w:snapToGrid w:val="0"/>
          <w:color w:val="auto"/>
          <w:szCs w:val="21"/>
          <w:highlight w:val="none"/>
        </w:rPr>
        <w:t>3.2  竞选报价</w:t>
      </w:r>
      <w:bookmarkEnd w:id="56"/>
      <w:bookmarkEnd w:id="57"/>
      <w:r>
        <w:rPr>
          <w:rFonts w:hint="eastAsia" w:cs="宋体" w:asciiTheme="minorEastAsia" w:hAnsiTheme="minorEastAsia" w:eastAsiaTheme="minorEastAsia"/>
          <w:snapToGrid w:val="0"/>
          <w:color w:val="auto"/>
          <w:szCs w:val="21"/>
          <w:highlight w:val="none"/>
        </w:rPr>
        <w:t>：</w:t>
      </w:r>
      <w:r>
        <w:rPr>
          <w:rFonts w:hint="eastAsia" w:cs="宋体" w:asciiTheme="minorEastAsia" w:hAnsiTheme="minorEastAsia" w:eastAsiaTheme="minorEastAsia"/>
          <w:snapToGrid w:val="0"/>
          <w:color w:val="auto"/>
          <w:kern w:val="0"/>
          <w:szCs w:val="21"/>
          <w:highlight w:val="none"/>
        </w:rPr>
        <w:t>见竞选人须知前附表。</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58" w:name="_Toc200513147"/>
      <w:bookmarkStart w:id="59" w:name="_Toc224103338"/>
      <w:r>
        <w:rPr>
          <w:rFonts w:hint="eastAsia" w:cs="宋体" w:asciiTheme="minorEastAsia" w:hAnsiTheme="minorEastAsia" w:eastAsiaTheme="minorEastAsia"/>
          <w:snapToGrid w:val="0"/>
          <w:color w:val="auto"/>
          <w:szCs w:val="21"/>
          <w:highlight w:val="none"/>
        </w:rPr>
        <w:t>3.3  竞选有效期</w:t>
      </w:r>
      <w:bookmarkEnd w:id="58"/>
      <w:bookmarkEnd w:id="59"/>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3.3.1  在竞选人须知前附表规定的竞选有效期内，竞选人不得要求撤销或修改其竞选文件。</w:t>
      </w:r>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3.3.2  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60" w:name="_Toc200513148"/>
      <w:bookmarkStart w:id="61" w:name="_Toc224103339"/>
      <w:r>
        <w:rPr>
          <w:rFonts w:hint="eastAsia" w:cs="宋体" w:asciiTheme="minorEastAsia" w:hAnsiTheme="minorEastAsia" w:eastAsiaTheme="minorEastAsia"/>
          <w:snapToGrid w:val="0"/>
          <w:color w:val="auto"/>
          <w:szCs w:val="21"/>
          <w:highlight w:val="none"/>
        </w:rPr>
        <w:t>3.4  竞选保证金</w:t>
      </w:r>
      <w:bookmarkEnd w:id="60"/>
      <w:bookmarkEnd w:id="61"/>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3.4.1  竞选人在递交竞选文件的同时，应按竞选人须知前附表规定的金额、担保形式递交竞选保证金，并作为其竞选文件的组成部分。</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3.4.2  竞选人不按本章第 3.4.1 项要求提交竞选保证金的，其竞选文件作否决竞选处理。</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3.4.3  比选人与中选人签订合同后5日内，向未中选的竞选人和中选人退还竞选</w:t>
      </w:r>
      <w:r>
        <w:rPr>
          <w:rFonts w:hint="eastAsia" w:cs="宋体" w:asciiTheme="minorEastAsia" w:hAnsiTheme="minorEastAsia" w:eastAsiaTheme="minorEastAsia"/>
          <w:snapToGrid w:val="0"/>
          <w:color w:val="auto"/>
          <w:kern w:val="0"/>
          <w:position w:val="-2"/>
          <w:szCs w:val="21"/>
          <w:highlight w:val="none"/>
        </w:rPr>
        <w:t>保证金。</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3.4.4  有下列情形之一的，竞选保证金将不予退还：</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（1）竞选人在规定的竞选有效期内撤销或修改其竞选文件；</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（2）中选人在收到中选通知书后，无正当理由拒签合同协议书或未按比选文件规定提交履约担保。</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（3）法律法规和比选文件规定的其他情形。</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62" w:name="_Toc224103341"/>
      <w:bookmarkStart w:id="63" w:name="_Toc200513150"/>
      <w:r>
        <w:rPr>
          <w:rFonts w:hint="eastAsia" w:cs="宋体" w:asciiTheme="minorEastAsia" w:hAnsiTheme="minorEastAsia" w:eastAsiaTheme="minorEastAsia"/>
          <w:snapToGrid w:val="0"/>
          <w:color w:val="auto"/>
          <w:szCs w:val="21"/>
          <w:highlight w:val="none"/>
        </w:rPr>
        <w:t>3.5  资格审查资料</w:t>
      </w:r>
      <w:bookmarkEnd w:id="62"/>
      <w:bookmarkEnd w:id="63"/>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按竞选人须知前附表执行。</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64" w:name="_Toc224103342"/>
      <w:bookmarkStart w:id="65" w:name="_Toc200513151"/>
      <w:r>
        <w:rPr>
          <w:rFonts w:hint="eastAsia" w:cs="宋体" w:asciiTheme="minorEastAsia" w:hAnsiTheme="minorEastAsia" w:eastAsiaTheme="minorEastAsia"/>
          <w:snapToGrid w:val="0"/>
          <w:color w:val="auto"/>
          <w:szCs w:val="21"/>
          <w:highlight w:val="none"/>
        </w:rPr>
        <w:t>3.6  备选竞选方案</w:t>
      </w:r>
      <w:bookmarkEnd w:id="64"/>
      <w:bookmarkEnd w:id="65"/>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除竞选人须知前附表另有规定外，竞选人不得递交备选竞选方案。允许竞选人递交备选竞选方案的，只有中选人所递交的备选竞选方案方可予以考虑。评选委员会认为中选人的备选竞选方案优于其按照比选文件要求编制的竞选方案的，比选人可以接受该备选竞选方案。</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66" w:name="_Toc224103343"/>
      <w:bookmarkStart w:id="67" w:name="_Toc200513152"/>
      <w:r>
        <w:rPr>
          <w:rFonts w:hint="eastAsia" w:cs="宋体" w:asciiTheme="minorEastAsia" w:hAnsiTheme="minorEastAsia" w:eastAsiaTheme="minorEastAsia"/>
          <w:snapToGrid w:val="0"/>
          <w:color w:val="auto"/>
          <w:szCs w:val="21"/>
          <w:highlight w:val="none"/>
        </w:rPr>
        <w:t>3.7  竞选文件的编制</w:t>
      </w:r>
      <w:bookmarkEnd w:id="66"/>
      <w:bookmarkEnd w:id="67"/>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3.7.1  竞选文件应按第</w:t>
      </w:r>
      <w:r>
        <w:rPr>
          <w:rFonts w:hint="eastAsia" w:cs="宋体" w:asciiTheme="minorEastAsia" w:hAnsiTheme="minorEastAsia" w:eastAsiaTheme="minorEastAsia"/>
          <w:snapToGrid w:val="0"/>
          <w:color w:val="auto"/>
          <w:kern w:val="0"/>
          <w:szCs w:val="21"/>
          <w:highlight w:val="none"/>
          <w:lang w:eastAsia="zh-CN"/>
        </w:rPr>
        <w:t>五</w:t>
      </w:r>
      <w:r>
        <w:rPr>
          <w:rFonts w:hint="eastAsia" w:cs="宋体" w:asciiTheme="minorEastAsia" w:hAnsiTheme="minorEastAsia" w:eastAsiaTheme="minorEastAsia"/>
          <w:snapToGrid w:val="0"/>
          <w:color w:val="auto"/>
          <w:kern w:val="0"/>
          <w:szCs w:val="21"/>
          <w:highlight w:val="none"/>
        </w:rPr>
        <w:t>章“竞选文件格式”进行编写，如有必要，可以增加附页，作为竞选文件的组成部分。</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3.7.2  竞选文件应当对比选文件有关工期、竞选有效期、质量要求、技术标准和要求、 比选范围等实质性内容做出响应。</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position w:val="-2"/>
          <w:szCs w:val="21"/>
          <w:highlight w:val="none"/>
        </w:rPr>
        <w:t>3.7.3  竞选文件应用不褪色的材料书写或打印，并由竞选人的法定代表人或其委托代理</w:t>
      </w:r>
      <w:r>
        <w:rPr>
          <w:rFonts w:hint="eastAsia" w:cs="宋体" w:asciiTheme="minorEastAsia" w:hAnsiTheme="minorEastAsia" w:eastAsiaTheme="minorEastAsia"/>
          <w:snapToGrid w:val="0"/>
          <w:color w:val="auto"/>
          <w:kern w:val="0"/>
          <w:szCs w:val="21"/>
          <w:highlight w:val="none"/>
        </w:rPr>
        <w:t>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pPr>
        <w:autoSpaceDE w:val="0"/>
        <w:autoSpaceDN w:val="0"/>
        <w:adjustRightInd w:val="0"/>
        <w:snapToGrid w:val="0"/>
        <w:spacing w:line="450" w:lineRule="exact"/>
        <w:ind w:right="-164"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3.7.4  竞选文件正本一份，副本份数见竞选人须知前附表。正本和副本的封面上应清楚地标记“正本”或“副本”的字样。当副本和正本不一致时，以正本为准。</w:t>
      </w:r>
    </w:p>
    <w:p>
      <w:pPr>
        <w:autoSpaceDE w:val="0"/>
        <w:autoSpaceDN w:val="0"/>
        <w:adjustRightInd w:val="0"/>
        <w:snapToGrid w:val="0"/>
        <w:spacing w:line="450" w:lineRule="exact"/>
        <w:ind w:right="-109"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3.7.5  竞选文件的正本与副本应分别装订成册，并编制目录，具体装订要求见竞选人须知前附表规定。</w:t>
      </w:r>
    </w:p>
    <w:p>
      <w:pPr>
        <w:spacing w:line="450" w:lineRule="exact"/>
        <w:ind w:firstLine="422" w:firstLineChars="200"/>
        <w:rPr>
          <w:rFonts w:cs="宋体" w:asciiTheme="minorEastAsia" w:hAnsiTheme="minorEastAsia" w:eastAsiaTheme="minorEastAsia"/>
          <w:b/>
          <w:snapToGrid w:val="0"/>
          <w:color w:val="auto"/>
          <w:szCs w:val="21"/>
          <w:highlight w:val="none"/>
        </w:rPr>
      </w:pPr>
      <w:bookmarkStart w:id="68" w:name="_Toc224103344"/>
      <w:bookmarkStart w:id="69" w:name="_Toc200513153"/>
      <w:r>
        <w:rPr>
          <w:rFonts w:hint="eastAsia" w:cs="宋体" w:asciiTheme="minorEastAsia" w:hAnsiTheme="minorEastAsia" w:eastAsiaTheme="minorEastAsia"/>
          <w:b/>
          <w:snapToGrid w:val="0"/>
          <w:color w:val="auto"/>
          <w:szCs w:val="21"/>
          <w:highlight w:val="none"/>
        </w:rPr>
        <w:t xml:space="preserve">4.  </w:t>
      </w:r>
      <w:bookmarkEnd w:id="68"/>
      <w:bookmarkEnd w:id="69"/>
      <w:r>
        <w:rPr>
          <w:rFonts w:hint="eastAsia" w:cs="宋体" w:asciiTheme="minorEastAsia" w:hAnsiTheme="minorEastAsia" w:eastAsiaTheme="minorEastAsia"/>
          <w:b/>
          <w:snapToGrid w:val="0"/>
          <w:color w:val="auto"/>
          <w:szCs w:val="21"/>
          <w:highlight w:val="none"/>
        </w:rPr>
        <w:t>竞选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70" w:name="_Toc224103345"/>
      <w:bookmarkStart w:id="71" w:name="_Toc200513154"/>
      <w:r>
        <w:rPr>
          <w:rFonts w:hint="eastAsia" w:cs="宋体" w:asciiTheme="minorEastAsia" w:hAnsiTheme="minorEastAsia" w:eastAsiaTheme="minorEastAsia"/>
          <w:snapToGrid w:val="0"/>
          <w:color w:val="auto"/>
          <w:szCs w:val="21"/>
          <w:highlight w:val="none"/>
        </w:rPr>
        <w:t>4.1  竞选文件的密封和标记</w:t>
      </w:r>
      <w:bookmarkEnd w:id="70"/>
      <w:bookmarkEnd w:id="71"/>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bookmarkStart w:id="72" w:name="_Toc200513155"/>
      <w:r>
        <w:rPr>
          <w:rFonts w:hint="eastAsia" w:cs="宋体" w:asciiTheme="minorEastAsia" w:hAnsiTheme="minorEastAsia" w:eastAsiaTheme="minorEastAsia"/>
          <w:snapToGrid w:val="0"/>
          <w:color w:val="auto"/>
          <w:kern w:val="0"/>
          <w:szCs w:val="21"/>
          <w:highlight w:val="none"/>
        </w:rPr>
        <w:t>4.1.1  竞选文件的正本与副本密封见竞选人须知前附表。</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4.1.2  竞选文件的封套上应写明的内容见竞选人须知前附表。</w:t>
      </w:r>
    </w:p>
    <w:p>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4.1.3  未按本章第 4.1.1 项或第 4.1.2 项要求密封和加写标记的竞选文件，比选人不予受理。</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73" w:name="_Toc224103346"/>
      <w:r>
        <w:rPr>
          <w:rFonts w:hint="eastAsia" w:cs="宋体" w:asciiTheme="minorEastAsia" w:hAnsiTheme="minorEastAsia" w:eastAsiaTheme="minorEastAsia"/>
          <w:snapToGrid w:val="0"/>
          <w:color w:val="auto"/>
          <w:szCs w:val="21"/>
          <w:highlight w:val="none"/>
        </w:rPr>
        <w:t>4.2  竞选文件的递交</w:t>
      </w:r>
      <w:bookmarkEnd w:id="72"/>
      <w:bookmarkEnd w:id="73"/>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4.2.1  竞选人应在本章第 2.2.2 项规定的竞选截止时间前递交竞选文件。</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4.2.2  竞选人递交竞选文件的地点：见竞选人须知前附表。</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4.2.3  除竞选人须知前附表另有规定外，竞选人所递交的竞选文件不予退还。</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4.2.4  比选人收到竞选文件后，向竞选人出具签收凭证。</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4.2.5  逾期送达的或者未送达指定地点的竞选文件，比选人不予受理。</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74" w:name="_Toc200513156"/>
      <w:bookmarkStart w:id="75" w:name="_Toc224103347"/>
      <w:r>
        <w:rPr>
          <w:rFonts w:hint="eastAsia" w:cs="宋体" w:asciiTheme="minorEastAsia" w:hAnsiTheme="minorEastAsia" w:eastAsiaTheme="minorEastAsia"/>
          <w:snapToGrid w:val="0"/>
          <w:color w:val="auto"/>
          <w:szCs w:val="21"/>
          <w:highlight w:val="none"/>
        </w:rPr>
        <w:t>4.3  竞选文件的修改与撤回</w:t>
      </w:r>
      <w:bookmarkEnd w:id="74"/>
      <w:bookmarkEnd w:id="75"/>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4.3.1  在本章第2.2.2项规定的竞选截止时间前，竞选人可以修改或撤回已递交的竞选文件，但应以书面形式通知比选人。</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4.3.2  竞选人修改或撤回已递交竞选文件的书面通知应按照本章第3.7.3项的要求签字或盖章。比选人收到书面通知后，向竞选人出具签收凭证。</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4.3.3  修改的内容为竞选文件的组成部分。修改的竞选文件应按照本章第3条、第4条规定进行编制、密封、标记和递交，并标明“修改”字样。</w:t>
      </w:r>
    </w:p>
    <w:p>
      <w:pPr>
        <w:spacing w:line="450" w:lineRule="exact"/>
        <w:ind w:firstLine="422" w:firstLineChars="200"/>
        <w:rPr>
          <w:rFonts w:cs="宋体" w:asciiTheme="minorEastAsia" w:hAnsiTheme="minorEastAsia" w:eastAsiaTheme="minorEastAsia"/>
          <w:b/>
          <w:snapToGrid w:val="0"/>
          <w:color w:val="auto"/>
          <w:szCs w:val="21"/>
          <w:highlight w:val="none"/>
        </w:rPr>
      </w:pPr>
      <w:bookmarkStart w:id="76" w:name="_Toc200513157"/>
      <w:bookmarkStart w:id="77" w:name="_Toc224103348"/>
      <w:r>
        <w:rPr>
          <w:rFonts w:hint="eastAsia" w:cs="宋体" w:asciiTheme="minorEastAsia" w:hAnsiTheme="minorEastAsia" w:eastAsiaTheme="minorEastAsia"/>
          <w:b/>
          <w:snapToGrid w:val="0"/>
          <w:color w:val="auto"/>
          <w:szCs w:val="21"/>
          <w:highlight w:val="none"/>
        </w:rPr>
        <w:t>5.  开标</w:t>
      </w:r>
      <w:bookmarkEnd w:id="76"/>
      <w:bookmarkEnd w:id="77"/>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78" w:name="_Toc224103349"/>
      <w:bookmarkStart w:id="79" w:name="_Toc200513158"/>
      <w:r>
        <w:rPr>
          <w:rFonts w:hint="eastAsia" w:cs="宋体" w:asciiTheme="minorEastAsia" w:hAnsiTheme="minorEastAsia" w:eastAsiaTheme="minorEastAsia"/>
          <w:snapToGrid w:val="0"/>
          <w:color w:val="auto"/>
          <w:szCs w:val="21"/>
          <w:highlight w:val="none"/>
        </w:rPr>
        <w:t>5.1  开标时间和地点</w:t>
      </w:r>
      <w:bookmarkEnd w:id="78"/>
      <w:bookmarkEnd w:id="79"/>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比选人在本章第 2.2.2 项规定的竞选截止时间（开标时间）和竞选人须知前附表规定的地点公开开标，并邀请所有竞选人的法定代表人或其委托代理人准时参加。</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80" w:name="_Toc200513159"/>
      <w:bookmarkStart w:id="81" w:name="_Toc224103350"/>
      <w:r>
        <w:rPr>
          <w:rFonts w:hint="eastAsia" w:cs="宋体" w:asciiTheme="minorEastAsia" w:hAnsiTheme="minorEastAsia" w:eastAsiaTheme="minorEastAsia"/>
          <w:snapToGrid w:val="0"/>
          <w:color w:val="auto"/>
          <w:szCs w:val="21"/>
          <w:highlight w:val="none"/>
        </w:rPr>
        <w:t>5.2  开标程序</w:t>
      </w:r>
      <w:bookmarkEnd w:id="80"/>
      <w:bookmarkEnd w:id="81"/>
    </w:p>
    <w:p>
      <w:pPr>
        <w:autoSpaceDE w:val="0"/>
        <w:autoSpaceDN w:val="0"/>
        <w:adjustRightInd w:val="0"/>
        <w:snapToGrid w:val="0"/>
        <w:spacing w:line="450" w:lineRule="exact"/>
        <w:ind w:left="4" w:leftChars="2" w:firstLine="420" w:firstLineChars="200"/>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同竞选人须知前附表。</w:t>
      </w:r>
    </w:p>
    <w:p>
      <w:pPr>
        <w:spacing w:line="450" w:lineRule="exact"/>
        <w:ind w:firstLine="422" w:firstLineChars="200"/>
        <w:rPr>
          <w:rFonts w:cs="宋体" w:asciiTheme="minorEastAsia" w:hAnsiTheme="minorEastAsia" w:eastAsiaTheme="minorEastAsia"/>
          <w:b/>
          <w:snapToGrid w:val="0"/>
          <w:color w:val="auto"/>
          <w:szCs w:val="21"/>
          <w:highlight w:val="none"/>
        </w:rPr>
      </w:pPr>
      <w:bookmarkStart w:id="82" w:name="_Toc224103351"/>
      <w:bookmarkStart w:id="83" w:name="_Toc200513160"/>
      <w:r>
        <w:rPr>
          <w:rFonts w:hint="eastAsia" w:cs="宋体" w:asciiTheme="minorEastAsia" w:hAnsiTheme="minorEastAsia" w:eastAsiaTheme="minorEastAsia"/>
          <w:b/>
          <w:snapToGrid w:val="0"/>
          <w:color w:val="auto"/>
          <w:szCs w:val="21"/>
          <w:highlight w:val="none"/>
        </w:rPr>
        <w:t xml:space="preserve">6.  </w:t>
      </w:r>
      <w:bookmarkEnd w:id="82"/>
      <w:bookmarkEnd w:id="83"/>
      <w:r>
        <w:rPr>
          <w:rFonts w:hint="eastAsia" w:cs="宋体" w:asciiTheme="minorEastAsia" w:hAnsiTheme="minorEastAsia" w:eastAsiaTheme="minorEastAsia"/>
          <w:b/>
          <w:snapToGrid w:val="0"/>
          <w:color w:val="auto"/>
          <w:szCs w:val="21"/>
          <w:highlight w:val="none"/>
        </w:rPr>
        <w:t>评选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84" w:name="_Toc200513161"/>
      <w:bookmarkStart w:id="85" w:name="_Toc224103352"/>
      <w:r>
        <w:rPr>
          <w:rFonts w:hint="eastAsia" w:cs="宋体" w:asciiTheme="minorEastAsia" w:hAnsiTheme="minorEastAsia" w:eastAsiaTheme="minorEastAsia"/>
          <w:snapToGrid w:val="0"/>
          <w:color w:val="auto"/>
          <w:szCs w:val="21"/>
          <w:highlight w:val="none"/>
        </w:rPr>
        <w:t>6.1  评选委员会</w:t>
      </w:r>
      <w:bookmarkEnd w:id="84"/>
      <w:bookmarkEnd w:id="85"/>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6.1.1  评选由比选人依法组建的评选委员会负责。评选委员会由比选人或其委托的比选代理机构熟悉相关业务的代表，以及有关技术、经济等方面的专家组成。评选委员会成员人数以及技术、经济等方面专家的确定方式见竞选人须知前附表。</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6.1.2  评选委员会成员有下列情形之一的，应当回避：</w:t>
      </w:r>
    </w:p>
    <w:p>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（1）比选人或竞选人的主要负责人的近亲属；</w:t>
      </w:r>
    </w:p>
    <w:p>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（2）项目主管部门或者行政监督部门的人员；</w:t>
      </w:r>
    </w:p>
    <w:p>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（3）与竞选人有经济利益关系，可能影响对竞选公正评审的；</w:t>
      </w:r>
    </w:p>
    <w:p>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（4）曾因在比选、评选以及其他与比选竞选有关活动中从事违法行为而受过行政处罚或刑事处罚的。</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86" w:name="_Toc200513162"/>
      <w:bookmarkStart w:id="87" w:name="_Toc224103353"/>
      <w:r>
        <w:rPr>
          <w:rFonts w:hint="eastAsia" w:cs="宋体" w:asciiTheme="minorEastAsia" w:hAnsiTheme="minorEastAsia" w:eastAsiaTheme="minorEastAsia"/>
          <w:snapToGrid w:val="0"/>
          <w:color w:val="auto"/>
          <w:szCs w:val="21"/>
          <w:highlight w:val="none"/>
        </w:rPr>
        <w:t>6.2  评选原则</w:t>
      </w:r>
      <w:bookmarkEnd w:id="86"/>
      <w:bookmarkEnd w:id="87"/>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评选活动遵循公平、公正、科学和择优的原则。</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88" w:name="_Toc200513163"/>
      <w:bookmarkStart w:id="89" w:name="_Toc224103354"/>
      <w:r>
        <w:rPr>
          <w:rFonts w:hint="eastAsia" w:cs="宋体" w:asciiTheme="minorEastAsia" w:hAnsiTheme="minorEastAsia" w:eastAsiaTheme="minorEastAsia"/>
          <w:snapToGrid w:val="0"/>
          <w:color w:val="auto"/>
          <w:szCs w:val="21"/>
          <w:highlight w:val="none"/>
        </w:rPr>
        <w:t xml:space="preserve">6.3  </w:t>
      </w:r>
      <w:bookmarkEnd w:id="88"/>
      <w:bookmarkEnd w:id="89"/>
      <w:r>
        <w:rPr>
          <w:rFonts w:hint="eastAsia" w:cs="宋体" w:asciiTheme="minorEastAsia" w:hAnsiTheme="minorEastAsia" w:eastAsiaTheme="minorEastAsia"/>
          <w:snapToGrid w:val="0"/>
          <w:color w:val="auto"/>
          <w:szCs w:val="21"/>
          <w:highlight w:val="none"/>
        </w:rPr>
        <w:t>评选</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评选委员会按照第三章“评选办法”规定的方法、评审因素、标准和程序对竞选文件进行评审。第三章“评选办法”没有规定的方法、评审因素和标准，不作为评选依据。</w:t>
      </w:r>
    </w:p>
    <w:p>
      <w:pPr>
        <w:spacing w:line="450" w:lineRule="exact"/>
        <w:ind w:firstLine="422" w:firstLineChars="200"/>
        <w:rPr>
          <w:rFonts w:cs="宋体" w:asciiTheme="minorEastAsia" w:hAnsiTheme="minorEastAsia" w:eastAsiaTheme="minorEastAsia"/>
          <w:b/>
          <w:snapToGrid w:val="0"/>
          <w:color w:val="auto"/>
          <w:szCs w:val="21"/>
          <w:highlight w:val="none"/>
        </w:rPr>
      </w:pPr>
      <w:bookmarkStart w:id="90" w:name="_Toc200513164"/>
      <w:bookmarkStart w:id="91" w:name="_Toc224103355"/>
      <w:r>
        <w:rPr>
          <w:rFonts w:hint="eastAsia" w:cs="宋体" w:asciiTheme="minorEastAsia" w:hAnsiTheme="minorEastAsia" w:eastAsiaTheme="minorEastAsia"/>
          <w:b/>
          <w:snapToGrid w:val="0"/>
          <w:color w:val="auto"/>
          <w:szCs w:val="21"/>
          <w:highlight w:val="none"/>
        </w:rPr>
        <w:t>7.  合同授予</w:t>
      </w:r>
      <w:bookmarkEnd w:id="90"/>
      <w:bookmarkEnd w:id="91"/>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92" w:name="_Toc224103356"/>
      <w:bookmarkStart w:id="93" w:name="_Toc200513165"/>
      <w:r>
        <w:rPr>
          <w:rFonts w:hint="eastAsia" w:cs="宋体" w:asciiTheme="minorEastAsia" w:hAnsiTheme="minorEastAsia" w:eastAsiaTheme="minorEastAsia"/>
          <w:snapToGrid w:val="0"/>
          <w:color w:val="auto"/>
          <w:szCs w:val="21"/>
          <w:highlight w:val="none"/>
        </w:rPr>
        <w:t>7.1  定标方式</w:t>
      </w:r>
      <w:bookmarkEnd w:id="92"/>
      <w:bookmarkEnd w:id="93"/>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除竞选人须知前附表规定评选委员会直接确定中选人外，比选人依据评选委员会推荐的 中选候选人确定中选人，评选委员会推荐中选候选人的人数见竞选人须知前附表。</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94" w:name="_Toc224103357"/>
      <w:bookmarkStart w:id="95" w:name="_Toc200513166"/>
      <w:r>
        <w:rPr>
          <w:rFonts w:hint="eastAsia" w:cs="宋体" w:asciiTheme="minorEastAsia" w:hAnsiTheme="minorEastAsia" w:eastAsiaTheme="minorEastAsia"/>
          <w:snapToGrid w:val="0"/>
          <w:color w:val="auto"/>
          <w:szCs w:val="21"/>
          <w:highlight w:val="none"/>
        </w:rPr>
        <w:t>7.2  中选通知</w:t>
      </w:r>
      <w:bookmarkEnd w:id="94"/>
      <w:bookmarkEnd w:id="95"/>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在本章第 3.3 款规定的竞选有效期内，比选人以书面形式向中选人发出中选通知书，同 时将中选结果通知未中选的竞选人。</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bookmarkStart w:id="96" w:name="_Toc200513168"/>
      <w:bookmarkStart w:id="97" w:name="_Toc224103359"/>
      <w:r>
        <w:rPr>
          <w:rFonts w:hint="eastAsia" w:cs="宋体" w:asciiTheme="minorEastAsia" w:hAnsiTheme="minorEastAsia" w:eastAsiaTheme="minorEastAsia"/>
          <w:snapToGrid w:val="0"/>
          <w:color w:val="auto"/>
          <w:szCs w:val="21"/>
          <w:highlight w:val="none"/>
        </w:rPr>
        <w:t>7.4  签订合同</w:t>
      </w:r>
      <w:bookmarkEnd w:id="96"/>
      <w:bookmarkEnd w:id="97"/>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7.4.1 比选人和中选人应当在中选通知书约定的时间内签订合同，根据比选文件和中选人的竞选文件订立书面合同。中选人无正当理由拒签合同的，比选人取消其中选资格，其竞选保证金不予退还；给比选人造成的损失超过竞选保证金数额的，中选人还应当对超过部分予以赔偿。</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7.4.2  发出中选通知书后，比选人无正当理由拒签合同的，比选人向中选人退还竞选保证金；给中选人造成损失的，还应当赔偿损失。</w:t>
      </w:r>
    </w:p>
    <w:p>
      <w:pPr>
        <w:autoSpaceDE w:val="0"/>
        <w:autoSpaceDN w:val="0"/>
        <w:adjustRightInd w:val="0"/>
        <w:snapToGrid w:val="0"/>
        <w:spacing w:line="450" w:lineRule="exact"/>
        <w:ind w:firstLine="422" w:firstLineChars="200"/>
        <w:jc w:val="left"/>
        <w:rPr>
          <w:rFonts w:cs="宋体" w:asciiTheme="minorEastAsia" w:hAnsiTheme="minorEastAsia" w:eastAsiaTheme="minorEastAsia"/>
          <w:b/>
          <w:snapToGrid w:val="0"/>
          <w:color w:val="auto"/>
          <w:kern w:val="0"/>
          <w:szCs w:val="21"/>
          <w:highlight w:val="none"/>
        </w:rPr>
      </w:pPr>
      <w:bookmarkStart w:id="98" w:name="_Toc224103360"/>
      <w:bookmarkStart w:id="99" w:name="_Toc200513169"/>
      <w:r>
        <w:rPr>
          <w:rFonts w:hint="eastAsia" w:cs="宋体" w:asciiTheme="minorEastAsia" w:hAnsiTheme="minorEastAsia" w:eastAsiaTheme="minorEastAsia"/>
          <w:b/>
          <w:snapToGrid w:val="0"/>
          <w:color w:val="auto"/>
          <w:kern w:val="0"/>
          <w:szCs w:val="21"/>
          <w:highlight w:val="none"/>
        </w:rPr>
        <w:t>8.  重新比选和不再</w:t>
      </w:r>
      <w:bookmarkEnd w:id="98"/>
      <w:bookmarkEnd w:id="99"/>
      <w:r>
        <w:rPr>
          <w:rFonts w:hint="eastAsia" w:cs="宋体" w:asciiTheme="minorEastAsia" w:hAnsiTheme="minorEastAsia" w:eastAsiaTheme="minorEastAsia"/>
          <w:b/>
          <w:snapToGrid w:val="0"/>
          <w:color w:val="auto"/>
          <w:kern w:val="0"/>
          <w:szCs w:val="21"/>
          <w:highlight w:val="none"/>
        </w:rPr>
        <w:t>比选</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bookmarkStart w:id="100" w:name="_Toc277082596"/>
      <w:bookmarkStart w:id="101" w:name="_Toc287607790"/>
      <w:bookmarkStart w:id="102" w:name="_Toc347847820"/>
      <w:bookmarkStart w:id="103" w:name="_Toc224103361"/>
      <w:bookmarkStart w:id="104" w:name="_Toc200513170"/>
      <w:r>
        <w:rPr>
          <w:rFonts w:hint="eastAsia" w:cs="宋体" w:asciiTheme="minorEastAsia" w:hAnsiTheme="minorEastAsia" w:eastAsiaTheme="minorEastAsia"/>
          <w:snapToGrid w:val="0"/>
          <w:color w:val="auto"/>
          <w:kern w:val="0"/>
          <w:szCs w:val="21"/>
          <w:highlight w:val="none"/>
        </w:rPr>
        <w:t>8.1  重新</w:t>
      </w:r>
      <w:bookmarkEnd w:id="100"/>
      <w:bookmarkEnd w:id="101"/>
      <w:bookmarkEnd w:id="102"/>
      <w:r>
        <w:rPr>
          <w:rFonts w:hint="eastAsia" w:cs="宋体" w:asciiTheme="minorEastAsia" w:hAnsiTheme="minorEastAsia" w:eastAsiaTheme="minorEastAsia"/>
          <w:snapToGrid w:val="0"/>
          <w:color w:val="auto"/>
          <w:kern w:val="0"/>
          <w:szCs w:val="21"/>
          <w:highlight w:val="none"/>
        </w:rPr>
        <w:t>比选</w:t>
      </w:r>
      <w:bookmarkStart w:id="105" w:name="_Toc347847821"/>
      <w:bookmarkStart w:id="106" w:name="_Toc277082597"/>
      <w:bookmarkStart w:id="107" w:name="_Toc287607791"/>
      <w:r>
        <w:rPr>
          <w:rFonts w:hint="eastAsia" w:cs="宋体" w:asciiTheme="minorEastAsia" w:hAnsiTheme="minorEastAsia" w:eastAsiaTheme="minorEastAsia"/>
          <w:snapToGrid w:val="0"/>
          <w:color w:val="auto"/>
          <w:kern w:val="0"/>
          <w:szCs w:val="21"/>
          <w:highlight w:val="none"/>
        </w:rPr>
        <w:t>：</w:t>
      </w:r>
    </w:p>
    <w:p>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有下列情形之一的，比选人将重新比选：</w:t>
      </w:r>
    </w:p>
    <w:p>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（1）截止时间止，竞选人少于 3 个的；</w:t>
      </w:r>
    </w:p>
    <w:p>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（2）经评选委员会评审后否决所有竞选的；</w:t>
      </w:r>
    </w:p>
    <w:p>
      <w:pPr>
        <w:autoSpaceDE w:val="0"/>
        <w:autoSpaceDN w:val="0"/>
        <w:adjustRightInd w:val="0"/>
        <w:snapToGrid w:val="0"/>
        <w:spacing w:line="450" w:lineRule="exact"/>
        <w:ind w:firstLine="420" w:firstLineChars="200"/>
        <w:rPr>
          <w:rFonts w:asciiTheme="minorEastAsia" w:hAnsiTheme="minorEastAsia" w:eastAsiaTheme="minorEastAsia"/>
          <w:snapToGrid w:val="0"/>
          <w:color w:val="auto"/>
          <w:kern w:val="0"/>
          <w:szCs w:val="21"/>
          <w:highlight w:val="none"/>
        </w:rPr>
      </w:pPr>
      <w:r>
        <w:rPr>
          <w:rFonts w:hint="eastAsia" w:asciiTheme="minorEastAsia" w:hAnsiTheme="minorEastAsia" w:eastAsiaTheme="minorEastAsia"/>
          <w:snapToGrid w:val="0"/>
          <w:color w:val="auto"/>
          <w:kern w:val="0"/>
          <w:szCs w:val="21"/>
          <w:highlight w:val="none"/>
        </w:rPr>
        <w:t>（3）经评审后，如合格的竞选人少于三个的，且明显缺乏竞争的，评选委员会可以否决全部竞选，比选人将重新组织比选。</w:t>
      </w:r>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8.2  二次比选和不再</w:t>
      </w:r>
      <w:bookmarkEnd w:id="105"/>
      <w:bookmarkEnd w:id="106"/>
      <w:bookmarkEnd w:id="107"/>
      <w:r>
        <w:rPr>
          <w:rFonts w:hint="eastAsia" w:cs="宋体" w:asciiTheme="minorEastAsia" w:hAnsiTheme="minorEastAsia" w:eastAsiaTheme="minorEastAsia"/>
          <w:snapToGrid w:val="0"/>
          <w:color w:val="auto"/>
          <w:kern w:val="0"/>
          <w:szCs w:val="21"/>
          <w:highlight w:val="none"/>
        </w:rPr>
        <w:t>比选</w:t>
      </w:r>
    </w:p>
    <w:p>
      <w:pPr>
        <w:snapToGrid w:val="0"/>
        <w:spacing w:line="450" w:lineRule="exact"/>
        <w:ind w:firstLine="420" w:firstLineChars="200"/>
        <w:rPr>
          <w:rFonts w:cs="宋体" w:asciiTheme="minorEastAsia" w:hAnsiTheme="minorEastAsia" w:eastAsiaTheme="minorEastAsia"/>
          <w:b/>
          <w:snapToGrid w:val="0"/>
          <w:color w:val="auto"/>
          <w:szCs w:val="21"/>
          <w:highlight w:val="none"/>
        </w:rPr>
      </w:pPr>
      <w:r>
        <w:rPr>
          <w:rFonts w:hint="eastAsia" w:cs="宋体" w:asciiTheme="minorEastAsia" w:hAnsiTheme="minorEastAsia" w:eastAsiaTheme="minorEastAsia"/>
          <w:color w:val="auto"/>
          <w:kern w:val="0"/>
          <w:szCs w:val="21"/>
          <w:highlight w:val="none"/>
        </w:rPr>
        <w:t>因本项目属两次公开比选后流标项目，按照《重庆市招标投标条例》规定，根据项目审批部门批准，由我司按竞争性比选方式确定中选人，本次比选，无论竞选人是否满足三家，均按程序进行开标和确定中选人。</w:t>
      </w:r>
    </w:p>
    <w:bookmarkEnd w:id="103"/>
    <w:bookmarkEnd w:id="104"/>
    <w:p>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108" w:name="_Toc224103363"/>
      <w:bookmarkStart w:id="109" w:name="_Toc200513172"/>
      <w:r>
        <w:rPr>
          <w:rFonts w:hint="eastAsia" w:cs="宋体" w:asciiTheme="minorEastAsia" w:hAnsiTheme="minorEastAsia" w:eastAsiaTheme="minorEastAsia"/>
          <w:b/>
          <w:snapToGrid w:val="0"/>
          <w:color w:val="auto"/>
          <w:szCs w:val="21"/>
          <w:highlight w:val="none"/>
        </w:rPr>
        <w:t>9.  纪律和监督</w:t>
      </w:r>
      <w:bookmarkEnd w:id="108"/>
      <w:bookmarkEnd w:id="109"/>
    </w:p>
    <w:p>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110" w:name="_Toc200513173"/>
      <w:bookmarkStart w:id="111" w:name="_Toc224103364"/>
      <w:r>
        <w:rPr>
          <w:rFonts w:hint="eastAsia" w:cs="宋体" w:asciiTheme="minorEastAsia" w:hAnsiTheme="minorEastAsia" w:eastAsiaTheme="minorEastAsia"/>
          <w:b/>
          <w:snapToGrid w:val="0"/>
          <w:color w:val="auto"/>
          <w:szCs w:val="21"/>
          <w:highlight w:val="none"/>
        </w:rPr>
        <w:t>9.1  对比选人的纪律要求</w:t>
      </w:r>
      <w:bookmarkEnd w:id="110"/>
      <w:bookmarkEnd w:id="111"/>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比选人不得泄漏比选竞选活动中应当保密的情况和资料，不得与竞选人串通损害国家利 益、社会公共利益或者他人合法权益。</w:t>
      </w:r>
    </w:p>
    <w:p>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112" w:name="_Toc224103365"/>
      <w:bookmarkStart w:id="113" w:name="_Toc200513174"/>
      <w:r>
        <w:rPr>
          <w:rFonts w:hint="eastAsia" w:cs="宋体" w:asciiTheme="minorEastAsia" w:hAnsiTheme="minorEastAsia" w:eastAsiaTheme="minorEastAsia"/>
          <w:b/>
          <w:snapToGrid w:val="0"/>
          <w:color w:val="auto"/>
          <w:szCs w:val="21"/>
          <w:highlight w:val="none"/>
        </w:rPr>
        <w:t>9.2  对竞选人的纪律要求</w:t>
      </w:r>
      <w:bookmarkEnd w:id="112"/>
      <w:bookmarkEnd w:id="113"/>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竞选人不得相互串通竞选或者与比选人串通竞选，不得向比选人或者评选委员会成员行贿谋取中选，不得以他人名义竞选或者以其他方式弄虚作假骗取中选；竞选人不得以任何方式干扰、影响评选工作。</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有下列情形之一的，属于竞选人相互串通竞选：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（1）竞选人之间协商竞选报价等竞选文件的实质性内容；</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（2）竞选人之间约定中选人；</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（3）竞选人之间约定部分竞选人放弃竞选或者中选；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（4）属于同一集团、协会、商会等组织成员的竞选人按照该组织要求协同竞选；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（5）竞选人之间为谋取中选或者排斥特定竞选人而采取的其他联合行动。</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有下列情形之一的，视为竞选人相互串通竞选：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（1）不同竞选人的竞选文件由同一单位或者个人编制；</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（2）不同竞选人委托同一单位或者个人办理竞选事宜；</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（3）不同竞选人的竞选文件载明的项目管理成员为同一人；</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（4）不同竞选人的竞选文件异常一致或者竞选报价呈规律性差异；</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（5）不同竞选人的竞选文件相互混装；</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（6）不同竞选人的竞选保证金从同一单位或者个人的账户转出。</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使用通过受让或者租借等方式获取的资格、资质证书竞选的，属于以他人名义竞选。</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竞选人有下列情形之一的，属于以其他方式弄虚作假的行为：</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（1）使用伪造、变造的许可证件；</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（2）提供虚假的财务状况或者业绩；</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（3）提供虚假的项目负责人或者主要技术人员简历、劳动关系证明；</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（4）提供虚假的信用状况；</w:t>
      </w:r>
    </w:p>
    <w:p>
      <w:pPr>
        <w:snapToGrid w:val="0"/>
        <w:spacing w:line="450" w:lineRule="exact"/>
        <w:ind w:firstLine="420" w:firstLineChars="200"/>
        <w:rPr>
          <w:rFonts w:cs="宋体" w:asciiTheme="minorEastAsia" w:hAnsiTheme="minorEastAsia" w:eastAsiaTheme="minorEastAsia"/>
          <w:snapToGrid w:val="0"/>
          <w:color w:val="auto"/>
          <w:szCs w:val="21"/>
          <w:highlight w:val="none"/>
        </w:rPr>
      </w:pPr>
      <w:r>
        <w:rPr>
          <w:rFonts w:hint="eastAsia" w:cs="宋体" w:asciiTheme="minorEastAsia" w:hAnsiTheme="minorEastAsia" w:eastAsiaTheme="minorEastAsia"/>
          <w:snapToGrid w:val="0"/>
          <w:color w:val="auto"/>
          <w:szCs w:val="21"/>
          <w:highlight w:val="none"/>
        </w:rPr>
        <w:t xml:space="preserve">    （5）其他弄虚作假的行为。</w:t>
      </w:r>
    </w:p>
    <w:p>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114" w:name="_Toc224103366"/>
      <w:bookmarkStart w:id="115" w:name="_Toc200513175"/>
      <w:r>
        <w:rPr>
          <w:rFonts w:hint="eastAsia" w:cs="宋体" w:asciiTheme="minorEastAsia" w:hAnsiTheme="minorEastAsia" w:eastAsiaTheme="minorEastAsia"/>
          <w:b/>
          <w:snapToGrid w:val="0"/>
          <w:color w:val="auto"/>
          <w:szCs w:val="21"/>
          <w:highlight w:val="none"/>
        </w:rPr>
        <w:t>9.3  对评选委员会成员的纪律要求</w:t>
      </w:r>
      <w:bookmarkEnd w:id="114"/>
      <w:bookmarkEnd w:id="115"/>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评选委员会成员不得收受他人的财物或者其他好处，不得向他人透漏对竞选文件的评审 和比较、中选候选人的推荐情况以及评选有关的其他情况。在评选活动中，评选委员会成员不得擅离职守，影响评选程序正常进行，不得使用第三章“评选办法”没有规定的评审因素和标准进行评选。</w:t>
      </w:r>
    </w:p>
    <w:p>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116" w:name="_Toc200513176"/>
      <w:bookmarkStart w:id="117" w:name="_Toc224103367"/>
      <w:r>
        <w:rPr>
          <w:rFonts w:hint="eastAsia" w:cs="宋体" w:asciiTheme="minorEastAsia" w:hAnsiTheme="minorEastAsia" w:eastAsiaTheme="minorEastAsia"/>
          <w:b/>
          <w:snapToGrid w:val="0"/>
          <w:color w:val="auto"/>
          <w:szCs w:val="21"/>
          <w:highlight w:val="none"/>
        </w:rPr>
        <w:t>9.4  对与评选活动有关的工作人员的纪律要求</w:t>
      </w:r>
      <w:bookmarkEnd w:id="116"/>
      <w:bookmarkEnd w:id="117"/>
    </w:p>
    <w:p>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与评选活动有关的工作人员不得收受他人的财物或者其他好处，不得向他人透漏对竞选 文件的评审和比较、中选候选人的推荐情况以及评选有关的其他情况。在评选活动中，与评选活动有关的工作人员不得擅离职守，影响评选程序正常进行。</w:t>
      </w:r>
    </w:p>
    <w:p>
      <w:pPr>
        <w:snapToGrid w:val="0"/>
        <w:spacing w:line="450" w:lineRule="exact"/>
        <w:ind w:firstLine="422" w:firstLineChars="200"/>
        <w:rPr>
          <w:rFonts w:cs="宋体" w:asciiTheme="minorEastAsia" w:hAnsiTheme="minorEastAsia" w:eastAsiaTheme="minorEastAsia"/>
          <w:b/>
          <w:snapToGrid w:val="0"/>
          <w:color w:val="auto"/>
          <w:szCs w:val="21"/>
          <w:highlight w:val="none"/>
        </w:rPr>
      </w:pPr>
      <w:bookmarkStart w:id="118" w:name="_Toc200513177"/>
      <w:bookmarkStart w:id="119" w:name="_Toc224103368"/>
      <w:r>
        <w:rPr>
          <w:rFonts w:hint="eastAsia" w:cs="宋体" w:asciiTheme="minorEastAsia" w:hAnsiTheme="minorEastAsia" w:eastAsiaTheme="minorEastAsia"/>
          <w:b/>
          <w:snapToGrid w:val="0"/>
          <w:color w:val="auto"/>
          <w:szCs w:val="21"/>
          <w:highlight w:val="none"/>
        </w:rPr>
        <w:t>9.5  投诉</w:t>
      </w:r>
      <w:bookmarkEnd w:id="118"/>
      <w:bookmarkEnd w:id="119"/>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snapToGrid w:val="0"/>
          <w:color w:val="auto"/>
          <w:kern w:val="0"/>
          <w:szCs w:val="21"/>
          <w:highlight w:val="none"/>
        </w:rPr>
        <w:t>竞选人和其他利害关系人认为本次比选活动违反法律、法规和规章规定的，有权向有关 行政监督部门投诉。</w:t>
      </w:r>
    </w:p>
    <w:p>
      <w:pPr>
        <w:spacing w:line="450" w:lineRule="exact"/>
        <w:ind w:firstLine="422" w:firstLineChars="200"/>
        <w:rPr>
          <w:rFonts w:cs="宋体" w:asciiTheme="minorEastAsia" w:hAnsiTheme="minorEastAsia" w:eastAsiaTheme="minorEastAsia"/>
          <w:b/>
          <w:snapToGrid w:val="0"/>
          <w:color w:val="auto"/>
          <w:szCs w:val="21"/>
          <w:highlight w:val="none"/>
        </w:rPr>
      </w:pPr>
      <w:bookmarkStart w:id="120" w:name="_Toc200513178"/>
      <w:bookmarkStart w:id="121" w:name="_Toc224103369"/>
      <w:r>
        <w:rPr>
          <w:rFonts w:hint="eastAsia" w:cs="宋体" w:asciiTheme="minorEastAsia" w:hAnsiTheme="minorEastAsia" w:eastAsiaTheme="minorEastAsia"/>
          <w:b/>
          <w:snapToGrid w:val="0"/>
          <w:color w:val="auto"/>
          <w:szCs w:val="21"/>
          <w:highlight w:val="none"/>
        </w:rPr>
        <w:t>10.  需要补充的其他内容</w:t>
      </w:r>
      <w:bookmarkEnd w:id="120"/>
      <w:bookmarkEnd w:id="121"/>
    </w:p>
    <w:p>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auto"/>
          <w:kern w:val="0"/>
          <w:sz w:val="24"/>
          <w:szCs w:val="24"/>
          <w:highlight w:val="none"/>
        </w:rPr>
      </w:pPr>
      <w:r>
        <w:rPr>
          <w:rFonts w:hint="eastAsia" w:cs="宋体" w:asciiTheme="minorEastAsia" w:hAnsiTheme="minorEastAsia" w:eastAsiaTheme="minorEastAsia"/>
          <w:snapToGrid w:val="0"/>
          <w:color w:val="auto"/>
          <w:kern w:val="0"/>
          <w:szCs w:val="21"/>
          <w:highlight w:val="none"/>
        </w:rPr>
        <w:t>需要补充的其他内容：见竞选人须知前附表。</w:t>
      </w:r>
      <w:bookmarkEnd w:id="21"/>
    </w:p>
    <w:p>
      <w:pPr>
        <w:widowControl/>
        <w:spacing w:line="500" w:lineRule="exact"/>
        <w:jc w:val="left"/>
        <w:rPr>
          <w:rFonts w:cs="宋体" w:asciiTheme="minorEastAsia" w:hAnsiTheme="minorEastAsia" w:eastAsiaTheme="minorEastAsia"/>
          <w:b/>
          <w:bCs/>
          <w:color w:val="auto"/>
          <w:kern w:val="44"/>
          <w:sz w:val="24"/>
          <w:szCs w:val="24"/>
          <w:highlight w:val="none"/>
        </w:rPr>
        <w:sectPr>
          <w:footerReference r:id="rId6" w:type="default"/>
          <w:pgSz w:w="11906" w:h="16838"/>
          <w:pgMar w:top="1418" w:right="1134" w:bottom="1134" w:left="1418" w:header="851" w:footer="520" w:gutter="0"/>
          <w:cols w:space="720" w:num="1"/>
          <w:docGrid w:type="lines" w:linePitch="312" w:charSpace="0"/>
        </w:sectPr>
      </w:pPr>
    </w:p>
    <w:p>
      <w:pPr>
        <w:spacing w:line="360" w:lineRule="auto"/>
        <w:jc w:val="center"/>
        <w:outlineLvl w:val="0"/>
        <w:rPr>
          <w:rFonts w:asciiTheme="minorEastAsia" w:hAnsiTheme="minorEastAsia" w:eastAsiaTheme="minorEastAsia"/>
          <w:color w:val="auto"/>
          <w:highlight w:val="none"/>
        </w:rPr>
      </w:pPr>
      <w:bookmarkStart w:id="122" w:name="_Toc468346917"/>
      <w:bookmarkStart w:id="123" w:name="_Toc485992279"/>
      <w:bookmarkStart w:id="124" w:name="_Toc430530498"/>
      <w:bookmarkStart w:id="125" w:name="_Toc14115"/>
      <w:bookmarkStart w:id="126" w:name="A13"/>
      <w:r>
        <w:rPr>
          <w:rFonts w:hint="eastAsia" w:asciiTheme="minorEastAsia" w:hAnsiTheme="minorEastAsia" w:eastAsiaTheme="minorEastAsia"/>
          <w:color w:val="auto"/>
          <w:sz w:val="44"/>
          <w:szCs w:val="44"/>
          <w:highlight w:val="none"/>
        </w:rPr>
        <w:t>第三章 评选办法(综合评估法)</w:t>
      </w:r>
      <w:bookmarkEnd w:id="122"/>
      <w:bookmarkEnd w:id="123"/>
      <w:bookmarkEnd w:id="124"/>
      <w:bookmarkEnd w:id="125"/>
    </w:p>
    <w:tbl>
      <w:tblPr>
        <w:tblStyle w:val="17"/>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24"/>
        <w:gridCol w:w="1772"/>
        <w:gridCol w:w="5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84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b/>
                <w:color w:val="auto"/>
                <w:kern w:val="0"/>
                <w:highlight w:val="none"/>
              </w:rPr>
            </w:pPr>
            <w:r>
              <w:rPr>
                <w:rFonts w:hint="eastAsia" w:cs="宋体" w:asciiTheme="minorEastAsia" w:hAnsiTheme="minorEastAsia" w:eastAsiaTheme="minorEastAsia"/>
                <w:b/>
                <w:color w:val="auto"/>
                <w:kern w:val="0"/>
                <w:highlight w:val="none"/>
              </w:rPr>
              <w:t>条款号</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b/>
                <w:color w:val="auto"/>
                <w:kern w:val="0"/>
                <w:highlight w:val="none"/>
              </w:rPr>
            </w:pPr>
            <w:r>
              <w:rPr>
                <w:rFonts w:hint="eastAsia" w:cs="宋体" w:asciiTheme="minorEastAsia" w:hAnsiTheme="minorEastAsia" w:eastAsiaTheme="minorEastAsia"/>
                <w:b/>
                <w:color w:val="auto"/>
                <w:kern w:val="0"/>
                <w:highlight w:val="none"/>
              </w:rPr>
              <w:t>评审因素</w:t>
            </w:r>
          </w:p>
        </w:tc>
        <w:tc>
          <w:tcPr>
            <w:tcW w:w="542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b/>
                <w:color w:val="auto"/>
                <w:kern w:val="0"/>
                <w:highlight w:val="none"/>
              </w:rPr>
            </w:pPr>
            <w:r>
              <w:rPr>
                <w:rFonts w:hint="eastAsia" w:cs="宋体" w:asciiTheme="minorEastAsia" w:hAnsiTheme="minorEastAsia" w:eastAsiaTheme="minorEastAsia"/>
                <w:b/>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2.1.1</w:t>
            </w:r>
          </w:p>
        </w:tc>
        <w:tc>
          <w:tcPr>
            <w:tcW w:w="1024"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80" w:lineRule="exact"/>
              <w:ind w:left="113" w:right="113"/>
              <w:jc w:val="center"/>
              <w:rPr>
                <w:rFonts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形式评审标准</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竞选人名称</w:t>
            </w:r>
          </w:p>
        </w:tc>
        <w:tc>
          <w:tcPr>
            <w:tcW w:w="542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与执业许可证一致。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szCs w:val="21"/>
                <w:highlight w:val="none"/>
              </w:rPr>
              <w:t>竞选函</w:t>
            </w:r>
            <w:r>
              <w:rPr>
                <w:rFonts w:hint="eastAsia" w:cs="宋体" w:asciiTheme="minorEastAsia" w:hAnsiTheme="minorEastAsia" w:eastAsiaTheme="minorEastAsia"/>
                <w:color w:val="auto"/>
                <w:kern w:val="0"/>
                <w:highlight w:val="none"/>
              </w:rPr>
              <w:t>签字盖章</w:t>
            </w:r>
          </w:p>
        </w:tc>
        <w:tc>
          <w:tcPr>
            <w:tcW w:w="542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竞选文件格式</w:t>
            </w:r>
          </w:p>
        </w:tc>
        <w:tc>
          <w:tcPr>
            <w:tcW w:w="5420" w:type="dxa"/>
            <w:tcBorders>
              <w:top w:val="single" w:color="auto" w:sz="4" w:space="0"/>
              <w:left w:val="single" w:color="auto" w:sz="4" w:space="0"/>
              <w:bottom w:val="single" w:color="auto" w:sz="4" w:space="0"/>
              <w:right w:val="single" w:color="auto" w:sz="4" w:space="0"/>
            </w:tcBorders>
            <w:vAlign w:val="center"/>
          </w:tcPr>
          <w:p>
            <w:pPr>
              <w:spacing w:before="120" w:beforeLines="50"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w:t>
            </w:r>
            <w:r>
              <w:rPr>
                <w:rFonts w:hint="eastAsia" w:cs="宋体" w:asciiTheme="minorEastAsia" w:hAnsiTheme="minorEastAsia" w:eastAsiaTheme="minorEastAsia"/>
                <w:color w:val="auto"/>
                <w:kern w:val="0"/>
                <w:highlight w:val="none"/>
                <w:lang w:eastAsia="zh-CN"/>
              </w:rPr>
              <w:t>五</w:t>
            </w:r>
            <w:r>
              <w:rPr>
                <w:rFonts w:hint="eastAsia" w:cs="宋体" w:asciiTheme="minorEastAsia" w:hAnsiTheme="minorEastAsia" w:eastAsiaTheme="minorEastAsia"/>
                <w:color w:val="auto"/>
                <w:kern w:val="0"/>
                <w:highlight w:val="none"/>
              </w:rPr>
              <w:t>章“竞选文件格式”的要求，字迹清晰可辨。</w:t>
            </w:r>
          </w:p>
          <w:p>
            <w:pPr>
              <w:spacing w:before="120" w:beforeLines="50" w:line="380" w:lineRule="exact"/>
              <w:ind w:firstLine="380" w:firstLineChars="181"/>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w:t>
            </w:r>
            <w:r>
              <w:rPr>
                <w:rFonts w:hint="eastAsia" w:asciiTheme="minorEastAsia" w:hAnsiTheme="minorEastAsia" w:eastAsiaTheme="minorEastAsia"/>
                <w:color w:val="auto"/>
                <w:szCs w:val="21"/>
                <w:highlight w:val="none"/>
              </w:rPr>
              <w:t>竞选函</w:t>
            </w:r>
            <w:r>
              <w:rPr>
                <w:rFonts w:hint="eastAsia" w:cs="宋体" w:asciiTheme="minorEastAsia" w:hAnsiTheme="minorEastAsia" w:eastAsiaTheme="minorEastAsia"/>
                <w:color w:val="auto"/>
                <w:kern w:val="0"/>
                <w:highlight w:val="none"/>
              </w:rPr>
              <w:t>及附录的所有数据均符合比选文件的规定；</w:t>
            </w:r>
          </w:p>
          <w:p>
            <w:pPr>
              <w:spacing w:before="120" w:beforeLines="50" w:line="380" w:lineRule="exact"/>
              <w:ind w:firstLine="380" w:firstLineChars="181"/>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2.竞选文件附表齐全完整，内容均按规定填写；</w:t>
            </w:r>
          </w:p>
          <w:p>
            <w:pPr>
              <w:spacing w:before="120" w:beforeLines="50" w:line="380" w:lineRule="exact"/>
              <w:ind w:firstLine="380" w:firstLineChars="181"/>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 xml:space="preserve">3.按规定提供了拟投入的主要人员的证件复印件，证件清晰可辨、有效； </w:t>
            </w:r>
          </w:p>
          <w:p>
            <w:pPr>
              <w:spacing w:before="120" w:beforeLines="50" w:line="380" w:lineRule="exact"/>
              <w:ind w:firstLine="380" w:firstLineChars="181"/>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4.竞选文件的编制符合</w:t>
            </w:r>
            <w:r>
              <w:rPr>
                <w:rFonts w:hint="eastAsia" w:cs="宋体" w:asciiTheme="minorEastAsia" w:hAnsiTheme="minorEastAsia" w:eastAsiaTheme="minorEastAsia"/>
                <w:color w:val="auto"/>
                <w:sz w:val="24"/>
                <w:szCs w:val="24"/>
                <w:highlight w:val="none"/>
              </w:rPr>
              <w:t>竞选人须知前附表</w:t>
            </w:r>
            <w:r>
              <w:rPr>
                <w:rFonts w:hint="eastAsia" w:cs="宋体" w:asciiTheme="minorEastAsia" w:hAnsiTheme="minorEastAsia" w:eastAsiaTheme="minorEastAsia"/>
                <w:color w:val="auto"/>
                <w:kern w:val="0"/>
                <w:highlight w:val="none"/>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报价唯一</w:t>
            </w:r>
          </w:p>
        </w:tc>
        <w:tc>
          <w:tcPr>
            <w:tcW w:w="5420" w:type="dxa"/>
            <w:tcBorders>
              <w:top w:val="single" w:color="auto" w:sz="4" w:space="0"/>
              <w:left w:val="single" w:color="auto" w:sz="4" w:space="0"/>
              <w:bottom w:val="single" w:color="auto" w:sz="4" w:space="0"/>
              <w:right w:val="single" w:color="auto" w:sz="4" w:space="0"/>
            </w:tcBorders>
            <w:vAlign w:val="center"/>
          </w:tcPr>
          <w:p>
            <w:pPr>
              <w:spacing w:before="120" w:beforeLines="50"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竞选文件的签署</w:t>
            </w:r>
          </w:p>
        </w:tc>
        <w:tc>
          <w:tcPr>
            <w:tcW w:w="5420" w:type="dxa"/>
            <w:tcBorders>
              <w:top w:val="single" w:color="auto" w:sz="4" w:space="0"/>
              <w:left w:val="single" w:color="auto" w:sz="4" w:space="0"/>
              <w:bottom w:val="single" w:color="auto" w:sz="4" w:space="0"/>
              <w:right w:val="single" w:color="auto" w:sz="4" w:space="0"/>
            </w:tcBorders>
            <w:vAlign w:val="center"/>
          </w:tcPr>
          <w:p>
            <w:pPr>
              <w:spacing w:before="120" w:beforeLines="50"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竞选文件上法定代表人或其授权代理人的签字</w:t>
            </w:r>
            <w:r>
              <w:rPr>
                <w:rFonts w:hint="eastAsia" w:cs="宋体" w:asciiTheme="minorEastAsia" w:hAnsiTheme="minorEastAsia" w:eastAsiaTheme="minorEastAsia"/>
                <w:b/>
                <w:color w:val="auto"/>
                <w:kern w:val="0"/>
                <w:highlight w:val="none"/>
              </w:rPr>
              <w:t>（或盖章）</w:t>
            </w:r>
            <w:r>
              <w:rPr>
                <w:rFonts w:hint="eastAsia" w:cs="宋体" w:asciiTheme="minorEastAsia" w:hAnsiTheme="minorEastAsia" w:eastAsiaTheme="minorEastAsia"/>
                <w:color w:val="auto"/>
                <w:kern w:val="0"/>
                <w:highlight w:val="none"/>
              </w:rPr>
              <w:t>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委托代理人</w:t>
            </w:r>
          </w:p>
        </w:tc>
        <w:tc>
          <w:tcPr>
            <w:tcW w:w="5420" w:type="dxa"/>
            <w:tcBorders>
              <w:top w:val="single" w:color="auto" w:sz="4" w:space="0"/>
              <w:left w:val="single" w:color="auto" w:sz="4" w:space="0"/>
              <w:bottom w:val="single" w:color="auto" w:sz="4" w:space="0"/>
              <w:right w:val="single" w:color="auto" w:sz="4" w:space="0"/>
            </w:tcBorders>
            <w:vAlign w:val="center"/>
          </w:tcPr>
          <w:p>
            <w:pPr>
              <w:spacing w:before="120" w:beforeLines="50"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竞选人法定代表人的委托代理人有法定代表人签署的授权委托书，且其授权委托书符合比选文件规定的格式。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2.1.2</w:t>
            </w:r>
          </w:p>
        </w:tc>
        <w:tc>
          <w:tcPr>
            <w:tcW w:w="1024"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80" w:lineRule="exact"/>
              <w:ind w:left="113" w:right="113"/>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资格评审标准</w:t>
            </w:r>
          </w:p>
        </w:tc>
        <w:tc>
          <w:tcPr>
            <w:tcW w:w="1772" w:type="dxa"/>
            <w:tcBorders>
              <w:top w:val="single" w:color="auto" w:sz="4" w:space="0"/>
              <w:left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资质条件</w:t>
            </w:r>
          </w:p>
        </w:tc>
        <w:tc>
          <w:tcPr>
            <w:tcW w:w="542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15" w:firstLineChars="15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竞选截止日竞选资格情况</w:t>
            </w:r>
          </w:p>
        </w:tc>
        <w:tc>
          <w:tcPr>
            <w:tcW w:w="542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15" w:firstLineChars="15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kern w:val="0"/>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kern w:val="0"/>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其他要求</w:t>
            </w:r>
          </w:p>
        </w:tc>
        <w:tc>
          <w:tcPr>
            <w:tcW w:w="5420"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15" w:firstLineChars="15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2.1.3</w:t>
            </w:r>
          </w:p>
        </w:tc>
        <w:tc>
          <w:tcPr>
            <w:tcW w:w="1024"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80" w:lineRule="exact"/>
              <w:ind w:left="113" w:right="113"/>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highlight w:val="none"/>
              </w:rPr>
              <w:t>响应性评审标准</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竞选报价</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315" w:firstLineChars="1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竞选报价不得高于比选人公布的报价</w:t>
            </w:r>
            <w:r>
              <w:rPr>
                <w:rFonts w:hint="eastAsia" w:asciiTheme="minorEastAsia" w:hAnsiTheme="minorEastAsia" w:eastAsiaTheme="minorEastAsia"/>
                <w:color w:val="auto"/>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竞选内容</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315" w:firstLineChars="1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服务期限</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315" w:firstLineChars="1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质量要求</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315" w:firstLineChars="1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竞选有效期</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315" w:firstLineChars="1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szCs w:val="21"/>
                <w:highlight w:val="none"/>
              </w:rPr>
              <w:t>竞选保证金</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315" w:firstLineChars="1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符合第二章“竞选人须知前附表”相关规定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权利义务</w:t>
            </w:r>
          </w:p>
        </w:tc>
        <w:tc>
          <w:tcPr>
            <w:tcW w:w="5420" w:type="dxa"/>
            <w:tcBorders>
              <w:top w:val="single" w:color="auto" w:sz="4" w:space="0"/>
              <w:left w:val="single" w:color="auto" w:sz="4" w:space="0"/>
              <w:right w:val="single" w:color="auto" w:sz="4" w:space="0"/>
            </w:tcBorders>
            <w:vAlign w:val="center"/>
          </w:tcPr>
          <w:p>
            <w:pPr>
              <w:spacing w:before="120" w:beforeLines="50"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符合第四章“合同条款及格式”规定，竞选文件不应附有比选人不能接受的条件。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0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highlight w:val="none"/>
              </w:rPr>
            </w:pP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实质性要求</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80" w:lineRule="exact"/>
              <w:ind w:firstLine="420" w:firstLineChars="200"/>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涉嫌围标串标、弄虚作假等其他违反招竞选相关法律、法规行为的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2.2.1</w:t>
            </w:r>
          </w:p>
        </w:tc>
        <w:tc>
          <w:tcPr>
            <w:tcW w:w="2796" w:type="dxa"/>
            <w:gridSpan w:val="2"/>
            <w:tcBorders>
              <w:top w:val="single" w:color="auto" w:sz="4" w:space="0"/>
              <w:left w:val="single" w:color="auto" w:sz="4" w:space="0"/>
              <w:bottom w:val="single" w:color="auto" w:sz="4" w:space="0"/>
              <w:right w:val="single" w:color="auto" w:sz="4" w:space="0"/>
            </w:tcBorders>
            <w:vAlign w:val="center"/>
          </w:tcPr>
          <w:p>
            <w:pPr>
              <w:tabs>
                <w:tab w:val="left" w:pos="1875"/>
              </w:tabs>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分值构成 (总分1OO分)</w:t>
            </w:r>
          </w:p>
        </w:tc>
        <w:tc>
          <w:tcPr>
            <w:tcW w:w="5420" w:type="dxa"/>
            <w:tcBorders>
              <w:top w:val="single" w:color="auto" w:sz="4" w:space="0"/>
              <w:left w:val="single" w:color="auto" w:sz="4" w:space="0"/>
              <w:bottom w:val="single" w:color="auto" w:sz="4" w:space="0"/>
              <w:right w:val="single" w:color="auto" w:sz="4" w:space="0"/>
            </w:tcBorders>
          </w:tcPr>
          <w:p>
            <w:pPr>
              <w:snapToGrid w:val="0"/>
              <w:spacing w:line="380" w:lineRule="exact"/>
              <w:ind w:firstLine="630" w:firstLineChars="3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1. 竞选报价</w:t>
            </w:r>
            <w:r>
              <w:rPr>
                <w:rFonts w:hint="eastAsia" w:cs="宋体" w:asciiTheme="minorEastAsia" w:hAnsiTheme="minorEastAsia" w:eastAsiaTheme="minorEastAsia"/>
                <w:color w:val="auto"/>
                <w:kern w:val="0"/>
                <w:highlight w:val="none"/>
                <w:u w:val="single"/>
                <w:lang w:val="en-US" w:eastAsia="zh-CN"/>
              </w:rPr>
              <w:t>3</w:t>
            </w:r>
            <w:r>
              <w:rPr>
                <w:rFonts w:hint="eastAsia" w:cs="宋体" w:asciiTheme="minorEastAsia" w:hAnsiTheme="minorEastAsia" w:eastAsiaTheme="minorEastAsia"/>
                <w:color w:val="auto"/>
                <w:kern w:val="0"/>
                <w:highlight w:val="none"/>
                <w:u w:val="single"/>
              </w:rPr>
              <w:t>0分</w:t>
            </w:r>
          </w:p>
          <w:p>
            <w:pPr>
              <w:snapToGrid w:val="0"/>
              <w:spacing w:line="380" w:lineRule="exact"/>
              <w:ind w:firstLine="525" w:firstLineChars="25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 xml:space="preserve"> 2. </w:t>
            </w:r>
            <w:r>
              <w:rPr>
                <w:rFonts w:hint="eastAsia" w:cs="宋体" w:asciiTheme="minorEastAsia" w:hAnsiTheme="minorEastAsia" w:eastAsiaTheme="minorEastAsia"/>
                <w:color w:val="auto"/>
                <w:kern w:val="0"/>
                <w:highlight w:val="none"/>
                <w:lang w:eastAsia="zh-CN"/>
              </w:rPr>
              <w:t>服务</w:t>
            </w:r>
            <w:r>
              <w:rPr>
                <w:rFonts w:hint="eastAsia" w:cs="宋体" w:asciiTheme="minorEastAsia" w:hAnsiTheme="minorEastAsia" w:eastAsiaTheme="minorEastAsia"/>
                <w:color w:val="auto"/>
                <w:kern w:val="0"/>
                <w:highlight w:val="none"/>
              </w:rPr>
              <w:t>部分</w:t>
            </w:r>
            <w:r>
              <w:rPr>
                <w:rFonts w:hint="eastAsia" w:cs="宋体" w:asciiTheme="minorEastAsia" w:hAnsiTheme="minorEastAsia" w:eastAsiaTheme="minorEastAsia"/>
                <w:color w:val="auto"/>
                <w:kern w:val="0"/>
                <w:highlight w:val="none"/>
                <w:u w:val="single"/>
                <w:lang w:val="en-US" w:eastAsia="zh-CN"/>
              </w:rPr>
              <w:t>4</w:t>
            </w:r>
            <w:r>
              <w:rPr>
                <w:rFonts w:hint="eastAsia" w:cs="宋体" w:asciiTheme="minorEastAsia" w:hAnsiTheme="minorEastAsia" w:eastAsiaTheme="minorEastAsia"/>
                <w:color w:val="auto"/>
                <w:kern w:val="0"/>
                <w:highlight w:val="none"/>
                <w:u w:val="single"/>
              </w:rPr>
              <w:t>0</w:t>
            </w:r>
            <w:r>
              <w:rPr>
                <w:rFonts w:hint="eastAsia" w:cs="宋体" w:asciiTheme="minorEastAsia" w:hAnsiTheme="minorEastAsia" w:eastAsiaTheme="minorEastAsia"/>
                <w:color w:val="auto"/>
                <w:kern w:val="0"/>
                <w:highlight w:val="none"/>
              </w:rPr>
              <w:t xml:space="preserve">分 </w:t>
            </w:r>
          </w:p>
          <w:p>
            <w:pPr>
              <w:snapToGrid w:val="0"/>
              <w:spacing w:line="380" w:lineRule="exact"/>
              <w:ind w:firstLine="630" w:firstLineChars="3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3. 商务部分</w:t>
            </w:r>
            <w:r>
              <w:rPr>
                <w:rFonts w:hint="eastAsia" w:cs="宋体" w:asciiTheme="minorEastAsia" w:hAnsiTheme="minorEastAsia" w:eastAsiaTheme="minorEastAsia"/>
                <w:color w:val="auto"/>
                <w:kern w:val="0"/>
                <w:highlight w:val="none"/>
                <w:u w:val="single"/>
                <w:lang w:val="en-US" w:eastAsia="zh-CN"/>
              </w:rPr>
              <w:t>3</w:t>
            </w:r>
            <w:r>
              <w:rPr>
                <w:rFonts w:hint="eastAsia" w:cs="宋体" w:asciiTheme="minorEastAsia" w:hAnsiTheme="minorEastAsia" w:eastAsiaTheme="minorEastAsia"/>
                <w:color w:val="auto"/>
                <w:kern w:val="0"/>
                <w:highlight w:val="none"/>
                <w:u w:val="single"/>
              </w:rPr>
              <w:t>0</w:t>
            </w:r>
            <w:r>
              <w:rPr>
                <w:rFonts w:hint="eastAsia" w:cs="宋体" w:asciiTheme="minorEastAsia" w:hAnsiTheme="minorEastAsia" w:eastAsiaTheme="minorEastAsia"/>
                <w:color w:val="auto"/>
                <w:kern w:val="0"/>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2.2.2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评选基准价计算方法</w:t>
            </w:r>
          </w:p>
        </w:tc>
        <w:tc>
          <w:tcPr>
            <w:tcW w:w="1772" w:type="dxa"/>
            <w:tcBorders>
              <w:top w:val="single" w:color="auto" w:sz="4" w:space="0"/>
              <w:left w:val="single" w:color="auto" w:sz="4" w:space="0"/>
              <w:bottom w:val="single" w:color="auto" w:sz="4" w:space="0"/>
              <w:right w:val="single" w:color="auto" w:sz="4" w:space="0"/>
            </w:tcBorders>
            <w:textDirection w:val="tbRlV"/>
            <w:vAlign w:val="center"/>
          </w:tcPr>
          <w:p>
            <w:pPr>
              <w:spacing w:line="380" w:lineRule="exact"/>
              <w:ind w:left="113" w:right="113"/>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竞选总报价</w:t>
            </w:r>
          </w:p>
        </w:tc>
        <w:tc>
          <w:tcPr>
            <w:tcW w:w="5420" w:type="dxa"/>
            <w:tcBorders>
              <w:top w:val="single" w:color="auto" w:sz="4" w:space="0"/>
              <w:left w:val="single" w:color="auto" w:sz="4" w:space="0"/>
              <w:bottom w:val="single" w:color="auto" w:sz="4" w:space="0"/>
              <w:right w:val="single" w:color="auto" w:sz="4" w:space="0"/>
            </w:tcBorders>
          </w:tcPr>
          <w:p>
            <w:pPr>
              <w:snapToGrid w:val="0"/>
              <w:spacing w:line="380" w:lineRule="exact"/>
              <w:ind w:firstLine="525" w:firstLineChars="2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所有通过初步评审合格的竞选人（设有最高限价的，则竞选总报价高于最高限价的除外）的竞选总报价中去掉六分之一（不能整除的按小数点前整数取整，不足六家报价则不去掉）的最低价和相同家数的最高价后的算术平均值即为竞选总报价的评选基准价。</w:t>
            </w:r>
          </w:p>
          <w:p>
            <w:pPr>
              <w:snapToGrid w:val="0"/>
              <w:spacing w:line="380" w:lineRule="exact"/>
              <w:ind w:firstLine="525" w:firstLineChars="25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以上计算取小数点后两位，第三位四舍五入</w:t>
            </w:r>
          </w:p>
          <w:p>
            <w:pPr>
              <w:snapToGrid w:val="0"/>
              <w:spacing w:line="380" w:lineRule="exact"/>
              <w:ind w:firstLine="422" w:firstLineChars="20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b/>
                <w:color w:val="auto"/>
                <w:kern w:val="0"/>
                <w:szCs w:val="21"/>
                <w:highlight w:val="none"/>
              </w:rPr>
              <w:t>在评选基准价计算完成后（除算术性错误修正外），在后续的评审中不得再对其做出调整。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left="105" w:hanging="105" w:hangingChars="5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2.2.3</w:t>
            </w:r>
          </w:p>
          <w:p>
            <w:pPr>
              <w:snapToGrid w:val="0"/>
              <w:spacing w:line="380" w:lineRule="exact"/>
              <w:ind w:left="105" w:hanging="105" w:hangingChars="50"/>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竞选报价评分标准</w:t>
            </w: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210" w:firstLineChars="1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竞选总报价</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ind w:firstLine="1890" w:firstLineChars="9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u w:val="single"/>
                <w:lang w:val="en-US" w:eastAsia="zh-CN"/>
              </w:rPr>
              <w:t>30</w:t>
            </w:r>
            <w:r>
              <w:rPr>
                <w:rFonts w:hint="eastAsia" w:cs="宋体"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22" w:type="dxa"/>
            <w:vMerge w:val="restart"/>
            <w:tcBorders>
              <w:top w:val="single" w:color="auto" w:sz="4" w:space="0"/>
              <w:left w:val="single" w:color="auto" w:sz="4" w:space="0"/>
              <w:right w:val="single" w:color="auto" w:sz="4" w:space="0"/>
            </w:tcBorders>
            <w:vAlign w:val="center"/>
          </w:tcPr>
          <w:p>
            <w:pPr>
              <w:snapToGrid w:val="0"/>
              <w:spacing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2.2.3</w:t>
            </w:r>
          </w:p>
          <w:p>
            <w:pPr>
              <w:snapToGrid w:val="0"/>
              <w:spacing w:line="380" w:lineRule="exact"/>
              <w:ind w:left="105" w:hanging="105" w:hangingChars="50"/>
              <w:jc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highlight w:val="none"/>
              </w:rPr>
              <w:t>（2）</w:t>
            </w:r>
          </w:p>
          <w:p>
            <w:pPr>
              <w:snapToGrid w:val="0"/>
              <w:spacing w:line="380" w:lineRule="exact"/>
              <w:ind w:left="105" w:hanging="105" w:hangingChars="50"/>
              <w:jc w:val="center"/>
              <w:rPr>
                <w:rFonts w:cs="宋体" w:asciiTheme="minorEastAsia" w:hAnsiTheme="minorEastAsia" w:eastAsiaTheme="minorEastAsia"/>
                <w:color w:val="auto"/>
                <w:kern w:val="0"/>
                <w:szCs w:val="21"/>
                <w:highlight w:val="none"/>
              </w:rPr>
            </w:pPr>
          </w:p>
        </w:tc>
        <w:tc>
          <w:tcPr>
            <w:tcW w:w="1024" w:type="dxa"/>
            <w:vMerge w:val="restart"/>
            <w:tcBorders>
              <w:top w:val="single" w:color="auto" w:sz="4" w:space="0"/>
              <w:left w:val="single" w:color="auto" w:sz="4" w:space="0"/>
              <w:right w:val="single" w:color="auto" w:sz="4" w:space="0"/>
            </w:tcBorders>
            <w:vAlign w:val="center"/>
          </w:tcPr>
          <w:p>
            <w:pPr>
              <w:snapToGrid w:val="0"/>
              <w:spacing w:line="380" w:lineRule="exact"/>
              <w:jc w:val="center"/>
              <w:rPr>
                <w:rFonts w:hint="eastAsia" w:cs="宋体" w:asciiTheme="minorEastAsia" w:hAnsiTheme="minorEastAsia" w:eastAsiaTheme="minorEastAsia"/>
                <w:color w:val="auto"/>
                <w:kern w:val="0"/>
                <w:highlight w:val="red"/>
              </w:rPr>
            </w:pPr>
            <w:r>
              <w:rPr>
                <w:rFonts w:hint="eastAsia" w:cs="宋体" w:asciiTheme="minorEastAsia" w:hAnsiTheme="minorEastAsia" w:eastAsiaTheme="minorEastAsia"/>
                <w:color w:val="auto"/>
                <w:kern w:val="0"/>
                <w:highlight w:val="none"/>
                <w:lang w:eastAsia="zh-CN"/>
              </w:rPr>
              <w:t>服务</w:t>
            </w:r>
            <w:r>
              <w:rPr>
                <w:rFonts w:hint="eastAsia" w:cs="宋体" w:asciiTheme="minorEastAsia" w:hAnsiTheme="minorEastAsia" w:eastAsiaTheme="minorEastAsia"/>
                <w:color w:val="auto"/>
                <w:kern w:val="0"/>
                <w:highlight w:val="none"/>
              </w:rPr>
              <w:t>部分评分标准（</w:t>
            </w:r>
            <w:r>
              <w:rPr>
                <w:rFonts w:hint="eastAsia" w:cs="宋体" w:asciiTheme="minorEastAsia" w:hAnsiTheme="minorEastAsia" w:eastAsiaTheme="minorEastAsia"/>
                <w:color w:val="auto"/>
                <w:kern w:val="0"/>
                <w:highlight w:val="none"/>
                <w:lang w:val="en-US" w:eastAsia="zh-CN"/>
              </w:rPr>
              <w:t>40</w:t>
            </w:r>
            <w:r>
              <w:rPr>
                <w:rFonts w:hint="eastAsia" w:cs="宋体" w:asciiTheme="minorEastAsia" w:hAnsiTheme="minorEastAsia" w:eastAsiaTheme="minorEastAsia"/>
                <w:color w:val="auto"/>
                <w:kern w:val="0"/>
                <w:highlight w:val="none"/>
              </w:rPr>
              <w:t>分）</w:t>
            </w:r>
          </w:p>
        </w:tc>
        <w:tc>
          <w:tcPr>
            <w:tcW w:w="7192" w:type="dxa"/>
            <w:gridSpan w:val="2"/>
            <w:tcBorders>
              <w:top w:val="single" w:color="auto" w:sz="4" w:space="0"/>
              <w:left w:val="single" w:color="auto" w:sz="4" w:space="0"/>
              <w:bottom w:val="single" w:color="auto" w:sz="4" w:space="0"/>
              <w:right w:val="single" w:color="auto" w:sz="4" w:space="0"/>
            </w:tcBorders>
            <w:vAlign w:val="center"/>
          </w:tcPr>
          <w:p>
            <w:pPr>
              <w:pStyle w:val="2"/>
              <w:ind w:firstLine="420" w:firstLineChars="200"/>
              <w:jc w:val="both"/>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根据供应商对本项目的理解和认识深度。</w:t>
            </w:r>
          </w:p>
          <w:p>
            <w:pPr>
              <w:pStyle w:val="2"/>
              <w:ind w:firstLine="420" w:firstLineChars="200"/>
              <w:jc w:val="both"/>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优秀得15-10（含）分，一般得10-5（含）分，差得5-0（含）分。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822" w:type="dxa"/>
            <w:vMerge w:val="continue"/>
            <w:tcBorders>
              <w:left w:val="single" w:color="auto" w:sz="4" w:space="0"/>
              <w:right w:val="single" w:color="auto" w:sz="4" w:space="0"/>
            </w:tcBorders>
            <w:vAlign w:val="center"/>
          </w:tcPr>
          <w:p>
            <w:pPr>
              <w:snapToGrid w:val="0"/>
              <w:spacing w:line="380" w:lineRule="exact"/>
              <w:jc w:val="left"/>
              <w:rPr>
                <w:color w:val="auto"/>
              </w:rPr>
            </w:pPr>
          </w:p>
        </w:tc>
        <w:tc>
          <w:tcPr>
            <w:tcW w:w="1024" w:type="dxa"/>
            <w:vMerge w:val="continue"/>
            <w:tcBorders>
              <w:left w:val="single" w:color="auto" w:sz="4" w:space="0"/>
              <w:right w:val="single" w:color="auto" w:sz="4" w:space="0"/>
            </w:tcBorders>
            <w:vAlign w:val="center"/>
          </w:tcPr>
          <w:p>
            <w:pPr>
              <w:snapToGrid w:val="0"/>
              <w:spacing w:line="380" w:lineRule="exact"/>
              <w:jc w:val="left"/>
              <w:rPr>
                <w:color w:val="auto"/>
                <w:highlight w:val="red"/>
              </w:rPr>
            </w:pPr>
          </w:p>
        </w:tc>
        <w:tc>
          <w:tcPr>
            <w:tcW w:w="7192" w:type="dxa"/>
            <w:gridSpan w:val="2"/>
            <w:tcBorders>
              <w:top w:val="single" w:color="auto" w:sz="4" w:space="0"/>
              <w:left w:val="single" w:color="auto" w:sz="4" w:space="0"/>
              <w:bottom w:val="single" w:color="auto" w:sz="4" w:space="0"/>
              <w:right w:val="single" w:color="auto" w:sz="4" w:space="0"/>
            </w:tcBorders>
            <w:vAlign w:val="center"/>
          </w:tcPr>
          <w:p>
            <w:pPr>
              <w:pStyle w:val="2"/>
              <w:ind w:firstLine="420" w:firstLineChars="200"/>
              <w:jc w:val="both"/>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根据供应商所提供的针对本项目的工作进度计划与安排及保证措施进行评分。</w:t>
            </w:r>
          </w:p>
          <w:p>
            <w:pPr>
              <w:pStyle w:val="2"/>
              <w:ind w:firstLine="420" w:firstLineChars="200"/>
              <w:jc w:val="both"/>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优秀得15-10（含）分，一般得10-5（含）分，差得5-0（含）分。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trPr>
        <w:tc>
          <w:tcPr>
            <w:tcW w:w="822" w:type="dxa"/>
            <w:vMerge w:val="continue"/>
            <w:tcBorders>
              <w:left w:val="single" w:color="auto" w:sz="4" w:space="0"/>
              <w:right w:val="single" w:color="auto" w:sz="4" w:space="0"/>
            </w:tcBorders>
            <w:vAlign w:val="center"/>
          </w:tcPr>
          <w:p>
            <w:pPr>
              <w:snapToGrid w:val="0"/>
              <w:spacing w:line="380" w:lineRule="exact"/>
              <w:jc w:val="center"/>
              <w:rPr>
                <w:color w:val="auto"/>
              </w:rPr>
            </w:pPr>
          </w:p>
        </w:tc>
        <w:tc>
          <w:tcPr>
            <w:tcW w:w="1024" w:type="dxa"/>
            <w:vMerge w:val="continue"/>
            <w:tcBorders>
              <w:left w:val="single" w:color="auto" w:sz="4" w:space="0"/>
              <w:right w:val="single" w:color="auto" w:sz="4" w:space="0"/>
            </w:tcBorders>
            <w:vAlign w:val="center"/>
          </w:tcPr>
          <w:p>
            <w:pPr>
              <w:snapToGrid w:val="0"/>
              <w:spacing w:line="380" w:lineRule="exact"/>
              <w:jc w:val="center"/>
              <w:rPr>
                <w:color w:val="auto"/>
              </w:rPr>
            </w:pPr>
          </w:p>
        </w:tc>
        <w:tc>
          <w:tcPr>
            <w:tcW w:w="7192" w:type="dxa"/>
            <w:gridSpan w:val="2"/>
            <w:tcBorders>
              <w:top w:val="single" w:color="auto" w:sz="4" w:space="0"/>
              <w:left w:val="single" w:color="auto" w:sz="4" w:space="0"/>
              <w:bottom w:val="single" w:color="auto" w:sz="4" w:space="0"/>
              <w:right w:val="single" w:color="auto" w:sz="4" w:space="0"/>
            </w:tcBorders>
            <w:vAlign w:val="center"/>
          </w:tcPr>
          <w:p>
            <w:pPr>
              <w:pStyle w:val="2"/>
              <w:ind w:firstLine="420" w:firstLineChars="200"/>
              <w:jc w:val="both"/>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根据供应商所提供的针对本项目的工作质量保证措施进行评分。</w:t>
            </w:r>
          </w:p>
          <w:p>
            <w:pPr>
              <w:pStyle w:val="2"/>
              <w:ind w:firstLine="420" w:firstLineChars="200"/>
              <w:jc w:val="both"/>
              <w:rPr>
                <w:rFonts w:hint="eastAsia" w:cs="宋体" w:asciiTheme="minorEastAsia" w:hAnsiTheme="minorEastAsia" w:eastAsiaTheme="minorEastAsia"/>
                <w:color w:val="auto"/>
                <w:kern w:val="0"/>
                <w:highlight w:val="none"/>
                <w:lang w:val="en-US" w:eastAsia="zh-Hans"/>
              </w:rPr>
            </w:pPr>
            <w:r>
              <w:rPr>
                <w:rFonts w:hint="eastAsia" w:cs="宋体" w:asciiTheme="minorEastAsia" w:hAnsiTheme="minorEastAsia" w:eastAsiaTheme="minorEastAsia"/>
                <w:color w:val="auto"/>
                <w:kern w:val="0"/>
                <w:highlight w:val="none"/>
                <w:lang w:val="en-US" w:eastAsia="zh-CN"/>
              </w:rPr>
              <w:t>优秀得10-7（含）分，一般得7-4（含）分，差得4-0（含）分。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trPr>
        <w:tc>
          <w:tcPr>
            <w:tcW w:w="822" w:type="dxa"/>
            <w:vMerge w:val="restart"/>
            <w:tcBorders>
              <w:top w:val="single" w:color="auto" w:sz="4" w:space="0"/>
              <w:left w:val="single" w:color="auto" w:sz="4" w:space="0"/>
              <w:right w:val="single" w:color="auto" w:sz="4" w:space="0"/>
            </w:tcBorders>
            <w:vAlign w:val="center"/>
          </w:tcPr>
          <w:p>
            <w:pPr>
              <w:snapToGrid w:val="0"/>
              <w:spacing w:line="380" w:lineRule="exact"/>
              <w:rPr>
                <w:rFonts w:asciiTheme="minorEastAsia" w:hAnsiTheme="minorEastAsia" w:eastAsiaTheme="minorEastAsia"/>
                <w:color w:val="auto"/>
                <w:highlight w:val="none"/>
              </w:rPr>
            </w:pPr>
          </w:p>
          <w:p>
            <w:pPr>
              <w:snapToGrid w:val="0"/>
              <w:spacing w:line="38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2.2.3</w:t>
            </w:r>
          </w:p>
          <w:p>
            <w:pPr>
              <w:snapToGrid w:val="0"/>
              <w:spacing w:line="380" w:lineRule="exact"/>
              <w:ind w:left="105" w:hanging="105" w:hangingChars="50"/>
              <w:jc w:val="center"/>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highlight w:val="none"/>
              </w:rPr>
              <w:t>（3）</w:t>
            </w:r>
          </w:p>
          <w:p>
            <w:pPr>
              <w:widowControl/>
              <w:spacing w:line="380" w:lineRule="exact"/>
              <w:jc w:val="left"/>
              <w:rPr>
                <w:rFonts w:cs="宋体" w:asciiTheme="minorEastAsia" w:hAnsiTheme="minorEastAsia" w:eastAsiaTheme="minorEastAsia"/>
                <w:color w:val="auto"/>
                <w:kern w:val="0"/>
                <w:szCs w:val="21"/>
                <w:highlight w:val="none"/>
              </w:rPr>
            </w:pPr>
          </w:p>
        </w:tc>
        <w:tc>
          <w:tcPr>
            <w:tcW w:w="1024" w:type="dxa"/>
            <w:vMerge w:val="restart"/>
            <w:tcBorders>
              <w:top w:val="single" w:color="auto" w:sz="4" w:space="0"/>
              <w:left w:val="single" w:color="auto" w:sz="4" w:space="0"/>
              <w:right w:val="single" w:color="auto" w:sz="4" w:space="0"/>
            </w:tcBorders>
            <w:vAlign w:val="center"/>
          </w:tcPr>
          <w:p>
            <w:pPr>
              <w:snapToGrid w:val="0"/>
              <w:spacing w:line="380" w:lineRule="exact"/>
              <w:jc w:val="center"/>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商务部分评分标准（</w:t>
            </w:r>
            <w:r>
              <w:rPr>
                <w:rFonts w:hint="eastAsia" w:cs="宋体" w:asciiTheme="minorEastAsia" w:hAnsiTheme="minorEastAsia" w:eastAsiaTheme="minorEastAsia"/>
                <w:color w:val="auto"/>
                <w:kern w:val="0"/>
                <w:highlight w:val="none"/>
                <w:lang w:val="en-US" w:eastAsia="zh-CN"/>
              </w:rPr>
              <w:t>30</w:t>
            </w:r>
            <w:r>
              <w:rPr>
                <w:rFonts w:hint="eastAsia" w:cs="宋体" w:asciiTheme="minorEastAsia" w:hAnsiTheme="minorEastAsia" w:eastAsiaTheme="minorEastAsia"/>
                <w:color w:val="auto"/>
                <w:kern w:val="0"/>
                <w:highlight w:val="none"/>
              </w:rPr>
              <w:t>分）</w:t>
            </w:r>
          </w:p>
        </w:tc>
        <w:tc>
          <w:tcPr>
            <w:tcW w:w="1772" w:type="dxa"/>
            <w:tcBorders>
              <w:top w:val="single" w:color="auto" w:sz="4" w:space="0"/>
              <w:left w:val="single" w:color="auto" w:sz="4" w:space="0"/>
              <w:right w:val="single" w:color="auto" w:sz="4" w:space="0"/>
            </w:tcBorders>
            <w:vAlign w:val="center"/>
          </w:tcPr>
          <w:p>
            <w:pPr>
              <w:pStyle w:val="2"/>
              <w:ind w:firstLine="420" w:firstLineChars="200"/>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类似业绩</w:t>
            </w:r>
          </w:p>
          <w:p>
            <w:pPr>
              <w:pStyle w:val="2"/>
              <w:ind w:firstLine="420" w:firstLineChars="200"/>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（10分）</w:t>
            </w:r>
          </w:p>
        </w:tc>
        <w:tc>
          <w:tcPr>
            <w:tcW w:w="5420" w:type="dxa"/>
            <w:tcBorders>
              <w:top w:val="single" w:color="auto" w:sz="4" w:space="0"/>
              <w:left w:val="single" w:color="auto" w:sz="4" w:space="0"/>
              <w:bottom w:val="single" w:color="auto" w:sz="4" w:space="0"/>
              <w:right w:val="single" w:color="auto" w:sz="4" w:space="0"/>
            </w:tcBorders>
            <w:vAlign w:val="center"/>
          </w:tcPr>
          <w:p>
            <w:pPr>
              <w:pStyle w:val="2"/>
              <w:ind w:firstLine="420" w:firstLineChars="200"/>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Hans"/>
              </w:rPr>
              <w:t>20</w:t>
            </w:r>
            <w:r>
              <w:rPr>
                <w:rFonts w:hint="eastAsia" w:cs="宋体" w:asciiTheme="minorEastAsia" w:hAnsiTheme="minorEastAsia" w:eastAsiaTheme="minorEastAsia"/>
                <w:color w:val="auto"/>
                <w:kern w:val="0"/>
                <w:highlight w:val="none"/>
                <w:lang w:val="en-US" w:eastAsia="zh-CN"/>
              </w:rPr>
              <w:t>20</w:t>
            </w:r>
            <w:r>
              <w:rPr>
                <w:rFonts w:hint="eastAsia" w:cs="宋体" w:asciiTheme="minorEastAsia" w:hAnsiTheme="minorEastAsia" w:eastAsiaTheme="minorEastAsia"/>
                <w:color w:val="auto"/>
                <w:kern w:val="0"/>
                <w:highlight w:val="none"/>
                <w:lang w:val="en-US" w:eastAsia="zh-Hans"/>
              </w:rPr>
              <w:t>年1月1日至今，</w:t>
            </w:r>
            <w:r>
              <w:rPr>
                <w:rFonts w:hint="eastAsia" w:cs="宋体" w:asciiTheme="minorEastAsia" w:hAnsiTheme="minorEastAsia" w:eastAsiaTheme="minorEastAsia"/>
                <w:color w:val="auto"/>
                <w:kern w:val="0"/>
                <w:highlight w:val="none"/>
                <w:lang w:val="en-US" w:eastAsia="zh-CN"/>
              </w:rPr>
              <w:t>竞选人为</w:t>
            </w:r>
            <w:r>
              <w:rPr>
                <w:rFonts w:hint="eastAsia" w:cs="宋体" w:asciiTheme="minorEastAsia" w:hAnsiTheme="minorEastAsia" w:eastAsiaTheme="minorEastAsia"/>
                <w:color w:val="auto"/>
                <w:kern w:val="0"/>
                <w:highlight w:val="none"/>
                <w:lang w:val="en-US" w:eastAsia="zh-Hans"/>
              </w:rPr>
              <w:t>国家机关</w:t>
            </w:r>
            <w:r>
              <w:rPr>
                <w:rFonts w:hint="eastAsia" w:cs="宋体" w:asciiTheme="minorEastAsia" w:hAnsiTheme="minorEastAsia" w:eastAsiaTheme="minorEastAsia"/>
                <w:color w:val="auto"/>
                <w:kern w:val="0"/>
                <w:highlight w:val="none"/>
                <w:lang w:val="en-US" w:eastAsia="zh-CN"/>
              </w:rPr>
              <w:t>或</w:t>
            </w:r>
            <w:r>
              <w:rPr>
                <w:rFonts w:hint="eastAsia" w:cs="宋体" w:asciiTheme="minorEastAsia" w:hAnsiTheme="minorEastAsia" w:eastAsiaTheme="minorEastAsia"/>
                <w:color w:val="auto"/>
                <w:kern w:val="0"/>
                <w:highlight w:val="none"/>
                <w:lang w:val="en-US" w:eastAsia="zh-Hans"/>
              </w:rPr>
              <w:t>事业</w:t>
            </w:r>
            <w:r>
              <w:rPr>
                <w:rFonts w:hint="eastAsia" w:cs="宋体" w:asciiTheme="minorEastAsia" w:hAnsiTheme="minorEastAsia" w:eastAsiaTheme="minorEastAsia"/>
                <w:color w:val="auto"/>
                <w:kern w:val="0"/>
                <w:highlight w:val="none"/>
                <w:lang w:val="en-US" w:eastAsia="zh-CN"/>
              </w:rPr>
              <w:t>单位或国有企业提</w:t>
            </w:r>
            <w:r>
              <w:rPr>
                <w:rFonts w:hint="eastAsia" w:cs="宋体" w:asciiTheme="minorEastAsia" w:hAnsiTheme="minorEastAsia" w:eastAsiaTheme="minorEastAsia"/>
                <w:color w:val="auto"/>
                <w:kern w:val="0"/>
                <w:highlight w:val="none"/>
                <w:lang w:val="en-US" w:eastAsia="zh-Hans"/>
              </w:rPr>
              <w:t>供过</w:t>
            </w:r>
            <w:r>
              <w:rPr>
                <w:rFonts w:hint="eastAsia" w:cs="宋体" w:asciiTheme="minorEastAsia" w:hAnsiTheme="minorEastAsia" w:eastAsiaTheme="minorEastAsia"/>
                <w:color w:val="auto"/>
                <w:kern w:val="0"/>
                <w:highlight w:val="none"/>
                <w:lang w:val="en-US" w:eastAsia="zh-CN"/>
              </w:rPr>
              <w:t>合同纠纷</w:t>
            </w:r>
            <w:r>
              <w:rPr>
                <w:rFonts w:hint="eastAsia" w:cs="宋体" w:asciiTheme="minorEastAsia" w:hAnsiTheme="minorEastAsia" w:eastAsiaTheme="minorEastAsia"/>
                <w:color w:val="auto"/>
                <w:kern w:val="0"/>
                <w:highlight w:val="none"/>
                <w:lang w:val="en-US" w:eastAsia="zh-Hans"/>
              </w:rPr>
              <w:t>法律服务</w:t>
            </w:r>
            <w:r>
              <w:rPr>
                <w:rFonts w:hint="eastAsia" w:cs="宋体" w:asciiTheme="minorEastAsia" w:hAnsiTheme="minorEastAsia" w:eastAsiaTheme="minorEastAsia"/>
                <w:color w:val="auto"/>
                <w:kern w:val="0"/>
                <w:highlight w:val="none"/>
                <w:lang w:val="en-US" w:eastAsia="zh-CN"/>
              </w:rPr>
              <w:t>的</w:t>
            </w:r>
            <w:r>
              <w:rPr>
                <w:rFonts w:hint="eastAsia" w:cs="宋体" w:asciiTheme="minorEastAsia" w:hAnsiTheme="minorEastAsia" w:eastAsiaTheme="minorEastAsia"/>
                <w:color w:val="auto"/>
                <w:kern w:val="0"/>
                <w:highlight w:val="none"/>
                <w:lang w:val="en-US" w:eastAsia="zh-Hans"/>
              </w:rPr>
              <w:t>，</w:t>
            </w:r>
            <w:r>
              <w:rPr>
                <w:rFonts w:hint="eastAsia" w:cs="宋体" w:asciiTheme="minorEastAsia" w:hAnsiTheme="minorEastAsia" w:eastAsiaTheme="minorEastAsia"/>
                <w:color w:val="auto"/>
                <w:kern w:val="0"/>
                <w:highlight w:val="none"/>
                <w:lang w:val="en-US" w:eastAsia="zh-CN"/>
              </w:rPr>
              <w:t>每有一个得2分，此项最多得10分。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trPr>
        <w:tc>
          <w:tcPr>
            <w:tcW w:w="822" w:type="dxa"/>
            <w:vMerge w:val="continue"/>
            <w:tcBorders>
              <w:left w:val="single" w:color="auto" w:sz="4" w:space="0"/>
              <w:right w:val="single" w:color="auto" w:sz="4" w:space="0"/>
            </w:tcBorders>
            <w:vAlign w:val="center"/>
          </w:tcPr>
          <w:p>
            <w:pPr>
              <w:widowControl/>
              <w:spacing w:line="380" w:lineRule="exact"/>
              <w:jc w:val="left"/>
              <w:rPr>
                <w:rFonts w:cs="宋体" w:asciiTheme="minorEastAsia" w:hAnsiTheme="minorEastAsia" w:eastAsiaTheme="minorEastAsia"/>
                <w:color w:val="auto"/>
                <w:kern w:val="0"/>
                <w:szCs w:val="21"/>
                <w:highlight w:val="none"/>
              </w:rPr>
            </w:pPr>
          </w:p>
        </w:tc>
        <w:tc>
          <w:tcPr>
            <w:tcW w:w="1024" w:type="dxa"/>
            <w:vMerge w:val="continue"/>
            <w:tcBorders>
              <w:left w:val="single" w:color="auto" w:sz="4" w:space="0"/>
              <w:right w:val="single" w:color="auto" w:sz="4" w:space="0"/>
            </w:tcBorders>
            <w:vAlign w:val="center"/>
          </w:tcPr>
          <w:p>
            <w:pPr>
              <w:snapToGrid w:val="0"/>
              <w:spacing w:line="380" w:lineRule="exact"/>
              <w:jc w:val="center"/>
              <w:rPr>
                <w:rFonts w:hint="eastAsia" w:cs="宋体" w:asciiTheme="minorEastAsia" w:hAnsiTheme="minorEastAsia" w:eastAsiaTheme="minorEastAsia"/>
                <w:color w:val="auto"/>
                <w:kern w:val="0"/>
                <w:highlight w:val="none"/>
              </w:rPr>
            </w:pPr>
          </w:p>
        </w:tc>
        <w:tc>
          <w:tcPr>
            <w:tcW w:w="177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团队服务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（20分）</w:t>
            </w:r>
          </w:p>
        </w:tc>
        <w:tc>
          <w:tcPr>
            <w:tcW w:w="5420" w:type="dxa"/>
            <w:tcBorders>
              <w:top w:val="single" w:color="auto" w:sz="4" w:space="0"/>
              <w:left w:val="single" w:color="auto" w:sz="4" w:space="0"/>
              <w:bottom w:val="single" w:color="auto" w:sz="4" w:space="0"/>
              <w:right w:val="single" w:color="auto" w:sz="4" w:space="0"/>
            </w:tcBorders>
            <w:vAlign w:val="center"/>
          </w:tcPr>
          <w:p>
            <w:pPr>
              <w:pStyle w:val="2"/>
              <w:ind w:firstLine="420" w:firstLineChars="200"/>
              <w:rPr>
                <w:rFonts w:hint="eastAsia" w:cs="宋体" w:asciiTheme="minorEastAsia" w:hAnsiTheme="minorEastAsia" w:eastAsiaTheme="minorEastAsia"/>
                <w:color w:val="auto"/>
                <w:kern w:val="0"/>
                <w:highlight w:val="none"/>
                <w:lang w:val="en-US" w:eastAsia="zh-CN"/>
              </w:rPr>
            </w:pPr>
            <w:r>
              <w:rPr>
                <w:rFonts w:hint="eastAsia" w:cs="宋体" w:asciiTheme="minorEastAsia" w:hAnsiTheme="minorEastAsia" w:eastAsiaTheme="minorEastAsia"/>
                <w:color w:val="auto"/>
                <w:kern w:val="0"/>
                <w:highlight w:val="none"/>
                <w:lang w:val="en-US" w:eastAsia="zh-CN"/>
              </w:rPr>
              <w:t>具有代理1000万元以上的合同纠纷诉讼或仲裁并取得的成功案例，每提供1个得3分，满分15分。</w:t>
            </w:r>
          </w:p>
          <w:p>
            <w:pPr>
              <w:pStyle w:val="2"/>
              <w:ind w:firstLine="420" w:firstLineChars="200"/>
              <w:rPr>
                <w:rFonts w:hint="eastAsia" w:cs="宋体" w:asciiTheme="minorEastAsia" w:hAnsiTheme="minorEastAsia" w:eastAsiaTheme="minorEastAsia"/>
                <w:color w:val="auto"/>
                <w:kern w:val="0"/>
                <w:highlight w:val="none"/>
                <w:lang w:val="en-US" w:eastAsia="zh-Hans"/>
              </w:rPr>
            </w:pPr>
            <w:r>
              <w:rPr>
                <w:rFonts w:hint="eastAsia" w:cs="宋体" w:asciiTheme="minorEastAsia" w:hAnsiTheme="minorEastAsia" w:eastAsiaTheme="minorEastAsia"/>
                <w:color w:val="auto"/>
                <w:kern w:val="0"/>
                <w:highlight w:val="none"/>
                <w:lang w:val="en-US" w:eastAsia="zh-CN"/>
              </w:rPr>
              <w:t>律所或律师近三年获得一个司法行政机关或重庆市律协的荣誉称号，的2.5分，最多5分。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3</w:t>
            </w:r>
          </w:p>
        </w:tc>
        <w:tc>
          <w:tcPr>
            <w:tcW w:w="1024" w:type="dxa"/>
            <w:tcBorders>
              <w:top w:val="single" w:color="auto" w:sz="4" w:space="0"/>
              <w:left w:val="single" w:color="auto" w:sz="4" w:space="0"/>
              <w:bottom w:val="single" w:color="auto" w:sz="4" w:space="0"/>
              <w:right w:val="single" w:color="auto" w:sz="4" w:space="0"/>
            </w:tcBorders>
            <w:textDirection w:val="tbRlV"/>
            <w:vAlign w:val="center"/>
          </w:tcPr>
          <w:p>
            <w:pPr>
              <w:spacing w:line="380" w:lineRule="exact"/>
              <w:ind w:left="113" w:right="113"/>
              <w:rPr>
                <w:rFonts w:cs="宋体" w:asciiTheme="minorEastAsia" w:hAnsiTheme="minorEastAsia" w:eastAsiaTheme="minorEastAsia"/>
                <w:color w:val="auto"/>
                <w:kern w:val="0"/>
                <w:highlight w:val="none"/>
              </w:rPr>
            </w:pPr>
          </w:p>
          <w:p>
            <w:pPr>
              <w:spacing w:line="380" w:lineRule="exact"/>
              <w:ind w:left="113" w:right="113"/>
              <w:jc w:val="center"/>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评选程序</w:t>
            </w:r>
          </w:p>
        </w:tc>
        <w:tc>
          <w:tcPr>
            <w:tcW w:w="7192" w:type="dxa"/>
            <w:gridSpan w:val="2"/>
            <w:tcBorders>
              <w:top w:val="single" w:color="auto" w:sz="4" w:space="0"/>
              <w:left w:val="single" w:color="auto" w:sz="4" w:space="0"/>
              <w:bottom w:val="single" w:color="auto" w:sz="4" w:space="0"/>
              <w:right w:val="single" w:color="auto" w:sz="4" w:space="0"/>
            </w:tcBorders>
          </w:tcPr>
          <w:p>
            <w:pPr>
              <w:snapToGrid w:val="0"/>
              <w:spacing w:line="38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1.评选委员会对所有竞选人的竞选文件按本章评选办法第3.1款进行初步评审（初步评审不合格的竞选人不参与后续评审及评选基准价的计算），并按照本章2.2.2项计算方法计算评选基准价。</w:t>
            </w:r>
          </w:p>
          <w:p>
            <w:pPr>
              <w:snapToGrid w:val="0"/>
              <w:spacing w:line="38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评选委员会对通过初步评审的竞选人的竞选文件按本章评选办法第2.2.1-2.2.3款规定的程序进行详细评审，并按本章2.2.3（1）、2.2.3（2）、2.2.3（3）款规定的评分标准，确定得分最高的前三名竞选人（按得分由高到低排序）为中选候选人。</w:t>
            </w:r>
          </w:p>
          <w:p>
            <w:pPr>
              <w:spacing w:line="38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3.如经过对所有竞选人的竞选文件进行评审，有效竞选不足三个使得竞选明显缺乏竞争的，评选委员会可以否决全部竞选。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3.2.1（1）</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竞选</w:t>
            </w:r>
          </w:p>
          <w:p>
            <w:pPr>
              <w:spacing w:line="380" w:lineRule="exact"/>
              <w:jc w:val="center"/>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报价</w:t>
            </w:r>
            <w:r>
              <w:rPr>
                <w:rFonts w:hint="eastAsia" w:cs="宋体" w:asciiTheme="minorEastAsia" w:hAnsiTheme="minorEastAsia" w:eastAsiaTheme="minorEastAsia"/>
                <w:color w:val="auto"/>
                <w:kern w:val="0"/>
                <w:highlight w:val="none"/>
              </w:rPr>
              <w:t>得分</w:t>
            </w:r>
            <w:r>
              <w:rPr>
                <w:rFonts w:hint="eastAsia" w:asciiTheme="minorEastAsia" w:hAnsiTheme="minorEastAsia" w:eastAsiaTheme="minorEastAsia"/>
                <w:color w:val="auto"/>
                <w:highlight w:val="none"/>
              </w:rPr>
              <w:t>（A）</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竞选总报价</w:t>
            </w:r>
          </w:p>
        </w:tc>
        <w:tc>
          <w:tcPr>
            <w:tcW w:w="5420" w:type="dxa"/>
            <w:tcBorders>
              <w:top w:val="single" w:color="auto" w:sz="4" w:space="0"/>
              <w:left w:val="single" w:color="auto" w:sz="4" w:space="0"/>
              <w:bottom w:val="single" w:color="auto" w:sz="4" w:space="0"/>
              <w:right w:val="single" w:color="auto" w:sz="4" w:space="0"/>
            </w:tcBorders>
            <w:vAlign w:val="center"/>
          </w:tcPr>
          <w:p>
            <w:pPr>
              <w:spacing w:before="120" w:beforeLines="50" w:line="380" w:lineRule="exact"/>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szCs w:val="21"/>
                <w:highlight w:val="none"/>
              </w:rPr>
              <w:t>所有通过初步评审合格的竞选人的竞选报价先得满分</w:t>
            </w:r>
            <w:r>
              <w:rPr>
                <w:rFonts w:hint="eastAsia" w:cs="宋体" w:asciiTheme="minorEastAsia" w:hAnsiTheme="minorEastAsia" w:eastAsiaTheme="minorEastAsia"/>
                <w:color w:val="auto"/>
                <w:kern w:val="0"/>
                <w:szCs w:val="21"/>
                <w:highlight w:val="none"/>
                <w:lang w:val="en-US" w:eastAsia="zh-CN"/>
              </w:rPr>
              <w:t>3</w:t>
            </w:r>
            <w:r>
              <w:rPr>
                <w:rFonts w:hint="eastAsia" w:cs="宋体" w:asciiTheme="minorEastAsia" w:hAnsiTheme="minorEastAsia" w:eastAsiaTheme="minorEastAsia"/>
                <w:color w:val="auto"/>
                <w:kern w:val="0"/>
                <w:szCs w:val="21"/>
                <w:highlight w:val="none"/>
              </w:rPr>
              <w:t>0分，在此基础上，</w:t>
            </w:r>
            <w:r>
              <w:rPr>
                <w:rFonts w:hint="eastAsia" w:cs="宋体" w:asciiTheme="minorEastAsia" w:hAnsiTheme="minorEastAsia" w:eastAsiaTheme="minorEastAsia"/>
                <w:color w:val="auto"/>
                <w:kern w:val="0"/>
                <w:highlight w:val="none"/>
              </w:rPr>
              <w:t>所有初步评审合格的竞选人的竞选报价与评选基准价相比，每增加1%，扣</w:t>
            </w:r>
            <w:r>
              <w:rPr>
                <w:rFonts w:hint="eastAsia" w:cs="宋体" w:asciiTheme="minorEastAsia" w:hAnsiTheme="minorEastAsia" w:eastAsiaTheme="minorEastAsia"/>
                <w:color w:val="auto"/>
                <w:kern w:val="0"/>
                <w:highlight w:val="none"/>
                <w:u w:val="single"/>
              </w:rPr>
              <w:t>0.2</w:t>
            </w:r>
            <w:r>
              <w:rPr>
                <w:rFonts w:hint="eastAsia" w:cs="宋体" w:asciiTheme="minorEastAsia" w:hAnsiTheme="minorEastAsia" w:eastAsiaTheme="minorEastAsia"/>
                <w:color w:val="auto"/>
                <w:kern w:val="0"/>
                <w:highlight w:val="none"/>
              </w:rPr>
              <w:t>分；每降低1%，扣</w:t>
            </w:r>
            <w:r>
              <w:rPr>
                <w:rFonts w:hint="eastAsia" w:cs="宋体" w:asciiTheme="minorEastAsia" w:hAnsiTheme="minorEastAsia" w:eastAsiaTheme="minorEastAsia"/>
                <w:color w:val="auto"/>
                <w:kern w:val="0"/>
                <w:highlight w:val="none"/>
                <w:u w:val="single"/>
              </w:rPr>
              <w:t>0.1</w:t>
            </w:r>
            <w:r>
              <w:rPr>
                <w:rFonts w:hint="eastAsia" w:cs="宋体" w:asciiTheme="minorEastAsia" w:hAnsiTheme="minorEastAsia" w:eastAsiaTheme="minorEastAsia"/>
                <w:color w:val="auto"/>
                <w:kern w:val="0"/>
                <w:highlight w:val="none"/>
              </w:rPr>
              <w:t>分，扣完为止。</w:t>
            </w:r>
          </w:p>
          <w:p>
            <w:pPr>
              <w:spacing w:line="380" w:lineRule="exact"/>
              <w:ind w:firstLine="420" w:firstLineChars="2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3.2.1</w:t>
            </w:r>
          </w:p>
          <w:p>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技术部分</w:t>
            </w:r>
            <w:r>
              <w:rPr>
                <w:rFonts w:hint="eastAsia" w:cs="宋体" w:asciiTheme="minorEastAsia" w:hAnsiTheme="minorEastAsia" w:eastAsiaTheme="minorEastAsia"/>
                <w:color w:val="auto"/>
                <w:kern w:val="0"/>
                <w:highlight w:val="none"/>
              </w:rPr>
              <w:t>得分</w:t>
            </w:r>
            <w:r>
              <w:rPr>
                <w:rFonts w:hint="eastAsia" w:asciiTheme="minorEastAsia" w:hAnsiTheme="minorEastAsia" w:eastAsiaTheme="minorEastAsia"/>
                <w:color w:val="auto"/>
                <w:highlight w:val="none"/>
              </w:rPr>
              <w:t>（B）</w:t>
            </w:r>
          </w:p>
        </w:tc>
        <w:tc>
          <w:tcPr>
            <w:tcW w:w="719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80" w:lineRule="exact"/>
              <w:ind w:left="149" w:leftChars="71" w:firstLine="420" w:firstLineChars="200"/>
              <w:rPr>
                <w:rFonts w:cs="MingLiU" w:asciiTheme="minorEastAsia" w:hAnsiTheme="minorEastAsia" w:eastAsiaTheme="minorEastAsia"/>
                <w:snapToGrid w:val="0"/>
                <w:color w:val="auto"/>
                <w:kern w:val="0"/>
                <w:szCs w:val="21"/>
                <w:highlight w:val="none"/>
              </w:rPr>
            </w:pPr>
            <w:r>
              <w:rPr>
                <w:rFonts w:hint="eastAsia" w:asciiTheme="minorEastAsia" w:hAnsiTheme="minorEastAsia" w:eastAsiaTheme="minorEastAsia"/>
                <w:color w:val="auto"/>
                <w:szCs w:val="21"/>
                <w:highlight w:val="none"/>
              </w:rPr>
              <w:t>评选委员会按2.2.3(2)项各评审因素设定的分值评分。</w:t>
            </w:r>
            <w:r>
              <w:rPr>
                <w:rFonts w:hint="eastAsia" w:cs="宋体" w:asciiTheme="minorEastAsia" w:hAnsiTheme="minorEastAsia" w:eastAsiaTheme="minorEastAsia"/>
                <w:color w:val="auto"/>
                <w:kern w:val="0"/>
                <w:szCs w:val="21"/>
                <w:highlight w:val="none"/>
              </w:rPr>
              <w:t>以上计算取小数点后两位，第三位四舍五入。</w:t>
            </w:r>
            <w:r>
              <w:rPr>
                <w:rFonts w:hint="eastAsia" w:cs="MingLiU" w:asciiTheme="minorEastAsia" w:hAnsiTheme="minorEastAsia" w:eastAsiaTheme="minorEastAsia"/>
                <w:snapToGrid w:val="0"/>
                <w:color w:val="auto"/>
                <w:kern w:val="0"/>
                <w:szCs w:val="21"/>
                <w:highlight w:val="none"/>
              </w:rPr>
              <w:t>评选委员会全体成员对技术部分进行评审，全体评选委员会成员的算术平均值为该竞选人技术部分得分。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3.2.1（3）</w:t>
            </w:r>
          </w:p>
        </w:tc>
        <w:tc>
          <w:tcPr>
            <w:tcW w:w="1024"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商务部分</w:t>
            </w:r>
            <w:r>
              <w:rPr>
                <w:rFonts w:hint="eastAsia" w:cs="宋体" w:asciiTheme="minorEastAsia" w:hAnsiTheme="minorEastAsia" w:eastAsiaTheme="minorEastAsia"/>
                <w:color w:val="auto"/>
                <w:kern w:val="0"/>
                <w:highlight w:val="none"/>
              </w:rPr>
              <w:t>得分</w:t>
            </w:r>
            <w:r>
              <w:rPr>
                <w:rFonts w:hint="eastAsia" w:asciiTheme="minorEastAsia" w:hAnsiTheme="minorEastAsia" w:eastAsiaTheme="minorEastAsia"/>
                <w:color w:val="auto"/>
                <w:highlight w:val="none"/>
              </w:rPr>
              <w:t>（C）</w:t>
            </w:r>
          </w:p>
        </w:tc>
        <w:tc>
          <w:tcPr>
            <w:tcW w:w="1772"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商务部分</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38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按2.2.3(3)项评审因素设定的分值评分。</w:t>
            </w:r>
            <w:r>
              <w:rPr>
                <w:rFonts w:hint="eastAsia" w:cs="宋体" w:asciiTheme="minorEastAsia" w:hAnsiTheme="minorEastAsia" w:eastAsiaTheme="minorEastAsia"/>
                <w:color w:val="auto"/>
                <w:kern w:val="0"/>
                <w:szCs w:val="21"/>
                <w:highlight w:val="none"/>
              </w:rPr>
              <w:t>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18" w:firstLineChars="9"/>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3.2.2</w:t>
            </w:r>
          </w:p>
        </w:tc>
        <w:tc>
          <w:tcPr>
            <w:tcW w:w="1772"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8" w:firstLineChars="9"/>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竞选人得分</w:t>
            </w:r>
          </w:p>
        </w:tc>
        <w:tc>
          <w:tcPr>
            <w:tcW w:w="5420" w:type="dxa"/>
            <w:tcBorders>
              <w:top w:val="single" w:color="auto" w:sz="4" w:space="0"/>
              <w:left w:val="single" w:color="auto" w:sz="4" w:space="0"/>
              <w:bottom w:val="single" w:color="auto" w:sz="4" w:space="0"/>
              <w:right w:val="single" w:color="auto" w:sz="4" w:space="0"/>
            </w:tcBorders>
          </w:tcPr>
          <w:p>
            <w:pPr>
              <w:spacing w:line="380" w:lineRule="exact"/>
              <w:ind w:firstLine="18" w:firstLineChars="9"/>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竞选人得分=A+B+C</w:t>
            </w:r>
          </w:p>
        </w:tc>
      </w:tr>
    </w:tbl>
    <w:p>
      <w:pPr>
        <w:pStyle w:val="4"/>
        <w:spacing w:line="400" w:lineRule="atLeast"/>
        <w:rPr>
          <w:rFonts w:asciiTheme="minorEastAsia" w:hAnsiTheme="minorEastAsia" w:eastAsiaTheme="minorEastAsia"/>
          <w:color w:val="auto"/>
          <w:sz w:val="21"/>
          <w:szCs w:val="21"/>
          <w:highlight w:val="none"/>
        </w:rPr>
      </w:pPr>
      <w:r>
        <w:rPr>
          <w:rFonts w:hint="eastAsia" w:asciiTheme="minorEastAsia" w:hAnsiTheme="minorEastAsia" w:eastAsiaTheme="minorEastAsia"/>
          <w:b w:val="0"/>
          <w:bCs/>
          <w:color w:val="auto"/>
          <w:szCs w:val="21"/>
          <w:highlight w:val="none"/>
        </w:rPr>
        <w:br w:type="page"/>
      </w:r>
      <w:bookmarkStart w:id="127" w:name="_Toc224103384"/>
      <w:bookmarkStart w:id="128" w:name="_Toc287620751"/>
      <w:bookmarkStart w:id="129" w:name="_Toc29243"/>
      <w:bookmarkStart w:id="130" w:name="_Toc468346919"/>
      <w:bookmarkStart w:id="131" w:name="_Toc485992281"/>
      <w:bookmarkStart w:id="132" w:name="_Toc287607812"/>
      <w:bookmarkStart w:id="133" w:name="_Toc200513198"/>
      <w:bookmarkStart w:id="134" w:name="_Toc430530500"/>
      <w:bookmarkStart w:id="135" w:name="_Toc277082618"/>
      <w:r>
        <w:rPr>
          <w:rFonts w:hint="eastAsia" w:asciiTheme="minorEastAsia" w:hAnsiTheme="minorEastAsia" w:eastAsiaTheme="minorEastAsia"/>
          <w:color w:val="auto"/>
          <w:sz w:val="21"/>
          <w:szCs w:val="21"/>
          <w:highlight w:val="none"/>
        </w:rPr>
        <w:t>1.  评选方法</w:t>
      </w:r>
      <w:bookmarkEnd w:id="127"/>
      <w:bookmarkEnd w:id="128"/>
      <w:bookmarkEnd w:id="129"/>
      <w:bookmarkEnd w:id="130"/>
      <w:bookmarkEnd w:id="131"/>
      <w:bookmarkEnd w:id="132"/>
      <w:bookmarkEnd w:id="133"/>
      <w:bookmarkEnd w:id="134"/>
      <w:bookmarkEnd w:id="135"/>
    </w:p>
    <w:p>
      <w:pPr>
        <w:autoSpaceDE w:val="0"/>
        <w:autoSpaceDN w:val="0"/>
        <w:adjustRightInd w:val="0"/>
        <w:snapToGrid w:val="0"/>
        <w:spacing w:line="400" w:lineRule="atLeast"/>
        <w:ind w:firstLine="420"/>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本次评选采用综合评估法</w:t>
      </w:r>
      <w:r>
        <w:rPr>
          <w:rFonts w:hint="eastAsia" w:cs="MingLiU" w:asciiTheme="minorEastAsia" w:hAnsiTheme="minorEastAsia" w:eastAsiaTheme="minorEastAsia"/>
          <w:color w:val="auto"/>
          <w:spacing w:val="-47"/>
          <w:kern w:val="0"/>
          <w:szCs w:val="21"/>
          <w:highlight w:val="none"/>
        </w:rPr>
        <w:t>。</w:t>
      </w:r>
      <w:r>
        <w:rPr>
          <w:rFonts w:hint="eastAsia" w:cs="MingLiU" w:asciiTheme="minorEastAsia" w:hAnsiTheme="minorEastAsia" w:eastAsiaTheme="minorEastAsia"/>
          <w:color w:val="auto"/>
          <w:kern w:val="0"/>
          <w:szCs w:val="21"/>
          <w:highlight w:val="none"/>
        </w:rPr>
        <w:t>评选委员会按照本章第</w:t>
      </w:r>
      <w:r>
        <w:rPr>
          <w:rFonts w:hint="eastAsia" w:asciiTheme="minorEastAsia" w:hAnsiTheme="minorEastAsia" w:eastAsiaTheme="minorEastAsia"/>
          <w:color w:val="auto"/>
          <w:spacing w:val="1"/>
          <w:kern w:val="0"/>
          <w:szCs w:val="21"/>
          <w:highlight w:val="none"/>
        </w:rPr>
        <w:t>2</w:t>
      </w:r>
      <w:r>
        <w:rPr>
          <w:rFonts w:hint="eastAsia" w:asciiTheme="minorEastAsia" w:hAnsiTheme="minorEastAsia" w:eastAsiaTheme="minorEastAsia"/>
          <w:color w:val="auto"/>
          <w:spacing w:val="-1"/>
          <w:kern w:val="0"/>
          <w:szCs w:val="21"/>
          <w:highlight w:val="none"/>
        </w:rPr>
        <w:t>.</w:t>
      </w:r>
      <w:r>
        <w:rPr>
          <w:rFonts w:hint="eastAsia" w:asciiTheme="minorEastAsia" w:hAnsiTheme="minorEastAsia" w:eastAsiaTheme="minorEastAsia"/>
          <w:color w:val="auto"/>
          <w:kern w:val="0"/>
          <w:szCs w:val="21"/>
          <w:highlight w:val="none"/>
        </w:rPr>
        <w:t>2</w:t>
      </w:r>
      <w:r>
        <w:rPr>
          <w:rFonts w:hint="eastAsia" w:cs="MingLiU" w:asciiTheme="minorEastAsia" w:hAnsiTheme="minorEastAsia" w:eastAsiaTheme="minorEastAsia"/>
          <w:color w:val="auto"/>
          <w:kern w:val="0"/>
          <w:szCs w:val="21"/>
          <w:highlight w:val="none"/>
        </w:rPr>
        <w:t>款</w:t>
      </w:r>
      <w:r>
        <w:rPr>
          <w:rFonts w:hint="eastAsia" w:cs="MingLiU" w:asciiTheme="minorEastAsia" w:hAnsiTheme="minorEastAsia" w:eastAsiaTheme="minorEastAsia"/>
          <w:color w:val="auto"/>
          <w:spacing w:val="-1"/>
          <w:kern w:val="0"/>
          <w:szCs w:val="21"/>
          <w:highlight w:val="none"/>
        </w:rPr>
        <w:t>规</w:t>
      </w:r>
      <w:r>
        <w:rPr>
          <w:rFonts w:hint="eastAsia" w:cs="MingLiU" w:asciiTheme="minorEastAsia" w:hAnsiTheme="minorEastAsia" w:eastAsiaTheme="minorEastAsia"/>
          <w:color w:val="auto"/>
          <w:kern w:val="0"/>
          <w:szCs w:val="21"/>
          <w:highlight w:val="none"/>
        </w:rPr>
        <w:t>定的评分标准进行打分，按得分由高到低顺序推荐中选候选人</w:t>
      </w:r>
      <w:r>
        <w:rPr>
          <w:rFonts w:hint="eastAsia" w:cs="MingLiU" w:asciiTheme="minorEastAsia" w:hAnsiTheme="minorEastAsia" w:eastAsiaTheme="minorEastAsia"/>
          <w:color w:val="auto"/>
          <w:spacing w:val="-20"/>
          <w:kern w:val="0"/>
          <w:szCs w:val="21"/>
          <w:highlight w:val="none"/>
        </w:rPr>
        <w:t>，</w:t>
      </w:r>
      <w:r>
        <w:rPr>
          <w:rFonts w:hint="eastAsia" w:cs="MingLiU" w:asciiTheme="minorEastAsia" w:hAnsiTheme="minorEastAsia" w:eastAsiaTheme="minorEastAsia"/>
          <w:color w:val="auto"/>
          <w:kern w:val="0"/>
          <w:szCs w:val="21"/>
          <w:highlight w:val="none"/>
        </w:rPr>
        <w:t>或根据比选人授权直接确定中选人</w:t>
      </w:r>
      <w:r>
        <w:rPr>
          <w:rFonts w:hint="eastAsia" w:cs="MingLiU" w:asciiTheme="minorEastAsia" w:hAnsiTheme="minorEastAsia" w:eastAsiaTheme="minorEastAsia"/>
          <w:color w:val="auto"/>
          <w:spacing w:val="-31"/>
          <w:kern w:val="0"/>
          <w:szCs w:val="21"/>
          <w:highlight w:val="none"/>
        </w:rPr>
        <w:t>。</w:t>
      </w:r>
      <w:r>
        <w:rPr>
          <w:rFonts w:hint="eastAsia" w:cs="MingLiU" w:asciiTheme="minorEastAsia" w:hAnsiTheme="minorEastAsia" w:eastAsiaTheme="minorEastAsia"/>
          <w:color w:val="auto"/>
          <w:kern w:val="0"/>
          <w:szCs w:val="21"/>
          <w:highlight w:val="none"/>
        </w:rPr>
        <w:t>综合评分相等时</w:t>
      </w:r>
      <w:r>
        <w:rPr>
          <w:rFonts w:hint="eastAsia" w:cs="MingLiU" w:asciiTheme="minorEastAsia" w:hAnsiTheme="minorEastAsia" w:eastAsiaTheme="minorEastAsia"/>
          <w:color w:val="auto"/>
          <w:spacing w:val="-31"/>
          <w:kern w:val="0"/>
          <w:szCs w:val="21"/>
          <w:highlight w:val="none"/>
        </w:rPr>
        <w:t>，</w:t>
      </w:r>
      <w:r>
        <w:rPr>
          <w:rFonts w:hint="eastAsia" w:cs="MingLiU" w:asciiTheme="minorEastAsia" w:hAnsiTheme="minorEastAsia" w:eastAsiaTheme="minorEastAsia"/>
          <w:color w:val="auto"/>
          <w:kern w:val="0"/>
          <w:szCs w:val="21"/>
          <w:highlight w:val="none"/>
        </w:rPr>
        <w:t>以竞选报价低的优先；竞选报价也相等的，由比选人自行确定。</w:t>
      </w:r>
    </w:p>
    <w:p>
      <w:pPr>
        <w:pStyle w:val="4"/>
        <w:spacing w:line="400" w:lineRule="atLeast"/>
        <w:rPr>
          <w:rFonts w:asciiTheme="minorEastAsia" w:hAnsiTheme="minorEastAsia" w:eastAsiaTheme="minorEastAsia"/>
          <w:color w:val="auto"/>
          <w:sz w:val="21"/>
          <w:szCs w:val="21"/>
          <w:highlight w:val="none"/>
        </w:rPr>
      </w:pPr>
      <w:bookmarkStart w:id="136" w:name="_Toc32445"/>
      <w:bookmarkStart w:id="137" w:name="_Toc468346920"/>
      <w:bookmarkStart w:id="138" w:name="_Toc287607813"/>
      <w:bookmarkStart w:id="139" w:name="_Toc485992282"/>
      <w:bookmarkStart w:id="140" w:name="_Toc224103385"/>
      <w:bookmarkStart w:id="141" w:name="_Toc200513199"/>
      <w:bookmarkStart w:id="142" w:name="_Toc277082619"/>
      <w:bookmarkStart w:id="143" w:name="_Toc287620752"/>
      <w:bookmarkStart w:id="144" w:name="_Toc430530501"/>
      <w:r>
        <w:rPr>
          <w:rFonts w:hint="eastAsia" w:asciiTheme="minorEastAsia" w:hAnsiTheme="minorEastAsia" w:eastAsiaTheme="minorEastAsia"/>
          <w:color w:val="auto"/>
          <w:sz w:val="21"/>
          <w:szCs w:val="21"/>
          <w:highlight w:val="none"/>
        </w:rPr>
        <w:t>2.  评审标准</w:t>
      </w:r>
      <w:bookmarkEnd w:id="136"/>
      <w:bookmarkEnd w:id="137"/>
      <w:bookmarkEnd w:id="138"/>
      <w:bookmarkEnd w:id="139"/>
      <w:bookmarkEnd w:id="140"/>
      <w:bookmarkEnd w:id="141"/>
      <w:bookmarkEnd w:id="142"/>
      <w:bookmarkEnd w:id="143"/>
      <w:bookmarkEnd w:id="144"/>
    </w:p>
    <w:p>
      <w:pPr>
        <w:adjustRightInd w:val="0"/>
        <w:snapToGrid w:val="0"/>
        <w:spacing w:line="400" w:lineRule="atLeast"/>
        <w:outlineLvl w:val="2"/>
        <w:rPr>
          <w:rFonts w:asciiTheme="minorEastAsia" w:hAnsiTheme="minorEastAsia" w:eastAsiaTheme="minorEastAsia"/>
          <w:b/>
          <w:color w:val="auto"/>
          <w:szCs w:val="21"/>
          <w:highlight w:val="none"/>
        </w:rPr>
      </w:pPr>
      <w:bookmarkStart w:id="145" w:name="_Toc277082620"/>
      <w:bookmarkStart w:id="146" w:name="_Toc468346921"/>
      <w:bookmarkStart w:id="147" w:name="_Toc200513200"/>
      <w:bookmarkStart w:id="148" w:name="_Toc21709"/>
      <w:bookmarkStart w:id="149" w:name="_Toc485992283"/>
      <w:bookmarkStart w:id="150" w:name="_Toc430530502"/>
      <w:bookmarkStart w:id="151" w:name="_Toc224103386"/>
      <w:bookmarkStart w:id="152" w:name="_Toc287620753"/>
      <w:bookmarkStart w:id="153" w:name="_Toc287607814"/>
      <w:r>
        <w:rPr>
          <w:rFonts w:hint="eastAsia" w:asciiTheme="minorEastAsia" w:hAnsiTheme="minorEastAsia" w:eastAsiaTheme="minorEastAsia"/>
          <w:b/>
          <w:color w:val="auto"/>
          <w:szCs w:val="21"/>
          <w:highlight w:val="none"/>
        </w:rPr>
        <w:t>2.1  初步评审标准</w:t>
      </w:r>
      <w:bookmarkEnd w:id="145"/>
      <w:bookmarkEnd w:id="146"/>
      <w:bookmarkEnd w:id="147"/>
      <w:bookmarkEnd w:id="148"/>
      <w:bookmarkEnd w:id="149"/>
      <w:bookmarkEnd w:id="150"/>
      <w:bookmarkEnd w:id="151"/>
      <w:bookmarkEnd w:id="152"/>
      <w:bookmarkEnd w:id="153"/>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2.1.1  形式评审标准：见评选办法前附表。</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2.1.2  资格评审标准：见评选办法前附表。</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2.1.3  响应性评审标准：见评选办法前附表。</w:t>
      </w:r>
    </w:p>
    <w:p>
      <w:pPr>
        <w:adjustRightInd w:val="0"/>
        <w:snapToGrid w:val="0"/>
        <w:spacing w:line="400" w:lineRule="atLeast"/>
        <w:outlineLvl w:val="2"/>
        <w:rPr>
          <w:rFonts w:asciiTheme="minorEastAsia" w:hAnsiTheme="minorEastAsia" w:eastAsiaTheme="minorEastAsia"/>
          <w:b/>
          <w:color w:val="auto"/>
          <w:szCs w:val="21"/>
          <w:highlight w:val="none"/>
        </w:rPr>
      </w:pPr>
      <w:bookmarkStart w:id="154" w:name="_Toc224103387"/>
      <w:bookmarkStart w:id="155" w:name="_Toc287620754"/>
      <w:bookmarkStart w:id="156" w:name="_Toc277082621"/>
      <w:bookmarkStart w:id="157" w:name="_Toc485992284"/>
      <w:bookmarkStart w:id="158" w:name="_Toc264"/>
      <w:bookmarkStart w:id="159" w:name="_Toc468346922"/>
      <w:bookmarkStart w:id="160" w:name="_Toc200513201"/>
      <w:bookmarkStart w:id="161" w:name="_Toc430530503"/>
      <w:bookmarkStart w:id="162" w:name="_Toc287607815"/>
      <w:r>
        <w:rPr>
          <w:rFonts w:hint="eastAsia" w:asciiTheme="minorEastAsia" w:hAnsiTheme="minorEastAsia" w:eastAsiaTheme="minorEastAsia"/>
          <w:b/>
          <w:color w:val="auto"/>
          <w:szCs w:val="21"/>
          <w:highlight w:val="none"/>
        </w:rPr>
        <w:t>2.2  分值构成与评分标准</w:t>
      </w:r>
      <w:bookmarkEnd w:id="154"/>
      <w:bookmarkEnd w:id="155"/>
      <w:bookmarkEnd w:id="156"/>
      <w:bookmarkEnd w:id="157"/>
      <w:bookmarkEnd w:id="158"/>
      <w:bookmarkEnd w:id="159"/>
      <w:bookmarkEnd w:id="160"/>
      <w:bookmarkEnd w:id="161"/>
      <w:bookmarkEnd w:id="162"/>
    </w:p>
    <w:p>
      <w:pPr>
        <w:autoSpaceDE w:val="0"/>
        <w:autoSpaceDN w:val="0"/>
        <w:adjustRightInd w:val="0"/>
        <w:snapToGrid w:val="0"/>
        <w:spacing w:line="400" w:lineRule="atLeast"/>
        <w:ind w:firstLine="525" w:firstLineChars="250"/>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2.2.1  分值构成</w:t>
      </w:r>
    </w:p>
    <w:p>
      <w:pPr>
        <w:autoSpaceDE w:val="0"/>
        <w:autoSpaceDN w:val="0"/>
        <w:adjustRightInd w:val="0"/>
        <w:snapToGrid w:val="0"/>
        <w:spacing w:line="400" w:lineRule="atLeast"/>
        <w:ind w:left="896" w:leftChars="258" w:hanging="354" w:hangingChars="169"/>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1</w:t>
      </w:r>
      <w:r>
        <w:rPr>
          <w:rFonts w:hint="eastAsia" w:cs="MingLiU" w:asciiTheme="minorEastAsia" w:hAnsiTheme="minorEastAsia" w:eastAsiaTheme="minorEastAsia"/>
          <w:color w:val="auto"/>
          <w:kern w:val="0"/>
          <w:szCs w:val="21"/>
          <w:highlight w:val="none"/>
        </w:rPr>
        <w:t>）竞选</w:t>
      </w:r>
      <w:r>
        <w:rPr>
          <w:rFonts w:hint="eastAsia" w:cs="MingLiU" w:asciiTheme="minorEastAsia" w:hAnsiTheme="minorEastAsia" w:eastAsiaTheme="minorEastAsia"/>
          <w:color w:val="auto"/>
          <w:spacing w:val="-1"/>
          <w:kern w:val="0"/>
          <w:szCs w:val="21"/>
          <w:highlight w:val="none"/>
        </w:rPr>
        <w:t>报</w:t>
      </w:r>
      <w:r>
        <w:rPr>
          <w:rFonts w:hint="eastAsia" w:cs="MingLiU" w:asciiTheme="minorEastAsia" w:hAnsiTheme="minorEastAsia" w:eastAsiaTheme="minorEastAsia"/>
          <w:color w:val="auto"/>
          <w:kern w:val="0"/>
          <w:szCs w:val="21"/>
          <w:highlight w:val="none"/>
        </w:rPr>
        <w:t>价：见评选办法前附表；</w:t>
      </w:r>
    </w:p>
    <w:p>
      <w:pPr>
        <w:autoSpaceDE w:val="0"/>
        <w:autoSpaceDN w:val="0"/>
        <w:adjustRightInd w:val="0"/>
        <w:snapToGrid w:val="0"/>
        <w:spacing w:line="400" w:lineRule="atLeast"/>
        <w:ind w:left="896" w:leftChars="258" w:hanging="354" w:hangingChars="169"/>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2</w:t>
      </w:r>
      <w:r>
        <w:rPr>
          <w:rFonts w:hint="eastAsia" w:cs="MingLiU" w:asciiTheme="minorEastAsia" w:hAnsiTheme="minorEastAsia" w:eastAsiaTheme="minorEastAsia"/>
          <w:color w:val="auto"/>
          <w:kern w:val="0"/>
          <w:szCs w:val="21"/>
          <w:highlight w:val="none"/>
        </w:rPr>
        <w:t>）技术部分：见评选办法前附表。</w:t>
      </w:r>
    </w:p>
    <w:p>
      <w:pPr>
        <w:autoSpaceDE w:val="0"/>
        <w:autoSpaceDN w:val="0"/>
        <w:adjustRightInd w:val="0"/>
        <w:snapToGrid w:val="0"/>
        <w:spacing w:line="400" w:lineRule="atLeast"/>
        <w:ind w:left="896" w:leftChars="308" w:hanging="249" w:hangingChars="119"/>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(3) 商务部分：见评选办法前附表。</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2.2.2  评选基准价计算</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评选基准价计算方法：见评选办法前附表。</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2.2.3  评分标准</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1</w:t>
      </w:r>
      <w:r>
        <w:rPr>
          <w:rFonts w:hint="eastAsia" w:cs="MingLiU" w:asciiTheme="minorEastAsia" w:hAnsiTheme="minorEastAsia" w:eastAsiaTheme="minorEastAsia"/>
          <w:color w:val="auto"/>
          <w:kern w:val="0"/>
          <w:szCs w:val="21"/>
          <w:highlight w:val="none"/>
        </w:rPr>
        <w:t>）竞选</w:t>
      </w:r>
      <w:r>
        <w:rPr>
          <w:rFonts w:hint="eastAsia" w:cs="MingLiU" w:asciiTheme="minorEastAsia" w:hAnsiTheme="minorEastAsia" w:eastAsiaTheme="minorEastAsia"/>
          <w:color w:val="auto"/>
          <w:spacing w:val="-1"/>
          <w:kern w:val="0"/>
          <w:szCs w:val="21"/>
          <w:highlight w:val="none"/>
        </w:rPr>
        <w:t>报</w:t>
      </w:r>
      <w:r>
        <w:rPr>
          <w:rFonts w:hint="eastAsia" w:cs="MingLiU" w:asciiTheme="minorEastAsia" w:hAnsiTheme="minorEastAsia" w:eastAsiaTheme="minorEastAsia"/>
          <w:color w:val="auto"/>
          <w:kern w:val="0"/>
          <w:szCs w:val="21"/>
          <w:highlight w:val="none"/>
        </w:rPr>
        <w:t>价评分标准：见评选办法前附表；</w:t>
      </w:r>
    </w:p>
    <w:p>
      <w:pPr>
        <w:autoSpaceDE w:val="0"/>
        <w:autoSpaceDN w:val="0"/>
        <w:adjustRightInd w:val="0"/>
        <w:snapToGrid w:val="0"/>
        <w:spacing w:line="400" w:lineRule="atLeast"/>
        <w:ind w:firstLine="525" w:firstLineChars="250"/>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（2）技术部分评分标准：见评选办法前附表。</w:t>
      </w:r>
    </w:p>
    <w:p>
      <w:pPr>
        <w:autoSpaceDE w:val="0"/>
        <w:autoSpaceDN w:val="0"/>
        <w:adjustRightInd w:val="0"/>
        <w:snapToGrid w:val="0"/>
        <w:spacing w:line="400" w:lineRule="atLeast"/>
        <w:ind w:firstLine="525" w:firstLineChars="250"/>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（3）商务部分评分标准：见评选办法前附表。</w:t>
      </w:r>
    </w:p>
    <w:p>
      <w:pPr>
        <w:pStyle w:val="4"/>
        <w:spacing w:line="400" w:lineRule="atLeast"/>
        <w:rPr>
          <w:rFonts w:asciiTheme="minorEastAsia" w:hAnsiTheme="minorEastAsia" w:eastAsiaTheme="minorEastAsia"/>
          <w:color w:val="auto"/>
          <w:sz w:val="21"/>
          <w:szCs w:val="21"/>
          <w:highlight w:val="none"/>
        </w:rPr>
      </w:pPr>
      <w:bookmarkStart w:id="163" w:name="_Toc224103389"/>
      <w:bookmarkStart w:id="164" w:name="_Toc287620756"/>
      <w:bookmarkStart w:id="165" w:name="_Toc287607817"/>
      <w:bookmarkStart w:id="166" w:name="_Toc277082623"/>
      <w:bookmarkStart w:id="167" w:name="_Toc19843"/>
      <w:bookmarkStart w:id="168" w:name="_Toc430530505"/>
      <w:bookmarkStart w:id="169" w:name="_Toc485992285"/>
      <w:bookmarkStart w:id="170" w:name="_Toc200513203"/>
      <w:bookmarkStart w:id="171" w:name="_Toc468346923"/>
      <w:r>
        <w:rPr>
          <w:rFonts w:hint="eastAsia" w:asciiTheme="minorEastAsia" w:hAnsiTheme="minorEastAsia" w:eastAsiaTheme="minorEastAsia"/>
          <w:color w:val="auto"/>
          <w:sz w:val="21"/>
          <w:szCs w:val="21"/>
          <w:highlight w:val="none"/>
        </w:rPr>
        <w:t>3. 评选程序</w:t>
      </w:r>
      <w:bookmarkEnd w:id="163"/>
      <w:bookmarkEnd w:id="164"/>
      <w:bookmarkEnd w:id="165"/>
      <w:bookmarkEnd w:id="166"/>
      <w:bookmarkEnd w:id="167"/>
      <w:bookmarkEnd w:id="168"/>
      <w:bookmarkEnd w:id="169"/>
      <w:bookmarkEnd w:id="170"/>
      <w:bookmarkEnd w:id="171"/>
    </w:p>
    <w:p>
      <w:pPr>
        <w:adjustRightInd w:val="0"/>
        <w:snapToGrid w:val="0"/>
        <w:spacing w:line="400" w:lineRule="atLeast"/>
        <w:outlineLvl w:val="2"/>
        <w:rPr>
          <w:rFonts w:asciiTheme="minorEastAsia" w:hAnsiTheme="minorEastAsia" w:eastAsiaTheme="minorEastAsia"/>
          <w:b/>
          <w:color w:val="auto"/>
          <w:szCs w:val="21"/>
          <w:highlight w:val="none"/>
        </w:rPr>
      </w:pPr>
      <w:bookmarkStart w:id="172" w:name="_Toc468346924"/>
      <w:bookmarkStart w:id="173" w:name="_Toc287607816"/>
      <w:bookmarkStart w:id="174" w:name="_Toc200513202"/>
      <w:bookmarkStart w:id="175" w:name="_Toc430530504"/>
      <w:bookmarkStart w:id="176" w:name="_Toc287620755"/>
      <w:bookmarkStart w:id="177" w:name="_Toc224103388"/>
      <w:bookmarkStart w:id="178" w:name="_Toc277082622"/>
      <w:bookmarkStart w:id="179" w:name="_Toc485992286"/>
      <w:bookmarkStart w:id="180" w:name="_Toc8001"/>
      <w:r>
        <w:rPr>
          <w:rFonts w:hint="eastAsia" w:asciiTheme="minorEastAsia" w:hAnsiTheme="minorEastAsia" w:eastAsiaTheme="minorEastAsia"/>
          <w:b/>
          <w:color w:val="auto"/>
          <w:szCs w:val="21"/>
          <w:highlight w:val="none"/>
        </w:rPr>
        <w:t xml:space="preserve">3.1  </w:t>
      </w:r>
      <w:bookmarkEnd w:id="172"/>
      <w:bookmarkEnd w:id="173"/>
      <w:bookmarkEnd w:id="174"/>
      <w:bookmarkEnd w:id="175"/>
      <w:bookmarkEnd w:id="176"/>
      <w:bookmarkEnd w:id="177"/>
      <w:bookmarkEnd w:id="178"/>
      <w:r>
        <w:rPr>
          <w:rFonts w:hint="eastAsia" w:asciiTheme="minorEastAsia" w:hAnsiTheme="minorEastAsia" w:eastAsiaTheme="minorEastAsia"/>
          <w:b/>
          <w:color w:val="auto"/>
          <w:szCs w:val="21"/>
          <w:highlight w:val="none"/>
        </w:rPr>
        <w:t>初步评审</w:t>
      </w:r>
      <w:bookmarkEnd w:id="179"/>
      <w:bookmarkEnd w:id="180"/>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 xml:space="preserve">3.1.1  </w:t>
      </w:r>
      <w:r>
        <w:rPr>
          <w:rFonts w:hint="eastAsia" w:cs="MingLiU" w:asciiTheme="minorEastAsia" w:hAnsiTheme="minorEastAsia" w:eastAsiaTheme="minorEastAsia"/>
          <w:color w:val="auto"/>
          <w:kern w:val="0"/>
          <w:szCs w:val="21"/>
          <w:highlight w:val="none"/>
        </w:rPr>
        <w:t>评选</w:t>
      </w:r>
      <w:r>
        <w:rPr>
          <w:rFonts w:hint="eastAsia" w:cs="MingLiU" w:asciiTheme="minorEastAsia" w:hAnsiTheme="minorEastAsia" w:eastAsiaTheme="minorEastAsia"/>
          <w:color w:val="auto"/>
          <w:spacing w:val="-1"/>
          <w:kern w:val="0"/>
          <w:szCs w:val="21"/>
          <w:highlight w:val="none"/>
        </w:rPr>
        <w:t>委</w:t>
      </w:r>
      <w:r>
        <w:rPr>
          <w:rFonts w:hint="eastAsia" w:cs="MingLiU" w:asciiTheme="minorEastAsia" w:hAnsiTheme="minorEastAsia" w:eastAsiaTheme="minorEastAsia"/>
          <w:color w:val="auto"/>
          <w:kern w:val="0"/>
          <w:szCs w:val="21"/>
          <w:highlight w:val="none"/>
        </w:rPr>
        <w:t>员会必须对竞选人提交的第二章“竞选人须知”第8项</w:t>
      </w:r>
      <w:r>
        <w:rPr>
          <w:rFonts w:hint="eastAsia" w:cs="MingLiU" w:asciiTheme="minorEastAsia" w:hAnsiTheme="minorEastAsia" w:eastAsiaTheme="minorEastAsia"/>
          <w:color w:val="auto"/>
          <w:spacing w:val="-1"/>
          <w:kern w:val="0"/>
          <w:szCs w:val="21"/>
          <w:highlight w:val="none"/>
        </w:rPr>
        <w:t>规</w:t>
      </w:r>
      <w:r>
        <w:rPr>
          <w:rFonts w:hint="eastAsia" w:cs="MingLiU" w:asciiTheme="minorEastAsia" w:hAnsiTheme="minorEastAsia" w:eastAsiaTheme="minorEastAsia"/>
          <w:color w:val="auto"/>
          <w:kern w:val="0"/>
          <w:szCs w:val="21"/>
          <w:highlight w:val="none"/>
        </w:rPr>
        <w:t>定的有关证明和证件的原件</w:t>
      </w:r>
      <w:r>
        <w:rPr>
          <w:rFonts w:hint="eastAsia" w:cs="MingLiU" w:asciiTheme="minorEastAsia" w:hAnsiTheme="minorEastAsia" w:eastAsiaTheme="minorEastAsia"/>
          <w:color w:val="auto"/>
          <w:spacing w:val="-20"/>
          <w:kern w:val="0"/>
          <w:szCs w:val="21"/>
          <w:highlight w:val="none"/>
        </w:rPr>
        <w:t>进行</w:t>
      </w:r>
      <w:r>
        <w:rPr>
          <w:rFonts w:hint="eastAsia" w:cs="MingLiU" w:asciiTheme="minorEastAsia" w:hAnsiTheme="minorEastAsia" w:eastAsiaTheme="minorEastAsia"/>
          <w:color w:val="auto"/>
          <w:kern w:val="0"/>
          <w:szCs w:val="21"/>
          <w:highlight w:val="none"/>
        </w:rPr>
        <w:t>核验</w:t>
      </w:r>
      <w:r>
        <w:rPr>
          <w:rFonts w:hint="eastAsia" w:cs="MingLiU" w:asciiTheme="minorEastAsia" w:hAnsiTheme="minorEastAsia" w:eastAsiaTheme="minorEastAsia"/>
          <w:color w:val="auto"/>
          <w:spacing w:val="-20"/>
          <w:kern w:val="0"/>
          <w:szCs w:val="21"/>
          <w:highlight w:val="none"/>
        </w:rPr>
        <w:t>。</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3.1.1  评选委员会依据本章第 2.1.1 项至第 2.1.3 项规定的评审标准对竞选文件进行初步评审。有一项不符合评审标准的，作否决竞选处理。</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3.1.2  竞选人有以下情形之一的，其竞选作否决竞选处理：</w:t>
      </w:r>
    </w:p>
    <w:p>
      <w:pPr>
        <w:autoSpaceDE w:val="0"/>
        <w:autoSpaceDN w:val="0"/>
        <w:adjustRightInd w:val="0"/>
        <w:snapToGrid w:val="0"/>
        <w:spacing w:line="400" w:lineRule="atLeast"/>
        <w:ind w:left="424" w:leftChars="202"/>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1</w:t>
      </w:r>
      <w:r>
        <w:rPr>
          <w:rFonts w:hint="eastAsia" w:cs="MingLiU" w:asciiTheme="minorEastAsia" w:hAnsiTheme="minorEastAsia" w:eastAsiaTheme="minorEastAsia"/>
          <w:color w:val="auto"/>
          <w:kern w:val="0"/>
          <w:szCs w:val="21"/>
          <w:highlight w:val="none"/>
        </w:rPr>
        <w:t>）第二</w:t>
      </w:r>
      <w:r>
        <w:rPr>
          <w:rFonts w:hint="eastAsia" w:cs="MingLiU" w:asciiTheme="minorEastAsia" w:hAnsiTheme="minorEastAsia" w:eastAsiaTheme="minorEastAsia"/>
          <w:color w:val="auto"/>
          <w:spacing w:val="-1"/>
          <w:kern w:val="0"/>
          <w:szCs w:val="21"/>
          <w:highlight w:val="none"/>
        </w:rPr>
        <w:t>章</w:t>
      </w:r>
      <w:r>
        <w:rPr>
          <w:rFonts w:hint="eastAsia" w:cs="MingLiU" w:asciiTheme="minorEastAsia" w:hAnsiTheme="minorEastAsia" w:eastAsiaTheme="minorEastAsia"/>
          <w:color w:val="auto"/>
          <w:kern w:val="0"/>
          <w:szCs w:val="21"/>
          <w:highlight w:val="none"/>
        </w:rPr>
        <w:t>“竞选人须知前附表”相关规定的任何一种情形的；</w:t>
      </w:r>
    </w:p>
    <w:p>
      <w:pPr>
        <w:autoSpaceDE w:val="0"/>
        <w:autoSpaceDN w:val="0"/>
        <w:adjustRightInd w:val="0"/>
        <w:snapToGrid w:val="0"/>
        <w:spacing w:line="400" w:lineRule="atLeast"/>
        <w:ind w:left="424" w:leftChars="202"/>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2</w:t>
      </w:r>
      <w:r>
        <w:rPr>
          <w:rFonts w:hint="eastAsia" w:cs="MingLiU" w:asciiTheme="minorEastAsia" w:hAnsiTheme="minorEastAsia" w:eastAsiaTheme="minorEastAsia"/>
          <w:color w:val="auto"/>
          <w:kern w:val="0"/>
          <w:szCs w:val="21"/>
          <w:highlight w:val="none"/>
        </w:rPr>
        <w:t>）串通</w:t>
      </w:r>
      <w:r>
        <w:rPr>
          <w:rFonts w:hint="eastAsia" w:cs="MingLiU" w:asciiTheme="minorEastAsia" w:hAnsiTheme="minorEastAsia" w:eastAsiaTheme="minorEastAsia"/>
          <w:color w:val="auto"/>
          <w:spacing w:val="-1"/>
          <w:kern w:val="0"/>
          <w:szCs w:val="21"/>
          <w:highlight w:val="none"/>
        </w:rPr>
        <w:t>竞选</w:t>
      </w:r>
      <w:r>
        <w:rPr>
          <w:rFonts w:hint="eastAsia" w:cs="MingLiU" w:asciiTheme="minorEastAsia" w:hAnsiTheme="minorEastAsia" w:eastAsiaTheme="minorEastAsia"/>
          <w:color w:val="auto"/>
          <w:kern w:val="0"/>
          <w:szCs w:val="21"/>
          <w:highlight w:val="none"/>
        </w:rPr>
        <w:t>或弄虚作假或有其他违法行为的；</w:t>
      </w:r>
    </w:p>
    <w:p>
      <w:pPr>
        <w:autoSpaceDE w:val="0"/>
        <w:autoSpaceDN w:val="0"/>
        <w:adjustRightInd w:val="0"/>
        <w:snapToGrid w:val="0"/>
        <w:spacing w:line="400" w:lineRule="atLeast"/>
        <w:ind w:left="424" w:leftChars="202"/>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3</w:t>
      </w:r>
      <w:r>
        <w:rPr>
          <w:rFonts w:hint="eastAsia" w:cs="MingLiU" w:asciiTheme="minorEastAsia" w:hAnsiTheme="minorEastAsia" w:eastAsiaTheme="minorEastAsia"/>
          <w:color w:val="auto"/>
          <w:kern w:val="0"/>
          <w:szCs w:val="21"/>
          <w:highlight w:val="none"/>
        </w:rPr>
        <w:t>）不按</w:t>
      </w:r>
      <w:r>
        <w:rPr>
          <w:rFonts w:hint="eastAsia" w:cs="MingLiU" w:asciiTheme="minorEastAsia" w:hAnsiTheme="minorEastAsia" w:eastAsiaTheme="minorEastAsia"/>
          <w:color w:val="auto"/>
          <w:spacing w:val="-1"/>
          <w:kern w:val="0"/>
          <w:szCs w:val="21"/>
          <w:highlight w:val="none"/>
        </w:rPr>
        <w:t>评选</w:t>
      </w:r>
      <w:r>
        <w:rPr>
          <w:rFonts w:hint="eastAsia" w:cs="MingLiU" w:asciiTheme="minorEastAsia" w:hAnsiTheme="minorEastAsia" w:eastAsiaTheme="minorEastAsia"/>
          <w:color w:val="auto"/>
          <w:kern w:val="0"/>
          <w:szCs w:val="21"/>
          <w:highlight w:val="none"/>
        </w:rPr>
        <w:t>委员会要求澄清、说明或补正的；</w:t>
      </w:r>
    </w:p>
    <w:p>
      <w:pPr>
        <w:autoSpaceDE w:val="0"/>
        <w:autoSpaceDN w:val="0"/>
        <w:adjustRightInd w:val="0"/>
        <w:snapToGrid w:val="0"/>
        <w:spacing w:line="400" w:lineRule="atLeast"/>
        <w:ind w:firstLine="420" w:firstLineChars="200"/>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（4）恶意低价竞选的：</w:t>
      </w:r>
    </w:p>
    <w:p>
      <w:pPr>
        <w:autoSpaceDE w:val="0"/>
        <w:autoSpaceDN w:val="0"/>
        <w:adjustRightInd w:val="0"/>
        <w:snapToGrid w:val="0"/>
        <w:spacing w:line="400" w:lineRule="atLeast"/>
        <w:ind w:left="1" w:firstLine="535" w:firstLineChars="255"/>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竞标，其竞选作否决竞选处理。</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3.1.3  竞选报价有算术错误的，评选委员会按以下原则对竞选报价进行修正，修正的价格经竞选人书面确认后具有约束力。竞选人不接受修正价格的，其竞选作否决竞选处理。</w:t>
      </w:r>
    </w:p>
    <w:p>
      <w:pPr>
        <w:autoSpaceDE w:val="0"/>
        <w:autoSpaceDN w:val="0"/>
        <w:adjustRightInd w:val="0"/>
        <w:snapToGrid w:val="0"/>
        <w:spacing w:line="400" w:lineRule="atLeast"/>
        <w:ind w:firstLine="532"/>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（1）竞选文件中的大写金额与小写金额不一致的，以大写金额为准；</w:t>
      </w:r>
    </w:p>
    <w:p>
      <w:pPr>
        <w:adjustRightInd w:val="0"/>
        <w:snapToGrid w:val="0"/>
        <w:spacing w:line="400" w:lineRule="atLeast"/>
        <w:outlineLvl w:val="2"/>
        <w:rPr>
          <w:rFonts w:asciiTheme="minorEastAsia" w:hAnsiTheme="minorEastAsia" w:eastAsiaTheme="minorEastAsia"/>
          <w:b/>
          <w:color w:val="auto"/>
          <w:szCs w:val="21"/>
          <w:highlight w:val="none"/>
        </w:rPr>
      </w:pPr>
      <w:bookmarkStart w:id="181" w:name="_Toc277082624"/>
      <w:bookmarkStart w:id="182" w:name="_Toc468346925"/>
      <w:bookmarkStart w:id="183" w:name="_Toc287620757"/>
      <w:bookmarkStart w:id="184" w:name="_Toc200513204"/>
      <w:bookmarkStart w:id="185" w:name="_Toc224103390"/>
      <w:bookmarkStart w:id="186" w:name="_Toc17514"/>
      <w:bookmarkStart w:id="187" w:name="_Toc430530506"/>
      <w:bookmarkStart w:id="188" w:name="_Toc485992287"/>
      <w:bookmarkStart w:id="189" w:name="_Toc287607818"/>
      <w:r>
        <w:rPr>
          <w:rFonts w:hint="eastAsia" w:asciiTheme="minorEastAsia" w:hAnsiTheme="minorEastAsia" w:eastAsiaTheme="minorEastAsia"/>
          <w:b/>
          <w:color w:val="auto"/>
          <w:szCs w:val="21"/>
          <w:highlight w:val="none"/>
        </w:rPr>
        <w:t>3.2  详细评审</w:t>
      </w:r>
      <w:bookmarkEnd w:id="181"/>
      <w:bookmarkEnd w:id="182"/>
      <w:bookmarkEnd w:id="183"/>
      <w:bookmarkEnd w:id="184"/>
      <w:bookmarkEnd w:id="185"/>
      <w:bookmarkEnd w:id="186"/>
      <w:bookmarkEnd w:id="187"/>
      <w:bookmarkEnd w:id="188"/>
      <w:bookmarkEnd w:id="189"/>
    </w:p>
    <w:p>
      <w:pPr>
        <w:spacing w:line="400" w:lineRule="atLeast"/>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3.2.1 评选委员会按本章评选办法前附表第2.2 款的规定进行评审。</w:t>
      </w:r>
    </w:p>
    <w:p>
      <w:pPr>
        <w:autoSpaceDE w:val="0"/>
        <w:autoSpaceDN w:val="0"/>
        <w:adjustRightInd w:val="0"/>
        <w:snapToGrid w:val="0"/>
        <w:spacing w:line="400" w:lineRule="atLeast"/>
        <w:ind w:firstLine="532"/>
        <w:jc w:val="left"/>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w:t>
      </w:r>
      <w:r>
        <w:rPr>
          <w:rFonts w:asciiTheme="minorEastAsia" w:hAnsiTheme="minorEastAsia" w:eastAsiaTheme="minorEastAsia"/>
          <w:color w:val="auto"/>
          <w:kern w:val="0"/>
          <w:highlight w:val="none"/>
        </w:rPr>
        <w:t>1</w:t>
      </w:r>
      <w:r>
        <w:rPr>
          <w:rFonts w:hint="eastAsia" w:asciiTheme="minorEastAsia" w:hAnsiTheme="minorEastAsia" w:eastAsiaTheme="minorEastAsia"/>
          <w:color w:val="auto"/>
          <w:kern w:val="0"/>
          <w:highlight w:val="none"/>
        </w:rPr>
        <w:t>）按</w:t>
      </w:r>
      <w:r>
        <w:rPr>
          <w:rFonts w:hint="eastAsia" w:asciiTheme="minorEastAsia" w:hAnsiTheme="minorEastAsia" w:eastAsiaTheme="minorEastAsia"/>
          <w:color w:val="auto"/>
          <w:highlight w:val="none"/>
        </w:rPr>
        <w:t>评选办法前附表</w:t>
      </w:r>
      <w:r>
        <w:rPr>
          <w:rFonts w:hint="eastAsia" w:asciiTheme="minorEastAsia" w:hAnsiTheme="minorEastAsia" w:eastAsiaTheme="minorEastAsia"/>
          <w:color w:val="auto"/>
          <w:kern w:val="0"/>
          <w:highlight w:val="none"/>
        </w:rPr>
        <w:t>规定的评审因素和分值对竞选报价计算出得分</w:t>
      </w:r>
      <w:r>
        <w:rPr>
          <w:rFonts w:asciiTheme="minorEastAsia" w:hAnsiTheme="minorEastAsia" w:eastAsiaTheme="minorEastAsia"/>
          <w:color w:val="auto"/>
          <w:kern w:val="0"/>
          <w:highlight w:val="none"/>
        </w:rPr>
        <w:t xml:space="preserve"> A</w:t>
      </w:r>
      <w:r>
        <w:rPr>
          <w:rFonts w:hint="eastAsia" w:asciiTheme="minorEastAsia" w:hAnsiTheme="minorEastAsia" w:eastAsiaTheme="minorEastAsia"/>
          <w:color w:val="auto"/>
          <w:kern w:val="0"/>
          <w:highlight w:val="none"/>
        </w:rPr>
        <w:t>；</w:t>
      </w:r>
    </w:p>
    <w:p>
      <w:pPr>
        <w:autoSpaceDE w:val="0"/>
        <w:autoSpaceDN w:val="0"/>
        <w:adjustRightInd w:val="0"/>
        <w:snapToGrid w:val="0"/>
        <w:spacing w:line="400" w:lineRule="atLeast"/>
        <w:ind w:firstLine="532"/>
        <w:jc w:val="left"/>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（2）按</w:t>
      </w:r>
      <w:r>
        <w:rPr>
          <w:rFonts w:hint="eastAsia" w:asciiTheme="minorEastAsia" w:hAnsiTheme="minorEastAsia" w:eastAsiaTheme="minorEastAsia"/>
          <w:color w:val="auto"/>
          <w:highlight w:val="none"/>
        </w:rPr>
        <w:t>评选办法前附表</w:t>
      </w:r>
      <w:r>
        <w:rPr>
          <w:rFonts w:hint="eastAsia" w:asciiTheme="minorEastAsia" w:hAnsiTheme="minorEastAsia" w:eastAsiaTheme="minorEastAsia"/>
          <w:color w:val="auto"/>
          <w:kern w:val="0"/>
          <w:highlight w:val="none"/>
        </w:rPr>
        <w:t>规定的评审因素和分值对技术部分计算出得分B</w:t>
      </w:r>
      <w:r>
        <w:rPr>
          <w:rFonts w:hint="eastAsia" w:cs="MingLiU" w:asciiTheme="minorEastAsia" w:hAnsiTheme="minorEastAsia" w:eastAsiaTheme="minorEastAsia"/>
          <w:color w:val="auto"/>
          <w:kern w:val="0"/>
          <w:szCs w:val="21"/>
          <w:highlight w:val="none"/>
        </w:rPr>
        <w:t>（评选委员会全体成员对技术部分进行评审，</w:t>
      </w:r>
      <w:r>
        <w:rPr>
          <w:rFonts w:hint="eastAsia" w:cs="MingLiU" w:asciiTheme="minorEastAsia" w:hAnsiTheme="minorEastAsia" w:eastAsiaTheme="minorEastAsia"/>
          <w:snapToGrid w:val="0"/>
          <w:color w:val="auto"/>
          <w:kern w:val="0"/>
          <w:szCs w:val="21"/>
          <w:highlight w:val="none"/>
        </w:rPr>
        <w:t>全体评选委员会成员的算术平均值为该竞选人技术部分得分）</w:t>
      </w:r>
      <w:r>
        <w:rPr>
          <w:rFonts w:hint="eastAsia" w:asciiTheme="minorEastAsia" w:hAnsiTheme="minorEastAsia" w:eastAsiaTheme="minorEastAsia"/>
          <w:color w:val="auto"/>
          <w:kern w:val="0"/>
          <w:highlight w:val="none"/>
        </w:rPr>
        <w:t>。</w:t>
      </w:r>
    </w:p>
    <w:p>
      <w:pPr>
        <w:autoSpaceDE w:val="0"/>
        <w:autoSpaceDN w:val="0"/>
        <w:adjustRightInd w:val="0"/>
        <w:snapToGrid w:val="0"/>
        <w:spacing w:line="400" w:lineRule="atLeast"/>
        <w:ind w:firstLine="532"/>
        <w:jc w:val="left"/>
        <w:rPr>
          <w:rFonts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（3）按</w:t>
      </w:r>
      <w:r>
        <w:rPr>
          <w:rFonts w:hint="eastAsia" w:asciiTheme="minorEastAsia" w:hAnsiTheme="minorEastAsia" w:eastAsiaTheme="minorEastAsia"/>
          <w:color w:val="auto"/>
          <w:highlight w:val="none"/>
        </w:rPr>
        <w:t>评选办法前附表</w:t>
      </w:r>
      <w:r>
        <w:rPr>
          <w:rFonts w:hint="eastAsia" w:asciiTheme="minorEastAsia" w:hAnsiTheme="minorEastAsia" w:eastAsiaTheme="minorEastAsia"/>
          <w:color w:val="auto"/>
          <w:kern w:val="0"/>
          <w:highlight w:val="none"/>
        </w:rPr>
        <w:t>规定的评审因素和分值对商务部分评审计算出得分C。</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highlight w:val="none"/>
        </w:rPr>
      </w:pPr>
      <w:r>
        <w:rPr>
          <w:rFonts w:asciiTheme="minorEastAsia" w:hAnsiTheme="minorEastAsia" w:eastAsiaTheme="minorEastAsia"/>
          <w:color w:val="auto"/>
          <w:kern w:val="0"/>
          <w:highlight w:val="none"/>
        </w:rPr>
        <w:t xml:space="preserve">3.2.2  </w:t>
      </w:r>
      <w:r>
        <w:rPr>
          <w:rFonts w:hint="eastAsia" w:asciiTheme="minorEastAsia" w:hAnsiTheme="minorEastAsia" w:eastAsiaTheme="minorEastAsia"/>
          <w:color w:val="auto"/>
          <w:kern w:val="0"/>
          <w:highlight w:val="none"/>
        </w:rPr>
        <w:t>评分分值计算保留小数点后两位，小数点后第三位“四舍五入”。</w:t>
      </w:r>
    </w:p>
    <w:p>
      <w:pPr>
        <w:spacing w:line="400" w:lineRule="atLeast"/>
        <w:ind w:firstLine="525" w:firstLineChars="250"/>
        <w:rPr>
          <w:rFonts w:asciiTheme="minorEastAsia" w:hAnsiTheme="minorEastAsia" w:eastAsiaTheme="minorEastAsia"/>
          <w:color w:val="auto"/>
          <w:highlight w:val="none"/>
        </w:rPr>
      </w:pPr>
      <w:r>
        <w:rPr>
          <w:rFonts w:asciiTheme="minorEastAsia" w:hAnsiTheme="minorEastAsia" w:eastAsiaTheme="minorEastAsia"/>
          <w:color w:val="auto"/>
          <w:kern w:val="0"/>
          <w:highlight w:val="none"/>
        </w:rPr>
        <w:t xml:space="preserve">3.2.3  </w:t>
      </w:r>
      <w:r>
        <w:rPr>
          <w:rFonts w:hint="eastAsia" w:asciiTheme="minorEastAsia" w:hAnsiTheme="minorEastAsia" w:eastAsiaTheme="minorEastAsia"/>
          <w:color w:val="auto"/>
          <w:kern w:val="0"/>
          <w:highlight w:val="none"/>
        </w:rPr>
        <w:t>竞选人得分</w:t>
      </w:r>
      <w:r>
        <w:rPr>
          <w:rFonts w:asciiTheme="minorEastAsia" w:hAnsiTheme="minorEastAsia" w:eastAsiaTheme="minorEastAsia"/>
          <w:color w:val="auto"/>
          <w:kern w:val="0"/>
          <w:highlight w:val="none"/>
        </w:rPr>
        <w:t>=A+B</w:t>
      </w:r>
      <w:r>
        <w:rPr>
          <w:rFonts w:hint="eastAsia" w:asciiTheme="minorEastAsia" w:hAnsiTheme="minorEastAsia" w:eastAsiaTheme="minorEastAsia"/>
          <w:color w:val="auto"/>
          <w:kern w:val="0"/>
          <w:highlight w:val="none"/>
        </w:rPr>
        <w:t>+C。</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highlight w:val="none"/>
        </w:rPr>
        <w:t>3.2.4 评选委员会发现竞选人的报价明显低于其他竞选报价，或者在设有标底时明显低于标底，使得其竞选报价可能低于其个别成本的，应当要求该竞选人作出书面说明并提供相应的证明材料。竞选人不能合理说明或者不能提供相应证明材料的，由评选委员会认定该竞选人以低于成本报价竞标，其竞选作否决竞选处理。</w:t>
      </w:r>
    </w:p>
    <w:p>
      <w:pPr>
        <w:adjustRightInd w:val="0"/>
        <w:snapToGrid w:val="0"/>
        <w:spacing w:line="400" w:lineRule="atLeast"/>
        <w:outlineLvl w:val="2"/>
        <w:rPr>
          <w:rFonts w:asciiTheme="minorEastAsia" w:hAnsiTheme="minorEastAsia" w:eastAsiaTheme="minorEastAsia"/>
          <w:b/>
          <w:color w:val="auto"/>
          <w:szCs w:val="21"/>
          <w:highlight w:val="none"/>
        </w:rPr>
      </w:pPr>
      <w:bookmarkStart w:id="190" w:name="_Toc430530507"/>
      <w:bookmarkStart w:id="191" w:name="_Toc277082625"/>
      <w:bookmarkStart w:id="192" w:name="_Toc1528"/>
      <w:bookmarkStart w:id="193" w:name="_Toc287620758"/>
      <w:bookmarkStart w:id="194" w:name="_Toc200513205"/>
      <w:bookmarkStart w:id="195" w:name="_Toc287607819"/>
      <w:bookmarkStart w:id="196" w:name="_Toc224103391"/>
      <w:bookmarkStart w:id="197" w:name="_Toc468346926"/>
      <w:bookmarkStart w:id="198" w:name="_Toc485992288"/>
      <w:r>
        <w:rPr>
          <w:rFonts w:hint="eastAsia" w:asciiTheme="minorEastAsia" w:hAnsiTheme="minorEastAsia" w:eastAsiaTheme="minorEastAsia"/>
          <w:b/>
          <w:color w:val="auto"/>
          <w:szCs w:val="21"/>
          <w:highlight w:val="none"/>
        </w:rPr>
        <w:t>3.3  竞选文件的澄清和补正</w:t>
      </w:r>
      <w:bookmarkEnd w:id="190"/>
      <w:bookmarkEnd w:id="191"/>
      <w:bookmarkEnd w:id="192"/>
      <w:bookmarkEnd w:id="193"/>
      <w:bookmarkEnd w:id="194"/>
      <w:bookmarkEnd w:id="195"/>
      <w:bookmarkEnd w:id="196"/>
      <w:bookmarkEnd w:id="197"/>
      <w:bookmarkEnd w:id="198"/>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3.3.1  在评选过程中，评选委员会可以书面形式要求竞选人对所提交竞选文件中不明确的内容进行书面澄清或说明，或者对细微偏差进行补正。评选委员会不接受竞选人主动提出的澄清、说明或补正。</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3.3.2  澄清、说明和补正不得改变竞选文件的实质性内容（算术性错误修正的除外）。竞选人的书面澄清、说明和补正属于竞选文件的组成部分。</w:t>
      </w:r>
    </w:p>
    <w:p>
      <w:pPr>
        <w:autoSpaceDE w:val="0"/>
        <w:autoSpaceDN w:val="0"/>
        <w:adjustRightInd w:val="0"/>
        <w:snapToGrid w:val="0"/>
        <w:spacing w:line="400" w:lineRule="atLeast"/>
        <w:ind w:left="1" w:firstLine="535" w:firstLineChars="255"/>
        <w:jc w:val="left"/>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3.3.3  评选委员会对竞选人提交的澄清、说明或补正有疑问的，可以要求竞选人进一步澄清、说明或补正，直至满足评选委员会的要求。</w:t>
      </w:r>
    </w:p>
    <w:p>
      <w:pPr>
        <w:adjustRightInd w:val="0"/>
        <w:snapToGrid w:val="0"/>
        <w:spacing w:line="400" w:lineRule="atLeast"/>
        <w:outlineLvl w:val="2"/>
        <w:rPr>
          <w:rFonts w:asciiTheme="minorEastAsia" w:hAnsiTheme="minorEastAsia" w:eastAsiaTheme="minorEastAsia"/>
          <w:b/>
          <w:color w:val="auto"/>
          <w:szCs w:val="21"/>
          <w:highlight w:val="none"/>
        </w:rPr>
      </w:pPr>
      <w:bookmarkStart w:id="199" w:name="_Toc485992289"/>
      <w:bookmarkStart w:id="200" w:name="_Toc430530508"/>
      <w:bookmarkStart w:id="201" w:name="_Toc28067"/>
      <w:bookmarkStart w:id="202" w:name="_Toc224103392"/>
      <w:bookmarkStart w:id="203" w:name="_Toc200513206"/>
      <w:bookmarkStart w:id="204" w:name="_Toc287607820"/>
      <w:bookmarkStart w:id="205" w:name="_Toc277082626"/>
      <w:bookmarkStart w:id="206" w:name="_Toc287620759"/>
      <w:bookmarkStart w:id="207" w:name="_Toc468346927"/>
      <w:r>
        <w:rPr>
          <w:rFonts w:hint="eastAsia" w:asciiTheme="minorEastAsia" w:hAnsiTheme="minorEastAsia" w:eastAsiaTheme="minorEastAsia"/>
          <w:b/>
          <w:color w:val="auto"/>
          <w:szCs w:val="21"/>
          <w:highlight w:val="none"/>
        </w:rPr>
        <w:t>3.4  评选结果</w:t>
      </w:r>
      <w:bookmarkEnd w:id="199"/>
      <w:bookmarkEnd w:id="200"/>
      <w:bookmarkEnd w:id="201"/>
      <w:bookmarkEnd w:id="202"/>
      <w:bookmarkEnd w:id="203"/>
      <w:bookmarkEnd w:id="204"/>
      <w:bookmarkEnd w:id="205"/>
      <w:bookmarkEnd w:id="206"/>
      <w:bookmarkEnd w:id="207"/>
    </w:p>
    <w:p>
      <w:pPr>
        <w:autoSpaceDE w:val="0"/>
        <w:autoSpaceDN w:val="0"/>
        <w:adjustRightInd w:val="0"/>
        <w:snapToGrid w:val="0"/>
        <w:spacing w:line="400" w:lineRule="atLeast"/>
        <w:jc w:val="left"/>
        <w:rPr>
          <w:rFonts w:cs="MingLiU"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 xml:space="preserve">     3.</w:t>
      </w:r>
      <w:r>
        <w:rPr>
          <w:rFonts w:hint="eastAsia" w:asciiTheme="minorEastAsia" w:hAnsiTheme="minorEastAsia" w:eastAsiaTheme="minorEastAsia"/>
          <w:color w:val="auto"/>
          <w:spacing w:val="-1"/>
          <w:kern w:val="0"/>
          <w:szCs w:val="21"/>
          <w:highlight w:val="none"/>
        </w:rPr>
        <w:t>4</w:t>
      </w:r>
      <w:r>
        <w:rPr>
          <w:rFonts w:hint="eastAsia" w:asciiTheme="minorEastAsia" w:hAnsiTheme="minorEastAsia" w:eastAsiaTheme="minorEastAsia"/>
          <w:color w:val="auto"/>
          <w:kern w:val="0"/>
          <w:szCs w:val="21"/>
          <w:highlight w:val="none"/>
        </w:rPr>
        <w:t xml:space="preserve">.1 </w:t>
      </w:r>
      <w:r>
        <w:rPr>
          <w:rFonts w:hint="eastAsia" w:cs="MingLiU" w:asciiTheme="minorEastAsia" w:hAnsiTheme="minorEastAsia" w:eastAsiaTheme="minorEastAsia"/>
          <w:color w:val="auto"/>
          <w:kern w:val="0"/>
          <w:szCs w:val="21"/>
          <w:highlight w:val="none"/>
        </w:rPr>
        <w:t>除第二章“竞选人须知前</w:t>
      </w:r>
      <w:r>
        <w:rPr>
          <w:rFonts w:hint="eastAsia" w:cs="MingLiU" w:asciiTheme="minorEastAsia" w:hAnsiTheme="minorEastAsia" w:eastAsiaTheme="minorEastAsia"/>
          <w:color w:val="auto"/>
          <w:spacing w:val="1"/>
          <w:kern w:val="0"/>
          <w:szCs w:val="21"/>
          <w:highlight w:val="none"/>
        </w:rPr>
        <w:t>附</w:t>
      </w:r>
      <w:r>
        <w:rPr>
          <w:rFonts w:hint="eastAsia" w:cs="MingLiU" w:asciiTheme="minorEastAsia" w:hAnsiTheme="minorEastAsia" w:eastAsiaTheme="minorEastAsia"/>
          <w:color w:val="auto"/>
          <w:kern w:val="0"/>
          <w:szCs w:val="21"/>
          <w:highlight w:val="none"/>
        </w:rPr>
        <w:t>表”授权直</w:t>
      </w:r>
      <w:r>
        <w:rPr>
          <w:rFonts w:hint="eastAsia" w:cs="MingLiU" w:asciiTheme="minorEastAsia" w:hAnsiTheme="minorEastAsia" w:eastAsiaTheme="minorEastAsia"/>
          <w:color w:val="auto"/>
          <w:spacing w:val="1"/>
          <w:kern w:val="0"/>
          <w:szCs w:val="21"/>
          <w:highlight w:val="none"/>
        </w:rPr>
        <w:t>接</w:t>
      </w:r>
      <w:r>
        <w:rPr>
          <w:rFonts w:hint="eastAsia" w:cs="MingLiU" w:asciiTheme="minorEastAsia" w:hAnsiTheme="minorEastAsia" w:eastAsiaTheme="minorEastAsia"/>
          <w:color w:val="auto"/>
          <w:kern w:val="0"/>
          <w:szCs w:val="21"/>
          <w:highlight w:val="none"/>
        </w:rPr>
        <w:t>确定中选人外，评选</w:t>
      </w:r>
      <w:r>
        <w:rPr>
          <w:rFonts w:hint="eastAsia" w:cs="MingLiU" w:asciiTheme="minorEastAsia" w:hAnsiTheme="minorEastAsia" w:eastAsiaTheme="minorEastAsia"/>
          <w:color w:val="auto"/>
          <w:spacing w:val="1"/>
          <w:kern w:val="0"/>
          <w:szCs w:val="21"/>
          <w:highlight w:val="none"/>
        </w:rPr>
        <w:t>委</w:t>
      </w:r>
      <w:r>
        <w:rPr>
          <w:rFonts w:hint="eastAsia" w:cs="MingLiU" w:asciiTheme="minorEastAsia" w:hAnsiTheme="minorEastAsia" w:eastAsiaTheme="minorEastAsia"/>
          <w:color w:val="auto"/>
          <w:kern w:val="0"/>
          <w:szCs w:val="21"/>
          <w:highlight w:val="none"/>
        </w:rPr>
        <w:t>员会按照</w:t>
      </w:r>
      <w:r>
        <w:rPr>
          <w:rFonts w:hint="eastAsia" w:cs="MingLiU" w:asciiTheme="minorEastAsia" w:hAnsiTheme="minorEastAsia" w:eastAsiaTheme="minorEastAsia"/>
          <w:color w:val="auto"/>
          <w:spacing w:val="1"/>
          <w:kern w:val="0"/>
          <w:szCs w:val="21"/>
          <w:highlight w:val="none"/>
        </w:rPr>
        <w:t>得分</w:t>
      </w:r>
      <w:r>
        <w:rPr>
          <w:rFonts w:hint="eastAsia" w:cs="MingLiU" w:asciiTheme="minorEastAsia" w:hAnsiTheme="minorEastAsia" w:eastAsiaTheme="minorEastAsia"/>
          <w:color w:val="auto"/>
          <w:kern w:val="0"/>
          <w:szCs w:val="21"/>
          <w:highlight w:val="none"/>
        </w:rPr>
        <w:t>由高到低的顺序推荐中选候选人。</w:t>
      </w:r>
    </w:p>
    <w:p>
      <w:pPr>
        <w:autoSpaceDE w:val="0"/>
        <w:autoSpaceDN w:val="0"/>
        <w:adjustRightInd w:val="0"/>
        <w:snapToGrid w:val="0"/>
        <w:spacing w:line="400" w:lineRule="atLeast"/>
        <w:jc w:val="left"/>
        <w:rPr>
          <w:rFonts w:asciiTheme="minorEastAsia" w:hAnsiTheme="minorEastAsia" w:eastAsiaTheme="minorEastAsia"/>
          <w:color w:val="auto"/>
          <w:kern w:val="0"/>
          <w:sz w:val="20"/>
          <w:szCs w:val="20"/>
          <w:highlight w:val="none"/>
        </w:rPr>
      </w:pPr>
      <w:r>
        <w:rPr>
          <w:rFonts w:hint="eastAsia" w:asciiTheme="minorEastAsia" w:hAnsiTheme="minorEastAsia" w:eastAsiaTheme="minorEastAsia"/>
          <w:color w:val="auto"/>
          <w:spacing w:val="1"/>
          <w:kern w:val="0"/>
          <w:szCs w:val="21"/>
          <w:highlight w:val="none"/>
        </w:rPr>
        <w:t xml:space="preserve">     3</w:t>
      </w:r>
      <w:r>
        <w:rPr>
          <w:rFonts w:hint="eastAsia" w:asciiTheme="minorEastAsia" w:hAnsiTheme="minorEastAsia" w:eastAsiaTheme="minorEastAsia"/>
          <w:color w:val="auto"/>
          <w:kern w:val="0"/>
          <w:szCs w:val="21"/>
          <w:highlight w:val="none"/>
        </w:rPr>
        <w:t xml:space="preserve">.4.2  </w:t>
      </w:r>
      <w:r>
        <w:rPr>
          <w:rFonts w:hint="eastAsia" w:cs="MingLiU" w:asciiTheme="minorEastAsia" w:hAnsiTheme="minorEastAsia" w:eastAsiaTheme="minorEastAsia"/>
          <w:color w:val="auto"/>
          <w:kern w:val="0"/>
          <w:szCs w:val="21"/>
          <w:highlight w:val="none"/>
        </w:rPr>
        <w:t>评选</w:t>
      </w:r>
      <w:r>
        <w:rPr>
          <w:rFonts w:hint="eastAsia" w:cs="MingLiU" w:asciiTheme="minorEastAsia" w:hAnsiTheme="minorEastAsia" w:eastAsiaTheme="minorEastAsia"/>
          <w:color w:val="auto"/>
          <w:spacing w:val="-1"/>
          <w:kern w:val="0"/>
          <w:szCs w:val="21"/>
          <w:highlight w:val="none"/>
        </w:rPr>
        <w:t>委</w:t>
      </w:r>
      <w:r>
        <w:rPr>
          <w:rFonts w:hint="eastAsia" w:cs="MingLiU" w:asciiTheme="minorEastAsia" w:hAnsiTheme="minorEastAsia" w:eastAsiaTheme="minorEastAsia"/>
          <w:color w:val="auto"/>
          <w:kern w:val="0"/>
          <w:szCs w:val="21"/>
          <w:highlight w:val="none"/>
        </w:rPr>
        <w:t>员会完成评选后，应当向比选人提交书面评选报告。</w:t>
      </w:r>
    </w:p>
    <w:p>
      <w:pPr>
        <w:spacing w:line="400" w:lineRule="atLeast"/>
        <w:rPr>
          <w:rFonts w:asciiTheme="minorEastAsia" w:hAnsiTheme="minorEastAsia" w:eastAsiaTheme="minorEastAsia"/>
          <w:color w:val="auto"/>
          <w:szCs w:val="20"/>
          <w:highlight w:val="none"/>
        </w:rPr>
      </w:pPr>
      <w:r>
        <w:rPr>
          <w:rFonts w:hint="eastAsia" w:asciiTheme="minorEastAsia" w:hAnsiTheme="minorEastAsia" w:eastAsiaTheme="minorEastAsia"/>
          <w:color w:val="auto"/>
          <w:kern w:val="0"/>
          <w:sz w:val="20"/>
          <w:szCs w:val="20"/>
          <w:highlight w:val="none"/>
        </w:rPr>
        <w:br w:type="page"/>
      </w:r>
      <w:r>
        <w:rPr>
          <w:rFonts w:hint="eastAsia" w:asciiTheme="minorEastAsia" w:hAnsiTheme="minorEastAsia" w:eastAsiaTheme="minorEastAsia"/>
          <w:color w:val="auto"/>
          <w:szCs w:val="20"/>
          <w:highlight w:val="none"/>
        </w:rPr>
        <w:t>附件A：否决竞选条件</w:t>
      </w:r>
    </w:p>
    <w:p>
      <w:pPr>
        <w:pStyle w:val="12"/>
        <w:spacing w:line="360" w:lineRule="auto"/>
        <w:rPr>
          <w:rFonts w:asciiTheme="minorEastAsia" w:hAnsiTheme="minorEastAsia"/>
          <w:color w:val="auto"/>
          <w:sz w:val="28"/>
          <w:szCs w:val="28"/>
          <w:highlight w:val="none"/>
          <w:lang w:eastAsia="zh-CN"/>
        </w:rPr>
      </w:pPr>
      <w:bookmarkStart w:id="208" w:name="招标文件03章02评标办法综合评估法02附件02"/>
      <w:bookmarkEnd w:id="208"/>
      <w:bookmarkStart w:id="209" w:name="招标文件04章合同条款及格式"/>
      <w:bookmarkEnd w:id="209"/>
      <w:bookmarkStart w:id="210" w:name="_Toc230410480"/>
      <w:bookmarkStart w:id="211" w:name="_Toc277082627"/>
      <w:r>
        <w:rPr>
          <w:rFonts w:hint="eastAsia" w:asciiTheme="minorEastAsia" w:hAnsiTheme="minorEastAsia"/>
          <w:color w:val="auto"/>
          <w:sz w:val="28"/>
          <w:szCs w:val="28"/>
          <w:highlight w:val="none"/>
          <w:lang w:eastAsia="zh-CN"/>
        </w:rPr>
        <w:t>附件A：综合评估法否决竞选情况一览表</w:t>
      </w:r>
      <w:bookmarkEnd w:id="210"/>
    </w:p>
    <w:p>
      <w:pPr>
        <w:pStyle w:val="12"/>
        <w:spacing w:line="360" w:lineRule="auto"/>
        <w:jc w:val="both"/>
        <w:rPr>
          <w:rFonts w:asciiTheme="minorEastAsia" w:hAnsiTheme="minorEastAsia"/>
          <w:b/>
          <w:color w:val="auto"/>
          <w:sz w:val="24"/>
          <w:highlight w:val="none"/>
          <w:lang w:eastAsia="zh-CN"/>
        </w:rPr>
      </w:pPr>
      <w:r>
        <w:rPr>
          <w:rFonts w:hint="eastAsia" w:asciiTheme="minorEastAsia" w:hAnsiTheme="minorEastAsia"/>
          <w:b/>
          <w:color w:val="auto"/>
          <w:sz w:val="24"/>
          <w:highlight w:val="none"/>
          <w:lang w:eastAsia="zh-CN"/>
        </w:rPr>
        <w:t>一览表否决竞选条件之外的评选委员会不得判为重大偏差。</w:t>
      </w:r>
    </w:p>
    <w:tbl>
      <w:tblPr>
        <w:tblStyle w:val="17"/>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382"/>
        <w:gridCol w:w="6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pPr>
              <w:spacing w:line="360" w:lineRule="auto"/>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比选文件章节号</w:t>
            </w:r>
          </w:p>
        </w:tc>
        <w:tc>
          <w:tcPr>
            <w:tcW w:w="138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条款名称</w:t>
            </w:r>
          </w:p>
        </w:tc>
        <w:tc>
          <w:tcPr>
            <w:tcW w:w="655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否决竞选条件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第二章</w:t>
            </w:r>
          </w:p>
        </w:tc>
        <w:tc>
          <w:tcPr>
            <w:tcW w:w="13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竞选人资质条件、能力和信誉</w:t>
            </w:r>
          </w:p>
        </w:tc>
        <w:tc>
          <w:tcPr>
            <w:tcW w:w="65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只要有一条不满足比选文件第二章竞选人须知前附表要求即为否决竞选。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竞选报价</w:t>
            </w:r>
          </w:p>
        </w:tc>
        <w:tc>
          <w:tcPr>
            <w:tcW w:w="6553" w:type="dxa"/>
            <w:tcBorders>
              <w:top w:val="single" w:color="auto" w:sz="4" w:space="0"/>
              <w:left w:val="single" w:color="000000" w:sz="4" w:space="0"/>
              <w:bottom w:val="single" w:color="000000" w:sz="4" w:space="0"/>
              <w:right w:val="single" w:color="000000" w:sz="4" w:space="0"/>
            </w:tcBorders>
            <w:vAlign w:val="center"/>
          </w:tcPr>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各竞选人所填报的竞选报价不得超过最高限价，否则将作否决竞选处理。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签字盖章要求</w:t>
            </w:r>
          </w:p>
        </w:tc>
        <w:tc>
          <w:tcPr>
            <w:tcW w:w="65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按本章竞选人须知前附表执行</w:t>
            </w:r>
            <w:r>
              <w:rPr>
                <w:rFonts w:hint="eastAsia" w:asciiTheme="minorEastAsia" w:hAnsiTheme="minorEastAsia" w:eastAsiaTheme="minorEastAsia"/>
                <w:color w:val="auto"/>
                <w:kern w:val="0"/>
                <w:szCs w:val="21"/>
                <w:highlight w:val="none"/>
              </w:rPr>
              <w:t>，否则，按</w:t>
            </w:r>
            <w:r>
              <w:rPr>
                <w:rFonts w:hint="eastAsia" w:asciiTheme="minorEastAsia" w:hAnsiTheme="minorEastAsia" w:eastAsiaTheme="minorEastAsia"/>
                <w:b/>
                <w:color w:val="auto"/>
                <w:kern w:val="0"/>
                <w:szCs w:val="21"/>
                <w:highlight w:val="none"/>
              </w:rPr>
              <w:t>否决竞选</w:t>
            </w:r>
            <w:r>
              <w:rPr>
                <w:rFonts w:hint="eastAsia" w:asciiTheme="minorEastAsia" w:hAnsiTheme="minorEastAsia" w:eastAsiaTheme="minorEastAsia"/>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w:t>
            </w: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竞选保证金</w:t>
            </w:r>
          </w:p>
        </w:tc>
        <w:tc>
          <w:tcPr>
            <w:tcW w:w="65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360" w:lineRule="auto"/>
              <w:ind w:firstLine="415" w:firstLineChars="198"/>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按本章竞选人须知前附表执行</w:t>
            </w:r>
            <w:r>
              <w:rPr>
                <w:rFonts w:hint="eastAsia" w:asciiTheme="minorEastAsia" w:hAnsiTheme="minorEastAsia" w:eastAsiaTheme="minorEastAsia"/>
                <w:color w:val="auto"/>
                <w:kern w:val="0"/>
                <w:szCs w:val="21"/>
                <w:highlight w:val="none"/>
              </w:rPr>
              <w:t>，否则，按</w:t>
            </w:r>
            <w:r>
              <w:rPr>
                <w:rFonts w:hint="eastAsia" w:asciiTheme="minorEastAsia" w:hAnsiTheme="minorEastAsia" w:eastAsiaTheme="minorEastAsia"/>
                <w:b/>
                <w:color w:val="auto"/>
                <w:kern w:val="0"/>
                <w:szCs w:val="21"/>
                <w:highlight w:val="none"/>
              </w:rPr>
              <w:t>否决竞选</w:t>
            </w:r>
            <w:r>
              <w:rPr>
                <w:rFonts w:hint="eastAsia" w:asciiTheme="minorEastAsia" w:hAnsiTheme="minorEastAsia" w:eastAsiaTheme="minorEastAsia"/>
                <w:color w:val="auto"/>
                <w:kern w:val="0"/>
                <w:szCs w:val="21"/>
                <w:highlight w:val="none"/>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第三章</w:t>
            </w:r>
          </w:p>
        </w:tc>
        <w:tc>
          <w:tcPr>
            <w:tcW w:w="1382"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初步评审</w:t>
            </w:r>
          </w:p>
        </w:tc>
        <w:tc>
          <w:tcPr>
            <w:tcW w:w="6553"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竞选人有以下情形之一的，</w:t>
            </w:r>
            <w:r>
              <w:rPr>
                <w:rFonts w:hint="eastAsia" w:asciiTheme="minorEastAsia" w:hAnsiTheme="minorEastAsia" w:eastAsiaTheme="minorEastAsia"/>
                <w:color w:val="auto"/>
                <w:kern w:val="0"/>
                <w:szCs w:val="21"/>
                <w:highlight w:val="none"/>
              </w:rPr>
              <w:t>评选</w:t>
            </w:r>
            <w:r>
              <w:rPr>
                <w:rFonts w:asciiTheme="minorEastAsia" w:hAnsiTheme="minorEastAsia" w:eastAsiaTheme="minorEastAsia"/>
                <w:color w:val="auto"/>
                <w:kern w:val="0"/>
                <w:szCs w:val="21"/>
                <w:highlight w:val="none"/>
              </w:rPr>
              <w:t>委员会应当否决其竞选：</w:t>
            </w:r>
          </w:p>
          <w:p>
            <w:pPr>
              <w:spacing w:line="360" w:lineRule="auto"/>
              <w:ind w:firstLine="420" w:firstLineChars="200"/>
              <w:rPr>
                <w:rFonts w:asciiTheme="minorEastAsia" w:hAnsiTheme="minorEastAsia" w:eastAsiaTheme="minorEastAsia"/>
                <w:color w:val="auto"/>
                <w:kern w:val="0"/>
                <w:szCs w:val="21"/>
                <w:highlight w:val="none"/>
              </w:rPr>
            </w:pPr>
            <w:r>
              <w:rPr>
                <w:rFonts w:asciiTheme="minorEastAsia" w:hAnsiTheme="minorEastAsia" w:eastAsiaTheme="minorEastAsia"/>
                <w:color w:val="auto"/>
                <w:kern w:val="0"/>
                <w:szCs w:val="21"/>
                <w:highlight w:val="none"/>
              </w:rPr>
              <w:t>竞选文件没有对比选文件的实质性要求和条件作出响应，或者对比选文件的偏差超出比选文件规定的偏差范围；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szCs w:val="21"/>
                <w:highlight w:val="none"/>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szCs w:val="21"/>
                <w:highlight w:val="none"/>
              </w:rPr>
            </w:pPr>
          </w:p>
        </w:tc>
        <w:tc>
          <w:tcPr>
            <w:tcW w:w="6553" w:type="dxa"/>
            <w:tcBorders>
              <w:top w:val="single" w:color="000000" w:sz="4" w:space="0"/>
              <w:left w:val="single" w:color="000000" w:sz="4" w:space="0"/>
              <w:bottom w:val="single" w:color="000000" w:sz="4" w:space="0"/>
              <w:right w:val="single" w:color="000000" w:sz="4" w:space="0"/>
            </w:tcBorders>
          </w:tcPr>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竞选报价有算术错误的，评选委员会按以下原则对竞选报价进行修正，修正的价格经竞选人书面确认后具有约束力。竞选人不接受修正价格的，其竞选作无效竞选处理。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szCs w:val="21"/>
                <w:highlight w:val="none"/>
              </w:rPr>
            </w:pPr>
          </w:p>
        </w:tc>
        <w:tc>
          <w:tcPr>
            <w:tcW w:w="13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olor w:val="auto"/>
                <w:szCs w:val="21"/>
                <w:highlight w:val="none"/>
              </w:rPr>
            </w:pPr>
          </w:p>
        </w:tc>
        <w:tc>
          <w:tcPr>
            <w:tcW w:w="65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竞选人有以下情形之一的，其竞选作否决竞选处理：</w:t>
            </w:r>
          </w:p>
          <w:p>
            <w:pPr>
              <w:autoSpaceDE w:val="0"/>
              <w:autoSpaceDN w:val="0"/>
              <w:adjustRightInd w:val="0"/>
              <w:snapToGrid w:val="0"/>
              <w:spacing w:line="360" w:lineRule="auto"/>
              <w:ind w:firstLine="315" w:firstLineChars="150"/>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1</w:t>
            </w:r>
            <w:r>
              <w:rPr>
                <w:rFonts w:hint="eastAsia" w:cs="MingLiU" w:asciiTheme="minorEastAsia" w:hAnsiTheme="minorEastAsia" w:eastAsiaTheme="minorEastAsia"/>
                <w:color w:val="auto"/>
                <w:kern w:val="0"/>
                <w:szCs w:val="21"/>
                <w:highlight w:val="none"/>
              </w:rPr>
              <w:t>）第二</w:t>
            </w:r>
            <w:r>
              <w:rPr>
                <w:rFonts w:hint="eastAsia" w:cs="MingLiU" w:asciiTheme="minorEastAsia" w:hAnsiTheme="minorEastAsia" w:eastAsiaTheme="minorEastAsia"/>
                <w:color w:val="auto"/>
                <w:spacing w:val="-1"/>
                <w:kern w:val="0"/>
                <w:szCs w:val="21"/>
                <w:highlight w:val="none"/>
              </w:rPr>
              <w:t>章</w:t>
            </w:r>
            <w:r>
              <w:rPr>
                <w:rFonts w:hint="eastAsia" w:cs="MingLiU" w:asciiTheme="minorEastAsia" w:hAnsiTheme="minorEastAsia" w:eastAsiaTheme="minorEastAsia"/>
                <w:color w:val="auto"/>
                <w:kern w:val="0"/>
                <w:szCs w:val="21"/>
                <w:highlight w:val="none"/>
              </w:rPr>
              <w:t>“竞选人须知前附表”规定的任何一种情形的；</w:t>
            </w:r>
          </w:p>
          <w:p>
            <w:pPr>
              <w:autoSpaceDE w:val="0"/>
              <w:autoSpaceDN w:val="0"/>
              <w:adjustRightInd w:val="0"/>
              <w:snapToGrid w:val="0"/>
              <w:spacing w:line="360" w:lineRule="auto"/>
              <w:ind w:firstLine="315" w:firstLineChars="150"/>
              <w:jc w:val="left"/>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2</w:t>
            </w:r>
            <w:r>
              <w:rPr>
                <w:rFonts w:hint="eastAsia" w:cs="MingLiU" w:asciiTheme="minorEastAsia" w:hAnsiTheme="minorEastAsia" w:eastAsiaTheme="minorEastAsia"/>
                <w:color w:val="auto"/>
                <w:kern w:val="0"/>
                <w:szCs w:val="21"/>
                <w:highlight w:val="none"/>
              </w:rPr>
              <w:t>）串通</w:t>
            </w:r>
            <w:r>
              <w:rPr>
                <w:rFonts w:hint="eastAsia" w:cs="MingLiU" w:asciiTheme="minorEastAsia" w:hAnsiTheme="minorEastAsia" w:eastAsiaTheme="minorEastAsia"/>
                <w:color w:val="auto"/>
                <w:spacing w:val="-1"/>
                <w:kern w:val="0"/>
                <w:szCs w:val="21"/>
                <w:highlight w:val="none"/>
              </w:rPr>
              <w:t>竞选</w:t>
            </w:r>
            <w:r>
              <w:rPr>
                <w:rFonts w:hint="eastAsia" w:cs="MingLiU" w:asciiTheme="minorEastAsia" w:hAnsiTheme="minorEastAsia" w:eastAsiaTheme="minorEastAsia"/>
                <w:color w:val="auto"/>
                <w:kern w:val="0"/>
                <w:szCs w:val="21"/>
                <w:highlight w:val="none"/>
              </w:rPr>
              <w:t>或弄虚作假或有其他违法行为的；</w:t>
            </w:r>
          </w:p>
          <w:p>
            <w:pPr>
              <w:spacing w:line="360" w:lineRule="auto"/>
              <w:ind w:firstLine="315" w:firstLineChars="150"/>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w:t>
            </w:r>
            <w:r>
              <w:rPr>
                <w:rFonts w:hint="eastAsia" w:asciiTheme="minorEastAsia" w:hAnsiTheme="minorEastAsia" w:eastAsiaTheme="minorEastAsia"/>
                <w:color w:val="auto"/>
                <w:spacing w:val="1"/>
                <w:kern w:val="0"/>
                <w:szCs w:val="21"/>
                <w:highlight w:val="none"/>
              </w:rPr>
              <w:t>3</w:t>
            </w:r>
            <w:r>
              <w:rPr>
                <w:rFonts w:hint="eastAsia" w:cs="MingLiU" w:asciiTheme="minorEastAsia" w:hAnsiTheme="minorEastAsia" w:eastAsiaTheme="minorEastAsia"/>
                <w:color w:val="auto"/>
                <w:kern w:val="0"/>
                <w:szCs w:val="21"/>
                <w:highlight w:val="none"/>
              </w:rPr>
              <w:t>）不按</w:t>
            </w:r>
            <w:r>
              <w:rPr>
                <w:rFonts w:hint="eastAsia" w:cs="MingLiU" w:asciiTheme="minorEastAsia" w:hAnsiTheme="minorEastAsia" w:eastAsiaTheme="minorEastAsia"/>
                <w:color w:val="auto"/>
                <w:spacing w:val="-1"/>
                <w:kern w:val="0"/>
                <w:szCs w:val="21"/>
                <w:highlight w:val="none"/>
              </w:rPr>
              <w:t>评选</w:t>
            </w:r>
            <w:r>
              <w:rPr>
                <w:rFonts w:hint="eastAsia" w:cs="MingLiU" w:asciiTheme="minorEastAsia" w:hAnsiTheme="minorEastAsia" w:eastAsiaTheme="minorEastAsia"/>
                <w:color w:val="auto"/>
                <w:kern w:val="0"/>
                <w:szCs w:val="21"/>
                <w:highlight w:val="none"/>
              </w:rPr>
              <w:t>委员会要求澄清、说明或补正的。</w:t>
            </w:r>
          </w:p>
          <w:p>
            <w:pPr>
              <w:spacing w:line="360" w:lineRule="auto"/>
              <w:ind w:firstLine="315" w:firstLineChars="150"/>
              <w:rPr>
                <w:rFonts w:cs="MingLiU" w:asciiTheme="minorEastAsia" w:hAnsiTheme="minorEastAsia" w:eastAsiaTheme="minorEastAsia"/>
                <w:color w:val="auto"/>
                <w:kern w:val="0"/>
                <w:szCs w:val="21"/>
                <w:highlight w:val="none"/>
              </w:rPr>
            </w:pPr>
            <w:r>
              <w:rPr>
                <w:rFonts w:hint="eastAsia" w:cs="MingLiU" w:asciiTheme="minorEastAsia" w:hAnsiTheme="minorEastAsia" w:eastAsiaTheme="minorEastAsia"/>
                <w:color w:val="auto"/>
                <w:kern w:val="0"/>
                <w:szCs w:val="21"/>
                <w:highlight w:val="none"/>
              </w:rPr>
              <w:t>（4）恶意低价竞选的</w:t>
            </w:r>
          </w:p>
          <w:p>
            <w:pPr>
              <w:spacing w:line="360" w:lineRule="auto"/>
              <w:ind w:firstLine="315" w:firstLineChars="150"/>
              <w:rPr>
                <w:rFonts w:asciiTheme="minorEastAsia" w:hAnsiTheme="minorEastAsia" w:eastAsiaTheme="minorEastAsia"/>
                <w:color w:val="auto"/>
                <w:sz w:val="18"/>
                <w:szCs w:val="18"/>
                <w:highlight w:val="none"/>
              </w:rPr>
            </w:pPr>
            <w:r>
              <w:rPr>
                <w:rFonts w:hint="eastAsia" w:cs="MingLiU" w:asciiTheme="minorEastAsia" w:hAnsiTheme="minorEastAsia" w:eastAsiaTheme="minorEastAsia"/>
                <w:color w:val="auto"/>
                <w:kern w:val="0"/>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竞标，其竞选作否决竞选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第三章</w:t>
            </w:r>
          </w:p>
          <w:p>
            <w:pPr>
              <w:spacing w:line="360" w:lineRule="auto"/>
              <w:jc w:val="center"/>
              <w:rPr>
                <w:rFonts w:asciiTheme="minorEastAsia" w:hAnsiTheme="minorEastAsia" w:eastAsiaTheme="minorEastAsia"/>
                <w:color w:val="auto"/>
                <w:szCs w:val="21"/>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详细评审</w:t>
            </w:r>
          </w:p>
        </w:tc>
        <w:tc>
          <w:tcPr>
            <w:tcW w:w="65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ind w:firstLine="420" w:firstLineChars="200"/>
              <w:jc w:val="left"/>
              <w:rPr>
                <w:rFonts w:cs="MingLiU" w:asciiTheme="minorEastAsia" w:hAnsiTheme="minorEastAsia" w:eastAsiaTheme="minorEastAsia"/>
                <w:color w:val="auto"/>
                <w:kern w:val="0"/>
                <w:sz w:val="18"/>
                <w:szCs w:val="18"/>
                <w:highlight w:val="none"/>
              </w:rPr>
            </w:pPr>
            <w:r>
              <w:rPr>
                <w:rFonts w:hint="eastAsia" w:asciiTheme="minorEastAsia" w:hAnsiTheme="minorEastAsia" w:eastAsiaTheme="minorEastAsia"/>
                <w:color w:val="auto"/>
                <w:szCs w:val="21"/>
                <w:highlight w:val="none"/>
              </w:rPr>
              <w:t>评选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选委员会认定该竞选人以低于成本报价竞标，其竞选作否决竞选处理。</w:t>
            </w:r>
          </w:p>
        </w:tc>
      </w:tr>
      <w:bookmarkEnd w:id="211"/>
    </w:tbl>
    <w:p>
      <w:pPr>
        <w:rPr>
          <w:rFonts w:asciiTheme="minorEastAsia" w:hAnsiTheme="minorEastAsia" w:eastAsiaTheme="minorEastAsia"/>
          <w:color w:val="auto"/>
          <w:highlight w:val="none"/>
        </w:rPr>
      </w:pPr>
    </w:p>
    <w:p>
      <w:pPr>
        <w:spacing w:line="500" w:lineRule="exact"/>
        <w:rPr>
          <w:rFonts w:cs="宋体" w:asciiTheme="minorEastAsia" w:hAnsiTheme="minorEastAsia" w:eastAsiaTheme="minorEastAsia"/>
          <w:color w:val="auto"/>
          <w:szCs w:val="20"/>
          <w:highlight w:val="none"/>
        </w:rPr>
      </w:pPr>
    </w:p>
    <w:p>
      <w:pPr>
        <w:spacing w:line="500" w:lineRule="exact"/>
        <w:rPr>
          <w:rFonts w:cs="宋体" w:asciiTheme="minorEastAsia" w:hAnsiTheme="minorEastAsia" w:eastAsiaTheme="minorEastAsia"/>
          <w:color w:val="auto"/>
          <w:szCs w:val="20"/>
          <w:highlight w:val="none"/>
        </w:rPr>
        <w:sectPr>
          <w:headerReference r:id="rId7" w:type="default"/>
          <w:footerReference r:id="rId8" w:type="default"/>
          <w:footerReference r:id="rId9" w:type="even"/>
          <w:pgSz w:w="11906" w:h="16838"/>
          <w:pgMar w:top="1418" w:right="1361" w:bottom="1276" w:left="1418" w:header="851" w:footer="992" w:gutter="0"/>
          <w:cols w:space="720" w:num="1"/>
          <w:docGrid w:linePitch="312" w:charSpace="0"/>
        </w:sectPr>
      </w:pPr>
    </w:p>
    <w:bookmarkEnd w:id="126"/>
    <w:p>
      <w:pPr>
        <w:adjustRightInd w:val="0"/>
        <w:spacing w:line="500" w:lineRule="exact"/>
        <w:rPr>
          <w:rFonts w:cs="Arial" w:asciiTheme="minorEastAsia" w:hAnsiTheme="minorEastAsia" w:eastAsiaTheme="minorEastAsia"/>
          <w:color w:val="auto"/>
          <w:sz w:val="28"/>
          <w:szCs w:val="28"/>
          <w:highlight w:val="none"/>
        </w:rPr>
      </w:pPr>
    </w:p>
    <w:p>
      <w:pPr>
        <w:spacing w:line="360" w:lineRule="auto"/>
        <w:jc w:val="center"/>
        <w:outlineLvl w:val="0"/>
        <w:rPr>
          <w:rFonts w:asciiTheme="minorEastAsia" w:hAnsiTheme="minorEastAsia" w:eastAsiaTheme="minorEastAsia"/>
          <w:color w:val="auto"/>
          <w:sz w:val="44"/>
          <w:szCs w:val="44"/>
          <w:highlight w:val="none"/>
        </w:rPr>
      </w:pPr>
      <w:bookmarkStart w:id="212" w:name="_Toc485992290"/>
      <w:bookmarkStart w:id="213" w:name="_Toc430530509"/>
      <w:bookmarkStart w:id="214" w:name="_Toc468346928"/>
      <w:bookmarkStart w:id="215" w:name="_Toc13139"/>
      <w:r>
        <w:rPr>
          <w:rFonts w:hint="eastAsia" w:asciiTheme="minorEastAsia" w:hAnsiTheme="minorEastAsia" w:eastAsiaTheme="minorEastAsia"/>
          <w:color w:val="auto"/>
          <w:sz w:val="44"/>
          <w:szCs w:val="44"/>
          <w:highlight w:val="none"/>
        </w:rPr>
        <w:t>第四章 合同条款及格式</w:t>
      </w:r>
      <w:bookmarkEnd w:id="212"/>
      <w:bookmarkEnd w:id="213"/>
      <w:bookmarkEnd w:id="214"/>
      <w:bookmarkEnd w:id="215"/>
    </w:p>
    <w:p>
      <w:pPr>
        <w:snapToGrid w:val="0"/>
        <w:spacing w:after="120" w:line="380" w:lineRule="exact"/>
        <w:jc w:val="center"/>
        <w:rPr>
          <w:rFonts w:hint="eastAsia" w:ascii="黑体" w:hAnsi="黑体" w:eastAsia="黑体"/>
          <w:b/>
          <w:color w:val="auto"/>
          <w:sz w:val="36"/>
          <w:szCs w:val="36"/>
        </w:rPr>
      </w:pPr>
    </w:p>
    <w:p>
      <w:pPr>
        <w:snapToGrid w:val="0"/>
        <w:spacing w:after="120" w:line="380" w:lineRule="exact"/>
        <w:jc w:val="center"/>
        <w:rPr>
          <w:rFonts w:hint="eastAsia" w:ascii="楷体_GB2312" w:eastAsia="楷体_GB2312"/>
          <w:color w:val="auto"/>
          <w:sz w:val="24"/>
        </w:rPr>
      </w:pPr>
      <w:r>
        <w:rPr>
          <w:rFonts w:hint="eastAsia" w:ascii="黑体" w:hAnsi="黑体" w:eastAsia="黑体"/>
          <w:b w:val="0"/>
          <w:bCs/>
          <w:color w:val="auto"/>
          <w:sz w:val="36"/>
          <w:szCs w:val="36"/>
        </w:rPr>
        <w:t>民事法律事务委托代理合同</w:t>
      </w:r>
    </w:p>
    <w:p>
      <w:pPr>
        <w:snapToGrid w:val="0"/>
        <w:spacing w:before="120" w:beforeLines="50" w:after="120" w:afterLines="50" w:line="360" w:lineRule="auto"/>
        <w:ind w:firstLine="562" w:firstLineChars="200"/>
        <w:rPr>
          <w:rFonts w:hint="eastAsia" w:ascii="仿宋" w:hAnsi="仿宋" w:eastAsia="仿宋" w:cs="仿宋"/>
          <w:b/>
          <w:bCs/>
          <w:color w:val="auto"/>
          <w:sz w:val="28"/>
          <w:szCs w:val="28"/>
        </w:rPr>
      </w:pPr>
    </w:p>
    <w:p>
      <w:pPr>
        <w:snapToGrid w:val="0"/>
        <w:spacing w:before="120" w:beforeLines="50" w:after="120" w:afterLines="50"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委托人（以下称甲方）：</w:t>
      </w:r>
    </w:p>
    <w:p>
      <w:pPr>
        <w:pStyle w:val="13"/>
        <w:spacing w:before="120" w:beforeLines="50" w:after="120" w:afterLines="50" w:line="360" w:lineRule="auto"/>
        <w:ind w:firstLine="562" w:firstLineChars="200"/>
        <w:rPr>
          <w:rFonts w:hint="eastAsia" w:ascii="仿宋" w:hAnsi="仿宋" w:eastAsia="仿宋" w:cs="仿宋"/>
          <w:color w:val="auto"/>
          <w:sz w:val="28"/>
          <w:szCs w:val="28"/>
        </w:rPr>
      </w:pPr>
      <w:r>
        <w:rPr>
          <w:rFonts w:hint="eastAsia" w:ascii="仿宋" w:hAnsi="仿宋" w:eastAsia="仿宋" w:cs="仿宋"/>
          <w:b/>
          <w:bCs/>
          <w:color w:val="auto"/>
          <w:sz w:val="28"/>
          <w:szCs w:val="28"/>
        </w:rPr>
        <w:t>受托人（以下称乙方）：</w:t>
      </w:r>
    </w:p>
    <w:p>
      <w:pPr>
        <w:pStyle w:val="13"/>
        <w:spacing w:before="120" w:beforeLines="50" w:after="120" w:afterLines="50" w:line="360" w:lineRule="auto"/>
        <w:ind w:firstLine="560" w:firstLineChars="200"/>
        <w:rPr>
          <w:rFonts w:hint="eastAsia" w:ascii="Times New Roman" w:eastAsia="仿宋" w:cs="仿宋"/>
          <w:color w:val="auto"/>
          <w:sz w:val="28"/>
          <w:szCs w:val="28"/>
        </w:rPr>
      </w:pPr>
      <w:r>
        <w:rPr>
          <w:rFonts w:hint="eastAsia" w:ascii="Times New Roman" w:eastAsia="仿宋" w:cs="仿宋"/>
          <w:color w:val="auto"/>
          <w:sz w:val="28"/>
          <w:szCs w:val="28"/>
        </w:rPr>
        <w:t>根据《中华人民共和国</w:t>
      </w:r>
      <w:r>
        <w:rPr>
          <w:rFonts w:hint="eastAsia" w:ascii="Times New Roman" w:eastAsia="仿宋" w:cs="仿宋"/>
          <w:color w:val="auto"/>
          <w:sz w:val="28"/>
          <w:szCs w:val="28"/>
          <w:lang w:val="en-US" w:eastAsia="zh-CN"/>
        </w:rPr>
        <w:t>民法典</w:t>
      </w:r>
      <w:r>
        <w:rPr>
          <w:rFonts w:hint="eastAsia" w:ascii="Times New Roman" w:eastAsia="仿宋" w:cs="仿宋"/>
          <w:color w:val="auto"/>
          <w:sz w:val="28"/>
          <w:szCs w:val="28"/>
        </w:rPr>
        <w:t>》《中华人民共和国律师法》等法律法规的规定，甲方涉及民事法律事务委托乙方代理。甲、乙双方经协商，特签订本合同，以便双方共同遵守。</w:t>
      </w:r>
    </w:p>
    <w:p>
      <w:pPr>
        <w:snapToGrid w:val="0"/>
        <w:spacing w:before="120" w:beforeLines="50" w:after="120" w:afterLines="50" w:line="360" w:lineRule="auto"/>
        <w:ind w:firstLine="562" w:firstLineChars="200"/>
        <w:rPr>
          <w:rFonts w:hint="eastAsia" w:eastAsia="仿宋" w:cs="仿宋"/>
          <w:b/>
          <w:color w:val="auto"/>
          <w:sz w:val="28"/>
          <w:szCs w:val="28"/>
        </w:rPr>
      </w:pPr>
      <w:r>
        <w:rPr>
          <w:rFonts w:hint="eastAsia" w:eastAsia="仿宋" w:cs="仿宋"/>
          <w:b/>
          <w:color w:val="auto"/>
          <w:sz w:val="28"/>
          <w:szCs w:val="28"/>
        </w:rPr>
        <w:t>第一条：委托事项和委托权限</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甲方因与</w:t>
      </w:r>
      <w:r>
        <w:rPr>
          <w:rFonts w:hint="eastAsia" w:eastAsia="仿宋" w:cs="仿宋"/>
          <w:color w:val="auto"/>
          <w:sz w:val="28"/>
          <w:szCs w:val="28"/>
          <w:u w:val="single"/>
        </w:rPr>
        <w:t xml:space="preserve">                          </w:t>
      </w:r>
      <w:r>
        <w:rPr>
          <w:rFonts w:hint="eastAsia" w:eastAsia="仿宋" w:cs="仿宋"/>
          <w:color w:val="auto"/>
          <w:sz w:val="28"/>
          <w:szCs w:val="28"/>
        </w:rPr>
        <w:t>纠纷一案（以下简称本案），委托乙方代理本案</w:t>
      </w:r>
      <w:r>
        <w:rPr>
          <w:rFonts w:hint="eastAsia" w:eastAsia="仿宋" w:cs="仿宋"/>
          <w:color w:val="auto"/>
          <w:sz w:val="28"/>
          <w:szCs w:val="28"/>
          <w:u w:val="single"/>
        </w:rPr>
        <w:t xml:space="preserve">            </w:t>
      </w:r>
      <w:r>
        <w:rPr>
          <w:rFonts w:hint="eastAsia" w:eastAsia="仿宋" w:cs="仿宋"/>
          <w:color w:val="auto"/>
          <w:sz w:val="28"/>
          <w:szCs w:val="28"/>
        </w:rPr>
        <w:t>程序。委托权限详见授权委托书。</w:t>
      </w:r>
    </w:p>
    <w:p>
      <w:pPr>
        <w:snapToGrid w:val="0"/>
        <w:spacing w:before="120" w:beforeLines="50" w:after="120" w:afterLines="50" w:line="360" w:lineRule="auto"/>
        <w:ind w:firstLine="562" w:firstLineChars="200"/>
        <w:rPr>
          <w:rFonts w:hint="eastAsia" w:eastAsia="仿宋" w:cs="仿宋"/>
          <w:b/>
          <w:color w:val="auto"/>
          <w:sz w:val="28"/>
          <w:szCs w:val="28"/>
        </w:rPr>
      </w:pPr>
      <w:r>
        <w:rPr>
          <w:rFonts w:hint="eastAsia" w:eastAsia="仿宋" w:cs="仿宋"/>
          <w:b/>
          <w:color w:val="auto"/>
          <w:sz w:val="28"/>
          <w:szCs w:val="28"/>
        </w:rPr>
        <w:t>第二条;承办律师</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乙方指派</w:t>
      </w:r>
      <w:r>
        <w:rPr>
          <w:rFonts w:hint="eastAsia" w:eastAsia="仿宋" w:cs="仿宋"/>
          <w:color w:val="auto"/>
          <w:sz w:val="28"/>
          <w:szCs w:val="28"/>
          <w:u w:val="single"/>
        </w:rPr>
        <w:t xml:space="preserve">          </w:t>
      </w:r>
      <w:r>
        <w:rPr>
          <w:rFonts w:hint="eastAsia" w:eastAsia="仿宋" w:cs="仿宋"/>
          <w:color w:val="auto"/>
          <w:sz w:val="28"/>
          <w:szCs w:val="28"/>
        </w:rPr>
        <w:t>律师为甲方委托代理人，甲方同意乙方的指派。</w:t>
      </w:r>
    </w:p>
    <w:p>
      <w:pPr>
        <w:snapToGrid w:val="0"/>
        <w:spacing w:before="120" w:beforeLines="50" w:after="120" w:afterLines="50" w:line="360" w:lineRule="auto"/>
        <w:ind w:firstLine="562" w:firstLineChars="200"/>
        <w:rPr>
          <w:rFonts w:hint="eastAsia" w:eastAsia="仿宋" w:cs="仿宋"/>
          <w:b/>
          <w:bCs/>
          <w:color w:val="auto"/>
          <w:sz w:val="28"/>
          <w:szCs w:val="28"/>
        </w:rPr>
      </w:pPr>
      <w:r>
        <w:rPr>
          <w:rFonts w:hint="eastAsia" w:eastAsia="仿宋" w:cs="仿宋"/>
          <w:b/>
          <w:bCs/>
          <w:color w:val="auto"/>
          <w:sz w:val="28"/>
          <w:szCs w:val="28"/>
        </w:rPr>
        <w:t>第三条:律师服务费、差旅费和其他费用</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3.1 律师服务费为甲方应向乙方支付的律师代理费。</w:t>
      </w:r>
    </w:p>
    <w:p>
      <w:pPr>
        <w:snapToGrid w:val="0"/>
        <w:spacing w:before="120" w:beforeLines="50" w:after="120" w:afterLines="50" w:line="360" w:lineRule="auto"/>
        <w:ind w:firstLine="560" w:firstLineChars="200"/>
        <w:jc w:val="left"/>
        <w:rPr>
          <w:rFonts w:hint="eastAsia" w:eastAsia="仿宋" w:cs="仿宋"/>
          <w:color w:val="auto"/>
          <w:sz w:val="28"/>
          <w:szCs w:val="28"/>
        </w:rPr>
      </w:pPr>
      <w:r>
        <w:rPr>
          <w:rFonts w:hint="eastAsia" w:eastAsia="仿宋" w:cs="仿宋"/>
          <w:color w:val="auto"/>
          <w:sz w:val="28"/>
          <w:szCs w:val="28"/>
        </w:rPr>
        <w:t>双方一致同意按</w:t>
      </w:r>
      <w:r>
        <w:rPr>
          <w:rFonts w:hint="eastAsia" w:eastAsia="仿宋" w:cs="仿宋"/>
          <w:color w:val="auto"/>
          <w:sz w:val="28"/>
          <w:szCs w:val="28"/>
          <w:u w:val="single"/>
        </w:rPr>
        <w:t xml:space="preserve">            </w:t>
      </w:r>
      <w:r>
        <w:rPr>
          <w:rFonts w:hint="eastAsia" w:eastAsia="仿宋" w:cs="仿宋"/>
          <w:color w:val="auto"/>
          <w:sz w:val="28"/>
          <w:szCs w:val="28"/>
        </w:rPr>
        <w:t xml:space="preserve"> 方式计收律师服务费。</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（1）本合同项下律师服务费为人民币</w:t>
      </w:r>
      <w:r>
        <w:rPr>
          <w:rFonts w:eastAsia="仿宋"/>
          <w:color w:val="auto"/>
          <w:sz w:val="28"/>
          <w:szCs w:val="28"/>
          <w:u w:val="single"/>
        </w:rPr>
        <w:t xml:space="preserve">          </w:t>
      </w:r>
      <w:r>
        <w:rPr>
          <w:rFonts w:hint="eastAsia" w:eastAsia="仿宋" w:cs="仿宋"/>
          <w:color w:val="auto"/>
          <w:sz w:val="28"/>
          <w:szCs w:val="28"/>
        </w:rPr>
        <w:t>元（大写：</w:t>
      </w:r>
      <w:r>
        <w:rPr>
          <w:rFonts w:hint="eastAsia" w:eastAsia="仿宋" w:cs="仿宋"/>
          <w:color w:val="auto"/>
          <w:sz w:val="28"/>
          <w:szCs w:val="28"/>
          <w:u w:val="single"/>
        </w:rPr>
        <w:t xml:space="preserve">                  </w:t>
      </w:r>
      <w:r>
        <w:rPr>
          <w:rFonts w:hint="eastAsia" w:eastAsia="仿宋" w:cs="仿宋"/>
          <w:color w:val="auto"/>
          <w:sz w:val="28"/>
          <w:szCs w:val="28"/>
        </w:rPr>
        <w:t>）。</w:t>
      </w:r>
    </w:p>
    <w:p>
      <w:pPr>
        <w:snapToGrid w:val="0"/>
        <w:spacing w:before="120" w:beforeLines="50" w:after="120" w:afterLines="50" w:line="360" w:lineRule="auto"/>
        <w:ind w:firstLine="560" w:firstLineChars="200"/>
        <w:rPr>
          <w:rFonts w:hint="eastAsia" w:eastAsia="仿宋" w:cs="仿宋"/>
          <w:color w:val="auto"/>
          <w:sz w:val="28"/>
          <w:szCs w:val="28"/>
          <w:u w:val="single"/>
        </w:rPr>
      </w:pPr>
      <w:r>
        <w:rPr>
          <w:rFonts w:hint="eastAsia" w:eastAsia="仿宋" w:cs="仿宋"/>
          <w:color w:val="auto"/>
          <w:sz w:val="28"/>
          <w:szCs w:val="28"/>
        </w:rPr>
        <w:t>（2）</w:t>
      </w:r>
      <w:r>
        <w:rPr>
          <w:rFonts w:hint="eastAsia" w:eastAsia="仿宋" w:cs="仿宋"/>
          <w:color w:val="auto"/>
          <w:sz w:val="28"/>
          <w:szCs w:val="28"/>
          <w:u w:val="single"/>
        </w:rPr>
        <w:t xml:space="preserve">                                                            </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双方确认上列（2）风险代理费（若有）的给付义务不受本案处理方式的限制，即无论本案最终是以判决或是调解或是和解或是甲方撤诉的方式，只要最终的处理结果达成了上列风险代理费的给付条件，甲方即应支付风险代理费。</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3.2 在重庆市区（仅指渝中区、江北区、沙坪坝区、南岸区、九龙坡区、大渡口区、渝北区、巴南区、北碚区，下同）内办理甲方委托的法律事务，实行包干制。</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3.3 乙方律师在办理甲方委托的法律事务过程中发生的鉴定费、公证费、公告费、查档费、查档材料复印费、阅卷材料复印费、特快专递费、国际电话费、专家论证会费等费用，实行包干制。</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3.</w:t>
      </w:r>
      <w:r>
        <w:rPr>
          <w:rFonts w:hint="eastAsia" w:eastAsia="仿宋" w:cs="仿宋"/>
          <w:color w:val="auto"/>
          <w:sz w:val="28"/>
          <w:szCs w:val="28"/>
          <w:lang w:val="en-US" w:eastAsia="zh-CN"/>
        </w:rPr>
        <w:t>4</w:t>
      </w:r>
      <w:r>
        <w:rPr>
          <w:rFonts w:hint="eastAsia" w:eastAsia="仿宋" w:cs="仿宋"/>
          <w:color w:val="auto"/>
          <w:sz w:val="28"/>
          <w:szCs w:val="28"/>
        </w:rPr>
        <w:t>甲方只能将本合同约定的款项支付至本合同第三条第3.</w:t>
      </w:r>
      <w:r>
        <w:rPr>
          <w:rFonts w:hint="eastAsia" w:eastAsia="仿宋" w:cs="仿宋"/>
          <w:color w:val="auto"/>
          <w:sz w:val="28"/>
          <w:szCs w:val="28"/>
          <w:lang w:val="en-US" w:eastAsia="zh-CN"/>
        </w:rPr>
        <w:t>5</w:t>
      </w:r>
      <w:r>
        <w:rPr>
          <w:rFonts w:hint="eastAsia" w:eastAsia="仿宋" w:cs="仿宋"/>
          <w:color w:val="auto"/>
          <w:sz w:val="28"/>
          <w:szCs w:val="28"/>
        </w:rPr>
        <w:t>款指定的银行账户。甲方不能向乙方承办律师或助理等任何个人直接支付任何费用</w:t>
      </w:r>
      <w:r>
        <w:rPr>
          <w:rFonts w:hint="eastAsia" w:eastAsia="仿宋" w:cs="仿宋"/>
          <w:color w:val="auto"/>
          <w:sz w:val="28"/>
          <w:szCs w:val="28"/>
          <w:lang w:eastAsia="zh-CN"/>
        </w:rPr>
        <w:t>，</w:t>
      </w:r>
      <w:r>
        <w:rPr>
          <w:rFonts w:hint="eastAsia" w:eastAsia="仿宋" w:cs="仿宋"/>
          <w:color w:val="auto"/>
          <w:sz w:val="28"/>
          <w:szCs w:val="28"/>
        </w:rPr>
        <w:t>甲方也无须向乙方承办律师支付额外的报酬。甲方不得将案件的诉讼费用、仲裁费用、保全费用、保全担保费等向第三方缴纳的费用支付给乙方的经办人员。</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3.</w:t>
      </w:r>
      <w:r>
        <w:rPr>
          <w:rFonts w:hint="eastAsia" w:eastAsia="仿宋" w:cs="仿宋"/>
          <w:color w:val="auto"/>
          <w:sz w:val="28"/>
          <w:szCs w:val="28"/>
          <w:lang w:val="en-US" w:eastAsia="zh-CN"/>
        </w:rPr>
        <w:t>5</w:t>
      </w:r>
      <w:r>
        <w:rPr>
          <w:rFonts w:hint="eastAsia" w:eastAsia="仿宋" w:cs="仿宋"/>
          <w:color w:val="auto"/>
          <w:sz w:val="28"/>
          <w:szCs w:val="28"/>
        </w:rPr>
        <w:t>乙方收款账户。乙方户名：</w:t>
      </w:r>
      <w:r>
        <w:rPr>
          <w:rFonts w:hint="eastAsia" w:eastAsia="仿宋" w:cs="仿宋"/>
          <w:color w:val="auto"/>
          <w:sz w:val="28"/>
          <w:szCs w:val="28"/>
          <w:lang w:val="en-US" w:eastAsia="zh-CN"/>
        </w:rPr>
        <w:t xml:space="preserve">             </w:t>
      </w:r>
      <w:r>
        <w:rPr>
          <w:rFonts w:hint="eastAsia" w:eastAsia="仿宋" w:cs="仿宋"/>
          <w:color w:val="auto"/>
          <w:sz w:val="28"/>
          <w:szCs w:val="28"/>
        </w:rPr>
        <w:t>；乙方开户银行：</w:t>
      </w:r>
      <w:r>
        <w:rPr>
          <w:rFonts w:hint="eastAsia" w:eastAsia="仿宋" w:cs="仿宋"/>
          <w:color w:val="auto"/>
          <w:sz w:val="28"/>
          <w:szCs w:val="28"/>
          <w:lang w:val="en-US" w:eastAsia="zh-CN"/>
        </w:rPr>
        <w:t xml:space="preserve">          </w:t>
      </w:r>
      <w:r>
        <w:rPr>
          <w:rFonts w:hint="eastAsia" w:eastAsia="仿宋" w:cs="仿宋"/>
          <w:color w:val="auto"/>
          <w:sz w:val="28"/>
          <w:szCs w:val="28"/>
        </w:rPr>
        <w:t>；乙方银行账号：</w:t>
      </w:r>
      <w:r>
        <w:rPr>
          <w:rFonts w:hint="eastAsia" w:eastAsia="仿宋" w:cs="仿宋"/>
          <w:color w:val="auto"/>
          <w:sz w:val="28"/>
          <w:szCs w:val="28"/>
          <w:lang w:val="en-US" w:eastAsia="zh-CN"/>
        </w:rPr>
        <w:t xml:space="preserve">              </w:t>
      </w:r>
      <w:r>
        <w:rPr>
          <w:rFonts w:hint="eastAsia" w:eastAsia="仿宋" w:cs="仿宋"/>
          <w:color w:val="auto"/>
          <w:sz w:val="28"/>
          <w:szCs w:val="28"/>
        </w:rPr>
        <w:t>。</w:t>
      </w:r>
    </w:p>
    <w:p>
      <w:pPr>
        <w:snapToGrid w:val="0"/>
        <w:spacing w:before="120" w:beforeLines="50" w:after="120" w:afterLines="50" w:line="360" w:lineRule="auto"/>
        <w:ind w:firstLine="562" w:firstLineChars="200"/>
        <w:rPr>
          <w:rFonts w:hint="eastAsia" w:eastAsia="仿宋" w:cs="仿宋"/>
          <w:b/>
          <w:bCs/>
          <w:color w:val="auto"/>
          <w:sz w:val="28"/>
          <w:szCs w:val="28"/>
        </w:rPr>
      </w:pPr>
      <w:r>
        <w:rPr>
          <w:rFonts w:hint="eastAsia" w:eastAsia="仿宋" w:cs="仿宋"/>
          <w:b/>
          <w:bCs/>
          <w:color w:val="auto"/>
          <w:sz w:val="28"/>
          <w:szCs w:val="28"/>
        </w:rPr>
        <w:t>第四条:甲方的权利和义务</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4.1 甲方有权要求在乙方指派的承办律师为二人时，至少有一名律师能亲自出庭。</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 xml:space="preserve">4.2 甲方有权在承办律师没有或者不能履行合同义务时要求乙方更换承办律师。 </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4.3 乙方无正当理由解除本合同，甲方有权要求乙方退还全部律师服务费和差旅费，但已经发生的在市区外的差旅费应当扣除。</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4.4 因甲方怠于提供协助，或者能够提供而未提供承办律师必须的案件材料，其后果由甲方承担。</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4.5 甲方应当按照本合同约定的金额和支付方式向乙方支付律师服务费、差旅费和其他费用。</w:t>
      </w:r>
    </w:p>
    <w:p>
      <w:pPr>
        <w:snapToGrid w:val="0"/>
        <w:spacing w:before="120" w:beforeLines="50" w:after="120" w:afterLines="50" w:line="360" w:lineRule="auto"/>
        <w:ind w:firstLine="562" w:firstLineChars="200"/>
        <w:rPr>
          <w:rFonts w:hint="eastAsia" w:eastAsia="仿宋" w:cs="仿宋"/>
          <w:b/>
          <w:bCs/>
          <w:color w:val="auto"/>
          <w:sz w:val="28"/>
          <w:szCs w:val="28"/>
        </w:rPr>
      </w:pPr>
      <w:r>
        <w:rPr>
          <w:rFonts w:hint="eastAsia" w:eastAsia="仿宋" w:cs="仿宋"/>
          <w:b/>
          <w:bCs/>
          <w:color w:val="auto"/>
          <w:sz w:val="28"/>
          <w:szCs w:val="28"/>
        </w:rPr>
        <w:t>第五条:乙方的权利和义务</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5.1 乙方有权向甲方了解案情，要求提供与委托法律事务有关的全部案件材料，并为达成上述目的提供一切便利。</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5.2 如甲方无正当理由单方解除合同，乙方收取的律师服务费和差旅费不予退还；如甲方尚未支付或者尚未足额支付律师服务费和差旅费，乙方有权甲方支付。</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5.3 承办律师中至少有一人亲自出庭，且乙方保证勤勉尽职，保守甲方商业秘密和个人隐私。</w:t>
      </w:r>
    </w:p>
    <w:p>
      <w:pPr>
        <w:snapToGrid w:val="0"/>
        <w:spacing w:before="120" w:beforeLines="50" w:after="120" w:afterLines="50" w:line="360" w:lineRule="auto"/>
        <w:ind w:firstLine="562" w:firstLineChars="200"/>
        <w:rPr>
          <w:rFonts w:hint="eastAsia" w:eastAsia="仿宋" w:cs="仿宋"/>
          <w:b/>
          <w:bCs/>
          <w:color w:val="auto"/>
          <w:sz w:val="28"/>
          <w:szCs w:val="28"/>
        </w:rPr>
      </w:pPr>
      <w:r>
        <w:rPr>
          <w:rFonts w:hint="eastAsia" w:eastAsia="仿宋" w:cs="仿宋"/>
          <w:b/>
          <w:bCs/>
          <w:color w:val="auto"/>
          <w:sz w:val="28"/>
          <w:szCs w:val="28"/>
        </w:rPr>
        <w:t>第六条：合同的解除</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6.1 甲方有权按照本合同约定要求更换未履行或者不能履行合同义务的承办律师，若乙方无正当理由拒绝更换，则甲方有权解除合同。</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6.2 本合同履行过程中，乙方在未征得甲方同意的情况下接受对方当事人委托，指派律师担任对方当事人代理人的，甲方有权解除合同。</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6.3 甲方向承办律师陈述虚假案件情况，提供虚假材料，经承办律师指出而拒绝改正的，乙方有权解除合同。</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6.4 甲方实施有损乙方或者承办律师声誉的行为，已经或者必然会给乙方或者承办律师带来损害的，乙方有权解除合同。</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6.5 甲方拒绝履行支付义务的，乙方有权解除合同。</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6.6 甲方要求承办律师实施违法违纪行为，经承办律师拒绝而坚持要求的。</w:t>
      </w:r>
    </w:p>
    <w:p>
      <w:pPr>
        <w:snapToGrid w:val="0"/>
        <w:spacing w:before="120" w:beforeLines="50" w:after="120" w:afterLines="50" w:line="360" w:lineRule="auto"/>
        <w:ind w:firstLine="562" w:firstLineChars="200"/>
        <w:rPr>
          <w:rFonts w:hint="eastAsia" w:eastAsia="仿宋" w:cs="仿宋"/>
          <w:b/>
          <w:color w:val="auto"/>
          <w:sz w:val="28"/>
          <w:szCs w:val="28"/>
        </w:rPr>
      </w:pPr>
      <w:r>
        <w:rPr>
          <w:rFonts w:hint="eastAsia" w:eastAsia="仿宋" w:cs="仿宋"/>
          <w:b/>
          <w:color w:val="auto"/>
          <w:sz w:val="28"/>
          <w:szCs w:val="28"/>
        </w:rPr>
        <w:t>第七条：违约责任</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7.1 除本合同约定外，甲方单方解除合同，应当向乙方支付合同约定的全额律师服务费；甲方逾期支付律师服务费的，应</w:t>
      </w:r>
      <w:r>
        <w:rPr>
          <w:rFonts w:hint="eastAsia" w:eastAsia="仿宋" w:cs="仿宋"/>
          <w:color w:val="auto"/>
          <w:sz w:val="28"/>
          <w:szCs w:val="28"/>
          <w:lang w:val="en-US" w:eastAsia="zh-CN"/>
        </w:rPr>
        <w:t>从支付期限届满之次日起，按</w:t>
      </w:r>
      <w:r>
        <w:rPr>
          <w:rFonts w:hint="eastAsia" w:eastAsia="仿宋" w:cs="仿宋"/>
          <w:color w:val="auto"/>
          <w:sz w:val="28"/>
          <w:szCs w:val="28"/>
        </w:rPr>
        <w:t>年息1</w:t>
      </w:r>
      <w:r>
        <w:rPr>
          <w:rFonts w:hint="eastAsia" w:eastAsia="仿宋" w:cs="仿宋"/>
          <w:color w:val="auto"/>
          <w:sz w:val="28"/>
          <w:szCs w:val="28"/>
          <w:lang w:val="en-US" w:eastAsia="zh-CN"/>
        </w:rPr>
        <w:t>5</w:t>
      </w:r>
      <w:r>
        <w:rPr>
          <w:rFonts w:hint="eastAsia" w:eastAsia="仿宋" w:cs="仿宋"/>
          <w:color w:val="auto"/>
          <w:sz w:val="28"/>
          <w:szCs w:val="28"/>
        </w:rPr>
        <w:t>%支付延期付款利息。</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7.2 除本合同约定外，乙方单方解除合同的，应当退还甲方已经支付的全部律师服务费</w:t>
      </w:r>
      <w:r>
        <w:rPr>
          <w:rFonts w:hint="default" w:eastAsia="仿宋" w:cs="仿宋"/>
          <w:color w:val="auto"/>
          <w:sz w:val="28"/>
          <w:szCs w:val="28"/>
        </w:rPr>
        <w:t>，</w:t>
      </w:r>
      <w:r>
        <w:rPr>
          <w:rFonts w:hint="eastAsia" w:eastAsia="仿宋" w:cs="仿宋"/>
          <w:color w:val="auto"/>
          <w:sz w:val="28"/>
          <w:szCs w:val="28"/>
        </w:rPr>
        <w:t>甲方未支付的律师服务费不再支付。</w:t>
      </w:r>
    </w:p>
    <w:p>
      <w:pPr>
        <w:snapToGrid w:val="0"/>
        <w:spacing w:before="120" w:beforeLines="50" w:after="120" w:afterLines="50" w:line="360" w:lineRule="auto"/>
        <w:ind w:firstLine="562" w:firstLineChars="200"/>
        <w:rPr>
          <w:rFonts w:hint="eastAsia" w:eastAsia="仿宋" w:cs="仿宋"/>
          <w:b/>
          <w:color w:val="auto"/>
          <w:sz w:val="28"/>
          <w:szCs w:val="28"/>
        </w:rPr>
      </w:pPr>
      <w:r>
        <w:rPr>
          <w:rFonts w:hint="eastAsia" w:eastAsia="仿宋" w:cs="仿宋"/>
          <w:b/>
          <w:color w:val="auto"/>
          <w:sz w:val="28"/>
          <w:szCs w:val="28"/>
        </w:rPr>
        <w:t>第八条：特别约定</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本合同以上条款不能阐明之事项，可在本条款下另行特别约定：</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u w:val="single"/>
        </w:rPr>
        <w:t xml:space="preserve">                                                                   </w:t>
      </w:r>
    </w:p>
    <w:p>
      <w:pPr>
        <w:snapToGrid w:val="0"/>
        <w:spacing w:before="120" w:beforeLines="50" w:after="120" w:afterLines="50" w:line="360" w:lineRule="auto"/>
        <w:ind w:firstLine="562" w:firstLineChars="200"/>
        <w:rPr>
          <w:rFonts w:hint="eastAsia" w:eastAsia="仿宋" w:cs="仿宋"/>
          <w:color w:val="auto"/>
          <w:sz w:val="28"/>
          <w:szCs w:val="28"/>
        </w:rPr>
      </w:pPr>
      <w:r>
        <w:rPr>
          <w:rFonts w:hint="eastAsia" w:eastAsia="仿宋" w:cs="仿宋"/>
          <w:b/>
          <w:bCs/>
          <w:color w:val="auto"/>
          <w:sz w:val="28"/>
          <w:szCs w:val="28"/>
        </w:rPr>
        <w:t>第九条：其他</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9.1 本合同签订后，甲方接受调解、和解或决定撤诉、不起诉、不上诉等，视为乙方完成委托事项，本合同终止。</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9.2 乙方已经明确告知甲方司法行政主管部门和行业协会关于间接利益冲突相关规定和具体情形。经过甲方慎重考虑，明确同意对已经发生或者将来发生的间接利益冲突情形予以豁免。同时，甲方不予追究乙方及其指派律师代理案件的利益冲突之责任。</w:t>
      </w:r>
    </w:p>
    <w:p>
      <w:pPr>
        <w:adjustRightInd w:val="0"/>
        <w:snapToGrid w:val="0"/>
        <w:spacing w:before="120" w:beforeLines="50" w:after="120" w:afterLines="50" w:line="360" w:lineRule="auto"/>
        <w:ind w:firstLine="560" w:firstLineChars="200"/>
        <w:rPr>
          <w:rFonts w:hint="default" w:eastAsia="仿宋" w:cs="仿宋"/>
          <w:color w:val="auto"/>
          <w:sz w:val="28"/>
          <w:szCs w:val="28"/>
          <w:lang w:val="en-US" w:eastAsia="zh-CN"/>
        </w:rPr>
      </w:pPr>
      <w:r>
        <w:rPr>
          <w:rFonts w:hint="eastAsia" w:eastAsia="仿宋" w:cs="仿宋"/>
          <w:color w:val="auto"/>
          <w:sz w:val="28"/>
          <w:szCs w:val="28"/>
        </w:rPr>
        <w:t>9.3 因本合同发生的一切争执或分歧，甲乙双方应协商解决；协商不成的</w:t>
      </w:r>
      <w:r>
        <w:rPr>
          <w:rFonts w:hint="eastAsia" w:eastAsia="仿宋" w:cs="仿宋"/>
          <w:color w:val="auto"/>
          <w:sz w:val="28"/>
          <w:szCs w:val="28"/>
          <w:lang w:eastAsia="zh-CN"/>
        </w:rPr>
        <w:t>，</w:t>
      </w:r>
      <w:r>
        <w:rPr>
          <w:rFonts w:hint="eastAsia" w:eastAsia="仿宋" w:cs="仿宋"/>
          <w:color w:val="auto"/>
          <w:sz w:val="28"/>
          <w:szCs w:val="28"/>
          <w:lang w:val="en-US" w:eastAsia="zh-CN"/>
        </w:rPr>
        <w:t>甲乙双方一致同意选择如下第</w:t>
      </w:r>
      <w:r>
        <w:rPr>
          <w:rFonts w:hint="eastAsia" w:eastAsia="仿宋" w:cs="仿宋"/>
          <w:color w:val="auto"/>
          <w:sz w:val="28"/>
          <w:szCs w:val="28"/>
          <w:u w:val="single"/>
          <w:lang w:val="en-US" w:eastAsia="zh-CN"/>
        </w:rPr>
        <w:t>【  】</w:t>
      </w:r>
      <w:r>
        <w:rPr>
          <w:rFonts w:hint="eastAsia" w:eastAsia="仿宋" w:cs="仿宋"/>
          <w:color w:val="auto"/>
          <w:sz w:val="28"/>
          <w:szCs w:val="28"/>
          <w:u w:val="none"/>
          <w:lang w:val="en-US" w:eastAsia="zh-CN"/>
        </w:rPr>
        <w:t>项条款</w:t>
      </w:r>
      <w:r>
        <w:rPr>
          <w:rFonts w:hint="eastAsia" w:eastAsia="仿宋" w:cs="仿宋"/>
          <w:color w:val="auto"/>
          <w:sz w:val="28"/>
          <w:szCs w:val="28"/>
          <w:lang w:val="en-US" w:eastAsia="zh-CN"/>
        </w:rPr>
        <w:t>，作为解决双方争执或分歧的最终方式。</w:t>
      </w:r>
    </w:p>
    <w:p>
      <w:pPr>
        <w:adjustRightInd w:val="0"/>
        <w:snapToGrid w:val="0"/>
        <w:spacing w:before="120" w:beforeLines="50" w:after="120" w:afterLines="50" w:line="360" w:lineRule="auto"/>
        <w:ind w:firstLine="562" w:firstLineChars="200"/>
        <w:rPr>
          <w:rFonts w:hint="eastAsia" w:eastAsia="仿宋" w:cs="仿宋"/>
          <w:color w:val="auto"/>
          <w:sz w:val="28"/>
          <w:szCs w:val="28"/>
        </w:rPr>
      </w:pPr>
      <w:r>
        <w:rPr>
          <w:rFonts w:hint="eastAsia" w:eastAsia="仿宋" w:cs="仿宋"/>
          <w:b/>
          <w:bCs/>
          <w:color w:val="auto"/>
          <w:sz w:val="28"/>
          <w:szCs w:val="28"/>
          <w:lang w:val="en-US" w:eastAsia="zh-CN"/>
        </w:rPr>
        <w:t>第1项：</w:t>
      </w:r>
      <w:r>
        <w:rPr>
          <w:rFonts w:hint="eastAsia" w:eastAsia="仿宋" w:cs="仿宋"/>
          <w:color w:val="auto"/>
          <w:sz w:val="28"/>
          <w:szCs w:val="28"/>
        </w:rPr>
        <w:t>提交重庆仲裁委员会，并根据其现行有效的仲裁规则作出裁决。仲裁费用、律师费用、保全费用、保全担保费用、鉴定费用等一切费用，由败诉方承担。</w:t>
      </w:r>
    </w:p>
    <w:p>
      <w:pPr>
        <w:adjustRightInd w:val="0"/>
        <w:snapToGrid w:val="0"/>
        <w:spacing w:before="120" w:beforeLines="50" w:after="120" w:afterLines="50" w:line="360" w:lineRule="auto"/>
        <w:ind w:firstLine="562" w:firstLineChars="200"/>
        <w:rPr>
          <w:rFonts w:hint="eastAsia" w:eastAsia="仿宋" w:cs="仿宋"/>
          <w:color w:val="auto"/>
          <w:sz w:val="28"/>
          <w:szCs w:val="28"/>
        </w:rPr>
      </w:pPr>
      <w:r>
        <w:rPr>
          <w:rFonts w:hint="eastAsia" w:eastAsia="仿宋" w:cs="仿宋"/>
          <w:b/>
          <w:bCs/>
          <w:color w:val="auto"/>
          <w:sz w:val="28"/>
          <w:szCs w:val="28"/>
          <w:lang w:val="en-US" w:eastAsia="zh-CN"/>
        </w:rPr>
        <w:t>第2项</w:t>
      </w:r>
      <w:r>
        <w:rPr>
          <w:rFonts w:hint="eastAsia" w:eastAsia="仿宋" w:cs="仿宋"/>
          <w:color w:val="auto"/>
          <w:sz w:val="28"/>
          <w:szCs w:val="28"/>
          <w:lang w:val="en-US" w:eastAsia="zh-CN"/>
        </w:rPr>
        <w:t>：</w:t>
      </w:r>
      <w:r>
        <w:rPr>
          <w:rFonts w:hint="eastAsia" w:eastAsia="仿宋" w:cs="仿宋"/>
          <w:color w:val="auto"/>
          <w:sz w:val="28"/>
          <w:szCs w:val="28"/>
        </w:rPr>
        <w:t>提交</w:t>
      </w:r>
      <w:r>
        <w:rPr>
          <w:rFonts w:hint="eastAsia" w:eastAsia="仿宋" w:cs="仿宋"/>
          <w:color w:val="auto"/>
          <w:sz w:val="28"/>
          <w:szCs w:val="28"/>
          <w:lang w:val="en-US" w:eastAsia="zh-CN"/>
        </w:rPr>
        <w:t>原告住所地有管辖权的人员法院裁决。诉讼</w:t>
      </w:r>
      <w:r>
        <w:rPr>
          <w:rFonts w:hint="eastAsia" w:eastAsia="仿宋" w:cs="仿宋"/>
          <w:color w:val="auto"/>
          <w:sz w:val="28"/>
          <w:szCs w:val="28"/>
        </w:rPr>
        <w:t>费用、律师费用、保全费用、保全担保费用、鉴定费用等一切费用，由败诉方承担。</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9.4 未尽事宜形成书面补充协议，补充协议与本合同具有同等法律效力。</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9.5 本合同一式四份，甲方执二份，乙方执二份，具有同等法律效力。本合同经双方签字或盖章后生效。</w:t>
      </w:r>
    </w:p>
    <w:p>
      <w:pPr>
        <w:snapToGrid w:val="0"/>
        <w:spacing w:before="120" w:beforeLines="50" w:after="120" w:afterLines="50" w:line="360" w:lineRule="auto"/>
        <w:ind w:firstLine="562" w:firstLineChars="200"/>
        <w:rPr>
          <w:rFonts w:hint="eastAsia" w:eastAsia="仿宋" w:cs="仿宋"/>
          <w:b/>
          <w:bCs/>
          <w:color w:val="auto"/>
          <w:sz w:val="28"/>
          <w:szCs w:val="28"/>
        </w:rPr>
      </w:pPr>
      <w:r>
        <w:rPr>
          <w:rFonts w:hint="eastAsia" w:eastAsia="仿宋" w:cs="仿宋"/>
          <w:b/>
          <w:bCs/>
          <w:color w:val="auto"/>
          <w:sz w:val="28"/>
          <w:szCs w:val="28"/>
        </w:rPr>
        <w:t>第十条：风险提示</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 xml:space="preserve">10.1 </w:t>
      </w:r>
      <w:r>
        <w:rPr>
          <w:rFonts w:hint="eastAsia" w:eastAsia="仿宋" w:cs="仿宋"/>
          <w:b/>
          <w:bCs/>
          <w:color w:val="auto"/>
          <w:sz w:val="28"/>
          <w:szCs w:val="28"/>
        </w:rPr>
        <w:t>甲方须知:任何诉讼或仲裁均存在败诉或部分败诉的风险，这取决于双方对诉讼或仲裁的运用或把握，双方当事人围绕事实进行的举证、法庭或仲裁庭对证据的采信和由此查明的事实，法律的规定、法庭或仲裁庭对法律的理解和运用，等等</w:t>
      </w:r>
      <w:r>
        <w:rPr>
          <w:rFonts w:hint="eastAsia" w:eastAsia="仿宋" w:cs="仿宋"/>
          <w:color w:val="auto"/>
          <w:sz w:val="28"/>
          <w:szCs w:val="28"/>
        </w:rPr>
        <w:t xml:space="preserve">。  </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 xml:space="preserve">10.2 </w:t>
      </w:r>
      <w:r>
        <w:rPr>
          <w:rFonts w:hint="eastAsia" w:eastAsia="仿宋" w:cs="仿宋"/>
          <w:b/>
          <w:bCs/>
          <w:color w:val="auto"/>
          <w:sz w:val="28"/>
          <w:szCs w:val="28"/>
        </w:rPr>
        <w:t>乙方在接受委托前虽然已经听取了甲方或甲方工作人员对案件事实的陈述，但无法预测对方当事人所主张的事实与甲方主张的事实之间不一致的程度，同时由于律师并没有核实过也不可能核实过双方提交的全部证据，即使核实全部证据律师也无法完全预测法庭或仲裁庭对全部证据的采信程度，继而无法预测法庭或仲裁庭最终认定的事实。同样，律师不可能在裁决或裁判以前即完全预测到法庭或仲裁庭对法律理解和适用情况</w:t>
      </w:r>
      <w:r>
        <w:rPr>
          <w:rFonts w:hint="eastAsia" w:eastAsia="仿宋" w:cs="仿宋"/>
          <w:color w:val="auto"/>
          <w:sz w:val="28"/>
          <w:szCs w:val="28"/>
        </w:rPr>
        <w:t xml:space="preserve">。 </w:t>
      </w:r>
    </w:p>
    <w:p>
      <w:pPr>
        <w:snapToGrid w:val="0"/>
        <w:spacing w:before="120" w:beforeLines="50" w:after="120" w:afterLines="50" w:line="360" w:lineRule="auto"/>
        <w:ind w:firstLine="560" w:firstLineChars="200"/>
        <w:rPr>
          <w:rFonts w:eastAsia="仿宋" w:cs="仿宋"/>
          <w:color w:val="auto"/>
          <w:sz w:val="28"/>
          <w:szCs w:val="28"/>
        </w:rPr>
      </w:pPr>
      <w:r>
        <w:rPr>
          <w:rFonts w:hint="eastAsia" w:eastAsia="仿宋" w:cs="仿宋"/>
          <w:color w:val="auto"/>
          <w:sz w:val="28"/>
          <w:szCs w:val="28"/>
        </w:rPr>
        <w:t xml:space="preserve">10.3 </w:t>
      </w:r>
      <w:r>
        <w:rPr>
          <w:rFonts w:hint="eastAsia" w:eastAsia="仿宋" w:cs="仿宋"/>
          <w:b/>
          <w:bCs/>
          <w:color w:val="auto"/>
          <w:sz w:val="28"/>
          <w:szCs w:val="28"/>
        </w:rPr>
        <w:t>律师有义务对法院和仲裁可能认定的事实和适用进行推测并告知甲方，但上述推测只是依据律师经验和专业知识作出，并不具有权威性，也不能代表律师对诉讼或仲裁结果的承诺，甲方还应该意识到客观存在的、不可预知的风险</w:t>
      </w:r>
      <w:r>
        <w:rPr>
          <w:rFonts w:hint="eastAsia" w:eastAsia="仿宋" w:cs="仿宋"/>
          <w:color w:val="auto"/>
          <w:sz w:val="28"/>
          <w:szCs w:val="28"/>
        </w:rPr>
        <w:t>。</w:t>
      </w:r>
    </w:p>
    <w:p>
      <w:pPr>
        <w:snapToGrid w:val="0"/>
        <w:spacing w:before="120" w:beforeLines="50" w:after="120" w:afterLines="50" w:line="360" w:lineRule="auto"/>
        <w:ind w:firstLine="562" w:firstLineChars="200"/>
        <w:rPr>
          <w:rFonts w:eastAsia="仿宋" w:cs="仿宋"/>
          <w:b/>
          <w:bCs/>
          <w:color w:val="auto"/>
          <w:sz w:val="28"/>
          <w:szCs w:val="28"/>
        </w:rPr>
      </w:pPr>
      <w:r>
        <w:rPr>
          <w:rFonts w:hint="eastAsia" w:eastAsia="仿宋" w:cs="仿宋"/>
          <w:b/>
          <w:bCs/>
          <w:color w:val="auto"/>
          <w:sz w:val="28"/>
          <w:szCs w:val="28"/>
        </w:rPr>
        <w:t>1</w:t>
      </w:r>
      <w:r>
        <w:rPr>
          <w:rFonts w:eastAsia="仿宋" w:cs="仿宋"/>
          <w:b/>
          <w:bCs/>
          <w:color w:val="auto"/>
          <w:sz w:val="28"/>
          <w:szCs w:val="28"/>
        </w:rPr>
        <w:t xml:space="preserve">0.4 </w:t>
      </w:r>
      <w:r>
        <w:rPr>
          <w:rFonts w:hint="eastAsia" w:eastAsia="仿宋" w:cs="仿宋"/>
          <w:b/>
          <w:bCs/>
          <w:color w:val="auto"/>
          <w:sz w:val="28"/>
          <w:szCs w:val="28"/>
        </w:rPr>
        <w:t>甲方应当仔细审核乙方根据案情陈述和案件材料制作的文件（包括但不限于起诉状、申请书、答辩状、情况说明、证据目录、质证意见、补充意见、代理词等），并及时提出修改建议或者意见，文件由甲方确认无误的，其中可能涉及自认的相关事实视为经甲方同意而做出。</w:t>
      </w:r>
    </w:p>
    <w:p>
      <w:pPr>
        <w:snapToGrid w:val="0"/>
        <w:spacing w:before="120" w:beforeLines="50" w:after="120" w:afterLines="50" w:line="360" w:lineRule="auto"/>
        <w:ind w:firstLine="562" w:firstLineChars="200"/>
        <w:rPr>
          <w:rFonts w:eastAsia="仿宋" w:cs="仿宋"/>
          <w:b/>
          <w:bCs/>
          <w:color w:val="auto"/>
          <w:sz w:val="28"/>
          <w:szCs w:val="28"/>
        </w:rPr>
      </w:pPr>
      <w:r>
        <w:rPr>
          <w:rFonts w:hint="eastAsia" w:eastAsia="仿宋" w:cs="仿宋"/>
          <w:b/>
          <w:bCs/>
          <w:color w:val="auto"/>
          <w:sz w:val="28"/>
          <w:szCs w:val="28"/>
        </w:rPr>
        <w:t>1</w:t>
      </w:r>
      <w:r>
        <w:rPr>
          <w:rFonts w:eastAsia="仿宋" w:cs="仿宋"/>
          <w:b/>
          <w:bCs/>
          <w:color w:val="auto"/>
          <w:sz w:val="28"/>
          <w:szCs w:val="28"/>
        </w:rPr>
        <w:t xml:space="preserve">0.5 </w:t>
      </w:r>
      <w:r>
        <w:rPr>
          <w:rFonts w:hint="eastAsia" w:eastAsia="仿宋" w:cs="仿宋"/>
          <w:b/>
          <w:bCs/>
          <w:color w:val="auto"/>
          <w:sz w:val="28"/>
          <w:szCs w:val="28"/>
        </w:rPr>
        <w:t>甲方委托乙方代理诉讼或仲裁案件的，应当自行对于己不利的事实进行风险评估，并在授权委托书上将可能涉及自认的相关事项的承认权利从授权范围中予以明确排除。否则，律师按照已经掌握的案件情况和自身专业知识经验，在诉讼过程中进行陈述、答辩、回复、解答、质证等活动时，对于己不利的相关事实的自认，视为经</w:t>
      </w:r>
      <w:r>
        <w:rPr>
          <w:rFonts w:hint="eastAsia" w:eastAsia="仿宋" w:cs="仿宋"/>
          <w:b/>
          <w:bCs/>
          <w:color w:val="auto"/>
          <w:sz w:val="28"/>
          <w:szCs w:val="28"/>
          <w:lang w:eastAsia="zh-CN"/>
        </w:rPr>
        <w:t>甲</w:t>
      </w:r>
      <w:r>
        <w:rPr>
          <w:rFonts w:hint="eastAsia" w:eastAsia="仿宋" w:cs="仿宋"/>
          <w:b/>
          <w:bCs/>
          <w:color w:val="auto"/>
          <w:sz w:val="28"/>
          <w:szCs w:val="28"/>
        </w:rPr>
        <w:t>方同意而做出。</w:t>
      </w:r>
    </w:p>
    <w:p>
      <w:pPr>
        <w:snapToGrid w:val="0"/>
        <w:spacing w:before="120" w:beforeLines="50" w:after="120" w:afterLines="50" w:line="360" w:lineRule="auto"/>
        <w:ind w:firstLine="562" w:firstLineChars="200"/>
        <w:rPr>
          <w:rFonts w:eastAsia="仿宋" w:cs="仿宋"/>
          <w:b/>
          <w:bCs/>
          <w:color w:val="auto"/>
          <w:sz w:val="28"/>
          <w:szCs w:val="28"/>
        </w:rPr>
      </w:pPr>
      <w:r>
        <w:rPr>
          <w:rFonts w:hint="eastAsia" w:eastAsia="仿宋" w:cs="仿宋"/>
          <w:b/>
          <w:bCs/>
          <w:color w:val="auto"/>
          <w:sz w:val="28"/>
          <w:szCs w:val="28"/>
        </w:rPr>
        <w:t>1</w:t>
      </w:r>
      <w:r>
        <w:rPr>
          <w:rFonts w:eastAsia="仿宋" w:cs="仿宋"/>
          <w:b/>
          <w:bCs/>
          <w:color w:val="auto"/>
          <w:sz w:val="28"/>
          <w:szCs w:val="28"/>
        </w:rPr>
        <w:t xml:space="preserve">0.6 </w:t>
      </w:r>
      <w:r>
        <w:rPr>
          <w:rFonts w:hint="eastAsia" w:eastAsia="仿宋" w:cs="仿宋"/>
          <w:b/>
          <w:bCs/>
          <w:color w:val="auto"/>
          <w:sz w:val="28"/>
          <w:szCs w:val="28"/>
        </w:rPr>
        <w:t>甲方本人或者委托其他人员随乙方律师共同参与诉讼活动过程中（包括但不限于开庭、询问等），对于乙方据实陈述的可能构成自认的事实持有异议的，应当立即予以否认，否则乙方的相关陈述视为经甲方同意而做出。</w:t>
      </w:r>
    </w:p>
    <w:p>
      <w:pPr>
        <w:snapToGrid w:val="0"/>
        <w:spacing w:before="120" w:beforeLines="50" w:after="120" w:afterLines="50" w:line="360" w:lineRule="auto"/>
        <w:ind w:firstLine="562" w:firstLineChars="200"/>
        <w:rPr>
          <w:rFonts w:hint="eastAsia" w:eastAsia="仿宋" w:cs="仿宋"/>
          <w:b/>
          <w:bCs/>
          <w:color w:val="auto"/>
          <w:sz w:val="28"/>
          <w:szCs w:val="28"/>
        </w:rPr>
      </w:pPr>
      <w:r>
        <w:rPr>
          <w:rFonts w:hint="eastAsia" w:eastAsia="仿宋" w:cs="仿宋"/>
          <w:b/>
          <w:bCs/>
          <w:color w:val="auto"/>
          <w:sz w:val="28"/>
          <w:szCs w:val="28"/>
        </w:rPr>
        <w:t>1</w:t>
      </w:r>
      <w:r>
        <w:rPr>
          <w:rFonts w:eastAsia="仿宋" w:cs="仿宋"/>
          <w:b/>
          <w:bCs/>
          <w:color w:val="auto"/>
          <w:sz w:val="28"/>
          <w:szCs w:val="28"/>
        </w:rPr>
        <w:t xml:space="preserve">0.7 </w:t>
      </w:r>
      <w:r>
        <w:rPr>
          <w:rFonts w:hint="eastAsia" w:eastAsia="仿宋" w:cs="仿宋"/>
          <w:b/>
          <w:bCs/>
          <w:color w:val="auto"/>
          <w:sz w:val="28"/>
          <w:szCs w:val="28"/>
        </w:rPr>
        <w:t>法官要求律师当庭对案件事实做出陈述，而甲方事前未向乙方提供案情陈述或者案件材料的，乙方将及时与甲方取得联系，并按照甲方的回答如实进行陈述。乙方采取合理措施未能及时联系上甲方的，有权拒绝对自己并不掌握的案件事实做出陈述，因此导致法官适用证据规则采信对方主张的，应由甲方自行承担不利后果。</w:t>
      </w:r>
    </w:p>
    <w:p>
      <w:pPr>
        <w:snapToGrid w:val="0"/>
        <w:spacing w:before="120" w:beforeLines="50" w:after="120" w:afterLines="50" w:line="360" w:lineRule="auto"/>
        <w:ind w:firstLine="562" w:firstLineChars="200"/>
        <w:rPr>
          <w:rFonts w:hint="eastAsia" w:eastAsia="仿宋" w:cs="仿宋"/>
          <w:b/>
          <w:bCs/>
          <w:color w:val="auto"/>
          <w:sz w:val="28"/>
          <w:szCs w:val="28"/>
          <w:lang w:val="en-US" w:eastAsia="zh-CN"/>
        </w:rPr>
      </w:pPr>
      <w:r>
        <w:rPr>
          <w:rFonts w:hint="eastAsia" w:eastAsia="仿宋" w:cs="仿宋"/>
          <w:b/>
          <w:bCs/>
          <w:color w:val="auto"/>
          <w:sz w:val="28"/>
          <w:szCs w:val="28"/>
          <w:lang w:val="en-US" w:eastAsia="zh-CN"/>
        </w:rPr>
        <w:t>10.8 “风险代理”的律师服务费收费方式，指的是根据民事法律事务的具体处理结果，甲方在约定的付款条件达成的情况下，需按照双方约定的固定金额或者乙方为甲方实现的债权金额、减免的债务金额的一定比例向乙方支付律师服务费，以及在约定的付款条件未达成的情况下，无需向乙方支付律师服务费的收费方式。甲方应当自行对本合同约定的“风险代理”律师服务费的收费方式、付款条件、付款金额（固定金额或者收费比例）等进行充分评估。甲方签署本合同，即表明合同约定的“风险代理”律师服务费的收费方式、付款条件及付款金额（固定金额或者收费比例），系双方根据法律服务的经营成本、法律事务的难易程度以及承办律师的执业经验、工作量、风险、责任等因素进行充分平等协商的合理结果。</w:t>
      </w:r>
    </w:p>
    <w:p>
      <w:pPr>
        <w:snapToGrid w:val="0"/>
        <w:spacing w:before="120" w:beforeLines="50" w:after="120" w:afterLines="50" w:line="360" w:lineRule="auto"/>
        <w:ind w:firstLine="562" w:firstLineChars="200"/>
        <w:rPr>
          <w:rFonts w:hint="eastAsia" w:eastAsia="仿宋" w:cs="仿宋"/>
          <w:color w:val="auto"/>
          <w:sz w:val="28"/>
          <w:szCs w:val="28"/>
        </w:rPr>
      </w:pPr>
      <w:r>
        <w:rPr>
          <w:rFonts w:hint="eastAsia" w:eastAsia="仿宋" w:cs="仿宋"/>
          <w:b/>
          <w:bCs/>
          <w:color w:val="auto"/>
          <w:sz w:val="28"/>
          <w:szCs w:val="28"/>
          <w:u w:val="wave"/>
        </w:rPr>
        <w:t>乙方已告知甲方上述事项，甲方已完全了解上述条款中所提示的全部内容</w:t>
      </w:r>
      <w:r>
        <w:rPr>
          <w:rFonts w:hint="eastAsia" w:eastAsia="仿宋" w:cs="仿宋"/>
          <w:color w:val="auto"/>
          <w:sz w:val="28"/>
          <w:szCs w:val="28"/>
        </w:rPr>
        <w:t>。</w:t>
      </w:r>
    </w:p>
    <w:p>
      <w:pPr>
        <w:snapToGrid w:val="0"/>
        <w:spacing w:before="120" w:beforeLines="50" w:after="120" w:afterLines="50" w:line="360" w:lineRule="auto"/>
        <w:ind w:firstLine="560" w:firstLineChars="200"/>
        <w:rPr>
          <w:rFonts w:hint="eastAsia" w:eastAsia="仿宋" w:cs="仿宋"/>
          <w:color w:val="auto"/>
          <w:sz w:val="28"/>
          <w:szCs w:val="28"/>
        </w:rPr>
      </w:pPr>
      <w:r>
        <w:rPr>
          <w:rFonts w:hint="eastAsia" w:eastAsia="仿宋" w:cs="仿宋"/>
          <w:color w:val="auto"/>
          <w:sz w:val="28"/>
          <w:szCs w:val="28"/>
        </w:rPr>
        <w:t>（以下为合同签署栏，无正文）</w:t>
      </w:r>
    </w:p>
    <w:p>
      <w:pPr>
        <w:tabs>
          <w:tab w:val="left" w:pos="6243"/>
        </w:tabs>
        <w:snapToGrid w:val="0"/>
        <w:spacing w:after="120" w:line="3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ab/>
      </w:r>
    </w:p>
    <w:p>
      <w:pPr>
        <w:snapToGrid w:val="0"/>
        <w:spacing w:after="120" w:line="380" w:lineRule="exact"/>
        <w:ind w:firstLine="562" w:firstLineChars="200"/>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rPr>
        <w:t>甲   方：</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乙  方：</w:t>
      </w:r>
      <w:r>
        <w:rPr>
          <w:rFonts w:hint="eastAsia" w:ascii="仿宋" w:hAnsi="仿宋" w:eastAsia="仿宋" w:cs="仿宋"/>
          <w:b/>
          <w:bCs/>
          <w:color w:val="auto"/>
          <w:sz w:val="28"/>
          <w:szCs w:val="28"/>
          <w:u w:val="single"/>
          <w:lang w:val="en-US" w:eastAsia="zh-CN"/>
        </w:rPr>
        <w:t xml:space="preserve">                     </w:t>
      </w:r>
    </w:p>
    <w:p>
      <w:pPr>
        <w:snapToGrid w:val="0"/>
        <w:spacing w:after="120" w:line="380" w:lineRule="exact"/>
        <w:ind w:firstLine="562" w:firstLineChars="200"/>
        <w:rPr>
          <w:rFonts w:hint="default" w:ascii="仿宋" w:hAnsi="仿宋" w:eastAsia="仿宋" w:cs="仿宋"/>
          <w:b/>
          <w:bCs/>
          <w:color w:val="auto"/>
          <w:sz w:val="28"/>
          <w:szCs w:val="28"/>
          <w:u w:val="single"/>
          <w:lang w:val="en-US" w:eastAsia="zh-CN"/>
        </w:rPr>
      </w:pPr>
    </w:p>
    <w:p>
      <w:pPr>
        <w:snapToGrid w:val="0"/>
        <w:spacing w:after="120" w:line="380" w:lineRule="exact"/>
        <w:ind w:firstLine="562" w:firstLineChars="200"/>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签约代表人：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签约代表人：</w:t>
      </w:r>
      <w:r>
        <w:rPr>
          <w:rFonts w:hint="eastAsia" w:ascii="仿宋" w:hAnsi="仿宋" w:eastAsia="仿宋" w:cs="仿宋"/>
          <w:b/>
          <w:bCs/>
          <w:color w:val="auto"/>
          <w:sz w:val="28"/>
          <w:szCs w:val="28"/>
          <w:u w:val="single"/>
        </w:rPr>
        <w:t xml:space="preserve">                  </w:t>
      </w:r>
    </w:p>
    <w:p>
      <w:pPr>
        <w:snapToGrid w:val="0"/>
        <w:spacing w:after="120" w:line="380" w:lineRule="exact"/>
        <w:ind w:firstLine="562" w:firstLineChars="200"/>
        <w:jc w:val="right"/>
        <w:rPr>
          <w:rFonts w:hint="eastAsia" w:ascii="仿宋" w:hAnsi="仿宋" w:eastAsia="仿宋" w:cs="仿宋"/>
          <w:b/>
          <w:bCs/>
          <w:color w:val="auto"/>
          <w:sz w:val="28"/>
          <w:szCs w:val="28"/>
        </w:rPr>
      </w:pPr>
    </w:p>
    <w:p>
      <w:pPr>
        <w:snapToGrid w:val="0"/>
        <w:spacing w:after="120" w:line="380" w:lineRule="exact"/>
        <w:ind w:firstLine="562" w:firstLineChars="200"/>
        <w:jc w:val="right"/>
        <w:rPr>
          <w:rFonts w:hint="eastAsia" w:ascii="仿宋" w:hAnsi="仿宋" w:eastAsia="仿宋" w:cs="仿宋"/>
          <w:b/>
          <w:bCs/>
          <w:color w:val="auto"/>
          <w:sz w:val="28"/>
          <w:szCs w:val="28"/>
        </w:rPr>
      </w:pPr>
      <w:r>
        <w:rPr>
          <w:rFonts w:hint="eastAsia" w:ascii="仿宋" w:hAnsi="仿宋" w:eastAsia="仿宋" w:cs="仿宋"/>
          <w:b/>
          <w:bCs/>
          <w:color w:val="auto"/>
          <w:sz w:val="28"/>
          <w:szCs w:val="28"/>
        </w:rPr>
        <w:t>签约时间：</w:t>
      </w:r>
      <w:r>
        <w:rPr>
          <w:rFonts w:eastAsia="仿宋"/>
          <w:b/>
          <w:bCs/>
          <w:color w:val="auto"/>
          <w:sz w:val="28"/>
          <w:szCs w:val="28"/>
        </w:rPr>
        <w:t xml:space="preserve">20  </w:t>
      </w:r>
      <w:r>
        <w:rPr>
          <w:rFonts w:hint="eastAsia" w:ascii="仿宋" w:hAnsi="仿宋" w:eastAsia="仿宋" w:cs="仿宋"/>
          <w:b/>
          <w:bCs/>
          <w:color w:val="auto"/>
          <w:sz w:val="28"/>
          <w:szCs w:val="28"/>
        </w:rPr>
        <w:t>年</w:t>
      </w:r>
      <w:r>
        <w:rPr>
          <w:rFonts w:eastAsia="仿宋"/>
          <w:b/>
          <w:bCs/>
          <w:color w:val="auto"/>
          <w:sz w:val="28"/>
          <w:szCs w:val="28"/>
        </w:rPr>
        <w:t xml:space="preserve">     </w:t>
      </w:r>
      <w:r>
        <w:rPr>
          <w:rFonts w:hint="eastAsia" w:ascii="仿宋" w:hAnsi="仿宋" w:eastAsia="仿宋" w:cs="仿宋"/>
          <w:b/>
          <w:bCs/>
          <w:color w:val="auto"/>
          <w:sz w:val="28"/>
          <w:szCs w:val="28"/>
        </w:rPr>
        <w:t>月</w:t>
      </w:r>
      <w:r>
        <w:rPr>
          <w:rFonts w:eastAsia="仿宋"/>
          <w:b/>
          <w:bCs/>
          <w:color w:val="auto"/>
          <w:sz w:val="28"/>
          <w:szCs w:val="28"/>
        </w:rPr>
        <w:t xml:space="preserve">    </w:t>
      </w:r>
      <w:r>
        <w:rPr>
          <w:rFonts w:hint="eastAsia" w:ascii="仿宋" w:hAnsi="仿宋" w:eastAsia="仿宋" w:cs="仿宋"/>
          <w:b/>
          <w:bCs/>
          <w:color w:val="auto"/>
          <w:sz w:val="28"/>
          <w:szCs w:val="28"/>
        </w:rPr>
        <w:t xml:space="preserve">日        </w:t>
      </w:r>
    </w:p>
    <w:p>
      <w:pPr>
        <w:wordWrap w:val="0"/>
        <w:snapToGrid w:val="0"/>
        <w:spacing w:after="120" w:line="380" w:lineRule="exact"/>
        <w:ind w:right="360" w:firstLine="562" w:firstLineChars="200"/>
        <w:jc w:val="right"/>
        <w:rPr>
          <w:rFonts w:hint="eastAsia" w:ascii="仿宋" w:hAnsi="仿宋" w:eastAsia="仿宋" w:cs="仿宋"/>
          <w:b/>
          <w:bCs/>
          <w:color w:val="auto"/>
          <w:sz w:val="28"/>
          <w:szCs w:val="28"/>
        </w:rPr>
      </w:pPr>
      <w:r>
        <w:rPr>
          <w:rFonts w:hint="eastAsia" w:ascii="仿宋" w:hAnsi="仿宋" w:eastAsia="仿宋" w:cs="仿宋"/>
          <w:b/>
          <w:bCs/>
          <w:color w:val="auto"/>
          <w:sz w:val="28"/>
          <w:szCs w:val="28"/>
        </w:rPr>
        <w:t>签约地址：</w:t>
      </w:r>
      <w:r>
        <w:rPr>
          <w:rFonts w:hint="eastAsia" w:ascii="仿宋" w:hAnsi="仿宋" w:eastAsia="仿宋" w:cs="仿宋"/>
          <w:b/>
          <w:bCs/>
          <w:color w:val="auto"/>
          <w:sz w:val="28"/>
          <w:szCs w:val="28"/>
          <w:u w:val="single"/>
        </w:rPr>
        <w:t xml:space="preserve">                </w:t>
      </w:r>
    </w:p>
    <w:p>
      <w:pPr>
        <w:jc w:val="center"/>
        <w:rPr>
          <w:rFonts w:hint="eastAsia" w:ascii="黑体" w:hAnsi="Times New Roman" w:eastAsia="黑体"/>
          <w:b/>
          <w:color w:val="auto"/>
          <w:sz w:val="70"/>
          <w:szCs w:val="20"/>
          <w:highlight w:val="none"/>
          <w:lang w:eastAsia="zh-CN"/>
        </w:rPr>
      </w:pPr>
    </w:p>
    <w:p>
      <w:pPr>
        <w:jc w:val="center"/>
        <w:rPr>
          <w:rFonts w:ascii="黑体" w:hAnsi="Times New Roman" w:eastAsia="黑体"/>
          <w:b/>
          <w:color w:val="auto"/>
          <w:sz w:val="70"/>
          <w:szCs w:val="20"/>
          <w:highlight w:val="none"/>
        </w:rPr>
      </w:pPr>
    </w:p>
    <w:p>
      <w:pPr>
        <w:spacing w:line="360" w:lineRule="auto"/>
        <w:ind w:firstLine="540" w:firstLineChars="225"/>
        <w:rPr>
          <w:color w:val="auto"/>
          <w:sz w:val="24"/>
          <w:szCs w:val="24"/>
          <w:highlight w:val="none"/>
        </w:rPr>
      </w:pPr>
    </w:p>
    <w:p>
      <w:pPr>
        <w:rPr>
          <w:rFonts w:asciiTheme="minorEastAsia" w:hAnsiTheme="minorEastAsia" w:eastAsiaTheme="minorEastAsia"/>
          <w:color w:val="auto"/>
          <w:kern w:val="0"/>
          <w:szCs w:val="21"/>
          <w:highlight w:val="none"/>
        </w:rPr>
      </w:pPr>
      <w:r>
        <w:rPr>
          <w:rFonts w:ascii="Times New Roman" w:hAnsi="Times New Roman"/>
          <w:color w:val="auto"/>
          <w:sz w:val="28"/>
          <w:szCs w:val="20"/>
          <w:highlight w:val="none"/>
        </w:rPr>
        <w:br w:type="page"/>
      </w:r>
    </w:p>
    <w:p>
      <w:pPr>
        <w:jc w:val="center"/>
        <w:rPr>
          <w:rFonts w:cs="Arial" w:asciiTheme="minorEastAsia" w:hAnsiTheme="minorEastAsia" w:eastAsiaTheme="minorEastAsia"/>
          <w:color w:val="auto"/>
          <w:sz w:val="28"/>
          <w:szCs w:val="28"/>
          <w:highlight w:val="none"/>
        </w:rPr>
        <w:sectPr>
          <w:pgSz w:w="11907" w:h="16840"/>
          <w:pgMar w:top="1440" w:right="1253" w:bottom="1196" w:left="1678" w:header="720" w:footer="720" w:gutter="0"/>
          <w:cols w:space="720" w:num="1"/>
        </w:sectPr>
      </w:pPr>
    </w:p>
    <w:p>
      <w:pPr>
        <w:pStyle w:val="3"/>
        <w:spacing w:before="0" w:after="0" w:line="240" w:lineRule="auto"/>
        <w:jc w:val="center"/>
        <w:rPr>
          <w:rFonts w:asciiTheme="minorEastAsia" w:hAnsiTheme="minorEastAsia" w:eastAsiaTheme="minorEastAsia"/>
          <w:color w:val="auto"/>
          <w:highlight w:val="none"/>
        </w:rPr>
      </w:pPr>
      <w:bookmarkStart w:id="216" w:name="_Toc485992291"/>
      <w:bookmarkStart w:id="217" w:name="_Toc10012"/>
      <w:bookmarkStart w:id="218" w:name="_Toc287620812"/>
      <w:bookmarkStart w:id="219" w:name="_Toc287607865"/>
      <w:bookmarkStart w:id="220" w:name="_Toc468346953"/>
      <w:bookmarkStart w:id="221" w:name="_Toc430530528"/>
      <w:r>
        <w:rPr>
          <w:rFonts w:hint="eastAsia" w:asciiTheme="minorEastAsia" w:hAnsiTheme="minorEastAsia" w:eastAsiaTheme="minorEastAsia"/>
          <w:color w:val="auto"/>
          <w:highlight w:val="none"/>
        </w:rPr>
        <w:t>第</w:t>
      </w:r>
      <w:r>
        <w:rPr>
          <w:rFonts w:hint="eastAsia" w:asciiTheme="minorEastAsia" w:hAnsiTheme="minorEastAsia" w:eastAsiaTheme="minorEastAsia"/>
          <w:color w:val="auto"/>
          <w:highlight w:val="none"/>
          <w:lang w:eastAsia="zh-CN"/>
        </w:rPr>
        <w:t>五</w:t>
      </w:r>
      <w:r>
        <w:rPr>
          <w:rFonts w:hint="eastAsia" w:asciiTheme="minorEastAsia" w:hAnsiTheme="minorEastAsia" w:eastAsiaTheme="minorEastAsia"/>
          <w:color w:val="auto"/>
          <w:highlight w:val="none"/>
        </w:rPr>
        <w:t>章　竞选文件格式</w:t>
      </w:r>
      <w:bookmarkEnd w:id="216"/>
      <w:bookmarkEnd w:id="217"/>
      <w:bookmarkEnd w:id="218"/>
      <w:bookmarkEnd w:id="219"/>
      <w:bookmarkEnd w:id="220"/>
      <w:bookmarkEnd w:id="221"/>
    </w:p>
    <w:p>
      <w:pPr>
        <w:autoSpaceDE w:val="0"/>
        <w:autoSpaceDN w:val="0"/>
        <w:adjustRightInd w:val="0"/>
        <w:snapToGrid w:val="0"/>
        <w:spacing w:line="360" w:lineRule="auto"/>
        <w:jc w:val="left"/>
        <w:rPr>
          <w:rFonts w:cs="宋体" w:asciiTheme="minorEastAsia" w:hAnsiTheme="minorEastAsia" w:eastAsiaTheme="minorEastAsia"/>
          <w:b/>
          <w:color w:val="auto"/>
          <w:kern w:val="0"/>
          <w:sz w:val="24"/>
          <w:highlight w:val="none"/>
        </w:rPr>
      </w:pPr>
      <w:bookmarkStart w:id="222" w:name="_Toc401255462"/>
    </w:p>
    <w:p>
      <w:pPr>
        <w:autoSpaceDE w:val="0"/>
        <w:autoSpaceDN w:val="0"/>
        <w:adjustRightInd w:val="0"/>
        <w:snapToGrid w:val="0"/>
        <w:spacing w:line="360" w:lineRule="auto"/>
        <w:jc w:val="lef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一、</w:t>
      </w:r>
      <w:r>
        <w:rPr>
          <w:rFonts w:hint="eastAsia" w:cs="宋体" w:asciiTheme="minorEastAsia" w:hAnsiTheme="minorEastAsia" w:eastAsiaTheme="minorEastAsia"/>
          <w:b/>
          <w:color w:val="auto"/>
          <w:sz w:val="24"/>
          <w:highlight w:val="none"/>
        </w:rPr>
        <w:t>竞选函部分</w:t>
      </w:r>
      <w:bookmarkEnd w:id="222"/>
    </w:p>
    <w:p>
      <w:pPr>
        <w:autoSpaceDE w:val="0"/>
        <w:autoSpaceDN w:val="0"/>
        <w:adjustRightInd w:val="0"/>
        <w:snapToGrid w:val="0"/>
        <w:spacing w:line="360" w:lineRule="auto"/>
        <w:ind w:left="720"/>
        <w:jc w:val="left"/>
        <w:rPr>
          <w:rFonts w:cs="MingLiU" w:asciiTheme="minorEastAsia" w:hAnsiTheme="minorEastAsia" w:eastAsiaTheme="minorEastAsia"/>
          <w:snapToGrid w:val="0"/>
          <w:color w:val="auto"/>
          <w:kern w:val="0"/>
          <w:szCs w:val="21"/>
          <w:highlight w:val="none"/>
        </w:rPr>
      </w:pPr>
      <w:r>
        <w:rPr>
          <w:rFonts w:hint="eastAsia" w:cs="MingLiU" w:asciiTheme="minorEastAsia" w:hAnsiTheme="minorEastAsia" w:eastAsiaTheme="minorEastAsia"/>
          <w:snapToGrid w:val="0"/>
          <w:color w:val="auto"/>
          <w:kern w:val="0"/>
          <w:szCs w:val="21"/>
          <w:highlight w:val="none"/>
        </w:rPr>
        <w:t>（一）法定代表人身份证明及授权委托书</w:t>
      </w:r>
    </w:p>
    <w:p>
      <w:pPr>
        <w:autoSpaceDE w:val="0"/>
        <w:autoSpaceDN w:val="0"/>
        <w:adjustRightInd w:val="0"/>
        <w:snapToGrid w:val="0"/>
        <w:spacing w:line="360" w:lineRule="auto"/>
        <w:ind w:left="720"/>
        <w:jc w:val="left"/>
        <w:rPr>
          <w:rFonts w:asciiTheme="minorEastAsia" w:hAnsiTheme="minorEastAsia" w:eastAsiaTheme="minorEastAsia"/>
          <w:color w:val="auto"/>
          <w:szCs w:val="21"/>
          <w:highlight w:val="none"/>
        </w:rPr>
      </w:pPr>
      <w:r>
        <w:rPr>
          <w:rFonts w:hint="eastAsia" w:cs="MingLiU" w:asciiTheme="minorEastAsia" w:hAnsiTheme="minorEastAsia" w:eastAsiaTheme="minorEastAsia"/>
          <w:snapToGrid w:val="0"/>
          <w:color w:val="auto"/>
          <w:kern w:val="0"/>
          <w:szCs w:val="21"/>
          <w:highlight w:val="none"/>
        </w:rPr>
        <w:t>（二）比选文件确认书</w:t>
      </w:r>
      <w:r>
        <w:rPr>
          <w:rFonts w:hint="eastAsia" w:asciiTheme="minorEastAsia" w:hAnsiTheme="minorEastAsia" w:eastAsiaTheme="minorEastAsia"/>
          <w:color w:val="auto"/>
          <w:szCs w:val="21"/>
          <w:highlight w:val="none"/>
        </w:rPr>
        <w:t>竞选函</w:t>
      </w:r>
    </w:p>
    <w:p>
      <w:pPr>
        <w:autoSpaceDE w:val="0"/>
        <w:autoSpaceDN w:val="0"/>
        <w:adjustRightInd w:val="0"/>
        <w:snapToGrid w:val="0"/>
        <w:spacing w:line="360" w:lineRule="auto"/>
        <w:ind w:left="720"/>
        <w:jc w:val="left"/>
        <w:rPr>
          <w:rFonts w:cs="MingLiU" w:asciiTheme="minorEastAsia" w:hAnsiTheme="minorEastAsia" w:eastAsiaTheme="minorEastAsia"/>
          <w:snapToGrid w:val="0"/>
          <w:color w:val="auto"/>
          <w:kern w:val="0"/>
          <w:szCs w:val="21"/>
          <w:highlight w:val="none"/>
        </w:rPr>
      </w:pPr>
      <w:r>
        <w:rPr>
          <w:rFonts w:hint="eastAsia" w:cs="MingLiU" w:asciiTheme="minorEastAsia" w:hAnsiTheme="minorEastAsia" w:eastAsiaTheme="minorEastAsia"/>
          <w:snapToGrid w:val="0"/>
          <w:color w:val="auto"/>
          <w:kern w:val="0"/>
          <w:szCs w:val="21"/>
          <w:highlight w:val="none"/>
        </w:rPr>
        <w:t>（三）</w:t>
      </w:r>
      <w:r>
        <w:rPr>
          <w:rFonts w:hint="eastAsia" w:asciiTheme="minorEastAsia" w:hAnsiTheme="minorEastAsia" w:eastAsiaTheme="minorEastAsia"/>
          <w:color w:val="auto"/>
          <w:szCs w:val="21"/>
          <w:highlight w:val="none"/>
        </w:rPr>
        <w:t>竞选函</w:t>
      </w:r>
    </w:p>
    <w:p>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二、</w:t>
      </w:r>
      <w:bookmarkStart w:id="223" w:name="_Toc328988929"/>
      <w:bookmarkStart w:id="224" w:name="_Toc304752883"/>
      <w:bookmarkStart w:id="225" w:name="_Toc342902620"/>
      <w:r>
        <w:rPr>
          <w:rFonts w:hint="eastAsia" w:cs="宋体" w:asciiTheme="minorEastAsia" w:hAnsiTheme="minorEastAsia" w:eastAsiaTheme="minorEastAsia"/>
          <w:b/>
          <w:color w:val="auto"/>
          <w:sz w:val="24"/>
          <w:highlight w:val="none"/>
        </w:rPr>
        <w:t>资格审查资料</w:t>
      </w:r>
      <w:bookmarkEnd w:id="223"/>
      <w:bookmarkEnd w:id="224"/>
      <w:bookmarkEnd w:id="225"/>
      <w:r>
        <w:rPr>
          <w:rFonts w:hint="eastAsia" w:cs="宋体" w:asciiTheme="minorEastAsia" w:hAnsiTheme="minorEastAsia" w:eastAsiaTheme="minorEastAsia"/>
          <w:b/>
          <w:color w:val="auto"/>
          <w:sz w:val="24"/>
          <w:highlight w:val="none"/>
        </w:rPr>
        <w:t>(含</w:t>
      </w:r>
      <w:r>
        <w:rPr>
          <w:rFonts w:hint="eastAsia" w:cs="宋体" w:asciiTheme="minorEastAsia" w:hAnsiTheme="minorEastAsia" w:eastAsiaTheme="minorEastAsia"/>
          <w:b/>
          <w:color w:val="auto"/>
          <w:kern w:val="0"/>
          <w:sz w:val="24"/>
          <w:highlight w:val="none"/>
        </w:rPr>
        <w:t>商务部分</w:t>
      </w:r>
      <w:r>
        <w:rPr>
          <w:rFonts w:hint="eastAsia" w:cs="宋体" w:asciiTheme="minorEastAsia" w:hAnsiTheme="minorEastAsia" w:eastAsiaTheme="minorEastAsia"/>
          <w:b/>
          <w:color w:val="auto"/>
          <w:sz w:val="24"/>
          <w:highlight w:val="none"/>
        </w:rPr>
        <w:t>)</w:t>
      </w:r>
    </w:p>
    <w:p>
      <w:pPr>
        <w:autoSpaceDE w:val="0"/>
        <w:autoSpaceDN w:val="0"/>
        <w:adjustRightInd w:val="0"/>
        <w:spacing w:line="360" w:lineRule="auto"/>
        <w:ind w:right="-2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三、</w:t>
      </w:r>
      <w:r>
        <w:rPr>
          <w:rFonts w:hint="eastAsia" w:cs="宋体" w:asciiTheme="minorEastAsia" w:hAnsiTheme="minorEastAsia" w:eastAsiaTheme="minorEastAsia"/>
          <w:b/>
          <w:color w:val="auto"/>
          <w:sz w:val="24"/>
          <w:highlight w:val="none"/>
          <w:lang w:eastAsia="zh-CN"/>
        </w:rPr>
        <w:t>服务</w:t>
      </w:r>
      <w:r>
        <w:rPr>
          <w:rFonts w:hint="eastAsia" w:cs="宋体" w:asciiTheme="minorEastAsia" w:hAnsiTheme="minorEastAsia" w:eastAsiaTheme="minorEastAsia"/>
          <w:b/>
          <w:color w:val="auto"/>
          <w:sz w:val="24"/>
          <w:highlight w:val="none"/>
        </w:rPr>
        <w:t>部分</w:t>
      </w:r>
    </w:p>
    <w:p>
      <w:pPr>
        <w:spacing w:line="360" w:lineRule="auto"/>
        <w:ind w:firstLine="1120" w:firstLineChars="350"/>
        <w:rPr>
          <w:rFonts w:asciiTheme="minorEastAsia" w:hAnsiTheme="minorEastAsia" w:eastAsiaTheme="minorEastAsia"/>
          <w:color w:val="auto"/>
          <w:sz w:val="32"/>
          <w:szCs w:val="32"/>
          <w:highlight w:val="none"/>
        </w:rPr>
      </w:pPr>
    </w:p>
    <w:p>
      <w:pPr>
        <w:spacing w:line="360" w:lineRule="auto"/>
        <w:jc w:val="center"/>
        <w:rPr>
          <w:rFonts w:asciiTheme="minorEastAsia" w:hAnsiTheme="minorEastAsia" w:eastAsiaTheme="minorEastAsia"/>
          <w:color w:val="auto"/>
          <w:kern w:val="0"/>
          <w:sz w:val="28"/>
          <w:szCs w:val="28"/>
          <w:highlight w:val="none"/>
          <w:u w:val="single"/>
        </w:rPr>
      </w:pPr>
      <w:r>
        <w:rPr>
          <w:rFonts w:hint="eastAsia" w:asciiTheme="minorEastAsia" w:hAnsiTheme="minorEastAsia" w:eastAsiaTheme="minorEastAsia"/>
          <w:color w:val="auto"/>
          <w:szCs w:val="20"/>
          <w:highlight w:val="none"/>
        </w:rPr>
        <w:br w:type="page"/>
      </w:r>
    </w:p>
    <w:p>
      <w:pPr>
        <w:tabs>
          <w:tab w:val="left" w:pos="2580"/>
          <w:tab w:val="left" w:pos="5940"/>
        </w:tabs>
        <w:autoSpaceDE w:val="0"/>
        <w:autoSpaceDN w:val="0"/>
        <w:adjustRightInd w:val="0"/>
        <w:snapToGrid w:val="0"/>
        <w:spacing w:line="360" w:lineRule="auto"/>
        <w:jc w:val="center"/>
        <w:outlineLvl w:val="1"/>
        <w:rPr>
          <w:rFonts w:asciiTheme="minorEastAsia" w:hAnsiTheme="minorEastAsia" w:eastAsiaTheme="minorEastAsia"/>
          <w:b/>
          <w:color w:val="auto"/>
          <w:sz w:val="32"/>
          <w:szCs w:val="32"/>
          <w:highlight w:val="none"/>
        </w:rPr>
      </w:pPr>
      <w:bookmarkStart w:id="226" w:name="_Toc3172"/>
      <w:bookmarkStart w:id="227" w:name="_Toc485992292"/>
      <w:r>
        <w:rPr>
          <w:rFonts w:hint="eastAsia" w:asciiTheme="minorEastAsia" w:hAnsiTheme="minorEastAsia" w:eastAsiaTheme="minorEastAsia"/>
          <w:b/>
          <w:color w:val="auto"/>
          <w:sz w:val="32"/>
          <w:szCs w:val="32"/>
          <w:highlight w:val="none"/>
        </w:rPr>
        <w:t>一、竞选函部分</w:t>
      </w:r>
      <w:bookmarkEnd w:id="226"/>
      <w:bookmarkEnd w:id="227"/>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u w:val="singl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rPr>
      </w:pPr>
    </w:p>
    <w:p>
      <w:pPr>
        <w:tabs>
          <w:tab w:val="left" w:pos="2580"/>
          <w:tab w:val="left" w:pos="5940"/>
        </w:tabs>
        <w:autoSpaceDE w:val="0"/>
        <w:autoSpaceDN w:val="0"/>
        <w:adjustRightInd w:val="0"/>
        <w:snapToGrid w:val="0"/>
        <w:spacing w:line="360" w:lineRule="auto"/>
        <w:ind w:left="720"/>
        <w:jc w:val="left"/>
        <w:rPr>
          <w:rFonts w:asciiTheme="minorEastAsia" w:hAnsiTheme="minorEastAsia" w:eastAsiaTheme="minorEastAsia"/>
          <w:color w:val="auto"/>
          <w:kern w:val="0"/>
          <w:sz w:val="28"/>
          <w:szCs w:val="28"/>
          <w:highlight w:val="none"/>
        </w:rPr>
      </w:pPr>
    </w:p>
    <w:p>
      <w:pPr>
        <w:widowControl/>
        <w:jc w:val="left"/>
        <w:rPr>
          <w:rFonts w:asciiTheme="minorEastAsia" w:hAnsiTheme="minorEastAsia" w:eastAsiaTheme="minorEastAsia"/>
          <w:color w:val="auto"/>
          <w:kern w:val="0"/>
          <w:sz w:val="28"/>
          <w:szCs w:val="28"/>
          <w:highlight w:val="none"/>
        </w:rPr>
      </w:pPr>
      <w:r>
        <w:rPr>
          <w:rFonts w:hint="eastAsia" w:asciiTheme="minorEastAsia" w:hAnsiTheme="minorEastAsia" w:eastAsiaTheme="minorEastAsia"/>
          <w:color w:val="auto"/>
          <w:kern w:val="0"/>
          <w:sz w:val="28"/>
          <w:szCs w:val="28"/>
          <w:highlight w:val="none"/>
        </w:rPr>
        <w:br w:type="page"/>
      </w:r>
    </w:p>
    <w:p>
      <w:pPr>
        <w:spacing w:line="480" w:lineRule="auto"/>
        <w:jc w:val="center"/>
        <w:rPr>
          <w:rFonts w:asciiTheme="minorEastAsia" w:hAnsiTheme="minorEastAsia" w:eastAsiaTheme="minorEastAsia"/>
          <w:b/>
          <w:color w:val="auto"/>
          <w:sz w:val="32"/>
          <w:szCs w:val="32"/>
          <w:highlight w:val="none"/>
        </w:rPr>
      </w:pPr>
    </w:p>
    <w:p>
      <w:pPr>
        <w:spacing w:line="480" w:lineRule="auto"/>
        <w:jc w:val="left"/>
        <w:rPr>
          <w:rFonts w:asciiTheme="minorEastAsia" w:hAnsiTheme="minorEastAsia" w:eastAsiaTheme="minorEastAsia"/>
          <w:color w:val="auto"/>
          <w:sz w:val="30"/>
          <w:szCs w:val="30"/>
          <w:highlight w:val="none"/>
        </w:rPr>
      </w:pPr>
      <w:r>
        <w:rPr>
          <w:rFonts w:hint="eastAsia" w:asciiTheme="minorEastAsia" w:hAnsiTheme="minorEastAsia" w:eastAsiaTheme="minorEastAsia"/>
          <w:b/>
          <w:color w:val="auto"/>
          <w:sz w:val="30"/>
          <w:szCs w:val="30"/>
          <w:highlight w:val="none"/>
        </w:rPr>
        <w:t>项目名称：</w:t>
      </w:r>
      <w:r>
        <w:rPr>
          <w:rFonts w:hint="eastAsia" w:asciiTheme="minorEastAsia" w:hAnsiTheme="minorEastAsia" w:eastAsiaTheme="minorEastAsia"/>
          <w:b/>
          <w:color w:val="auto"/>
          <w:sz w:val="30"/>
          <w:szCs w:val="30"/>
          <w:highlight w:val="none"/>
          <w:u w:val="single"/>
        </w:rPr>
        <w:t xml:space="preserve">                      </w:t>
      </w: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highlight w:val="none"/>
        </w:rPr>
      </w:pPr>
    </w:p>
    <w:p>
      <w:pPr>
        <w:pStyle w:val="22"/>
        <w:rPr>
          <w:color w:val="auto"/>
          <w:highlight w:val="none"/>
        </w:rPr>
      </w:pP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cs="MingLiU" w:asciiTheme="minorEastAsia" w:hAnsiTheme="minorEastAsia" w:eastAsiaTheme="minorEastAsia"/>
          <w:b/>
          <w:color w:val="auto"/>
          <w:kern w:val="0"/>
          <w:sz w:val="84"/>
          <w:szCs w:val="84"/>
          <w:highlight w:val="none"/>
        </w:rPr>
      </w:pPr>
      <w:r>
        <w:rPr>
          <w:rFonts w:hint="eastAsia" w:cs="MingLiU" w:asciiTheme="minorEastAsia" w:hAnsiTheme="minorEastAsia" w:eastAsiaTheme="minorEastAsia"/>
          <w:b/>
          <w:color w:val="auto"/>
          <w:kern w:val="0"/>
          <w:sz w:val="84"/>
          <w:szCs w:val="84"/>
          <w:highlight w:val="none"/>
        </w:rPr>
        <w:t>竞  选  文  件</w:t>
      </w:r>
    </w:p>
    <w:p>
      <w:pPr>
        <w:autoSpaceDE w:val="0"/>
        <w:autoSpaceDN w:val="0"/>
        <w:adjustRightInd w:val="0"/>
        <w:snapToGrid w:val="0"/>
        <w:spacing w:line="360" w:lineRule="auto"/>
        <w:jc w:val="left"/>
        <w:rPr>
          <w:rFonts w:cs="MingLiU" w:asciiTheme="minorEastAsia" w:hAnsiTheme="minorEastAsia" w:eastAsiaTheme="minorEastAsia"/>
          <w:color w:val="auto"/>
          <w:kern w:val="0"/>
          <w:sz w:val="16"/>
          <w:szCs w:val="16"/>
          <w:highlight w:val="none"/>
        </w:rPr>
      </w:pPr>
    </w:p>
    <w:p>
      <w:pPr>
        <w:autoSpaceDE w:val="0"/>
        <w:autoSpaceDN w:val="0"/>
        <w:adjustRightInd w:val="0"/>
        <w:snapToGrid w:val="0"/>
        <w:spacing w:line="360" w:lineRule="auto"/>
        <w:jc w:val="center"/>
        <w:rPr>
          <w:rFonts w:cs="MingLiU" w:asciiTheme="minorEastAsia" w:hAnsiTheme="minorEastAsia" w:eastAsiaTheme="minorEastAsia"/>
          <w:b/>
          <w:color w:val="auto"/>
          <w:kern w:val="0"/>
          <w:sz w:val="36"/>
          <w:szCs w:val="36"/>
          <w:highlight w:val="none"/>
        </w:rPr>
      </w:pPr>
      <w:r>
        <w:rPr>
          <w:rFonts w:hint="eastAsia" w:cs="MingLiU" w:asciiTheme="minorEastAsia" w:hAnsiTheme="minorEastAsia" w:eastAsiaTheme="minorEastAsia"/>
          <w:b/>
          <w:color w:val="auto"/>
          <w:kern w:val="0"/>
          <w:sz w:val="36"/>
          <w:szCs w:val="36"/>
          <w:highlight w:val="none"/>
        </w:rPr>
        <w:t>竞选函部分</w:t>
      </w: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b/>
          <w:color w:val="auto"/>
          <w:w w:val="99"/>
          <w:kern w:val="0"/>
          <w:sz w:val="28"/>
          <w:szCs w:val="28"/>
          <w:highlight w:val="none"/>
        </w:rPr>
      </w:pPr>
      <w:r>
        <w:rPr>
          <w:rFonts w:hint="eastAsia" w:cs="MingLiU" w:asciiTheme="minorEastAsia" w:hAnsiTheme="minorEastAsia" w:eastAsiaTheme="minorEastAsia"/>
          <w:b/>
          <w:color w:val="auto"/>
          <w:w w:val="99"/>
          <w:kern w:val="0"/>
          <w:sz w:val="28"/>
          <w:szCs w:val="28"/>
          <w:highlight w:val="none"/>
        </w:rPr>
        <w:t>竞选人</w:t>
      </w:r>
      <w:r>
        <w:rPr>
          <w:rFonts w:hint="eastAsia" w:cs="MingLiU" w:asciiTheme="minorEastAsia" w:hAnsiTheme="minorEastAsia" w:eastAsiaTheme="minorEastAsia"/>
          <w:b/>
          <w:color w:val="auto"/>
          <w:spacing w:val="1"/>
          <w:w w:val="99"/>
          <w:kern w:val="0"/>
          <w:sz w:val="28"/>
          <w:szCs w:val="28"/>
          <w:highlight w:val="none"/>
        </w:rPr>
        <w:t>：</w:t>
      </w:r>
      <w:r>
        <w:rPr>
          <w:rFonts w:hint="eastAsia" w:cs="MingLiU" w:asciiTheme="minorEastAsia" w:hAnsiTheme="minorEastAsia" w:eastAsiaTheme="minorEastAsia"/>
          <w:b/>
          <w:color w:val="auto"/>
          <w:w w:val="198"/>
          <w:kern w:val="0"/>
          <w:sz w:val="28"/>
          <w:szCs w:val="28"/>
          <w:highlight w:val="none"/>
          <w:u w:val="single"/>
        </w:rPr>
        <w:t xml:space="preserve"> 　　　　 　　</w:t>
      </w:r>
      <w:r>
        <w:rPr>
          <w:rFonts w:hint="eastAsia" w:cs="MingLiU" w:asciiTheme="minorEastAsia" w:hAnsiTheme="minorEastAsia" w:eastAsiaTheme="minorEastAsia"/>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cs="MingLiU" w:asciiTheme="minorEastAsia" w:hAnsiTheme="minorEastAsia" w:eastAsiaTheme="minorEastAsia"/>
          <w:b/>
          <w:color w:val="auto"/>
          <w:kern w:val="0"/>
          <w:sz w:val="28"/>
          <w:szCs w:val="28"/>
          <w:highlight w:val="none"/>
        </w:rPr>
      </w:pPr>
      <w:r>
        <w:rPr>
          <w:rFonts w:hint="eastAsia" w:cs="MingLiU" w:asciiTheme="minorEastAsia" w:hAnsiTheme="minorEastAsia" w:eastAsiaTheme="minorEastAsia"/>
          <w:b/>
          <w:color w:val="auto"/>
          <w:w w:val="99"/>
          <w:kern w:val="0"/>
          <w:sz w:val="28"/>
          <w:szCs w:val="28"/>
          <w:highlight w:val="none"/>
        </w:rPr>
        <w:t>法定代表人或其委托代理人：</w:t>
      </w:r>
      <w:r>
        <w:rPr>
          <w:rFonts w:hint="eastAsia" w:cs="MingLiU" w:asciiTheme="minorEastAsia" w:hAnsiTheme="minorEastAsia" w:eastAsiaTheme="minorEastAsia"/>
          <w:b/>
          <w:color w:val="auto"/>
          <w:w w:val="198"/>
          <w:kern w:val="0"/>
          <w:sz w:val="28"/>
          <w:szCs w:val="28"/>
          <w:highlight w:val="none"/>
          <w:u w:val="single"/>
        </w:rPr>
        <w:t xml:space="preserve"> 　　 </w:t>
      </w:r>
      <w:r>
        <w:rPr>
          <w:rFonts w:hint="eastAsia" w:cs="MingLiU" w:asciiTheme="minorEastAsia" w:hAnsiTheme="minorEastAsia" w:eastAsiaTheme="minorEastAsia"/>
          <w:b/>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cs="MingLiU" w:asciiTheme="minorEastAsia" w:hAnsiTheme="minorEastAsia" w:eastAsiaTheme="minorEastAsia"/>
          <w:b/>
          <w:color w:val="auto"/>
          <w:kern w:val="0"/>
          <w:sz w:val="28"/>
          <w:szCs w:val="28"/>
          <w:highlight w:val="none"/>
        </w:rPr>
      </w:pPr>
      <w:r>
        <w:rPr>
          <w:rFonts w:hint="eastAsia" w:cs="MingLiU" w:asciiTheme="minorEastAsia" w:hAnsiTheme="minorEastAsia" w:eastAsiaTheme="minorEastAsia"/>
          <w:b/>
          <w:color w:val="auto"/>
          <w:w w:val="99"/>
          <w:kern w:val="0"/>
          <w:sz w:val="28"/>
          <w:szCs w:val="28"/>
          <w:highlight w:val="none"/>
        </w:rPr>
        <w:t>年    月   日</w:t>
      </w:r>
    </w:p>
    <w:p>
      <w:pPr>
        <w:autoSpaceDE w:val="0"/>
        <w:autoSpaceDN w:val="0"/>
        <w:adjustRightInd w:val="0"/>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MingLiU" w:asciiTheme="minorEastAsia" w:hAnsiTheme="minorEastAsia" w:eastAsiaTheme="minorEastAsia"/>
          <w:color w:val="auto"/>
          <w:kern w:val="0"/>
          <w:sz w:val="24"/>
          <w:szCs w:val="21"/>
          <w:highlight w:val="none"/>
        </w:rPr>
        <w:br w:type="page"/>
      </w:r>
      <w:r>
        <w:rPr>
          <w:rFonts w:hint="eastAsia" w:cs="宋体" w:asciiTheme="minorEastAsia" w:hAnsiTheme="minorEastAsia" w:eastAsiaTheme="minorEastAsia"/>
          <w:b/>
          <w:color w:val="auto"/>
          <w:kern w:val="0"/>
          <w:sz w:val="32"/>
          <w:szCs w:val="32"/>
          <w:highlight w:val="none"/>
        </w:rPr>
        <w:t>目  录</w:t>
      </w:r>
    </w:p>
    <w:p>
      <w:pPr>
        <w:numPr>
          <w:ilvl w:val="0"/>
          <w:numId w:val="1"/>
        </w:numPr>
        <w:autoSpaceDE w:val="0"/>
        <w:autoSpaceDN w:val="0"/>
        <w:adjustRightInd w:val="0"/>
        <w:spacing w:line="360" w:lineRule="auto"/>
        <w:ind w:right="-2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法定代表人身份证明及授权委托书</w:t>
      </w:r>
    </w:p>
    <w:p>
      <w:pPr>
        <w:numPr>
          <w:ilvl w:val="0"/>
          <w:numId w:val="1"/>
        </w:numPr>
        <w:autoSpaceDE w:val="0"/>
        <w:autoSpaceDN w:val="0"/>
        <w:adjustRightInd w:val="0"/>
        <w:spacing w:line="360" w:lineRule="auto"/>
        <w:ind w:right="-2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比选文件确认书竞选函</w:t>
      </w:r>
    </w:p>
    <w:p>
      <w:pPr>
        <w:numPr>
          <w:ilvl w:val="0"/>
          <w:numId w:val="1"/>
        </w:numPr>
        <w:autoSpaceDE w:val="0"/>
        <w:autoSpaceDN w:val="0"/>
        <w:adjustRightInd w:val="0"/>
        <w:spacing w:line="360" w:lineRule="auto"/>
        <w:ind w:right="-2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竞选函</w:t>
      </w: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spacing w:line="360" w:lineRule="auto"/>
        <w:rPr>
          <w:rFonts w:asciiTheme="minorEastAsia" w:hAnsiTheme="minorEastAsia" w:eastAsiaTheme="minorEastAsia"/>
          <w:b/>
          <w:color w:val="auto"/>
          <w:spacing w:val="20"/>
          <w:sz w:val="24"/>
          <w:highlight w:val="none"/>
        </w:rPr>
      </w:pPr>
    </w:p>
    <w:p>
      <w:pPr>
        <w:autoSpaceDE w:val="0"/>
        <w:autoSpaceDN w:val="0"/>
        <w:adjustRightInd w:val="0"/>
        <w:spacing w:before="16" w:line="360" w:lineRule="auto"/>
        <w:jc w:val="center"/>
        <w:outlineLvl w:val="2"/>
        <w:rPr>
          <w:rFonts w:cs="MingLiU" w:asciiTheme="minorEastAsia" w:hAnsiTheme="minorEastAsia" w:eastAsiaTheme="minorEastAsia"/>
          <w:b/>
          <w:color w:val="auto"/>
          <w:kern w:val="0"/>
          <w:sz w:val="32"/>
          <w:szCs w:val="32"/>
          <w:highlight w:val="none"/>
        </w:rPr>
      </w:pPr>
      <w:bookmarkStart w:id="228" w:name="_Toc11542"/>
      <w:bookmarkStart w:id="229" w:name="_Toc485992293"/>
      <w:r>
        <w:rPr>
          <w:rFonts w:hint="eastAsia" w:cs="MingLiU" w:asciiTheme="minorEastAsia" w:hAnsiTheme="minorEastAsia" w:eastAsiaTheme="minorEastAsia"/>
          <w:b/>
          <w:color w:val="auto"/>
          <w:kern w:val="0"/>
          <w:sz w:val="32"/>
          <w:szCs w:val="32"/>
          <w:highlight w:val="none"/>
        </w:rPr>
        <w:t>（一）法定代表人身份证明及授权委托书</w:t>
      </w:r>
      <w:bookmarkEnd w:id="228"/>
      <w:bookmarkEnd w:id="229"/>
    </w:p>
    <w:p>
      <w:pPr>
        <w:spacing w:line="360" w:lineRule="auto"/>
        <w:jc w:val="center"/>
        <w:rPr>
          <w:rFonts w:cs="MingLiU" w:asciiTheme="minorEastAsia" w:hAnsiTheme="minorEastAsia" w:eastAsiaTheme="minorEastAsia"/>
          <w:b/>
          <w:color w:val="auto"/>
          <w:kern w:val="0"/>
          <w:sz w:val="32"/>
          <w:szCs w:val="32"/>
          <w:highlight w:val="none"/>
        </w:rPr>
      </w:pPr>
      <w:r>
        <w:rPr>
          <w:rFonts w:hint="eastAsia" w:cs="MingLiU" w:asciiTheme="minorEastAsia" w:hAnsiTheme="minorEastAsia" w:eastAsiaTheme="minorEastAsia"/>
          <w:b/>
          <w:color w:val="auto"/>
          <w:kern w:val="0"/>
          <w:sz w:val="32"/>
          <w:szCs w:val="32"/>
          <w:highlight w:val="none"/>
        </w:rPr>
        <w:t>法定代表人身份证明</w:t>
      </w:r>
    </w:p>
    <w:p>
      <w:pP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竞选人名称：</w:t>
      </w:r>
      <w:r>
        <w:rPr>
          <w:rFonts w:hint="eastAsia" w:cs="MingLiU" w:asciiTheme="minorEastAsia" w:hAnsiTheme="minorEastAsia" w:eastAsiaTheme="minorEastAsia"/>
          <w:b/>
          <w:color w:val="auto"/>
          <w:w w:val="198"/>
          <w:kern w:val="0"/>
          <w:sz w:val="28"/>
          <w:szCs w:val="28"/>
          <w:highlight w:val="none"/>
          <w:u w:val="single"/>
        </w:rPr>
        <w:t>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 位 性质：</w:t>
      </w:r>
      <w:r>
        <w:rPr>
          <w:rFonts w:hint="eastAsia" w:cs="MingLiU" w:asciiTheme="minorEastAsia" w:hAnsiTheme="minorEastAsia" w:eastAsiaTheme="minorEastAsia"/>
          <w:b/>
          <w:color w:val="auto"/>
          <w:w w:val="198"/>
          <w:kern w:val="0"/>
          <w:sz w:val="28"/>
          <w:szCs w:val="28"/>
          <w:highlight w:val="none"/>
          <w:u w:val="single"/>
        </w:rPr>
        <w:t>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      址：</w:t>
      </w:r>
      <w:r>
        <w:rPr>
          <w:rFonts w:hint="eastAsia" w:cs="MingLiU" w:asciiTheme="minorEastAsia" w:hAnsiTheme="minorEastAsia" w:eastAsiaTheme="minorEastAsia"/>
          <w:b/>
          <w:color w:val="auto"/>
          <w:w w:val="198"/>
          <w:kern w:val="0"/>
          <w:sz w:val="28"/>
          <w:szCs w:val="28"/>
          <w:highlight w:val="none"/>
          <w:u w:val="single"/>
        </w:rPr>
        <w:t>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成 立时 间：年月日</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经 营期 限：</w:t>
      </w:r>
      <w:r>
        <w:rPr>
          <w:rFonts w:hint="eastAsia" w:cs="MingLiU" w:asciiTheme="minorEastAsia" w:hAnsiTheme="minorEastAsia" w:eastAsiaTheme="minorEastAsia"/>
          <w:b/>
          <w:color w:val="auto"/>
          <w:w w:val="198"/>
          <w:kern w:val="0"/>
          <w:sz w:val="28"/>
          <w:szCs w:val="28"/>
          <w:highlight w:val="none"/>
          <w:u w:val="single"/>
        </w:rPr>
        <w:t>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姓名：</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性别： </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年龄：</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 xml:space="preserve">  职务：</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系</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（竞选人名称）的法定代表人。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特此证明</w:t>
      </w:r>
    </w:p>
    <w:p>
      <w:pPr>
        <w:spacing w:line="360" w:lineRule="auto"/>
        <w:ind w:firstLine="5520" w:firstLineChars="2300"/>
        <w:rPr>
          <w:rFonts w:asciiTheme="minorEastAsia" w:hAnsiTheme="minorEastAsia" w:eastAsiaTheme="minorEastAsia"/>
          <w:color w:val="auto"/>
          <w:sz w:val="24"/>
          <w:highlight w:val="none"/>
        </w:rPr>
      </w:pPr>
    </w:p>
    <w:p>
      <w:pPr>
        <w:spacing w:line="360" w:lineRule="auto"/>
        <w:ind w:firstLine="5520" w:firstLineChars="2300"/>
        <w:rPr>
          <w:rFonts w:asciiTheme="minorEastAsia" w:hAnsiTheme="minorEastAsia" w:eastAsiaTheme="minorEastAsia"/>
          <w:color w:val="auto"/>
          <w:sz w:val="24"/>
          <w:highlight w:val="none"/>
        </w:rPr>
      </w:pPr>
    </w:p>
    <w:p>
      <w:pPr>
        <w:spacing w:line="360" w:lineRule="auto"/>
        <w:ind w:firstLine="5520" w:firstLineChars="2300"/>
        <w:rPr>
          <w:rFonts w:asciiTheme="minorEastAsia" w:hAnsiTheme="minorEastAsia" w:eastAsiaTheme="minorEastAsia"/>
          <w:color w:val="auto"/>
          <w:sz w:val="24"/>
          <w:highlight w:val="none"/>
        </w:rPr>
      </w:pPr>
    </w:p>
    <w:p>
      <w:pPr>
        <w:spacing w:line="360" w:lineRule="auto"/>
        <w:ind w:firstLine="4440" w:firstLineChars="18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竞选人：（盖单位公章）</w:t>
      </w:r>
    </w:p>
    <w:p>
      <w:pPr>
        <w:spacing w:line="360" w:lineRule="auto"/>
        <w:ind w:firstLine="6240" w:firstLineChars="26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    月   日</w:t>
      </w:r>
    </w:p>
    <w:p>
      <w:pPr>
        <w:pStyle w:val="2"/>
        <w:tabs>
          <w:tab w:val="left" w:pos="5352"/>
          <w:tab w:val="left" w:pos="6192"/>
          <w:tab w:val="left" w:pos="7032"/>
        </w:tabs>
        <w:kinsoku w:val="0"/>
        <w:overflowPunct w:val="0"/>
        <w:spacing w:line="335" w:lineRule="exact"/>
        <w:ind w:left="4721"/>
        <w:rPr>
          <w:rFonts w:cs="宋体" w:asciiTheme="minorEastAsia" w:hAnsiTheme="minorEastAsia" w:eastAsiaTheme="minorEastAsia"/>
          <w:color w:val="auto"/>
          <w:highlight w:val="none"/>
        </w:rPr>
      </w:pPr>
    </w:p>
    <w:tbl>
      <w:tblPr>
        <w:tblStyle w:val="17"/>
        <w:tblpPr w:leftFromText="180" w:rightFromText="180" w:vertAnchor="text" w:horzAnchor="margin" w:tblpY="246"/>
        <w:tblW w:w="840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402"/>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1" w:hRule="atLeast"/>
        </w:trPr>
        <w:tc>
          <w:tcPr>
            <w:tcW w:w="8402" w:type="dxa"/>
          </w:tcPr>
          <w:p>
            <w:pPr>
              <w:spacing w:line="520" w:lineRule="exact"/>
              <w:ind w:firstLine="211" w:firstLineChars="100"/>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法定代表人身份证双面复印件或扫描件</w:t>
            </w:r>
          </w:p>
          <w:p>
            <w:pPr>
              <w:spacing w:line="520" w:lineRule="exact"/>
              <w:rPr>
                <w:rFonts w:cs="宋体" w:asciiTheme="minorEastAsia" w:hAnsiTheme="minorEastAsia" w:eastAsiaTheme="minorEastAsia"/>
                <w:b/>
                <w:bCs/>
                <w:color w:val="auto"/>
                <w:sz w:val="28"/>
                <w:szCs w:val="28"/>
                <w:highlight w:val="none"/>
              </w:rPr>
            </w:pPr>
          </w:p>
        </w:tc>
      </w:tr>
    </w:tbl>
    <w:p>
      <w:pPr>
        <w:pStyle w:val="2"/>
        <w:tabs>
          <w:tab w:val="left" w:pos="5352"/>
          <w:tab w:val="left" w:pos="6192"/>
          <w:tab w:val="left" w:pos="7032"/>
        </w:tabs>
        <w:kinsoku w:val="0"/>
        <w:overflowPunct w:val="0"/>
        <w:spacing w:line="335" w:lineRule="exact"/>
        <w:ind w:left="4721"/>
        <w:rPr>
          <w:rFonts w:cs="宋体" w:asciiTheme="minorEastAsia" w:hAnsiTheme="minorEastAsia" w:eastAsiaTheme="minorEastAsia"/>
          <w:color w:val="auto"/>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p>
    <w:p>
      <w:pPr>
        <w:pStyle w:val="16"/>
        <w:rPr>
          <w:color w:val="auto"/>
        </w:rPr>
      </w:pPr>
    </w:p>
    <w:p>
      <w:pPr>
        <w:spacing w:line="360" w:lineRule="auto"/>
        <w:ind w:firstLine="643" w:firstLineChars="200"/>
        <w:jc w:val="center"/>
        <w:rPr>
          <w:rFonts w:cs="MingLiU" w:asciiTheme="minorEastAsia" w:hAnsiTheme="minorEastAsia" w:eastAsiaTheme="minorEastAsia"/>
          <w:b/>
          <w:color w:val="auto"/>
          <w:kern w:val="0"/>
          <w:sz w:val="32"/>
          <w:szCs w:val="32"/>
          <w:highlight w:val="none"/>
        </w:rPr>
      </w:pPr>
      <w:r>
        <w:rPr>
          <w:rFonts w:hint="eastAsia" w:cs="MingLiU" w:asciiTheme="minorEastAsia" w:hAnsiTheme="minorEastAsia" w:eastAsiaTheme="minorEastAsia"/>
          <w:b/>
          <w:color w:val="auto"/>
          <w:kern w:val="0"/>
          <w:sz w:val="32"/>
          <w:szCs w:val="32"/>
          <w:highlight w:val="none"/>
        </w:rPr>
        <w:t>授  权  委  托  书</w:t>
      </w:r>
    </w:p>
    <w:p>
      <w:pPr>
        <w:spacing w:line="360" w:lineRule="auto"/>
        <w:ind w:firstLine="482" w:firstLineChars="200"/>
        <w:jc w:val="center"/>
        <w:rPr>
          <w:rFonts w:asciiTheme="minorEastAsia" w:hAnsiTheme="minorEastAsia" w:eastAsiaTheme="minorEastAsia"/>
          <w:b/>
          <w:color w:val="auto"/>
          <w:sz w:val="24"/>
          <w:highlight w:val="none"/>
        </w:rPr>
      </w:pP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本人</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（姓名）系</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（竞选单位名称）的法定代表人，现委托</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（姓名）为我方代理人，代理人联系手机号:</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。代理人根据授权，以我方名义签署、澄清、说明、补正、递交、撤回、修改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（项目名称）竞选文件、签订合同和处理有关事宜，其法律后果由我方承担。</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委托期限：    。</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代理人无转委托权。</w:t>
      </w:r>
    </w:p>
    <w:p>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附：法定代表人身份证明，法定代表人和代理人的身份证复印件</w:t>
      </w:r>
      <w:r>
        <w:rPr>
          <w:rFonts w:hint="eastAsia" w:asciiTheme="minorEastAsia" w:hAnsiTheme="minorEastAsia" w:eastAsiaTheme="minorEastAsia"/>
          <w:color w:val="auto"/>
          <w:sz w:val="24"/>
          <w:highlight w:val="none"/>
        </w:rPr>
        <w:t>。</w:t>
      </w:r>
    </w:p>
    <w:p>
      <w:pPr>
        <w:spacing w:line="360" w:lineRule="auto"/>
        <w:ind w:firstLine="560" w:firstLineChars="200"/>
        <w:rPr>
          <w:rFonts w:asciiTheme="minorEastAsia" w:hAnsiTheme="minorEastAsia" w:eastAsiaTheme="minorEastAsia"/>
          <w:color w:val="auto"/>
          <w:spacing w:val="20"/>
          <w:sz w:val="24"/>
          <w:highlight w:val="none"/>
        </w:rPr>
      </w:pPr>
    </w:p>
    <w:p>
      <w:pPr>
        <w:spacing w:line="360" w:lineRule="auto"/>
        <w:ind w:firstLine="4060" w:firstLineChars="1450"/>
        <w:rPr>
          <w:rFonts w:asciiTheme="minorEastAsia" w:hAnsiTheme="minorEastAsia" w:eastAsiaTheme="minorEastAsia"/>
          <w:color w:val="auto"/>
          <w:sz w:val="24"/>
          <w:highlight w:val="none"/>
        </w:rPr>
      </w:pPr>
      <w:r>
        <w:rPr>
          <w:rFonts w:hint="eastAsia" w:asciiTheme="minorEastAsia" w:hAnsiTheme="minorEastAsia" w:eastAsiaTheme="minorEastAsia"/>
          <w:color w:val="auto"/>
          <w:spacing w:val="20"/>
          <w:sz w:val="24"/>
          <w:highlight w:val="none"/>
        </w:rPr>
        <w:t>竞选人：</w:t>
      </w:r>
      <w:r>
        <w:rPr>
          <w:rFonts w:hint="eastAsia" w:asciiTheme="minorEastAsia" w:hAnsiTheme="minorEastAsia" w:eastAsiaTheme="minorEastAsia"/>
          <w:color w:val="auto"/>
          <w:sz w:val="24"/>
          <w:highlight w:val="none"/>
        </w:rPr>
        <w:t>（盖单位公章）</w:t>
      </w:r>
    </w:p>
    <w:p>
      <w:pPr>
        <w:spacing w:line="360" w:lineRule="auto"/>
        <w:ind w:firstLine="3960" w:firstLineChars="16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法定代表人：（签字或盖章）</w:t>
      </w:r>
    </w:p>
    <w:p>
      <w:pPr>
        <w:spacing w:line="360" w:lineRule="auto"/>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身份证号码：</w:t>
      </w:r>
    </w:p>
    <w:p>
      <w:pPr>
        <w:spacing w:line="360" w:lineRule="auto"/>
        <w:ind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委托代理人：（签字）</w:t>
      </w:r>
    </w:p>
    <w:p>
      <w:pPr>
        <w:spacing w:line="360" w:lineRule="auto"/>
        <w:ind w:firstLine="1200" w:firstLineChars="5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身份证号码：</w:t>
      </w:r>
    </w:p>
    <w:p>
      <w:pPr>
        <w:spacing w:line="360" w:lineRule="auto"/>
        <w:jc w:val="center"/>
        <w:rPr>
          <w:rFonts w:asciiTheme="minorEastAsia" w:hAnsiTheme="minorEastAsia" w:eastAsiaTheme="minorEastAsia"/>
          <w:color w:val="auto"/>
          <w:spacing w:val="20"/>
          <w:sz w:val="24"/>
          <w:highlight w:val="none"/>
        </w:rPr>
      </w:pPr>
    </w:p>
    <w:p>
      <w:pPr>
        <w:spacing w:line="360" w:lineRule="auto"/>
        <w:jc w:val="center"/>
        <w:rPr>
          <w:rFonts w:asciiTheme="minorEastAsia" w:hAnsiTheme="minorEastAsia" w:eastAsiaTheme="minorEastAsia"/>
          <w:color w:val="auto"/>
          <w:spacing w:val="20"/>
          <w:sz w:val="24"/>
          <w:highlight w:val="none"/>
        </w:rPr>
      </w:pPr>
      <w:r>
        <w:rPr>
          <w:rFonts w:hint="eastAsia" w:asciiTheme="minorEastAsia" w:hAnsiTheme="minorEastAsia" w:eastAsiaTheme="minorEastAsia"/>
          <w:color w:val="auto"/>
          <w:spacing w:val="20"/>
          <w:sz w:val="24"/>
          <w:highlight w:val="none"/>
        </w:rPr>
        <w:t xml:space="preserve">                         日期：  年   月   日</w:t>
      </w:r>
    </w:p>
    <w:p>
      <w:pPr>
        <w:spacing w:line="360" w:lineRule="auto"/>
        <w:jc w:val="center"/>
        <w:rPr>
          <w:rFonts w:asciiTheme="minorEastAsia" w:hAnsiTheme="minorEastAsia" w:eastAsiaTheme="minorEastAsia"/>
          <w:color w:val="auto"/>
          <w:spacing w:val="20"/>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2696845</wp:posOffset>
                </wp:positionH>
                <wp:positionV relativeFrom="paragraph">
                  <wp:posOffset>85725</wp:posOffset>
                </wp:positionV>
                <wp:extent cx="2837180" cy="1600200"/>
                <wp:effectExtent l="4445" t="4445" r="15875" b="14605"/>
                <wp:wrapNone/>
                <wp:docPr id="8" name="矩形 8"/>
                <wp:cNvGraphicFramePr/>
                <a:graphic xmlns:a="http://schemas.openxmlformats.org/drawingml/2006/main">
                  <a:graphicData uri="http://schemas.microsoft.com/office/word/2010/wordprocessingShape">
                    <wps:wsp>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spacing w:line="360" w:lineRule="auto"/>
                              <w:rPr>
                                <w:rFonts w:ascii="宋体" w:hAnsi="宋体"/>
                                <w:sz w:val="24"/>
                              </w:rPr>
                            </w:pPr>
                            <w:r>
                              <w:rPr>
                                <w:rFonts w:hint="eastAsia" w:ascii="宋体" w:hAnsi="宋体"/>
                                <w:sz w:val="24"/>
                              </w:rPr>
                              <w:t>授托代理人身份证双面复印件或扫描件</w:t>
                            </w:r>
                          </w:p>
                          <w:p/>
                        </w:txbxContent>
                      </wps:txbx>
                      <wps:bodyPr upright="1"/>
                    </wps:wsp>
                  </a:graphicData>
                </a:graphic>
              </wp:anchor>
            </w:drawing>
          </mc:Choice>
          <mc:Fallback>
            <w:pict>
              <v:rect id="_x0000_s1026" o:spid="_x0000_s1026" o:spt="1" style="position:absolute;left:0pt;margin-left:212.35pt;margin-top:6.75pt;height:126pt;width:223.4pt;z-index:251662336;mso-width-relative:page;mso-height-relative:page;" fillcolor="#FFFFFF" filled="t" stroked="t" coordsize="21600,21600" o:gfxdata="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qbew9YAAAAKAQAADwAAAAAAAAABACAAAAAiAAAAZHJz&#10;L2Rvd25yZXYueG1sUEsBAhQAFAAAAAgAh07iQDBKVzAGAgAAOQQAAA4AAAAAAAAAAQAgAAAAJQEA&#10;AGRycy9lMm9Eb2MueG1sUEsFBgAAAAAGAAYAWQEAAJ0FA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授托代理人身份证双面复印件或扫描件</w:t>
                      </w:r>
                    </w:p>
                    <w:p/>
                  </w:txbxContent>
                </v:textbox>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85725</wp:posOffset>
                </wp:positionV>
                <wp:extent cx="2820670" cy="1600200"/>
                <wp:effectExtent l="4445" t="4445" r="13335" b="14605"/>
                <wp:wrapNone/>
                <wp:docPr id="5" name="矩形 5"/>
                <wp:cNvGraphicFramePr/>
                <a:graphic xmlns:a="http://schemas.openxmlformats.org/drawingml/2006/main">
                  <a:graphicData uri="http://schemas.microsoft.com/office/word/2010/wordprocessingShape">
                    <wps:wsp>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a:effectLst/>
                      </wps:spPr>
                      <wps:txbx>
                        <w:txbxContent>
                          <w:p>
                            <w:pPr>
                              <w:spacing w:line="360" w:lineRule="auto"/>
                              <w:rPr>
                                <w:rFonts w:ascii="宋体" w:hAnsi="宋体"/>
                                <w:sz w:val="24"/>
                              </w:rPr>
                            </w:pPr>
                            <w:r>
                              <w:rPr>
                                <w:rFonts w:hint="eastAsia" w:ascii="宋体" w:hAnsi="宋体"/>
                                <w:sz w:val="24"/>
                              </w:rPr>
                              <w:t>法定代表人身份证双面复印件或扫描件</w:t>
                            </w:r>
                          </w:p>
                          <w:p/>
                        </w:txbxContent>
                      </wps:txbx>
                      <wps:bodyPr upright="1"/>
                    </wps:wsp>
                  </a:graphicData>
                </a:graphic>
              </wp:anchor>
            </w:drawing>
          </mc:Choice>
          <mc:Fallback>
            <w:pict>
              <v:rect id="_x0000_s1026" o:spid="_x0000_s1026" o:spt="1" style="position:absolute;left:0pt;margin-left:-9.75pt;margin-top:6.75pt;height:126pt;width:222.1pt;z-index:251661312;mso-width-relative:page;mso-height-relative:page;" fillcolor="#FFFFFF" filled="t" stroked="t" coordsize="21600,21600" o:gfxdata="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IyifWAAAACgEAAA8AAAAAAAAAAQAgAAAAIgAAAGRy&#10;cy9kb3ducmV2LnhtbFBLAQIUABQAAAAIAIdO4kBNhQ+8BwIAADkEAAAOAAAAAAAAAAEAIAAAACUB&#10;AABkcnMvZTJvRG9jLnhtbFBLBQYAAAAABgAGAFkBAACeBQAAAAA=&#10;">
                <v:fill on="t" focussize="0,0"/>
                <v:stroke color="#000000" joinstyle="miter" dashstyle="1 1"/>
                <v:imagedata o:title=""/>
                <o:lock v:ext="edit" aspectratio="f"/>
                <v:textbox>
                  <w:txbxContent>
                    <w:p>
                      <w:pPr>
                        <w:spacing w:line="360" w:lineRule="auto"/>
                        <w:rPr>
                          <w:rFonts w:ascii="宋体" w:hAnsi="宋体"/>
                          <w:sz w:val="24"/>
                        </w:rPr>
                      </w:pPr>
                      <w:r>
                        <w:rPr>
                          <w:rFonts w:hint="eastAsia" w:ascii="宋体" w:hAnsi="宋体"/>
                          <w:sz w:val="24"/>
                        </w:rPr>
                        <w:t>法定代表人身份证双面复印件或扫描件</w:t>
                      </w:r>
                    </w:p>
                    <w:p/>
                  </w:txbxContent>
                </v:textbox>
              </v:rect>
            </w:pict>
          </mc:Fallback>
        </mc:AlternateContent>
      </w:r>
    </w:p>
    <w:p>
      <w:pPr>
        <w:spacing w:line="360" w:lineRule="auto"/>
        <w:jc w:val="center"/>
        <w:rPr>
          <w:rFonts w:asciiTheme="minorEastAsia" w:hAnsiTheme="minorEastAsia" w:eastAsiaTheme="minorEastAsia"/>
          <w:color w:val="auto"/>
          <w:spacing w:val="20"/>
          <w:sz w:val="24"/>
          <w:highlight w:val="none"/>
        </w:rPr>
      </w:pPr>
    </w:p>
    <w:p>
      <w:pPr>
        <w:spacing w:line="360" w:lineRule="auto"/>
        <w:jc w:val="center"/>
        <w:rPr>
          <w:rFonts w:asciiTheme="minorEastAsia" w:hAnsiTheme="minorEastAsia" w:eastAsiaTheme="minorEastAsia"/>
          <w:color w:val="auto"/>
          <w:spacing w:val="20"/>
          <w:sz w:val="24"/>
          <w:highlight w:val="none"/>
        </w:rPr>
      </w:pPr>
    </w:p>
    <w:p>
      <w:pPr>
        <w:spacing w:line="360" w:lineRule="auto"/>
        <w:jc w:val="center"/>
        <w:rPr>
          <w:rFonts w:asciiTheme="minorEastAsia" w:hAnsiTheme="minorEastAsia" w:eastAsiaTheme="minorEastAsia"/>
          <w:color w:val="auto"/>
          <w:spacing w:val="20"/>
          <w:sz w:val="24"/>
          <w:highlight w:val="none"/>
        </w:rPr>
      </w:pPr>
    </w:p>
    <w:p>
      <w:pPr>
        <w:spacing w:line="360" w:lineRule="auto"/>
        <w:jc w:val="center"/>
        <w:rPr>
          <w:rFonts w:asciiTheme="minorEastAsia" w:hAnsiTheme="minorEastAsia" w:eastAsiaTheme="minorEastAsia"/>
          <w:color w:val="auto"/>
          <w:spacing w:val="20"/>
          <w:sz w:val="24"/>
          <w:highlight w:val="none"/>
        </w:rPr>
      </w:pPr>
    </w:p>
    <w:p>
      <w:pPr>
        <w:spacing w:line="360" w:lineRule="auto"/>
        <w:jc w:val="center"/>
        <w:rPr>
          <w:rFonts w:asciiTheme="minorEastAsia" w:hAnsiTheme="minorEastAsia" w:eastAsiaTheme="minorEastAsia"/>
          <w:b/>
          <w:color w:val="auto"/>
          <w:sz w:val="24"/>
          <w:highlight w:val="none"/>
        </w:rPr>
      </w:pPr>
    </w:p>
    <w:p>
      <w:pPr>
        <w:spacing w:line="360" w:lineRule="auto"/>
        <w:jc w:val="center"/>
        <w:rPr>
          <w:rFonts w:asciiTheme="minorEastAsia" w:hAnsiTheme="minorEastAsia" w:eastAsiaTheme="minorEastAsia"/>
          <w:b/>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215265</wp:posOffset>
                </wp:positionV>
                <wp:extent cx="4457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4457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95pt;height:0pt;width:351pt;z-index:251663360;mso-width-relative:page;mso-height-relative:page;" filled="f" stroked="t" coordsize="21600,21600" o:gfxdata="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t9x2DTAAAABgEAAA8AAAAAAAAAAQAgAAAAIgAAAGRycy9kb3ducmV2LnhtbFBLAQIUABQAAAAI&#10;AIdO4kC5cTgg8gEAAOYDAAAOAAAAAAAAAAEAIAAAACIBAABkcnMvZTJvRG9jLnhtbFBLBQYAAAAA&#10;BgAGAFkBAACGBQAAAAA=&#10;">
                <v:fill on="f" focussize="0,0"/>
                <v:stroke color="#000000" joinstyle="round"/>
                <v:imagedata o:title=""/>
                <o:lock v:ext="edit" aspectratio="f"/>
              </v:line>
            </w:pict>
          </mc:Fallback>
        </mc:AlternateConten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备注：1、法定代表人参加竞选活动并签署文件的不需要授权委托书，只需提供法定代表人身份证明；非法定代表人参加竞选活动及签署文件的除提供法定代表人身份证明外还须提供授权委托书。</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2、法定代表人身份证明及授权委托书原件装入竞选文件一并递交。另外须准备一份在开标现场出具。</w:t>
      </w:r>
    </w:p>
    <w:p>
      <w:pPr>
        <w:widowControl/>
        <w:spacing w:line="360" w:lineRule="auto"/>
        <w:jc w:val="left"/>
        <w:rPr>
          <w:rFonts w:asciiTheme="minorEastAsia" w:hAnsiTheme="minorEastAsia" w:eastAsiaTheme="minorEastAsia"/>
          <w:b/>
          <w:color w:val="auto"/>
          <w:sz w:val="24"/>
          <w:highlight w:val="none"/>
        </w:rPr>
        <w:sectPr>
          <w:pgSz w:w="11907" w:h="16840"/>
          <w:pgMar w:top="1440" w:right="1253" w:bottom="1196" w:left="1678" w:header="720" w:footer="720" w:gutter="0"/>
          <w:cols w:space="720" w:num="1"/>
        </w:sectPr>
      </w:pPr>
    </w:p>
    <w:p>
      <w:pPr>
        <w:autoSpaceDE w:val="0"/>
        <w:autoSpaceDN w:val="0"/>
        <w:adjustRightInd w:val="0"/>
        <w:spacing w:before="16" w:line="360" w:lineRule="auto"/>
        <w:jc w:val="center"/>
        <w:outlineLvl w:val="2"/>
        <w:rPr>
          <w:rFonts w:cs="MingLiU" w:asciiTheme="minorEastAsia" w:hAnsiTheme="minorEastAsia" w:eastAsiaTheme="minorEastAsia"/>
          <w:b/>
          <w:color w:val="auto"/>
          <w:kern w:val="0"/>
          <w:sz w:val="32"/>
          <w:szCs w:val="32"/>
          <w:highlight w:val="none"/>
        </w:rPr>
      </w:pPr>
      <w:bookmarkStart w:id="230" w:name="_Toc485992294"/>
      <w:bookmarkStart w:id="231" w:name="_Toc25103"/>
      <w:r>
        <w:rPr>
          <w:rFonts w:hint="eastAsia" w:cs="MingLiU" w:asciiTheme="minorEastAsia" w:hAnsiTheme="minorEastAsia" w:eastAsiaTheme="minorEastAsia"/>
          <w:b/>
          <w:color w:val="auto"/>
          <w:kern w:val="0"/>
          <w:sz w:val="32"/>
          <w:szCs w:val="32"/>
          <w:highlight w:val="none"/>
        </w:rPr>
        <w:t>（二）比选文件确认书</w:t>
      </w:r>
      <w:bookmarkEnd w:id="230"/>
      <w:bookmarkEnd w:id="231"/>
    </w:p>
    <w:p>
      <w:pPr>
        <w:spacing w:line="360" w:lineRule="auto"/>
        <w:jc w:val="center"/>
        <w:rPr>
          <w:rFonts w:asciiTheme="minorEastAsia" w:hAnsiTheme="minorEastAsia" w:eastAsiaTheme="minorEastAsia"/>
          <w:b/>
          <w:color w:val="auto"/>
          <w:sz w:val="24"/>
          <w:highlight w:val="none"/>
        </w:rPr>
      </w:pPr>
    </w:p>
    <w:p>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致：</w:t>
      </w:r>
      <w:r>
        <w:rPr>
          <w:rFonts w:hint="eastAsia" w:asciiTheme="minorEastAsia" w:hAnsiTheme="minorEastAsia" w:eastAsiaTheme="minorEastAsia"/>
          <w:color w:val="auto"/>
          <w:sz w:val="24"/>
          <w:highlight w:val="none"/>
          <w:u w:val="single"/>
        </w:rPr>
        <w:t xml:space="preserve">      （比选人名称）    </w:t>
      </w:r>
    </w:p>
    <w:p>
      <w:pPr>
        <w:spacing w:line="360" w:lineRule="auto"/>
        <w:rPr>
          <w:rFonts w:asciiTheme="minorEastAsia" w:hAnsiTheme="minorEastAsia" w:eastAsiaTheme="minorEastAsia"/>
          <w:color w:val="auto"/>
          <w:sz w:val="24"/>
          <w:highlight w:val="none"/>
        </w:rPr>
      </w:pPr>
    </w:p>
    <w:p>
      <w:pPr>
        <w:spacing w:line="360" w:lineRule="auto"/>
        <w:ind w:left="240" w:hanging="240" w:hanging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我单位参加</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（项目名称）的竞选，对贵单位</w:t>
      </w:r>
      <w:r>
        <w:rPr>
          <w:rFonts w:hint="eastAsia" w:asciiTheme="minorEastAsia" w:hAnsiTheme="minorEastAsia" w:eastAsiaTheme="minorEastAsia"/>
          <w:color w:val="auto"/>
          <w:sz w:val="24"/>
          <w:highlight w:val="none"/>
          <w:u w:val="single"/>
        </w:rPr>
        <w:t xml:space="preserve">   年   月  日</w:t>
      </w:r>
      <w:r>
        <w:rPr>
          <w:rFonts w:hint="eastAsia" w:asciiTheme="minorEastAsia" w:hAnsiTheme="minorEastAsia" w:eastAsiaTheme="minorEastAsia"/>
          <w:color w:val="auto"/>
          <w:sz w:val="24"/>
          <w:highlight w:val="none"/>
        </w:rPr>
        <w:t>发出的该项目比选文件及其相应的补遗资料、书面通知等全部内容予以确认，并按其要求提交竞选文件。</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竞选单位：（盖单位公章）</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法定代表人：（签字或盖章）</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单位地址：</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 xml:space="preserve">     电   话：</w:t>
      </w:r>
    </w:p>
    <w:p>
      <w:pPr>
        <w:spacing w:line="360" w:lineRule="auto"/>
        <w:rPr>
          <w:rFonts w:asciiTheme="minorEastAsia" w:hAnsiTheme="minorEastAsia" w:eastAsiaTheme="minorEastAsia"/>
          <w:color w:val="auto"/>
          <w:sz w:val="24"/>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w:t>
      </w:r>
    </w:p>
    <w:p>
      <w:pPr>
        <w:spacing w:line="360" w:lineRule="auto"/>
        <w:rPr>
          <w:rFonts w:asciiTheme="minorEastAsia" w:hAnsiTheme="minorEastAsia" w:eastAsiaTheme="minorEastAsia"/>
          <w:color w:val="auto"/>
          <w:sz w:val="24"/>
          <w:highlight w:val="none"/>
        </w:rPr>
      </w:pPr>
    </w:p>
    <w:p>
      <w:pPr>
        <w:spacing w:line="360" w:lineRule="auto"/>
        <w:ind w:firstLine="5040" w:firstLineChars="2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   月   日</w:t>
      </w:r>
    </w:p>
    <w:p>
      <w:pPr>
        <w:spacing w:line="360" w:lineRule="auto"/>
        <w:ind w:firstLine="5040" w:firstLineChars="2100"/>
        <w:rPr>
          <w:rFonts w:asciiTheme="minorEastAsia" w:hAnsiTheme="minorEastAsia" w:eastAsiaTheme="minorEastAsia"/>
          <w:color w:val="auto"/>
          <w:sz w:val="24"/>
          <w:highlight w:val="none"/>
        </w:rPr>
      </w:pPr>
    </w:p>
    <w:p>
      <w:pPr>
        <w:widowControl/>
        <w:spacing w:line="360" w:lineRule="auto"/>
        <w:jc w:val="left"/>
        <w:rPr>
          <w:rFonts w:asciiTheme="minorEastAsia" w:hAnsiTheme="minorEastAsia" w:eastAsiaTheme="minorEastAsia"/>
          <w:color w:val="auto"/>
          <w:sz w:val="24"/>
          <w:highlight w:val="none"/>
        </w:rPr>
        <w:sectPr>
          <w:pgSz w:w="11907" w:h="16840"/>
          <w:pgMar w:top="1440" w:right="1253" w:bottom="1196" w:left="1678" w:header="720" w:footer="720" w:gutter="0"/>
          <w:cols w:space="720" w:num="1"/>
        </w:sectPr>
      </w:pPr>
    </w:p>
    <w:p>
      <w:pPr>
        <w:autoSpaceDE w:val="0"/>
        <w:autoSpaceDN w:val="0"/>
        <w:adjustRightInd w:val="0"/>
        <w:spacing w:before="16" w:line="360" w:lineRule="auto"/>
        <w:jc w:val="center"/>
        <w:outlineLvl w:val="2"/>
        <w:rPr>
          <w:rFonts w:cs="MingLiU" w:asciiTheme="minorEastAsia" w:hAnsiTheme="minorEastAsia" w:eastAsiaTheme="minorEastAsia"/>
          <w:b/>
          <w:color w:val="auto"/>
          <w:kern w:val="0"/>
          <w:sz w:val="32"/>
          <w:szCs w:val="32"/>
          <w:highlight w:val="none"/>
        </w:rPr>
      </w:pPr>
      <w:bookmarkStart w:id="232" w:name="_Toc485992295"/>
      <w:bookmarkStart w:id="233" w:name="_Toc9187"/>
      <w:r>
        <w:rPr>
          <w:rFonts w:hint="eastAsia" w:cs="MingLiU" w:asciiTheme="minorEastAsia" w:hAnsiTheme="minorEastAsia" w:eastAsiaTheme="minorEastAsia"/>
          <w:b/>
          <w:color w:val="auto"/>
          <w:kern w:val="0"/>
          <w:sz w:val="32"/>
          <w:szCs w:val="32"/>
          <w:highlight w:val="none"/>
        </w:rPr>
        <w:t>（三）竞选函</w:t>
      </w:r>
      <w:bookmarkEnd w:id="232"/>
      <w:bookmarkEnd w:id="233"/>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致：____________________________________（比选人）</w:t>
      </w:r>
    </w:p>
    <w:p>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们已经仔细地研究了____________________（项目名称）比选文件的全部内容，包括但不限于竞选人须知、合同条件要求，以及全部补遗和澄清文件。我们已了解和审核了全部比选文件，并完全理解了比选文件规定的的合同范围，工作要求，并考虑到了潜在所有风险。据此，我们承诺在合同规定的范围内履行职责。</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2.本项目我方报价为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元），此报价作为包干费用</w:t>
      </w:r>
      <w:r>
        <w:rPr>
          <w:rFonts w:hint="eastAsia" w:asciiTheme="minorEastAsia" w:hAnsiTheme="minorEastAsia" w:eastAsiaTheme="minorEastAsia"/>
          <w:color w:val="auto"/>
          <w:sz w:val="24"/>
          <w:highlight w:val="none"/>
          <w:lang w:val="en-US" w:eastAsia="zh-CN"/>
        </w:rPr>
        <w:t>，</w:t>
      </w:r>
      <w:r>
        <w:rPr>
          <w:rFonts w:hint="eastAsia" w:asciiTheme="minorEastAsia" w:hAnsiTheme="minorEastAsia" w:eastAsiaTheme="minorEastAsia"/>
          <w:color w:val="auto"/>
          <w:sz w:val="24"/>
          <w:highlight w:val="none"/>
        </w:rPr>
        <w:t>此报价作为包干费用。</w:t>
      </w:r>
    </w:p>
    <w:p>
      <w:pPr>
        <w:spacing w:line="360" w:lineRule="auto"/>
        <w:ind w:firstLine="480" w:firstLineChars="200"/>
        <w:jc w:val="left"/>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3.本项目项目负责人为</w:t>
      </w:r>
      <w:r>
        <w:rPr>
          <w:rFonts w:hint="eastAsia" w:cs="宋体"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。我们承诺按照比选文件约定的服务期限和工作内容履行职责。</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4.我们同意在从规定的递交竞选文件截止之日起到竞选有效期满前遵守本竞选文件。且本竞选文件一直对我们具有约束力，并可随时被接受中选。</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5.在制定和签署一份正式协议书之前，本竞选文件连同你方的书面中选通知，构成在我们双方之间有约束力的合同。</w:t>
      </w:r>
    </w:p>
    <w:p>
      <w:pPr>
        <w:spacing w:line="360" w:lineRule="auto"/>
        <w:ind w:firstLine="480" w:firstLineChars="200"/>
        <w:jc w:val="left"/>
        <w:rPr>
          <w:rFonts w:cs="MingLiU" w:asciiTheme="minorEastAsia" w:hAnsiTheme="minorEastAsia" w:eastAsiaTheme="minorEastAsia"/>
          <w:snapToGrid w:val="0"/>
          <w:color w:val="auto"/>
          <w:kern w:val="0"/>
          <w:sz w:val="24"/>
          <w:highlight w:val="none"/>
        </w:rPr>
      </w:pPr>
      <w:r>
        <w:rPr>
          <w:rFonts w:hint="eastAsia" w:asciiTheme="minorEastAsia" w:hAnsiTheme="minorEastAsia" w:eastAsiaTheme="minorEastAsia"/>
          <w:color w:val="auto"/>
          <w:sz w:val="24"/>
          <w:highlight w:val="none"/>
        </w:rPr>
        <w:t>6.</w:t>
      </w:r>
      <w:r>
        <w:rPr>
          <w:rFonts w:hint="eastAsia" w:asciiTheme="minorEastAsia" w:hAnsiTheme="minorEastAsia" w:eastAsiaTheme="minorEastAsia"/>
          <w:snapToGrid w:val="0"/>
          <w:color w:val="auto"/>
          <w:kern w:val="0"/>
          <w:sz w:val="24"/>
          <w:highlight w:val="none"/>
          <w:u w:val="single"/>
        </w:rPr>
        <w:tab/>
      </w:r>
      <w:r>
        <w:rPr>
          <w:rFonts w:hint="eastAsia" w:asciiTheme="minorEastAsia" w:hAnsiTheme="minorEastAsia" w:eastAsiaTheme="minorEastAsia"/>
          <w:snapToGrid w:val="0"/>
          <w:color w:val="auto"/>
          <w:kern w:val="0"/>
          <w:sz w:val="24"/>
          <w:highlight w:val="none"/>
          <w:u w:val="single"/>
        </w:rPr>
        <w:t xml:space="preserve">                            </w:t>
      </w:r>
      <w:r>
        <w:rPr>
          <w:rFonts w:hint="eastAsia" w:cs="MingLiU" w:asciiTheme="minorEastAsia" w:hAnsiTheme="minorEastAsia" w:eastAsiaTheme="minorEastAsia"/>
          <w:snapToGrid w:val="0"/>
          <w:color w:val="auto"/>
          <w:kern w:val="0"/>
          <w:sz w:val="24"/>
          <w:highlight w:val="none"/>
        </w:rPr>
        <w:t>（其他补充说明）。</w:t>
      </w:r>
    </w:p>
    <w:p>
      <w:pPr>
        <w:spacing w:line="440" w:lineRule="exact"/>
        <w:ind w:firstLine="480" w:firstLineChars="200"/>
        <w:rPr>
          <w:rFonts w:asciiTheme="minorEastAsia" w:hAnsiTheme="minorEastAsia" w:eastAsiaTheme="minorEastAsia"/>
          <w:color w:val="auto"/>
          <w:sz w:val="24"/>
          <w:highlight w:val="none"/>
        </w:rPr>
      </w:pPr>
    </w:p>
    <w:p>
      <w:pPr>
        <w:spacing w:line="360" w:lineRule="auto"/>
        <w:ind w:right="-237" w:rightChars="-113" w:firstLine="4080" w:firstLineChars="1700"/>
        <w:rPr>
          <w:rFonts w:asciiTheme="minorEastAsia" w:hAnsiTheme="minorEastAsia" w:eastAsiaTheme="minorEastAsia"/>
          <w:color w:val="auto"/>
          <w:sz w:val="24"/>
          <w:highlight w:val="none"/>
        </w:rPr>
      </w:pPr>
    </w:p>
    <w:p>
      <w:pPr>
        <w:spacing w:line="360" w:lineRule="auto"/>
        <w:ind w:right="-237" w:rightChars="-113" w:firstLine="4080" w:firstLineChars="1700"/>
        <w:rPr>
          <w:rFonts w:asciiTheme="minorEastAsia" w:hAnsiTheme="minorEastAsia" w:eastAsiaTheme="minorEastAsia"/>
          <w:color w:val="auto"/>
          <w:sz w:val="24"/>
          <w:highlight w:val="none"/>
        </w:rPr>
      </w:pP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竞选人：（盖单位公章）   </w:t>
      </w: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法定代表人或授权代理人：（盖章或签字）</w:t>
      </w: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w:t>
      </w:r>
      <w:r>
        <w:rPr>
          <w:rFonts w:hint="eastAsia" w:asciiTheme="minorEastAsia" w:hAnsiTheme="minorEastAsia" w:eastAsiaTheme="minorEastAsia"/>
          <w:color w:val="auto"/>
          <w:sz w:val="24"/>
          <w:highlight w:val="none"/>
          <w:u w:val="single"/>
        </w:rPr>
        <w:t>　　　　　　　　　　　　　　　　　</w:t>
      </w: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网址：</w:t>
      </w:r>
      <w:r>
        <w:rPr>
          <w:rFonts w:hint="eastAsia" w:asciiTheme="minorEastAsia" w:hAnsiTheme="minorEastAsia" w:eastAsiaTheme="minorEastAsia"/>
          <w:color w:val="auto"/>
          <w:sz w:val="24"/>
          <w:highlight w:val="none"/>
          <w:u w:val="single"/>
        </w:rPr>
        <w:t>　　　　　　　　　　　　　　　　　</w:t>
      </w: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w:t>
      </w:r>
      <w:r>
        <w:rPr>
          <w:rFonts w:hint="eastAsia" w:asciiTheme="minorEastAsia" w:hAnsiTheme="minorEastAsia" w:eastAsiaTheme="minorEastAsia"/>
          <w:color w:val="auto"/>
          <w:sz w:val="24"/>
          <w:highlight w:val="none"/>
          <w:u w:val="single"/>
        </w:rPr>
        <w:t>　　　　　　　　　　　　　　　　　</w:t>
      </w: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w:t>
      </w:r>
      <w:r>
        <w:rPr>
          <w:rFonts w:hint="eastAsia" w:asciiTheme="minorEastAsia" w:hAnsiTheme="minorEastAsia" w:eastAsiaTheme="minorEastAsia"/>
          <w:color w:val="auto"/>
          <w:sz w:val="24"/>
          <w:highlight w:val="none"/>
          <w:u w:val="single"/>
        </w:rPr>
        <w:t>　　　　　　　　　　　　　　　　　</w:t>
      </w:r>
    </w:p>
    <w:p>
      <w:pPr>
        <w:spacing w:line="360" w:lineRule="auto"/>
        <w:ind w:right="-237" w:rightChars="-113" w:firstLine="4080" w:firstLineChars="17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w:t>
      </w:r>
      <w:r>
        <w:rPr>
          <w:rFonts w:hint="eastAsia" w:asciiTheme="minorEastAsia" w:hAnsiTheme="minorEastAsia" w:eastAsiaTheme="minorEastAsia"/>
          <w:color w:val="auto"/>
          <w:sz w:val="24"/>
          <w:highlight w:val="none"/>
          <w:u w:val="single"/>
        </w:rPr>
        <w:t>　　　　　　　        　　　　</w:t>
      </w:r>
    </w:p>
    <w:p>
      <w:pPr>
        <w:spacing w:line="360" w:lineRule="auto"/>
        <w:ind w:right="-237" w:rightChars="-113" w:firstLine="4080" w:firstLineChars="1700"/>
        <w:rPr>
          <w:rFonts w:asciiTheme="minorEastAsia" w:hAnsiTheme="minorEastAsia" w:eastAsiaTheme="minorEastAsia"/>
          <w:color w:val="auto"/>
          <w:sz w:val="24"/>
          <w:highlight w:val="none"/>
        </w:rPr>
      </w:pPr>
    </w:p>
    <w:p>
      <w:pPr>
        <w:spacing w:line="360" w:lineRule="auto"/>
        <w:ind w:firstLine="5640" w:firstLineChars="2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   月   日</w:t>
      </w:r>
    </w:p>
    <w:p>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highlight w:val="none"/>
        </w:rPr>
        <w:br w:type="page"/>
      </w:r>
    </w:p>
    <w:p>
      <w:pPr>
        <w:rPr>
          <w:rFonts w:asciiTheme="minorEastAsia" w:hAnsiTheme="minorEastAsia" w:eastAsiaTheme="minorEastAsia"/>
          <w:bCs/>
          <w:color w:val="auto"/>
          <w:highlight w:val="none"/>
        </w:rPr>
      </w:pPr>
    </w:p>
    <w:p>
      <w:pPr>
        <w:tabs>
          <w:tab w:val="left" w:pos="2580"/>
          <w:tab w:val="left" w:pos="5940"/>
        </w:tabs>
        <w:autoSpaceDE w:val="0"/>
        <w:autoSpaceDN w:val="0"/>
        <w:adjustRightInd w:val="0"/>
        <w:snapToGrid w:val="0"/>
        <w:spacing w:line="360" w:lineRule="auto"/>
        <w:jc w:val="center"/>
        <w:outlineLvl w:val="1"/>
        <w:rPr>
          <w:rFonts w:asciiTheme="minorEastAsia" w:hAnsiTheme="minorEastAsia" w:eastAsiaTheme="minorEastAsia"/>
          <w:b/>
          <w:color w:val="auto"/>
          <w:sz w:val="32"/>
          <w:szCs w:val="32"/>
          <w:highlight w:val="none"/>
        </w:rPr>
      </w:pPr>
      <w:bookmarkStart w:id="234" w:name="_Toc2654"/>
      <w:bookmarkStart w:id="235" w:name="_Toc485992297"/>
      <w:r>
        <w:rPr>
          <w:rFonts w:hint="eastAsia" w:asciiTheme="minorEastAsia" w:hAnsiTheme="minorEastAsia" w:eastAsiaTheme="minorEastAsia"/>
          <w:b/>
          <w:color w:val="auto"/>
          <w:sz w:val="32"/>
          <w:szCs w:val="32"/>
          <w:highlight w:val="none"/>
        </w:rPr>
        <w:t>二、资格审查资料（含商务部分）</w:t>
      </w:r>
      <w:bookmarkEnd w:id="234"/>
      <w:bookmarkEnd w:id="235"/>
    </w:p>
    <w:p>
      <w:pPr>
        <w:adjustRightInd w:val="0"/>
        <w:snapToGrid w:val="0"/>
        <w:spacing w:line="360" w:lineRule="auto"/>
        <w:ind w:firstLine="321" w:firstLineChars="100"/>
        <w:rPr>
          <w:rFonts w:asciiTheme="minorEastAsia" w:hAnsiTheme="minorEastAsia" w:eastAsiaTheme="minorEastAsia"/>
          <w:b/>
          <w:color w:val="auto"/>
          <w:sz w:val="32"/>
          <w:szCs w:val="32"/>
          <w:highlight w:val="none"/>
        </w:rPr>
      </w:pPr>
      <w:bookmarkStart w:id="236" w:name="_Toc126770920"/>
    </w:p>
    <w:p>
      <w:pPr>
        <w:adjustRightInd w:val="0"/>
        <w:snapToGrid w:val="0"/>
        <w:spacing w:line="360" w:lineRule="auto"/>
        <w:ind w:firstLine="321" w:firstLineChars="100"/>
        <w:rPr>
          <w:rFonts w:asciiTheme="minorEastAsia" w:hAnsiTheme="minorEastAsia" w:eastAsiaTheme="minorEastAsia"/>
          <w:b/>
          <w:color w:val="auto"/>
          <w:sz w:val="32"/>
          <w:szCs w:val="32"/>
          <w:highlight w:val="none"/>
        </w:rPr>
      </w:pPr>
    </w:p>
    <w:p>
      <w:pPr>
        <w:adjustRightInd w:val="0"/>
        <w:snapToGrid w:val="0"/>
        <w:spacing w:line="360" w:lineRule="auto"/>
        <w:ind w:firstLine="321" w:firstLineChars="100"/>
        <w:rPr>
          <w:rFonts w:asciiTheme="minorEastAsia" w:hAnsiTheme="minorEastAsia" w:eastAsiaTheme="minorEastAsia"/>
          <w:b/>
          <w:color w:val="auto"/>
          <w:sz w:val="32"/>
          <w:szCs w:val="32"/>
          <w:highlight w:val="none"/>
        </w:rPr>
      </w:pPr>
    </w:p>
    <w:p>
      <w:pPr>
        <w:adjustRightInd w:val="0"/>
        <w:snapToGrid w:val="0"/>
        <w:spacing w:line="360" w:lineRule="auto"/>
        <w:ind w:firstLine="321" w:firstLineChars="100"/>
        <w:rPr>
          <w:rFonts w:asciiTheme="minorEastAsia" w:hAnsiTheme="minorEastAsia" w:eastAsiaTheme="minorEastAsia"/>
          <w:b/>
          <w:color w:val="auto"/>
          <w:sz w:val="32"/>
          <w:szCs w:val="32"/>
          <w:highlight w:val="none"/>
        </w:rPr>
      </w:pPr>
    </w:p>
    <w:p>
      <w:pPr>
        <w:adjustRightInd w:val="0"/>
        <w:snapToGrid w:val="0"/>
        <w:spacing w:line="360" w:lineRule="auto"/>
        <w:ind w:firstLine="321" w:firstLineChars="100"/>
        <w:rPr>
          <w:rFonts w:asciiTheme="minorEastAsia" w:hAnsiTheme="minorEastAsia" w:eastAsiaTheme="minorEastAsia"/>
          <w:b/>
          <w:color w:val="auto"/>
          <w:sz w:val="32"/>
          <w:szCs w:val="32"/>
          <w:highlight w:val="none"/>
        </w:rPr>
      </w:pPr>
    </w:p>
    <w:p>
      <w:pPr>
        <w:adjustRightInd w:val="0"/>
        <w:snapToGrid w:val="0"/>
        <w:spacing w:line="360" w:lineRule="auto"/>
        <w:ind w:firstLine="321" w:firstLineChars="100"/>
        <w:rPr>
          <w:rFonts w:asciiTheme="minorEastAsia" w:hAnsiTheme="minorEastAsia" w:eastAsiaTheme="minorEastAsia"/>
          <w:b/>
          <w:color w:val="auto"/>
          <w:sz w:val="32"/>
          <w:szCs w:val="32"/>
          <w:highlight w:val="none"/>
        </w:rPr>
      </w:pPr>
    </w:p>
    <w:bookmarkEnd w:id="236"/>
    <w:p>
      <w:pPr>
        <w:spacing w:line="360" w:lineRule="auto"/>
        <w:jc w:val="left"/>
        <w:rPr>
          <w:rFonts w:asciiTheme="minorEastAsia" w:hAnsiTheme="minorEastAsia" w:eastAsiaTheme="minorEastAsia"/>
          <w:color w:val="auto"/>
          <w:sz w:val="44"/>
          <w:szCs w:val="44"/>
          <w:highlight w:val="none"/>
        </w:rPr>
      </w:pPr>
      <w:r>
        <w:rPr>
          <w:rFonts w:asciiTheme="minorEastAsia" w:hAnsiTheme="minorEastAsia" w:eastAsiaTheme="minorEastAsia"/>
          <w:color w:val="auto"/>
          <w:sz w:val="44"/>
          <w:szCs w:val="44"/>
          <w:highlight w:val="none"/>
        </w:rPr>
        <w:br w:type="page"/>
      </w:r>
    </w:p>
    <w:p>
      <w:pPr>
        <w:spacing w:line="480" w:lineRule="auto"/>
        <w:jc w:val="left"/>
        <w:rPr>
          <w:rFonts w:asciiTheme="minorEastAsia" w:hAnsiTheme="minorEastAsia" w:eastAsiaTheme="minorEastAsia"/>
          <w:b/>
          <w:color w:val="auto"/>
          <w:sz w:val="30"/>
          <w:szCs w:val="30"/>
          <w:highlight w:val="none"/>
        </w:rPr>
      </w:pPr>
      <w:bookmarkStart w:id="237" w:name="_Toc126770922"/>
      <w:bookmarkStart w:id="238" w:name="_Toc199124896"/>
    </w:p>
    <w:p>
      <w:pPr>
        <w:spacing w:line="480" w:lineRule="auto"/>
        <w:jc w:val="left"/>
        <w:rPr>
          <w:rFonts w:asciiTheme="minorEastAsia" w:hAnsiTheme="minorEastAsia" w:eastAsiaTheme="minorEastAsia"/>
          <w:color w:val="auto"/>
          <w:sz w:val="30"/>
          <w:szCs w:val="30"/>
          <w:highlight w:val="none"/>
        </w:rPr>
      </w:pPr>
      <w:r>
        <w:rPr>
          <w:rFonts w:hint="eastAsia" w:asciiTheme="minorEastAsia" w:hAnsiTheme="minorEastAsia" w:eastAsiaTheme="minorEastAsia"/>
          <w:b/>
          <w:color w:val="auto"/>
          <w:sz w:val="30"/>
          <w:szCs w:val="30"/>
          <w:highlight w:val="none"/>
        </w:rPr>
        <w:t>项目名称：</w:t>
      </w:r>
      <w:r>
        <w:rPr>
          <w:rFonts w:hint="eastAsia" w:asciiTheme="minorEastAsia" w:hAnsiTheme="minorEastAsia" w:eastAsiaTheme="minorEastAsia"/>
          <w:b/>
          <w:color w:val="auto"/>
          <w:sz w:val="30"/>
          <w:szCs w:val="30"/>
          <w:highlight w:val="none"/>
          <w:u w:val="single"/>
        </w:rPr>
        <w:t xml:space="preserve">                      </w:t>
      </w: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cs="MingLiU" w:asciiTheme="minorEastAsia" w:hAnsiTheme="minorEastAsia" w:eastAsiaTheme="minorEastAsia"/>
          <w:b/>
          <w:color w:val="auto"/>
          <w:kern w:val="0"/>
          <w:sz w:val="84"/>
          <w:szCs w:val="84"/>
          <w:highlight w:val="none"/>
        </w:rPr>
      </w:pPr>
    </w:p>
    <w:p>
      <w:pPr>
        <w:tabs>
          <w:tab w:val="left" w:pos="3600"/>
          <w:tab w:val="left" w:pos="4480"/>
          <w:tab w:val="left" w:pos="5360"/>
        </w:tabs>
        <w:autoSpaceDE w:val="0"/>
        <w:autoSpaceDN w:val="0"/>
        <w:adjustRightInd w:val="0"/>
        <w:snapToGrid w:val="0"/>
        <w:spacing w:line="360" w:lineRule="auto"/>
        <w:jc w:val="center"/>
        <w:rPr>
          <w:rFonts w:cs="MingLiU" w:asciiTheme="minorEastAsia" w:hAnsiTheme="minorEastAsia" w:eastAsiaTheme="minorEastAsia"/>
          <w:b/>
          <w:color w:val="auto"/>
          <w:kern w:val="0"/>
          <w:sz w:val="84"/>
          <w:szCs w:val="84"/>
          <w:highlight w:val="none"/>
        </w:rPr>
      </w:pPr>
      <w:r>
        <w:rPr>
          <w:rFonts w:hint="eastAsia" w:cs="MingLiU" w:asciiTheme="minorEastAsia" w:hAnsiTheme="minorEastAsia" w:eastAsiaTheme="minorEastAsia"/>
          <w:b/>
          <w:color w:val="auto"/>
          <w:kern w:val="0"/>
          <w:sz w:val="84"/>
          <w:szCs w:val="84"/>
          <w:highlight w:val="none"/>
        </w:rPr>
        <w:t>竞  选  文  件</w:t>
      </w:r>
    </w:p>
    <w:p>
      <w:pPr>
        <w:jc w:val="center"/>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资格审查资料（含商务部分）</w:t>
      </w: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b/>
          <w:color w:val="auto"/>
          <w:w w:val="99"/>
          <w:kern w:val="0"/>
          <w:sz w:val="28"/>
          <w:szCs w:val="28"/>
          <w:highlight w:val="none"/>
        </w:rPr>
      </w:pPr>
      <w:r>
        <w:rPr>
          <w:rFonts w:hint="eastAsia" w:cs="MingLiU" w:asciiTheme="minorEastAsia" w:hAnsiTheme="minorEastAsia" w:eastAsiaTheme="minorEastAsia"/>
          <w:b/>
          <w:color w:val="auto"/>
          <w:w w:val="99"/>
          <w:kern w:val="0"/>
          <w:sz w:val="28"/>
          <w:szCs w:val="28"/>
          <w:highlight w:val="none"/>
        </w:rPr>
        <w:t>竞选人</w:t>
      </w:r>
      <w:r>
        <w:rPr>
          <w:rFonts w:hint="eastAsia" w:cs="MingLiU" w:asciiTheme="minorEastAsia" w:hAnsiTheme="minorEastAsia" w:eastAsiaTheme="minorEastAsia"/>
          <w:b/>
          <w:color w:val="auto"/>
          <w:spacing w:val="1"/>
          <w:w w:val="99"/>
          <w:kern w:val="0"/>
          <w:sz w:val="28"/>
          <w:szCs w:val="28"/>
          <w:highlight w:val="none"/>
        </w:rPr>
        <w:t>：</w:t>
      </w:r>
      <w:r>
        <w:rPr>
          <w:rFonts w:hint="eastAsia" w:cs="MingLiU" w:asciiTheme="minorEastAsia" w:hAnsiTheme="minorEastAsia" w:eastAsiaTheme="minorEastAsia"/>
          <w:b/>
          <w:color w:val="auto"/>
          <w:w w:val="198"/>
          <w:kern w:val="0"/>
          <w:sz w:val="28"/>
          <w:szCs w:val="28"/>
          <w:highlight w:val="none"/>
          <w:u w:val="single"/>
        </w:rPr>
        <w:t xml:space="preserve"> 　　　　 　　</w:t>
      </w:r>
      <w:r>
        <w:rPr>
          <w:rFonts w:hint="eastAsia" w:cs="MingLiU" w:asciiTheme="minorEastAsia" w:hAnsiTheme="minorEastAsia" w:eastAsiaTheme="minorEastAsia"/>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cs="MingLiU" w:asciiTheme="minorEastAsia" w:hAnsiTheme="minorEastAsia" w:eastAsiaTheme="minorEastAsia"/>
          <w:b/>
          <w:color w:val="auto"/>
          <w:kern w:val="0"/>
          <w:sz w:val="28"/>
          <w:szCs w:val="28"/>
          <w:highlight w:val="none"/>
        </w:rPr>
      </w:pPr>
      <w:r>
        <w:rPr>
          <w:rFonts w:hint="eastAsia" w:cs="MingLiU" w:asciiTheme="minorEastAsia" w:hAnsiTheme="minorEastAsia" w:eastAsiaTheme="minorEastAsia"/>
          <w:b/>
          <w:color w:val="auto"/>
          <w:w w:val="99"/>
          <w:kern w:val="0"/>
          <w:sz w:val="28"/>
          <w:szCs w:val="28"/>
          <w:highlight w:val="none"/>
        </w:rPr>
        <w:t>法定代表人或其委托代理人：</w:t>
      </w:r>
      <w:r>
        <w:rPr>
          <w:rFonts w:hint="eastAsia" w:cs="MingLiU" w:asciiTheme="minorEastAsia" w:hAnsiTheme="minorEastAsia" w:eastAsiaTheme="minorEastAsia"/>
          <w:b/>
          <w:color w:val="auto"/>
          <w:w w:val="198"/>
          <w:kern w:val="0"/>
          <w:sz w:val="28"/>
          <w:szCs w:val="28"/>
          <w:highlight w:val="none"/>
          <w:u w:val="single"/>
        </w:rPr>
        <w:t xml:space="preserve"> 　　 </w:t>
      </w:r>
      <w:r>
        <w:rPr>
          <w:rFonts w:hint="eastAsia" w:cs="MingLiU" w:asciiTheme="minorEastAsia" w:hAnsiTheme="minorEastAsia" w:eastAsiaTheme="minorEastAsia"/>
          <w:b/>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cs="MingLiU" w:asciiTheme="minorEastAsia" w:hAnsiTheme="minorEastAsia" w:eastAsiaTheme="minorEastAsia"/>
          <w:b/>
          <w:color w:val="auto"/>
          <w:kern w:val="0"/>
          <w:sz w:val="28"/>
          <w:szCs w:val="28"/>
          <w:highlight w:val="none"/>
        </w:rPr>
      </w:pPr>
      <w:r>
        <w:rPr>
          <w:rFonts w:hint="eastAsia" w:cs="MingLiU" w:asciiTheme="minorEastAsia" w:hAnsiTheme="minorEastAsia" w:eastAsiaTheme="minorEastAsia"/>
          <w:b/>
          <w:color w:val="auto"/>
          <w:w w:val="99"/>
          <w:kern w:val="0"/>
          <w:sz w:val="28"/>
          <w:szCs w:val="28"/>
          <w:highlight w:val="none"/>
        </w:rPr>
        <w:t>年    月   日</w:t>
      </w:r>
    </w:p>
    <w:p>
      <w:pPr>
        <w:adjustRightInd w:val="0"/>
        <w:snapToGrid w:val="0"/>
        <w:spacing w:line="360" w:lineRule="auto"/>
        <w:rPr>
          <w:rFonts w:asciiTheme="minorEastAsia" w:hAnsiTheme="minorEastAsia" w:eastAsiaTheme="minorEastAsia"/>
          <w:b/>
          <w:color w:val="auto"/>
          <w:sz w:val="30"/>
          <w:szCs w:val="30"/>
          <w:highlight w:val="none"/>
        </w:rPr>
      </w:pPr>
      <w:r>
        <w:rPr>
          <w:rFonts w:hint="eastAsia" w:cs="MingLiU" w:asciiTheme="minorEastAsia" w:hAnsiTheme="minorEastAsia" w:eastAsiaTheme="minorEastAsia"/>
          <w:color w:val="auto"/>
          <w:kern w:val="0"/>
          <w:sz w:val="24"/>
          <w:szCs w:val="21"/>
          <w:highlight w:val="none"/>
        </w:rPr>
        <w:br w:type="page"/>
      </w:r>
    </w:p>
    <w:bookmarkEnd w:id="237"/>
    <w:bookmarkEnd w:id="238"/>
    <w:p>
      <w:pPr>
        <w:widowControl/>
        <w:spacing w:line="360" w:lineRule="auto"/>
        <w:jc w:val="center"/>
        <w:rPr>
          <w:rFonts w:asciiTheme="minorEastAsia" w:hAnsiTheme="minorEastAsia" w:eastAsiaTheme="minorEastAsia"/>
          <w:color w:val="auto"/>
          <w:sz w:val="30"/>
          <w:szCs w:val="30"/>
          <w:highlight w:val="none"/>
        </w:rPr>
      </w:pPr>
      <w:r>
        <w:rPr>
          <w:rFonts w:hint="eastAsia" w:asciiTheme="minorEastAsia" w:hAnsiTheme="minorEastAsia" w:eastAsiaTheme="minorEastAsia"/>
          <w:color w:val="auto"/>
          <w:sz w:val="30"/>
          <w:szCs w:val="30"/>
          <w:highlight w:val="none"/>
        </w:rPr>
        <w:t>格式自拟</w:t>
      </w:r>
    </w:p>
    <w:p>
      <w:pPr>
        <w:widowControl/>
        <w:spacing w:line="360" w:lineRule="auto"/>
        <w:jc w:val="center"/>
        <w:rPr>
          <w:rFonts w:asciiTheme="minorEastAsia" w:hAnsiTheme="minorEastAsia" w:eastAsiaTheme="minorEastAsia"/>
          <w:color w:val="auto"/>
          <w:sz w:val="30"/>
          <w:szCs w:val="30"/>
          <w:highlight w:val="none"/>
        </w:rPr>
        <w:sectPr>
          <w:pgSz w:w="11907" w:h="16840"/>
          <w:pgMar w:top="1440" w:right="1253" w:bottom="1196" w:left="1678" w:header="720" w:footer="720" w:gutter="0"/>
          <w:cols w:space="720" w:num="1"/>
        </w:sectPr>
      </w:pPr>
    </w:p>
    <w:p>
      <w:pPr>
        <w:tabs>
          <w:tab w:val="left" w:pos="2580"/>
          <w:tab w:val="left" w:pos="5940"/>
        </w:tabs>
        <w:autoSpaceDE w:val="0"/>
        <w:autoSpaceDN w:val="0"/>
        <w:adjustRightInd w:val="0"/>
        <w:snapToGrid w:val="0"/>
        <w:spacing w:line="360" w:lineRule="auto"/>
        <w:jc w:val="center"/>
        <w:outlineLvl w:val="1"/>
        <w:rPr>
          <w:rFonts w:asciiTheme="minorEastAsia" w:hAnsiTheme="minorEastAsia" w:eastAsiaTheme="minorEastAsia"/>
          <w:b/>
          <w:color w:val="auto"/>
          <w:sz w:val="32"/>
          <w:szCs w:val="32"/>
          <w:highlight w:val="none"/>
        </w:rPr>
      </w:pPr>
      <w:bookmarkStart w:id="239" w:name="_Toc485992303"/>
      <w:bookmarkStart w:id="240" w:name="_Toc10362"/>
      <w:bookmarkStart w:id="241" w:name="_Toc287620821"/>
      <w:bookmarkStart w:id="242" w:name="_Toc287607874"/>
      <w:r>
        <w:rPr>
          <w:rFonts w:hint="eastAsia" w:asciiTheme="minorEastAsia" w:hAnsiTheme="minorEastAsia" w:eastAsiaTheme="minorEastAsia"/>
          <w:b/>
          <w:color w:val="auto"/>
          <w:sz w:val="32"/>
          <w:szCs w:val="32"/>
          <w:highlight w:val="none"/>
        </w:rPr>
        <w:t>三、</w:t>
      </w:r>
      <w:r>
        <w:rPr>
          <w:rFonts w:hint="eastAsia" w:asciiTheme="minorEastAsia" w:hAnsiTheme="minorEastAsia" w:eastAsiaTheme="minorEastAsia"/>
          <w:b/>
          <w:color w:val="auto"/>
          <w:sz w:val="32"/>
          <w:szCs w:val="32"/>
          <w:highlight w:val="none"/>
          <w:lang w:eastAsia="zh-CN"/>
        </w:rPr>
        <w:t>服务</w:t>
      </w:r>
      <w:r>
        <w:rPr>
          <w:rFonts w:hint="eastAsia" w:asciiTheme="minorEastAsia" w:hAnsiTheme="minorEastAsia" w:eastAsiaTheme="minorEastAsia"/>
          <w:b/>
          <w:color w:val="auto"/>
          <w:sz w:val="32"/>
          <w:szCs w:val="32"/>
          <w:highlight w:val="none"/>
        </w:rPr>
        <w:t>部分</w:t>
      </w:r>
      <w:bookmarkEnd w:id="239"/>
      <w:bookmarkEnd w:id="240"/>
    </w:p>
    <w:bookmarkEnd w:id="241"/>
    <w:bookmarkEnd w:id="242"/>
    <w:p>
      <w:pPr>
        <w:ind w:right="1680"/>
        <w:jc w:val="center"/>
        <w:rPr>
          <w:rFonts w:asciiTheme="minorEastAsia" w:hAnsiTheme="minorEastAsia" w:eastAsiaTheme="minorEastAsia"/>
          <w:color w:val="auto"/>
          <w:sz w:val="84"/>
          <w:szCs w:val="84"/>
          <w:highlight w:val="none"/>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docGrid w:type="lines" w:linePitch="312" w:charSpace="0"/>
        </w:sectPr>
      </w:pPr>
    </w:p>
    <w:p>
      <w:pPr>
        <w:spacing w:line="480" w:lineRule="auto"/>
        <w:jc w:val="left"/>
        <w:rPr>
          <w:rFonts w:asciiTheme="minorEastAsia" w:hAnsiTheme="minorEastAsia" w:eastAsiaTheme="minorEastAsia"/>
          <w:color w:val="auto"/>
          <w:sz w:val="30"/>
          <w:szCs w:val="30"/>
          <w:highlight w:val="none"/>
        </w:rPr>
      </w:pPr>
      <w:r>
        <w:rPr>
          <w:rFonts w:hint="eastAsia" w:asciiTheme="minorEastAsia" w:hAnsiTheme="minorEastAsia" w:eastAsiaTheme="minorEastAsia"/>
          <w:b/>
          <w:color w:val="auto"/>
          <w:sz w:val="30"/>
          <w:szCs w:val="30"/>
          <w:highlight w:val="none"/>
        </w:rPr>
        <w:t>项目名称：</w:t>
      </w:r>
      <w:r>
        <w:rPr>
          <w:rFonts w:hint="eastAsia" w:asciiTheme="minorEastAsia" w:hAnsiTheme="minorEastAsia" w:eastAsiaTheme="minorEastAsia"/>
          <w:b/>
          <w:color w:val="auto"/>
          <w:sz w:val="30"/>
          <w:szCs w:val="30"/>
          <w:highlight w:val="none"/>
          <w:u w:val="single"/>
        </w:rPr>
        <w:t xml:space="preserve">                      </w:t>
      </w: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highlight w:val="none"/>
        </w:rPr>
      </w:pPr>
    </w:p>
    <w:p>
      <w:pPr>
        <w:pStyle w:val="22"/>
        <w:rPr>
          <w:color w:val="auto"/>
          <w:highlight w:val="none"/>
        </w:rPr>
      </w:pPr>
    </w:p>
    <w:p>
      <w:pPr>
        <w:tabs>
          <w:tab w:val="left" w:pos="3600"/>
          <w:tab w:val="left" w:pos="4480"/>
          <w:tab w:val="left" w:pos="5360"/>
        </w:tabs>
        <w:autoSpaceDE w:val="0"/>
        <w:autoSpaceDN w:val="0"/>
        <w:adjustRightInd w:val="0"/>
        <w:snapToGrid w:val="0"/>
        <w:spacing w:line="360" w:lineRule="auto"/>
        <w:jc w:val="left"/>
        <w:rPr>
          <w:rFonts w:cs="MingLiU" w:asciiTheme="minorEastAsia" w:hAnsiTheme="minorEastAsia" w:eastAsiaTheme="minorEastAsia"/>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cs="MingLiU" w:asciiTheme="minorEastAsia" w:hAnsiTheme="minorEastAsia" w:eastAsiaTheme="minorEastAsia"/>
          <w:b/>
          <w:color w:val="auto"/>
          <w:kern w:val="0"/>
          <w:sz w:val="84"/>
          <w:szCs w:val="84"/>
          <w:highlight w:val="none"/>
        </w:rPr>
      </w:pPr>
      <w:r>
        <w:rPr>
          <w:rFonts w:hint="eastAsia" w:cs="MingLiU" w:asciiTheme="minorEastAsia" w:hAnsiTheme="minorEastAsia" w:eastAsiaTheme="minorEastAsia"/>
          <w:b/>
          <w:color w:val="auto"/>
          <w:kern w:val="0"/>
          <w:sz w:val="84"/>
          <w:szCs w:val="84"/>
          <w:highlight w:val="none"/>
        </w:rPr>
        <w:t>竞  选  文  件</w:t>
      </w:r>
    </w:p>
    <w:p>
      <w:pPr>
        <w:autoSpaceDE w:val="0"/>
        <w:autoSpaceDN w:val="0"/>
        <w:adjustRightInd w:val="0"/>
        <w:snapToGrid w:val="0"/>
        <w:spacing w:line="360" w:lineRule="auto"/>
        <w:jc w:val="left"/>
        <w:rPr>
          <w:rFonts w:cs="MingLiU" w:asciiTheme="minorEastAsia" w:hAnsiTheme="minorEastAsia" w:eastAsiaTheme="minorEastAsia"/>
          <w:color w:val="auto"/>
          <w:kern w:val="0"/>
          <w:sz w:val="16"/>
          <w:szCs w:val="16"/>
          <w:highlight w:val="none"/>
        </w:rPr>
      </w:pPr>
    </w:p>
    <w:p>
      <w:pPr>
        <w:autoSpaceDE w:val="0"/>
        <w:autoSpaceDN w:val="0"/>
        <w:adjustRightInd w:val="0"/>
        <w:snapToGrid w:val="0"/>
        <w:spacing w:line="360" w:lineRule="auto"/>
        <w:jc w:val="center"/>
        <w:rPr>
          <w:rFonts w:cs="MingLiU" w:asciiTheme="minorEastAsia" w:hAnsiTheme="minorEastAsia" w:eastAsiaTheme="minorEastAsia"/>
          <w:b/>
          <w:color w:val="auto"/>
          <w:kern w:val="0"/>
          <w:sz w:val="36"/>
          <w:szCs w:val="36"/>
          <w:highlight w:val="none"/>
        </w:rPr>
      </w:pPr>
      <w:r>
        <w:rPr>
          <w:rFonts w:hint="eastAsia" w:cs="MingLiU" w:asciiTheme="minorEastAsia" w:hAnsiTheme="minorEastAsia" w:eastAsiaTheme="minorEastAsia"/>
          <w:b/>
          <w:color w:val="auto"/>
          <w:kern w:val="0"/>
          <w:sz w:val="36"/>
          <w:szCs w:val="36"/>
          <w:highlight w:val="none"/>
          <w:lang w:eastAsia="zh-CN"/>
        </w:rPr>
        <w:t>服务</w:t>
      </w:r>
      <w:r>
        <w:rPr>
          <w:rFonts w:hint="eastAsia" w:cs="MingLiU" w:asciiTheme="minorEastAsia" w:hAnsiTheme="minorEastAsia" w:eastAsiaTheme="minorEastAsia"/>
          <w:b/>
          <w:color w:val="auto"/>
          <w:kern w:val="0"/>
          <w:sz w:val="36"/>
          <w:szCs w:val="36"/>
          <w:highlight w:val="none"/>
        </w:rPr>
        <w:t>部分</w:t>
      </w: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autoSpaceDE w:val="0"/>
        <w:autoSpaceDN w:val="0"/>
        <w:adjustRightInd w:val="0"/>
        <w:snapToGrid w:val="0"/>
        <w:spacing w:line="360" w:lineRule="auto"/>
        <w:jc w:val="left"/>
        <w:rPr>
          <w:rFonts w:cs="MingLiU" w:asciiTheme="minorEastAsia" w:hAnsiTheme="minorEastAsia" w:eastAsiaTheme="minorEastAsia"/>
          <w:b/>
          <w:color w:val="auto"/>
          <w:kern w:val="0"/>
          <w:sz w:val="20"/>
          <w:szCs w:val="20"/>
          <w:highlight w:val="none"/>
        </w:rPr>
      </w:pPr>
    </w:p>
    <w:p>
      <w:pPr>
        <w:tabs>
          <w:tab w:val="left" w:pos="6080"/>
          <w:tab w:val="left" w:pos="6640"/>
        </w:tabs>
        <w:autoSpaceDE w:val="0"/>
        <w:autoSpaceDN w:val="0"/>
        <w:adjustRightInd w:val="0"/>
        <w:snapToGrid w:val="0"/>
        <w:spacing w:line="360" w:lineRule="auto"/>
        <w:jc w:val="center"/>
        <w:rPr>
          <w:rFonts w:asciiTheme="minorEastAsia" w:hAnsiTheme="minorEastAsia" w:eastAsiaTheme="minorEastAsia"/>
          <w:b/>
          <w:color w:val="auto"/>
          <w:w w:val="99"/>
          <w:kern w:val="0"/>
          <w:sz w:val="28"/>
          <w:szCs w:val="28"/>
          <w:highlight w:val="none"/>
        </w:rPr>
      </w:pPr>
      <w:r>
        <w:rPr>
          <w:rFonts w:hint="eastAsia" w:cs="MingLiU" w:asciiTheme="minorEastAsia" w:hAnsiTheme="minorEastAsia" w:eastAsiaTheme="minorEastAsia"/>
          <w:b/>
          <w:color w:val="auto"/>
          <w:w w:val="99"/>
          <w:kern w:val="0"/>
          <w:sz w:val="28"/>
          <w:szCs w:val="28"/>
          <w:highlight w:val="none"/>
        </w:rPr>
        <w:t>竞选人</w:t>
      </w:r>
      <w:r>
        <w:rPr>
          <w:rFonts w:hint="eastAsia" w:cs="MingLiU" w:asciiTheme="minorEastAsia" w:hAnsiTheme="minorEastAsia" w:eastAsiaTheme="minorEastAsia"/>
          <w:b/>
          <w:color w:val="auto"/>
          <w:spacing w:val="1"/>
          <w:w w:val="99"/>
          <w:kern w:val="0"/>
          <w:sz w:val="28"/>
          <w:szCs w:val="28"/>
          <w:highlight w:val="none"/>
        </w:rPr>
        <w:t>：</w:t>
      </w:r>
      <w:r>
        <w:rPr>
          <w:rFonts w:hint="eastAsia" w:cs="MingLiU" w:asciiTheme="minorEastAsia" w:hAnsiTheme="minorEastAsia" w:eastAsiaTheme="minorEastAsia"/>
          <w:b/>
          <w:color w:val="auto"/>
          <w:w w:val="198"/>
          <w:kern w:val="0"/>
          <w:sz w:val="28"/>
          <w:szCs w:val="28"/>
          <w:highlight w:val="none"/>
          <w:u w:val="single"/>
        </w:rPr>
        <w:t xml:space="preserve"> 　　　　 　　</w:t>
      </w:r>
      <w:r>
        <w:rPr>
          <w:rFonts w:hint="eastAsia" w:cs="MingLiU" w:asciiTheme="minorEastAsia" w:hAnsiTheme="minorEastAsia" w:eastAsiaTheme="minorEastAsia"/>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jc w:val="center"/>
        <w:rPr>
          <w:rFonts w:cs="MingLiU" w:asciiTheme="minorEastAsia" w:hAnsiTheme="minorEastAsia" w:eastAsiaTheme="minorEastAsia"/>
          <w:b/>
          <w:color w:val="auto"/>
          <w:kern w:val="0"/>
          <w:sz w:val="28"/>
          <w:szCs w:val="28"/>
          <w:highlight w:val="none"/>
        </w:rPr>
      </w:pPr>
      <w:r>
        <w:rPr>
          <w:rFonts w:hint="eastAsia" w:cs="MingLiU" w:asciiTheme="minorEastAsia" w:hAnsiTheme="minorEastAsia" w:eastAsiaTheme="minorEastAsia"/>
          <w:b/>
          <w:color w:val="auto"/>
          <w:w w:val="99"/>
          <w:kern w:val="0"/>
          <w:sz w:val="28"/>
          <w:szCs w:val="28"/>
          <w:highlight w:val="none"/>
        </w:rPr>
        <w:t>法定代表人或其委托代理人：</w:t>
      </w:r>
      <w:r>
        <w:rPr>
          <w:rFonts w:hint="eastAsia" w:cs="MingLiU" w:asciiTheme="minorEastAsia" w:hAnsiTheme="minorEastAsia" w:eastAsiaTheme="minorEastAsia"/>
          <w:b/>
          <w:color w:val="auto"/>
          <w:w w:val="198"/>
          <w:kern w:val="0"/>
          <w:sz w:val="28"/>
          <w:szCs w:val="28"/>
          <w:highlight w:val="none"/>
          <w:u w:val="single"/>
        </w:rPr>
        <w:t xml:space="preserve"> 　　 </w:t>
      </w:r>
      <w:r>
        <w:rPr>
          <w:rFonts w:hint="eastAsia" w:cs="MingLiU" w:asciiTheme="minorEastAsia" w:hAnsiTheme="minorEastAsia" w:eastAsiaTheme="minorEastAsia"/>
          <w:b/>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cs="MingLiU" w:asciiTheme="minorEastAsia" w:hAnsiTheme="minorEastAsia" w:eastAsiaTheme="minorEastAsia"/>
          <w:b/>
          <w:color w:val="auto"/>
          <w:kern w:val="0"/>
          <w:sz w:val="28"/>
          <w:szCs w:val="28"/>
          <w:highlight w:val="none"/>
        </w:rPr>
      </w:pPr>
      <w:r>
        <w:rPr>
          <w:rFonts w:hint="eastAsia" w:cs="MingLiU" w:asciiTheme="minorEastAsia" w:hAnsiTheme="minorEastAsia" w:eastAsiaTheme="minorEastAsia"/>
          <w:b/>
          <w:color w:val="auto"/>
          <w:w w:val="99"/>
          <w:kern w:val="0"/>
          <w:sz w:val="28"/>
          <w:szCs w:val="28"/>
          <w:highlight w:val="none"/>
        </w:rPr>
        <w:t>年    月   日</w:t>
      </w:r>
    </w:p>
    <w:p>
      <w:pPr>
        <w:tabs>
          <w:tab w:val="left" w:pos="2580"/>
          <w:tab w:val="left" w:pos="5940"/>
        </w:tabs>
        <w:autoSpaceDE w:val="0"/>
        <w:autoSpaceDN w:val="0"/>
        <w:adjustRightInd w:val="0"/>
        <w:snapToGrid w:val="0"/>
        <w:spacing w:line="360" w:lineRule="auto"/>
        <w:jc w:val="center"/>
        <w:outlineLvl w:val="1"/>
        <w:rPr>
          <w:rFonts w:asciiTheme="minorEastAsia" w:hAnsiTheme="minorEastAsia" w:eastAsiaTheme="minorEastAsia"/>
          <w:b/>
          <w:color w:val="auto"/>
          <w:sz w:val="32"/>
          <w:szCs w:val="32"/>
          <w:highlight w:val="none"/>
        </w:rPr>
        <w:sectPr>
          <w:pgSz w:w="11906" w:h="16838"/>
          <w:pgMar w:top="1440" w:right="1800" w:bottom="1440" w:left="1800" w:header="851" w:footer="992" w:gutter="0"/>
          <w:cols w:space="720" w:num="1"/>
          <w:docGrid w:type="lines" w:linePitch="312" w:charSpace="0"/>
        </w:sectPr>
      </w:pPr>
    </w:p>
    <w:p>
      <w:pPr>
        <w:bidi w:val="0"/>
        <w:jc w:val="center"/>
        <w:rPr>
          <w:color w:val="auto"/>
          <w:sz w:val="28"/>
          <w:szCs w:val="32"/>
        </w:rPr>
      </w:pPr>
      <w:r>
        <w:rPr>
          <w:rFonts w:hint="eastAsia"/>
          <w:color w:val="auto"/>
          <w:sz w:val="28"/>
          <w:szCs w:val="32"/>
        </w:rPr>
        <w:t>格式自拟</w:t>
      </w: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p>
    <w:p>
      <w:pPr>
        <w:ind w:right="1680"/>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 xml:space="preserve">    </w:t>
      </w:r>
    </w:p>
    <w:p>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fldChar w:fldCharType="begin"/>
    </w:r>
    <w:r>
      <w:rPr>
        <w:rStyle w:val="20"/>
      </w:rPr>
      <w:instrText xml:space="preserve">PAGE  </w:instrText>
    </w:r>
    <w: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B5938"/>
    <w:multiLevelType w:val="multilevel"/>
    <w:tmpl w:val="75BB5938"/>
    <w:lvl w:ilvl="0" w:tentative="0">
      <w:start w:val="1"/>
      <w:numFmt w:val="japaneseCounting"/>
      <w:lvlText w:val="（%1）"/>
      <w:lvlJc w:val="left"/>
      <w:pPr>
        <w:ind w:left="1236" w:hanging="720"/>
      </w:pPr>
      <w:rPr>
        <w:rFonts w:hint="default"/>
      </w:rPr>
    </w:lvl>
    <w:lvl w:ilvl="1" w:tentative="0">
      <w:start w:val="1"/>
      <w:numFmt w:val="lowerLetter"/>
      <w:lvlText w:val="%2)"/>
      <w:lvlJc w:val="left"/>
      <w:pPr>
        <w:ind w:left="1356" w:hanging="420"/>
      </w:pPr>
    </w:lvl>
    <w:lvl w:ilvl="2" w:tentative="0">
      <w:start w:val="1"/>
      <w:numFmt w:val="lowerRoman"/>
      <w:lvlText w:val="%3."/>
      <w:lvlJc w:val="right"/>
      <w:pPr>
        <w:ind w:left="1776" w:hanging="420"/>
      </w:pPr>
    </w:lvl>
    <w:lvl w:ilvl="3" w:tentative="0">
      <w:start w:val="1"/>
      <w:numFmt w:val="decimal"/>
      <w:lvlText w:val="%4."/>
      <w:lvlJc w:val="left"/>
      <w:pPr>
        <w:ind w:left="2196" w:hanging="420"/>
      </w:pPr>
    </w:lvl>
    <w:lvl w:ilvl="4" w:tentative="0">
      <w:start w:val="1"/>
      <w:numFmt w:val="lowerLetter"/>
      <w:lvlText w:val="%5)"/>
      <w:lvlJc w:val="left"/>
      <w:pPr>
        <w:ind w:left="2616" w:hanging="420"/>
      </w:pPr>
    </w:lvl>
    <w:lvl w:ilvl="5" w:tentative="0">
      <w:start w:val="1"/>
      <w:numFmt w:val="lowerRoman"/>
      <w:lvlText w:val="%6."/>
      <w:lvlJc w:val="right"/>
      <w:pPr>
        <w:ind w:left="3036" w:hanging="420"/>
      </w:pPr>
    </w:lvl>
    <w:lvl w:ilvl="6" w:tentative="0">
      <w:start w:val="1"/>
      <w:numFmt w:val="decimal"/>
      <w:lvlText w:val="%7."/>
      <w:lvlJc w:val="left"/>
      <w:pPr>
        <w:ind w:left="3456" w:hanging="420"/>
      </w:pPr>
    </w:lvl>
    <w:lvl w:ilvl="7" w:tentative="0">
      <w:start w:val="1"/>
      <w:numFmt w:val="lowerLetter"/>
      <w:lvlText w:val="%8)"/>
      <w:lvlJc w:val="left"/>
      <w:pPr>
        <w:ind w:left="3876" w:hanging="420"/>
      </w:pPr>
    </w:lvl>
    <w:lvl w:ilvl="8" w:tentative="0">
      <w:start w:val="1"/>
      <w:numFmt w:val="lowerRoman"/>
      <w:lvlText w:val="%9."/>
      <w:lvlJc w:val="right"/>
      <w:pPr>
        <w:ind w:left="429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NDBlOTI0NDYzMWIzN2YxYjQwNjQ0Y2YzYWIxODcifQ=="/>
  </w:docVars>
  <w:rsids>
    <w:rsidRoot w:val="04AD034B"/>
    <w:rsid w:val="00060CCE"/>
    <w:rsid w:val="00061CDC"/>
    <w:rsid w:val="00080D87"/>
    <w:rsid w:val="00084747"/>
    <w:rsid w:val="000B3E5F"/>
    <w:rsid w:val="000D3ABD"/>
    <w:rsid w:val="000D6FAE"/>
    <w:rsid w:val="000E1CBC"/>
    <w:rsid w:val="000F6E35"/>
    <w:rsid w:val="00121374"/>
    <w:rsid w:val="0014231C"/>
    <w:rsid w:val="001731F3"/>
    <w:rsid w:val="0018407D"/>
    <w:rsid w:val="00193B29"/>
    <w:rsid w:val="00193FDD"/>
    <w:rsid w:val="001D4BDF"/>
    <w:rsid w:val="00200ABB"/>
    <w:rsid w:val="00220910"/>
    <w:rsid w:val="00223E1E"/>
    <w:rsid w:val="00236838"/>
    <w:rsid w:val="002422FF"/>
    <w:rsid w:val="002748A6"/>
    <w:rsid w:val="00287E37"/>
    <w:rsid w:val="002A2870"/>
    <w:rsid w:val="002C51DB"/>
    <w:rsid w:val="002C79EF"/>
    <w:rsid w:val="002D23E3"/>
    <w:rsid w:val="002E682B"/>
    <w:rsid w:val="00302B82"/>
    <w:rsid w:val="003151F2"/>
    <w:rsid w:val="003209B1"/>
    <w:rsid w:val="0032174C"/>
    <w:rsid w:val="0032310C"/>
    <w:rsid w:val="00326717"/>
    <w:rsid w:val="00350869"/>
    <w:rsid w:val="00351549"/>
    <w:rsid w:val="003749F1"/>
    <w:rsid w:val="00396C4C"/>
    <w:rsid w:val="003A53B3"/>
    <w:rsid w:val="003C361E"/>
    <w:rsid w:val="003D1F3E"/>
    <w:rsid w:val="0040541B"/>
    <w:rsid w:val="00435B5E"/>
    <w:rsid w:val="00440A4A"/>
    <w:rsid w:val="00446151"/>
    <w:rsid w:val="00470ED4"/>
    <w:rsid w:val="00474D5B"/>
    <w:rsid w:val="0049285A"/>
    <w:rsid w:val="004A490E"/>
    <w:rsid w:val="004A7FEE"/>
    <w:rsid w:val="004B7655"/>
    <w:rsid w:val="004C25E3"/>
    <w:rsid w:val="004C444D"/>
    <w:rsid w:val="004C6982"/>
    <w:rsid w:val="004C76A8"/>
    <w:rsid w:val="004E16AA"/>
    <w:rsid w:val="004E1F25"/>
    <w:rsid w:val="004E4490"/>
    <w:rsid w:val="004E4AF1"/>
    <w:rsid w:val="004F0C5F"/>
    <w:rsid w:val="004F1C7C"/>
    <w:rsid w:val="004F6FEF"/>
    <w:rsid w:val="005223C6"/>
    <w:rsid w:val="00530CBA"/>
    <w:rsid w:val="00544A72"/>
    <w:rsid w:val="00546519"/>
    <w:rsid w:val="00552D57"/>
    <w:rsid w:val="00554966"/>
    <w:rsid w:val="00555B68"/>
    <w:rsid w:val="00573D2A"/>
    <w:rsid w:val="0058384D"/>
    <w:rsid w:val="00593926"/>
    <w:rsid w:val="005B7827"/>
    <w:rsid w:val="005C3C5C"/>
    <w:rsid w:val="005C6AF1"/>
    <w:rsid w:val="005D1677"/>
    <w:rsid w:val="005D592B"/>
    <w:rsid w:val="005E2253"/>
    <w:rsid w:val="00620053"/>
    <w:rsid w:val="00620BEE"/>
    <w:rsid w:val="006271D1"/>
    <w:rsid w:val="00647A23"/>
    <w:rsid w:val="006516FE"/>
    <w:rsid w:val="006519E6"/>
    <w:rsid w:val="00666026"/>
    <w:rsid w:val="006849DF"/>
    <w:rsid w:val="00691078"/>
    <w:rsid w:val="00691714"/>
    <w:rsid w:val="00691A74"/>
    <w:rsid w:val="006939C4"/>
    <w:rsid w:val="0069668D"/>
    <w:rsid w:val="00696D49"/>
    <w:rsid w:val="006E5549"/>
    <w:rsid w:val="006F2C89"/>
    <w:rsid w:val="006F5EA9"/>
    <w:rsid w:val="007427BA"/>
    <w:rsid w:val="007560E4"/>
    <w:rsid w:val="00770DC8"/>
    <w:rsid w:val="00797F21"/>
    <w:rsid w:val="007A5A98"/>
    <w:rsid w:val="007A63E5"/>
    <w:rsid w:val="007C2194"/>
    <w:rsid w:val="007D5033"/>
    <w:rsid w:val="007E3185"/>
    <w:rsid w:val="007F0139"/>
    <w:rsid w:val="007F4C29"/>
    <w:rsid w:val="00811A9E"/>
    <w:rsid w:val="008533FB"/>
    <w:rsid w:val="008639C5"/>
    <w:rsid w:val="00871609"/>
    <w:rsid w:val="00891287"/>
    <w:rsid w:val="008A01EF"/>
    <w:rsid w:val="008A48A3"/>
    <w:rsid w:val="008C1144"/>
    <w:rsid w:val="008C1A7E"/>
    <w:rsid w:val="008C26E2"/>
    <w:rsid w:val="008D66EF"/>
    <w:rsid w:val="008D6728"/>
    <w:rsid w:val="008F6B45"/>
    <w:rsid w:val="00905F9F"/>
    <w:rsid w:val="00914B07"/>
    <w:rsid w:val="00917DDD"/>
    <w:rsid w:val="00921F08"/>
    <w:rsid w:val="00923324"/>
    <w:rsid w:val="009236A0"/>
    <w:rsid w:val="0093601C"/>
    <w:rsid w:val="009434DA"/>
    <w:rsid w:val="00960241"/>
    <w:rsid w:val="00960812"/>
    <w:rsid w:val="00971950"/>
    <w:rsid w:val="00976EF1"/>
    <w:rsid w:val="00981D8D"/>
    <w:rsid w:val="00987D2A"/>
    <w:rsid w:val="00994DB0"/>
    <w:rsid w:val="0099596E"/>
    <w:rsid w:val="009C62A6"/>
    <w:rsid w:val="009D0BA1"/>
    <w:rsid w:val="009D69B6"/>
    <w:rsid w:val="009F0095"/>
    <w:rsid w:val="00A00A62"/>
    <w:rsid w:val="00A013B5"/>
    <w:rsid w:val="00A03C9F"/>
    <w:rsid w:val="00A13FC8"/>
    <w:rsid w:val="00A148D7"/>
    <w:rsid w:val="00A25F39"/>
    <w:rsid w:val="00A343F9"/>
    <w:rsid w:val="00A61276"/>
    <w:rsid w:val="00A61DC6"/>
    <w:rsid w:val="00A625E1"/>
    <w:rsid w:val="00A66CAB"/>
    <w:rsid w:val="00A741BB"/>
    <w:rsid w:val="00A86494"/>
    <w:rsid w:val="00AA09E2"/>
    <w:rsid w:val="00AD0E63"/>
    <w:rsid w:val="00AE0B72"/>
    <w:rsid w:val="00AE1804"/>
    <w:rsid w:val="00B25D2D"/>
    <w:rsid w:val="00B45D45"/>
    <w:rsid w:val="00B4705B"/>
    <w:rsid w:val="00B545B4"/>
    <w:rsid w:val="00B62418"/>
    <w:rsid w:val="00B70DE0"/>
    <w:rsid w:val="00B7163A"/>
    <w:rsid w:val="00B84E5E"/>
    <w:rsid w:val="00B928C8"/>
    <w:rsid w:val="00B954F4"/>
    <w:rsid w:val="00B97DB8"/>
    <w:rsid w:val="00BA2016"/>
    <w:rsid w:val="00BB1B2B"/>
    <w:rsid w:val="00BB37E9"/>
    <w:rsid w:val="00BB788B"/>
    <w:rsid w:val="00BF64C5"/>
    <w:rsid w:val="00C1744A"/>
    <w:rsid w:val="00C3397E"/>
    <w:rsid w:val="00C42E5D"/>
    <w:rsid w:val="00C54BD0"/>
    <w:rsid w:val="00C75B71"/>
    <w:rsid w:val="00CD1301"/>
    <w:rsid w:val="00CD5EDE"/>
    <w:rsid w:val="00CE2C0E"/>
    <w:rsid w:val="00CE7549"/>
    <w:rsid w:val="00D043ED"/>
    <w:rsid w:val="00D30171"/>
    <w:rsid w:val="00D40133"/>
    <w:rsid w:val="00D52515"/>
    <w:rsid w:val="00D556DA"/>
    <w:rsid w:val="00D64999"/>
    <w:rsid w:val="00D879BD"/>
    <w:rsid w:val="00DB1C02"/>
    <w:rsid w:val="00DC45C5"/>
    <w:rsid w:val="00DC57FE"/>
    <w:rsid w:val="00DD0776"/>
    <w:rsid w:val="00DE5B71"/>
    <w:rsid w:val="00DE6829"/>
    <w:rsid w:val="00E00C8B"/>
    <w:rsid w:val="00E027A1"/>
    <w:rsid w:val="00E10E82"/>
    <w:rsid w:val="00E2127F"/>
    <w:rsid w:val="00E23F8E"/>
    <w:rsid w:val="00E326F5"/>
    <w:rsid w:val="00E45188"/>
    <w:rsid w:val="00E51F45"/>
    <w:rsid w:val="00E57E51"/>
    <w:rsid w:val="00E9352D"/>
    <w:rsid w:val="00E94D81"/>
    <w:rsid w:val="00EB0D38"/>
    <w:rsid w:val="00EB121E"/>
    <w:rsid w:val="00EB5999"/>
    <w:rsid w:val="00EC2807"/>
    <w:rsid w:val="00EF2849"/>
    <w:rsid w:val="00F12D33"/>
    <w:rsid w:val="00F207BE"/>
    <w:rsid w:val="00F3134C"/>
    <w:rsid w:val="00F408DE"/>
    <w:rsid w:val="00F52C92"/>
    <w:rsid w:val="00F61420"/>
    <w:rsid w:val="00F81C4C"/>
    <w:rsid w:val="00F9576D"/>
    <w:rsid w:val="00FB14B0"/>
    <w:rsid w:val="00FD71C0"/>
    <w:rsid w:val="00FF644A"/>
    <w:rsid w:val="01285886"/>
    <w:rsid w:val="01497108"/>
    <w:rsid w:val="01627D32"/>
    <w:rsid w:val="02441F1E"/>
    <w:rsid w:val="03524865"/>
    <w:rsid w:val="03E26E45"/>
    <w:rsid w:val="047F7E42"/>
    <w:rsid w:val="04A24BC7"/>
    <w:rsid w:val="04AA12CE"/>
    <w:rsid w:val="04AD034B"/>
    <w:rsid w:val="06417592"/>
    <w:rsid w:val="0744651C"/>
    <w:rsid w:val="07956A08"/>
    <w:rsid w:val="08336E02"/>
    <w:rsid w:val="090762AB"/>
    <w:rsid w:val="096071C1"/>
    <w:rsid w:val="098D28B7"/>
    <w:rsid w:val="09E417C2"/>
    <w:rsid w:val="0A820201"/>
    <w:rsid w:val="0ABF3399"/>
    <w:rsid w:val="0B4450A5"/>
    <w:rsid w:val="0DB50B38"/>
    <w:rsid w:val="0DC10F3C"/>
    <w:rsid w:val="0FAE2C4E"/>
    <w:rsid w:val="0FFC339B"/>
    <w:rsid w:val="10972567"/>
    <w:rsid w:val="10DB721C"/>
    <w:rsid w:val="11163ADF"/>
    <w:rsid w:val="11962175"/>
    <w:rsid w:val="120170A3"/>
    <w:rsid w:val="12441F8F"/>
    <w:rsid w:val="12F52A54"/>
    <w:rsid w:val="13047AB2"/>
    <w:rsid w:val="13123F0B"/>
    <w:rsid w:val="13F36F63"/>
    <w:rsid w:val="14B37380"/>
    <w:rsid w:val="152941B2"/>
    <w:rsid w:val="158A63F2"/>
    <w:rsid w:val="1598015F"/>
    <w:rsid w:val="166C5148"/>
    <w:rsid w:val="1679594B"/>
    <w:rsid w:val="16E80F4B"/>
    <w:rsid w:val="173949C7"/>
    <w:rsid w:val="17463EBB"/>
    <w:rsid w:val="17597129"/>
    <w:rsid w:val="17C90AA4"/>
    <w:rsid w:val="18130A4D"/>
    <w:rsid w:val="18482D49"/>
    <w:rsid w:val="1869193F"/>
    <w:rsid w:val="1A687E8F"/>
    <w:rsid w:val="1B474A7D"/>
    <w:rsid w:val="1C5D47D8"/>
    <w:rsid w:val="1C947D33"/>
    <w:rsid w:val="1CF1672E"/>
    <w:rsid w:val="1E084C5D"/>
    <w:rsid w:val="1ED56A0C"/>
    <w:rsid w:val="1FFC264C"/>
    <w:rsid w:val="20217E29"/>
    <w:rsid w:val="202572F8"/>
    <w:rsid w:val="20A56E64"/>
    <w:rsid w:val="22034961"/>
    <w:rsid w:val="23373B8E"/>
    <w:rsid w:val="24EC6EDD"/>
    <w:rsid w:val="252F5648"/>
    <w:rsid w:val="25802A18"/>
    <w:rsid w:val="25946152"/>
    <w:rsid w:val="26075479"/>
    <w:rsid w:val="26AD595A"/>
    <w:rsid w:val="278D4BAC"/>
    <w:rsid w:val="27B64438"/>
    <w:rsid w:val="287D4D3D"/>
    <w:rsid w:val="28C44592"/>
    <w:rsid w:val="28F80FA6"/>
    <w:rsid w:val="29A710A5"/>
    <w:rsid w:val="29B2152E"/>
    <w:rsid w:val="2A1C0C35"/>
    <w:rsid w:val="2A2B5331"/>
    <w:rsid w:val="2B90231B"/>
    <w:rsid w:val="2C595B41"/>
    <w:rsid w:val="2C7F7BAD"/>
    <w:rsid w:val="2C933517"/>
    <w:rsid w:val="2D357618"/>
    <w:rsid w:val="2D555D6B"/>
    <w:rsid w:val="2D7317D2"/>
    <w:rsid w:val="2D957A3F"/>
    <w:rsid w:val="2E830CF4"/>
    <w:rsid w:val="2E984661"/>
    <w:rsid w:val="30162ED5"/>
    <w:rsid w:val="310946E2"/>
    <w:rsid w:val="31344169"/>
    <w:rsid w:val="31766611"/>
    <w:rsid w:val="31A35047"/>
    <w:rsid w:val="31E92D89"/>
    <w:rsid w:val="327F4D89"/>
    <w:rsid w:val="32821FC4"/>
    <w:rsid w:val="333911A3"/>
    <w:rsid w:val="339810C4"/>
    <w:rsid w:val="343A4458"/>
    <w:rsid w:val="34BA084E"/>
    <w:rsid w:val="35125430"/>
    <w:rsid w:val="353B6FB5"/>
    <w:rsid w:val="35D15E83"/>
    <w:rsid w:val="36627E86"/>
    <w:rsid w:val="36A41F9C"/>
    <w:rsid w:val="38FA739E"/>
    <w:rsid w:val="38FF3ECD"/>
    <w:rsid w:val="39495D58"/>
    <w:rsid w:val="39EF402C"/>
    <w:rsid w:val="3A072DAC"/>
    <w:rsid w:val="3AD84E5C"/>
    <w:rsid w:val="3BD043B8"/>
    <w:rsid w:val="3BE96C4F"/>
    <w:rsid w:val="3C3319EF"/>
    <w:rsid w:val="3CF967AC"/>
    <w:rsid w:val="3DA21CCB"/>
    <w:rsid w:val="3DC10D89"/>
    <w:rsid w:val="3DEF70E9"/>
    <w:rsid w:val="3E5477B4"/>
    <w:rsid w:val="3E594080"/>
    <w:rsid w:val="3FF35E0E"/>
    <w:rsid w:val="401079F1"/>
    <w:rsid w:val="40362AC3"/>
    <w:rsid w:val="406A55C7"/>
    <w:rsid w:val="40D835AB"/>
    <w:rsid w:val="40ED3155"/>
    <w:rsid w:val="419C4176"/>
    <w:rsid w:val="43613C47"/>
    <w:rsid w:val="438321C9"/>
    <w:rsid w:val="438E5F08"/>
    <w:rsid w:val="4477639F"/>
    <w:rsid w:val="454F7E17"/>
    <w:rsid w:val="4582764E"/>
    <w:rsid w:val="45B00CA0"/>
    <w:rsid w:val="46541D59"/>
    <w:rsid w:val="46C814C6"/>
    <w:rsid w:val="472729C1"/>
    <w:rsid w:val="481535BB"/>
    <w:rsid w:val="48731D60"/>
    <w:rsid w:val="4B3C2D5F"/>
    <w:rsid w:val="4B9E3A80"/>
    <w:rsid w:val="4B9E4E2A"/>
    <w:rsid w:val="4BC425DD"/>
    <w:rsid w:val="4C903C44"/>
    <w:rsid w:val="4C9570ED"/>
    <w:rsid w:val="4D01600E"/>
    <w:rsid w:val="4D616AAD"/>
    <w:rsid w:val="4E2D30D2"/>
    <w:rsid w:val="4E970E09"/>
    <w:rsid w:val="4E9E0142"/>
    <w:rsid w:val="4EE23C1E"/>
    <w:rsid w:val="4F7A2E2B"/>
    <w:rsid w:val="501C66F4"/>
    <w:rsid w:val="50D54261"/>
    <w:rsid w:val="51A029A8"/>
    <w:rsid w:val="54AF4797"/>
    <w:rsid w:val="54F72943"/>
    <w:rsid w:val="55E23082"/>
    <w:rsid w:val="56046F76"/>
    <w:rsid w:val="56636B8E"/>
    <w:rsid w:val="56814506"/>
    <w:rsid w:val="56D8626A"/>
    <w:rsid w:val="570F636D"/>
    <w:rsid w:val="57144565"/>
    <w:rsid w:val="573967DC"/>
    <w:rsid w:val="57883809"/>
    <w:rsid w:val="58264379"/>
    <w:rsid w:val="5A4355F2"/>
    <w:rsid w:val="5A8024AB"/>
    <w:rsid w:val="5AAD0D93"/>
    <w:rsid w:val="5AAE1201"/>
    <w:rsid w:val="5AF00B48"/>
    <w:rsid w:val="5B8E7F1B"/>
    <w:rsid w:val="5C530B78"/>
    <w:rsid w:val="5D08326C"/>
    <w:rsid w:val="5D7528CA"/>
    <w:rsid w:val="5FDA715B"/>
    <w:rsid w:val="62F94012"/>
    <w:rsid w:val="62FD297C"/>
    <w:rsid w:val="630870DE"/>
    <w:rsid w:val="63966002"/>
    <w:rsid w:val="648319B7"/>
    <w:rsid w:val="64923598"/>
    <w:rsid w:val="649A6DBE"/>
    <w:rsid w:val="650C74A4"/>
    <w:rsid w:val="658479DA"/>
    <w:rsid w:val="67093CEA"/>
    <w:rsid w:val="670D32C7"/>
    <w:rsid w:val="67B81568"/>
    <w:rsid w:val="67FB3611"/>
    <w:rsid w:val="68471D9D"/>
    <w:rsid w:val="68BF677A"/>
    <w:rsid w:val="698A5126"/>
    <w:rsid w:val="69E04B39"/>
    <w:rsid w:val="69F10F16"/>
    <w:rsid w:val="6A5070DE"/>
    <w:rsid w:val="6BD50F95"/>
    <w:rsid w:val="6C123F77"/>
    <w:rsid w:val="6C65023A"/>
    <w:rsid w:val="6C986FE7"/>
    <w:rsid w:val="6C9C1B60"/>
    <w:rsid w:val="6CA22232"/>
    <w:rsid w:val="6CCD4E39"/>
    <w:rsid w:val="6DB30807"/>
    <w:rsid w:val="6E7047CA"/>
    <w:rsid w:val="6FB120F6"/>
    <w:rsid w:val="6FF123A1"/>
    <w:rsid w:val="705D6F14"/>
    <w:rsid w:val="714F06C7"/>
    <w:rsid w:val="71AA57A9"/>
    <w:rsid w:val="721A7C21"/>
    <w:rsid w:val="72AA54D1"/>
    <w:rsid w:val="73FD4E93"/>
    <w:rsid w:val="745921DE"/>
    <w:rsid w:val="757C23F1"/>
    <w:rsid w:val="75B25B93"/>
    <w:rsid w:val="75DA2322"/>
    <w:rsid w:val="75F4035E"/>
    <w:rsid w:val="76402E54"/>
    <w:rsid w:val="766F77DD"/>
    <w:rsid w:val="76B97938"/>
    <w:rsid w:val="779F7FA2"/>
    <w:rsid w:val="791475CF"/>
    <w:rsid w:val="79D3613B"/>
    <w:rsid w:val="7A2A6355"/>
    <w:rsid w:val="7A8E70C9"/>
    <w:rsid w:val="7AC504E8"/>
    <w:rsid w:val="7C29075A"/>
    <w:rsid w:val="7C7F2D23"/>
    <w:rsid w:val="7D451122"/>
    <w:rsid w:val="7D575E17"/>
    <w:rsid w:val="7DA93EBE"/>
    <w:rsid w:val="7E7A2C7B"/>
    <w:rsid w:val="7EC13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hAnsi="宋体" w:eastAsia="仿宋_GB2312" w:cs="MingLiU"/>
      <w:b/>
      <w:spacing w:val="1"/>
      <w:w w:val="99"/>
      <w:kern w:val="0"/>
      <w:sz w:val="28"/>
      <w:szCs w:val="32"/>
    </w:rPr>
  </w:style>
  <w:style w:type="paragraph" w:styleId="5">
    <w:name w:val="heading 3"/>
    <w:basedOn w:val="1"/>
    <w:next w:val="1"/>
    <w:qFormat/>
    <w:uiPriority w:val="0"/>
    <w:pPr>
      <w:autoSpaceDE w:val="0"/>
      <w:autoSpaceDN w:val="0"/>
      <w:adjustRightInd w:val="0"/>
      <w:spacing w:before="16"/>
      <w:jc w:val="left"/>
      <w:outlineLvl w:val="2"/>
    </w:pPr>
    <w:rPr>
      <w:rFonts w:ascii="仿宋_GB2312" w:hAnsi="宋体" w:eastAsia="仿宋_GB2312" w:cs="MingLiU"/>
      <w:b/>
      <w:kern w:val="0"/>
      <w:sz w:val="24"/>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6">
    <w:name w:val="toc 3"/>
    <w:basedOn w:val="1"/>
    <w:next w:val="1"/>
    <w:qFormat/>
    <w:uiPriority w:val="39"/>
    <w:pPr>
      <w:ind w:left="420"/>
      <w:jc w:val="left"/>
    </w:pPr>
    <w:rPr>
      <w:rFonts w:asciiTheme="minorHAnsi" w:hAnsiTheme="minorHAnsi"/>
      <w:i/>
      <w:iCs/>
      <w:sz w:val="20"/>
      <w:szCs w:val="20"/>
    </w:rPr>
  </w:style>
  <w:style w:type="paragraph" w:styleId="7">
    <w:name w:val="Body Text Indent 2"/>
    <w:basedOn w:val="1"/>
    <w:link w:val="28"/>
    <w:qFormat/>
    <w:uiPriority w:val="0"/>
    <w:pPr>
      <w:spacing w:after="120" w:line="480" w:lineRule="auto"/>
      <w:ind w:left="420" w:leftChars="200"/>
    </w:p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rFonts w:cstheme="minorBid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cstheme="minorBidi"/>
      <w:sz w:val="18"/>
      <w:szCs w:val="18"/>
    </w:rPr>
  </w:style>
  <w:style w:type="paragraph" w:styleId="11">
    <w:name w:val="toc 1"/>
    <w:basedOn w:val="1"/>
    <w:next w:val="1"/>
    <w:qFormat/>
    <w:uiPriority w:val="39"/>
    <w:pPr>
      <w:spacing w:before="120" w:after="120"/>
      <w:jc w:val="left"/>
    </w:pPr>
    <w:rPr>
      <w:rFonts w:asciiTheme="minorHAnsi" w:hAnsiTheme="minorHAnsi"/>
      <w:b/>
      <w:bCs/>
      <w:caps/>
      <w:sz w:val="20"/>
      <w:szCs w:val="20"/>
    </w:rPr>
  </w:style>
  <w:style w:type="paragraph" w:styleId="12">
    <w:name w:val="Subtitle"/>
    <w:basedOn w:val="1"/>
    <w:qFormat/>
    <w:uiPriority w:val="0"/>
    <w:pPr>
      <w:widowControl/>
      <w:jc w:val="center"/>
    </w:pPr>
    <w:rPr>
      <w:rFonts w:asciiTheme="minorHAnsi" w:hAnsiTheme="minorHAnsi" w:eastAsiaTheme="minorEastAsia" w:cstheme="minorBidi"/>
      <w:szCs w:val="24"/>
      <w:u w:val="single"/>
      <w:lang w:eastAsia="en-US"/>
    </w:rPr>
  </w:style>
  <w:style w:type="paragraph" w:styleId="13">
    <w:name w:val="Body Text Indent 3"/>
    <w:basedOn w:val="1"/>
    <w:qFormat/>
    <w:uiPriority w:val="0"/>
    <w:pPr>
      <w:snapToGrid w:val="0"/>
      <w:spacing w:line="300" w:lineRule="auto"/>
      <w:ind w:firstLine="630"/>
    </w:pPr>
    <w:rPr>
      <w:rFonts w:ascii="楷体_GB2312" w:eastAsia="楷体_GB2312"/>
      <w:sz w:val="24"/>
      <w:szCs w:val="20"/>
    </w:rPr>
  </w:style>
  <w:style w:type="paragraph" w:styleId="14">
    <w:name w:val="toc 2"/>
    <w:basedOn w:val="1"/>
    <w:next w:val="1"/>
    <w:unhideWhenUsed/>
    <w:qFormat/>
    <w:uiPriority w:val="39"/>
    <w:pPr>
      <w:ind w:left="210"/>
      <w:jc w:val="left"/>
    </w:pPr>
    <w:rPr>
      <w:rFonts w:asciiTheme="minorHAnsi" w:hAnsiTheme="minorHAnsi"/>
      <w:smallCaps/>
      <w:sz w:val="20"/>
      <w:szCs w:val="20"/>
    </w:rPr>
  </w:style>
  <w:style w:type="paragraph" w:styleId="15">
    <w:name w:val="Normal (Web)"/>
    <w:basedOn w:val="1"/>
    <w:qFormat/>
    <w:uiPriority w:val="0"/>
    <w:pPr>
      <w:widowControl/>
      <w:spacing w:before="100" w:beforeAutospacing="1" w:after="100" w:afterAutospacing="1"/>
      <w:jc w:val="left"/>
    </w:pPr>
    <w:rPr>
      <w:kern w:val="0"/>
      <w:sz w:val="24"/>
      <w:szCs w:val="24"/>
    </w:rPr>
  </w:style>
  <w:style w:type="paragraph" w:styleId="1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table" w:styleId="18">
    <w:name w:val="Table Grid"/>
    <w:basedOn w:val="1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无间隔1"/>
    <w:basedOn w:val="1"/>
    <w:qFormat/>
    <w:uiPriority w:val="1"/>
    <w:pPr>
      <w:spacing w:line="400" w:lineRule="exact"/>
    </w:pPr>
    <w:rPr>
      <w:sz w:val="24"/>
    </w:rPr>
  </w:style>
  <w:style w:type="paragraph" w:customStyle="1" w:styleId="23">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24">
    <w:name w:val="无间隔111"/>
    <w:basedOn w:val="1"/>
    <w:qFormat/>
    <w:uiPriority w:val="1"/>
    <w:pPr>
      <w:spacing w:line="400" w:lineRule="exact"/>
    </w:pPr>
    <w:rPr>
      <w:sz w:val="24"/>
    </w:rPr>
  </w:style>
  <w:style w:type="character" w:customStyle="1" w:styleId="25">
    <w:name w:val="批注框文本 Char"/>
    <w:basedOn w:val="19"/>
    <w:link w:val="8"/>
    <w:qFormat/>
    <w:uiPriority w:val="0"/>
    <w:rPr>
      <w:rFonts w:ascii="Calibri" w:hAnsi="Calibri"/>
      <w:kern w:val="2"/>
      <w:sz w:val="18"/>
      <w:szCs w:val="18"/>
    </w:rPr>
  </w:style>
  <w:style w:type="paragraph" w:styleId="26">
    <w:name w:val="List Paragraph"/>
    <w:basedOn w:val="1"/>
    <w:unhideWhenUsed/>
    <w:qFormat/>
    <w:uiPriority w:val="99"/>
    <w:pPr>
      <w:ind w:firstLine="420" w:firstLineChars="200"/>
    </w:pPr>
  </w:style>
  <w:style w:type="paragraph" w:customStyle="1" w:styleId="27">
    <w:name w:val="样式 正文首行缩进 2 + 首行缩进:  2 字符"/>
    <w:basedOn w:val="1"/>
    <w:next w:val="1"/>
    <w:qFormat/>
    <w:uiPriority w:val="99"/>
  </w:style>
  <w:style w:type="character" w:customStyle="1" w:styleId="28">
    <w:name w:val="正文文本缩进 2 Char"/>
    <w:basedOn w:val="19"/>
    <w:link w:val="7"/>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E0804-02A4-4538-A211-449DBB0709ED}">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39</Pages>
  <Words>14597</Words>
  <Characters>15686</Characters>
  <Lines>203</Lines>
  <Paragraphs>57</Paragraphs>
  <TotalTime>0</TotalTime>
  <ScaleCrop>false</ScaleCrop>
  <LinksUpToDate>false</LinksUpToDate>
  <CharactersWithSpaces>16876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2020-05-14T01:01:00Z</dcterms:created>
  <dc:creator>lilili</dc:creator>
  <cp:lastModifiedBy>Administrator</cp:lastModifiedBy>
  <cp:lastPrinted>2020-04-09T08:24:00Z</cp:lastPrinted>
  <dcterms:modified xsi:type="dcterms:W3CDTF">2023-08-21T09:34:57Z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418167964_cloud</vt:lpwstr>
  </property>
  <property fmtid="{D5CDD505-2E9C-101B-9397-08002B2CF9AE}" pid="4" name="ICV">
    <vt:lpwstr>AFE3AC6BE1554F22B67A9C0CC09E00C1</vt:lpwstr>
  </property>
</Properties>
</file>