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360" w:lineRule="auto"/>
        <w:jc w:val="center"/>
        <w:rPr>
          <w:rFonts w:ascii="宋体" w:hAnsi="宋体"/>
          <w:color w:val="000000" w:themeColor="text1"/>
          <w:sz w:val="36"/>
          <w:szCs w:val="36"/>
          <w14:textFill>
            <w14:solidFill>
              <w14:schemeClr w14:val="tx1"/>
            </w14:solidFill>
          </w14:textFill>
        </w:rPr>
      </w:pPr>
      <w:bookmarkStart w:id="0" w:name="PO_15528_PM002_1"/>
      <w:r>
        <w:rPr>
          <w:rFonts w:hint="eastAsia" w:ascii="宋体" w:hAnsi="宋体"/>
          <w:color w:val="000000" w:themeColor="text1"/>
          <w:sz w:val="36"/>
          <w:szCs w:val="36"/>
          <w14:textFill>
            <w14:solidFill>
              <w14:schemeClr w14:val="tx1"/>
            </w14:solidFill>
          </w14:textFill>
        </w:rPr>
        <w:t>省公安警务航空队</w:t>
      </w:r>
    </w:p>
    <w:p>
      <w:pPr>
        <w:spacing w:before="240" w:beforeLines="100" w:line="360" w:lineRule="auto"/>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2024-2025年直升机航空保险项目</w:t>
      </w:r>
      <w:bookmarkEnd w:id="0"/>
    </w:p>
    <w:p>
      <w:pPr>
        <w:spacing w:before="240" w:beforeLines="100" w:line="360" w:lineRule="auto"/>
        <w:jc w:val="center"/>
        <w:rPr>
          <w:rFonts w:ascii="宋体" w:hAnsi="宋体"/>
          <w:b/>
          <w:color w:val="000000" w:themeColor="text1"/>
          <w:spacing w:val="40"/>
          <w:sz w:val="84"/>
          <w:szCs w:val="84"/>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bookmarkStart w:id="1" w:name="PO_15528_PM001"/>
      <w:r>
        <w:rPr>
          <w:rFonts w:hint="eastAsia" w:ascii="宋体" w:hAnsi="宋体"/>
          <w:color w:val="000000" w:themeColor="text1"/>
          <w:sz w:val="36"/>
          <w:szCs w:val="36"/>
          <w14:textFill>
            <w14:solidFill>
              <w14:schemeClr w14:val="tx1"/>
            </w14:solidFill>
          </w14:textFill>
        </w:rPr>
        <w:t>ZZCG2024P-GK-108</w:t>
      </w:r>
      <w:bookmarkEnd w:id="1"/>
    </w:p>
    <w:p>
      <w:pPr>
        <w:spacing w:before="240"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ind w:right="-110"/>
        <w:rPr>
          <w:rFonts w:ascii="宋体" w:hAnsi="宋体"/>
          <w:color w:val="000000" w:themeColor="text1"/>
          <w:sz w:val="32"/>
          <w:szCs w:val="32"/>
          <w14:textFill>
            <w14:solidFill>
              <w14:schemeClr w14:val="tx1"/>
            </w14:solidFill>
          </w14:textFill>
        </w:rPr>
      </w:pPr>
    </w:p>
    <w:p>
      <w:pPr>
        <w:ind w:right="-110"/>
        <w:rPr>
          <w:rFonts w:ascii="宋体" w:hAnsi="宋体"/>
          <w:color w:val="000000" w:themeColor="text1"/>
          <w:sz w:val="32"/>
          <w:szCs w:val="32"/>
          <w14:textFill>
            <w14:solidFill>
              <w14:schemeClr w14:val="tx1"/>
            </w14:solidFill>
          </w14:textFill>
        </w:rPr>
      </w:pPr>
    </w:p>
    <w:p>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pPr>
        <w:spacing w:line="500" w:lineRule="exact"/>
        <w:ind w:right="532"/>
        <w:jc w:val="center"/>
        <w:rPr>
          <w:rFonts w:ascii="宋体" w:hAnsi="宋体"/>
          <w:color w:val="000000" w:themeColor="text1"/>
          <w:sz w:val="36"/>
          <w:szCs w:val="36"/>
          <w14:textFill>
            <w14:solidFill>
              <w14:schemeClr w14:val="tx1"/>
            </w14:solidFill>
          </w14:textFill>
        </w:rPr>
      </w:pPr>
    </w:p>
    <w:p>
      <w:pPr>
        <w:wordWrap w:val="0"/>
        <w:spacing w:line="500" w:lineRule="exact"/>
        <w:ind w:right="-108" w:firstLine="540" w:firstLineChars="150"/>
        <w:jc w:val="center"/>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pPr>
        <w:spacing w:line="500" w:lineRule="exact"/>
        <w:ind w:right="-108" w:firstLine="3072" w:firstLineChars="850"/>
        <w:jc w:val="center"/>
        <w:rPr>
          <w:rFonts w:hAnsi="宋体"/>
          <w:b/>
          <w:color w:val="000000" w:themeColor="text1"/>
          <w:sz w:val="36"/>
          <w:szCs w:val="36"/>
          <w14:textFill>
            <w14:solidFill>
              <w14:schemeClr w14:val="tx1"/>
            </w14:solidFill>
          </w14:textFill>
        </w:rPr>
      </w:pPr>
    </w:p>
    <w:p>
      <w:pPr>
        <w:spacing w:line="500" w:lineRule="exact"/>
        <w:ind w:right="-108" w:firstLine="3072" w:firstLineChars="850"/>
        <w:rPr>
          <w:rFonts w:hAnsi="宋体"/>
          <w:b/>
          <w:color w:val="000000" w:themeColor="text1"/>
          <w:sz w:val="36"/>
          <w:szCs w:val="36"/>
          <w14:textFill>
            <w14:solidFill>
              <w14:schemeClr w14:val="tx1"/>
            </w14:solidFill>
          </w14:textFill>
        </w:rPr>
      </w:pPr>
    </w:p>
    <w:p>
      <w:pPr>
        <w:spacing w:line="500" w:lineRule="exact"/>
        <w:ind w:right="-108" w:firstLine="3072" w:firstLineChars="850"/>
        <w:rPr>
          <w:rFonts w:hAnsi="宋体"/>
          <w:b/>
          <w:color w:val="000000" w:themeColor="text1"/>
          <w:sz w:val="36"/>
          <w:szCs w:val="36"/>
          <w14:textFill>
            <w14:solidFill>
              <w14:schemeClr w14:val="tx1"/>
            </w14:solidFill>
          </w14:textFill>
        </w:rPr>
      </w:pPr>
    </w:p>
    <w:p>
      <w:pPr>
        <w:spacing w:line="500" w:lineRule="exact"/>
        <w:ind w:right="-108" w:firstLine="3072" w:firstLineChars="850"/>
        <w:rPr>
          <w:rFonts w:hAnsi="宋体"/>
          <w:b/>
          <w:color w:val="000000" w:themeColor="text1"/>
          <w:sz w:val="36"/>
          <w:szCs w:val="36"/>
          <w14:textFill>
            <w14:solidFill>
              <w14:schemeClr w14:val="tx1"/>
            </w14:solidFill>
          </w14:textFill>
        </w:rPr>
      </w:pPr>
    </w:p>
    <w:p>
      <w:pPr>
        <w:spacing w:line="500" w:lineRule="exact"/>
        <w:ind w:right="-108" w:firstLine="3072" w:firstLineChars="850"/>
        <w:rPr>
          <w:rFonts w:hAnsi="宋体"/>
          <w:b/>
          <w:color w:val="000000" w:themeColor="text1"/>
          <w:sz w:val="36"/>
          <w:szCs w:val="36"/>
          <w14:textFill>
            <w14:solidFill>
              <w14:schemeClr w14:val="tx1"/>
            </w14:solidFill>
          </w14:textFill>
        </w:rPr>
      </w:pPr>
    </w:p>
    <w:p>
      <w:pPr>
        <w:spacing w:line="500" w:lineRule="exact"/>
        <w:ind w:right="-108" w:firstLine="3072" w:firstLineChars="850"/>
        <w:rPr>
          <w:rFonts w:hAnsi="宋体"/>
          <w:b/>
          <w:color w:val="000000" w:themeColor="text1"/>
          <w:sz w:val="36"/>
          <w:szCs w:val="36"/>
          <w14:textFill>
            <w14:solidFill>
              <w14:schemeClr w14:val="tx1"/>
            </w14:solidFill>
          </w14:textFill>
        </w:rPr>
      </w:pPr>
    </w:p>
    <w:p>
      <w:pPr>
        <w:spacing w:line="500" w:lineRule="exact"/>
        <w:ind w:right="-108" w:firstLine="3072" w:firstLineChars="85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pPr>
        <w:pStyle w:val="32"/>
        <w:spacing w:before="120" w:after="120" w:line="360" w:lineRule="auto"/>
        <w:jc w:val="center"/>
        <w:rPr>
          <w:rFonts w:hAnsi="宋体" w:eastAsia="仿宋_GB2312"/>
          <w:color w:val="000000" w:themeColor="text1"/>
          <w:sz w:val="32"/>
          <w:szCs w:val="32"/>
          <w14:textFill>
            <w14:solidFill>
              <w14:schemeClr w14:val="tx1"/>
            </w14:solidFill>
          </w14:textFill>
        </w:rPr>
      </w:pPr>
    </w:p>
    <w:p>
      <w:pPr>
        <w:pStyle w:val="41"/>
        <w:tabs>
          <w:tab w:val="right" w:leader="dot" w:pos="8312"/>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pPr>
        <w:pStyle w:val="41"/>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pPr>
        <w:pStyle w:val="41"/>
        <w:tabs>
          <w:tab w:val="right" w:leader="dot" w:pos="8312"/>
        </w:tabs>
      </w:pPr>
      <w:r>
        <w:fldChar w:fldCharType="begin"/>
      </w:r>
      <w:r>
        <w:instrText xml:space="preserve"> HYPERLINK \l "_Toc2834"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27</w:t>
      </w:r>
      <w:r>
        <w:fldChar w:fldCharType="end"/>
      </w:r>
      <w:r>
        <w:fldChar w:fldCharType="end"/>
      </w:r>
    </w:p>
    <w:p>
      <w:pPr>
        <w:pStyle w:val="41"/>
        <w:tabs>
          <w:tab w:val="right" w:leader="dot" w:pos="8312"/>
        </w:tabs>
      </w:pPr>
      <w:r>
        <w:fldChar w:fldCharType="begin"/>
      </w:r>
      <w:r>
        <w:instrText xml:space="preserve"> HYPERLINK \l "_Toc24960"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29</w:t>
      </w:r>
      <w:r>
        <w:fldChar w:fldCharType="end"/>
      </w:r>
      <w:r>
        <w:fldChar w:fldCharType="end"/>
      </w:r>
    </w:p>
    <w:p>
      <w:pPr>
        <w:pStyle w:val="41"/>
        <w:tabs>
          <w:tab w:val="right" w:leader="dot" w:pos="8312"/>
        </w:tabs>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31</w:t>
      </w:r>
      <w:r>
        <w:fldChar w:fldCharType="end"/>
      </w:r>
      <w:r>
        <w:fldChar w:fldCharType="end"/>
      </w:r>
    </w:p>
    <w:p>
      <w:pPr>
        <w:pStyle w:val="41"/>
        <w:tabs>
          <w:tab w:val="right" w:leader="dot" w:pos="8312"/>
        </w:tabs>
      </w:pPr>
      <w:r>
        <w:fldChar w:fldCharType="begin"/>
      </w:r>
      <w:r>
        <w:instrText xml:space="preserve"> HYPERLINK \l "_Toc22013"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36</w:t>
      </w:r>
      <w:r>
        <w:fldChar w:fldCharType="end"/>
      </w:r>
      <w:r>
        <w:fldChar w:fldCharType="end"/>
      </w:r>
    </w:p>
    <w:p>
      <w:pPr>
        <w:spacing w:before="120" w:beforeLines="50" w:line="480" w:lineRule="exact"/>
        <w:ind w:left="165"/>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end"/>
      </w:r>
    </w:p>
    <w:p>
      <w:pPr>
        <w:pStyle w:val="32"/>
        <w:spacing w:before="120" w:after="120" w:line="360" w:lineRule="auto"/>
        <w:ind w:firstLine="640"/>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2" w:name="_Toc2371"/>
      <w:r>
        <w:rPr>
          <w:rFonts w:hint="eastAsia" w:hAnsi="宋体"/>
          <w:b/>
          <w:color w:val="000000" w:themeColor="text1"/>
          <w:sz w:val="36"/>
          <w:szCs w:val="36"/>
          <w14:textFill>
            <w14:solidFill>
              <w14:schemeClr w14:val="tx1"/>
            </w14:solidFill>
          </w14:textFill>
        </w:rPr>
        <w:t>第一章公开招标采购公告</w:t>
      </w:r>
      <w:bookmarkEnd w:id="2"/>
    </w:p>
    <w:p>
      <w:pPr>
        <w:pStyle w:val="397"/>
        <w:widowControl w:val="0"/>
        <w:spacing w:after="120"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pPr>
        <w:snapToGrid w:val="0"/>
        <w:spacing w:line="460" w:lineRule="exact"/>
        <w:ind w:firstLine="600" w:firstLineChars="200"/>
        <w:rPr>
          <w:rFonts w:ascii="仿宋" w:hAnsi="仿宋" w:eastAsia="仿宋" w:cs="Arial"/>
          <w:color w:val="000000" w:themeColor="text1"/>
          <w:sz w:val="30"/>
          <w:szCs w:val="30"/>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bookmarkStart w:id="3" w:name="PO_15528_PM001_1"/>
      <w:r>
        <w:rPr>
          <w:rFonts w:hint="eastAsia" w:ascii="仿宋" w:hAnsi="仿宋" w:eastAsia="仿宋" w:cs="Arial"/>
          <w:b/>
          <w:bCs/>
          <w:color w:val="000000" w:themeColor="text1"/>
          <w:sz w:val="30"/>
          <w:szCs w:val="30"/>
          <w14:textFill>
            <w14:solidFill>
              <w14:schemeClr w14:val="tx1"/>
            </w14:solidFill>
          </w14:textFill>
        </w:rPr>
        <w:t>ZZCG2024P-GK-108</w:t>
      </w:r>
      <w:bookmarkEnd w:id="3"/>
    </w:p>
    <w:p>
      <w:pPr>
        <w:snapToGrid w:val="0"/>
        <w:spacing w:after="120"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pPr>
        <w:snapToGrid w:val="0"/>
        <w:spacing w:after="120" w:afterLines="50" w:line="460" w:lineRule="exact"/>
        <w:ind w:firstLine="60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4" w:name="PO_15528_PM004"/>
      <w:r>
        <w:rPr>
          <w:rFonts w:hint="eastAsia" w:ascii="仿宋" w:hAnsi="仿宋" w:eastAsia="仿宋" w:cs="Arial"/>
          <w:b/>
          <w:color w:val="000000" w:themeColor="text1"/>
          <w:sz w:val="28"/>
          <w:szCs w:val="28"/>
          <w14:textFill>
            <w14:solidFill>
              <w14:schemeClr w14:val="tx1"/>
            </w14:solidFill>
          </w14:textFill>
        </w:rPr>
        <w:t xml:space="preserve"> </w:t>
      </w:r>
    </w:p>
    <w:tbl>
      <w:tblPr>
        <w:tblStyle w:val="60"/>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689"/>
        <w:gridCol w:w="510"/>
        <w:gridCol w:w="687"/>
        <w:gridCol w:w="1560"/>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Pr>
          <w:p>
            <w:pPr>
              <w:snapToGrid w:val="0"/>
              <w:spacing w:after="120" w:afterLines="50" w:line="460" w:lineRule="exact"/>
              <w:jc w:val="center"/>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标项序号</w:t>
            </w:r>
          </w:p>
        </w:tc>
        <w:tc>
          <w:tcPr>
            <w:tcW w:w="1534" w:type="pct"/>
          </w:tcPr>
          <w:p>
            <w:pPr>
              <w:snapToGrid w:val="0"/>
              <w:spacing w:after="120" w:afterLines="50" w:line="460" w:lineRule="exact"/>
              <w:jc w:val="center"/>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标项名称</w:t>
            </w:r>
          </w:p>
        </w:tc>
        <w:tc>
          <w:tcPr>
            <w:tcW w:w="291"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数量</w:t>
            </w:r>
          </w:p>
        </w:tc>
        <w:tc>
          <w:tcPr>
            <w:tcW w:w="392"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单位</w:t>
            </w:r>
          </w:p>
        </w:tc>
        <w:tc>
          <w:tcPr>
            <w:tcW w:w="890"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预算金额(万元)</w:t>
            </w:r>
          </w:p>
        </w:tc>
        <w:tc>
          <w:tcPr>
            <w:tcW w:w="1423"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简要规格描述或标项基本概况介绍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1</w:t>
            </w:r>
          </w:p>
        </w:tc>
        <w:tc>
          <w:tcPr>
            <w:tcW w:w="1534"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2024-2025年直升机航空保险</w:t>
            </w:r>
          </w:p>
        </w:tc>
        <w:tc>
          <w:tcPr>
            <w:tcW w:w="291"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1</w:t>
            </w:r>
          </w:p>
        </w:tc>
        <w:tc>
          <w:tcPr>
            <w:tcW w:w="392"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项</w:t>
            </w:r>
          </w:p>
        </w:tc>
        <w:tc>
          <w:tcPr>
            <w:tcW w:w="890"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420</w:t>
            </w:r>
          </w:p>
        </w:tc>
        <w:tc>
          <w:tcPr>
            <w:tcW w:w="1423" w:type="pct"/>
          </w:tcPr>
          <w:p>
            <w:pPr>
              <w:snapToGrid w:val="0"/>
              <w:spacing w:after="120" w:afterLines="50" w:line="460" w:lineRule="exact"/>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详见招标文件</w:t>
            </w:r>
          </w:p>
        </w:tc>
      </w:tr>
    </w:tbl>
    <w:p>
      <w:pPr>
        <w:snapToGrid w:val="0"/>
        <w:spacing w:after="120" w:afterLines="50" w:line="460" w:lineRule="exact"/>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 xml:space="preserve"> </w:t>
      </w:r>
      <w:bookmarkEnd w:id="4"/>
    </w:p>
    <w:p>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“信用中国”（www.creditchina.gov.cn）、中国政府采购网（www.ccgp.gov.cn）列入失信被执行人、重大税收违法案件当事人名单、政府采购严重违法失信行为记录名单。</w:t>
      </w:r>
    </w:p>
    <w:p>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投标人的特定条件：无</w:t>
      </w:r>
    </w:p>
    <w:p>
      <w:pPr>
        <w:snapToGrid w:val="0"/>
        <w:spacing w:line="500" w:lineRule="exact"/>
        <w:ind w:firstLine="602" w:firstLineChars="200"/>
        <w:rPr>
          <w:rFonts w:ascii="仿宋" w:hAnsi="仿宋" w:eastAsia="仿宋"/>
          <w:color w:val="000000" w:themeColor="text1"/>
          <w:sz w:val="28"/>
          <w:szCs w:val="28"/>
          <w14:textFill>
            <w14:solidFill>
              <w14:schemeClr w14:val="tx1"/>
            </w14:solidFill>
          </w14:textFill>
        </w:rPr>
      </w:pPr>
      <w:bookmarkStart w:id="5" w:name="PO_15528_PM007"/>
      <w:r>
        <w:rPr>
          <w:rFonts w:hint="eastAsia" w:ascii="仿宋" w:hAnsi="仿宋" w:eastAsia="仿宋" w:cs="Arial"/>
          <w:b/>
          <w:bCs/>
          <w:color w:val="000000" w:themeColor="text1"/>
          <w:sz w:val="30"/>
          <w:szCs w:val="30"/>
          <w14:textFill>
            <w14:solidFill>
              <w14:schemeClr w14:val="tx1"/>
            </w14:solidFill>
          </w14:textFill>
        </w:rPr>
        <w:t>标项1:</w:t>
      </w:r>
      <w:r>
        <w:rPr>
          <w:rFonts w:hint="eastAsia" w:ascii="仿宋" w:hAnsi="仿宋" w:eastAsia="仿宋" w:cs="Arial"/>
          <w:b/>
          <w:bCs/>
          <w:color w:val="000000" w:themeColor="text1"/>
          <w:sz w:val="30"/>
          <w:szCs w:val="30"/>
          <w:lang w:val="en-US" w:eastAsia="zh-CN"/>
          <w14:textFill>
            <w14:solidFill>
              <w14:schemeClr w14:val="tx1"/>
            </w14:solidFill>
          </w14:textFill>
        </w:rPr>
        <w:t>不</w:t>
      </w:r>
      <w:r>
        <w:rPr>
          <w:rFonts w:hint="eastAsia" w:ascii="仿宋" w:hAnsi="仿宋" w:eastAsia="仿宋" w:cs="Arial"/>
          <w:b/>
          <w:bCs/>
          <w:color w:val="000000" w:themeColor="text1"/>
          <w:sz w:val="30"/>
          <w:szCs w:val="30"/>
          <w14:textFill>
            <w14:solidFill>
              <w14:schemeClr w14:val="tx1"/>
            </w14:solidFill>
          </w14:textFill>
        </w:rPr>
        <w:t>允许联合体投标</w:t>
      </w:r>
      <w:bookmarkEnd w:id="5"/>
    </w:p>
    <w:p>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五、获取采购文件</w:t>
      </w:r>
    </w:p>
    <w:p>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olor w:val="000000" w:themeColor="text1"/>
          <w:kern w:val="0"/>
          <w:sz w:val="30"/>
          <w:szCs w:val="30"/>
          <w14:textFill>
            <w14:solidFill>
              <w14:schemeClr w14:val="tx1"/>
            </w14:solidFill>
          </w14:textFill>
        </w:rPr>
        <w:t xml:space="preserve">[项目采购-报名开始日期] 至 </w:t>
      </w:r>
      <w:bookmarkStart w:id="6" w:name="PO_15528_PM009"/>
      <w:r>
        <w:rPr>
          <w:rFonts w:hint="eastAsia" w:ascii="仿宋" w:hAnsi="仿宋" w:eastAsia="仿宋"/>
          <w:color w:val="000000" w:themeColor="text1"/>
          <w:kern w:val="0"/>
          <w:sz w:val="30"/>
          <w:szCs w:val="30"/>
          <w:lang w:eastAsia="zh-CN"/>
          <w14:textFill>
            <w14:solidFill>
              <w14:schemeClr w14:val="tx1"/>
            </w14:solidFill>
          </w14:textFill>
        </w:rPr>
        <w:t>2024-05-21 09:00:00</w:t>
      </w:r>
      <w:bookmarkEnd w:id="6"/>
      <w:r>
        <w:rPr>
          <w:rFonts w:hint="eastAsia" w:ascii="宋体" w:hAnsi="宋体"/>
          <w:color w:val="000000" w:themeColor="text1"/>
          <w:kern w:val="0"/>
          <w:sz w:val="28"/>
          <w:szCs w:val="28"/>
          <w14:textFill>
            <w14:solidFill>
              <w14:schemeClr w14:val="tx1"/>
            </w14:solidFill>
          </w14:textFill>
        </w:rPr>
        <w:t>。</w:t>
      </w:r>
    </w:p>
    <w:p>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pPr>
        <w:pStyle w:val="32"/>
        <w:adjustRightInd w:val="0"/>
        <w:snapToGrid w:val="0"/>
        <w:spacing w:before="120" w:after="120"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bookmarkStart w:id="7" w:name="PO_15528_PM015"/>
      <w:r>
        <w:rPr>
          <w:rFonts w:hint="eastAsia" w:ascii="仿宋" w:hAnsi="仿宋" w:eastAsia="仿宋" w:cs="Arial"/>
          <w:color w:val="000000" w:themeColor="text1"/>
          <w:sz w:val="30"/>
          <w:szCs w:val="30"/>
          <w:lang w:eastAsia="zh-CN"/>
          <w14:textFill>
            <w14:solidFill>
              <w14:schemeClr w14:val="tx1"/>
            </w14:solidFill>
          </w14:textFill>
        </w:rPr>
        <w:t>2024-05-21 09:00:00</w:t>
      </w:r>
      <w:bookmarkEnd w:id="7"/>
      <w:r>
        <w:rPr>
          <w:rFonts w:hint="eastAsia" w:hAnsi="宋体"/>
          <w:b/>
          <w:color w:val="000000" w:themeColor="text1"/>
          <w:kern w:val="0"/>
          <w:sz w:val="28"/>
          <w:szCs w:val="28"/>
          <w14:textFill>
            <w14:solidFill>
              <w14:schemeClr w14:val="tx1"/>
            </w14:solidFill>
          </w14:textFill>
        </w:rPr>
        <w:t>。</w:t>
      </w:r>
    </w:p>
    <w:p>
      <w:pPr>
        <w:pStyle w:val="32"/>
        <w:adjustRightInd w:val="0"/>
        <w:snapToGrid w:val="0"/>
        <w:spacing w:before="120" w:after="120"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pPr>
        <w:pStyle w:val="32"/>
        <w:adjustRightInd w:val="0"/>
        <w:snapToGrid w:val="0"/>
        <w:spacing w:before="120" w:after="120"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如认为需要，投标人可以选择递交备份投标文件，采用数据电文形式，以U盘或DVD光盘形式存储，并在投标截止时间前，通过邮寄方式，送达指定地点，逾期送达或未密封将被拒收。</w:t>
      </w:r>
    </w:p>
    <w:p>
      <w:pPr>
        <w:pStyle w:val="32"/>
        <w:adjustRightInd w:val="0"/>
        <w:snapToGrid w:val="0"/>
        <w:spacing w:before="120" w:after="120" w:line="500" w:lineRule="exact"/>
        <w:ind w:firstLine="562" w:firstLineChars="201"/>
        <w:rPr>
          <w:rFonts w:hAnsi="宋体" w:cstheme="minorBidi"/>
          <w:color w:val="000000" w:themeColor="text1"/>
          <w:kern w:val="0"/>
          <w:sz w:val="28"/>
          <w:szCs w:val="28"/>
          <w14:textFill>
            <w14:solidFill>
              <w14:schemeClr w14:val="tx1"/>
            </w14:solidFill>
          </w14:textFill>
        </w:rPr>
      </w:pPr>
      <w:r>
        <w:rPr>
          <w:rFonts w:hint="eastAsia" w:hAnsi="宋体" w:cstheme="minorBidi"/>
          <w:color w:val="000000" w:themeColor="text1"/>
          <w:kern w:val="0"/>
          <w:sz w:val="28"/>
          <w:szCs w:val="28"/>
          <w14:textFill>
            <w14:solidFill>
              <w14:schemeClr w14:val="tx1"/>
            </w14:solidFill>
          </w14:textFill>
        </w:rPr>
        <w:t>备份文件收件人：陶老师，联系方式：0571-88901836，收件地址：浙江省杭州市西湖区宝石一路3号省政府采购中心。（收件时间：上午8:30-11:30，下午14:30-17:30，节假日、双休日除外，推荐使用中国邮政速递和顺丰快递,快递人员投递时须同时登记邮寄单号等相关信息。）</w:t>
      </w:r>
    </w:p>
    <w:p>
      <w:pPr>
        <w:pStyle w:val="32"/>
        <w:adjustRightInd w:val="0"/>
        <w:snapToGrid w:val="0"/>
        <w:spacing w:before="120" w:after="120"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本次招标将于</w:t>
      </w:r>
      <w:bookmarkStart w:id="8" w:name="PO_15528_PM015_1"/>
      <w:r>
        <w:rPr>
          <w:rFonts w:hint="eastAsia" w:ascii="宋体" w:hAnsi="宋体" w:cs="Arial"/>
          <w:b/>
          <w:color w:val="000000" w:themeColor="text1"/>
          <w:sz w:val="28"/>
          <w:szCs w:val="28"/>
          <w:lang w:eastAsia="zh-CN"/>
          <w14:textFill>
            <w14:solidFill>
              <w14:schemeClr w14:val="tx1"/>
            </w14:solidFill>
          </w14:textFill>
        </w:rPr>
        <w:t>2024-05-21 09:00:00</w:t>
      </w:r>
      <w:bookmarkEnd w:id="8"/>
      <w:r>
        <w:rPr>
          <w:rFonts w:hint="eastAsia" w:ascii="宋体" w:hAnsi="宋体" w:cs="Arial"/>
          <w:b/>
          <w:color w:val="000000" w:themeColor="text1"/>
          <w:sz w:val="28"/>
          <w:szCs w:val="28"/>
          <w14:textFill>
            <w14:solidFill>
              <w14:schemeClr w14:val="tx1"/>
            </w14:solidFill>
          </w14:textFill>
        </w:rPr>
        <w:t>时整在</w:t>
      </w:r>
      <w:bookmarkStart w:id="9" w:name="PO_15528_PM016_1"/>
      <w:r>
        <w:rPr>
          <w:rFonts w:hint="eastAsia" w:ascii="宋体" w:hAnsi="宋体" w:cs="Arial"/>
          <w:b/>
          <w:color w:val="000000" w:themeColor="text1"/>
          <w:sz w:val="28"/>
          <w:szCs w:val="28"/>
          <w:lang w:eastAsia="zh-CN"/>
          <w14:textFill>
            <w14:solidFill>
              <w14:schemeClr w14:val="tx1"/>
            </w14:solidFill>
          </w14:textFill>
        </w:rPr>
        <w:t>西湖区浙江省杭州市西湖区宝石一路3号203开标室</w:t>
      </w:r>
      <w:bookmarkEnd w:id="9"/>
      <w:r>
        <w:rPr>
          <w:rFonts w:hint="eastAsia" w:ascii="宋体" w:hAnsi="宋体" w:cs="Arial"/>
          <w:b/>
          <w:color w:val="000000" w:themeColor="text1"/>
          <w:sz w:val="28"/>
          <w:szCs w:val="28"/>
          <w14:textFill>
            <w14:solidFill>
              <w14:schemeClr w14:val="tx1"/>
            </w14:solidFill>
          </w14:textFill>
        </w:rPr>
        <w:t>开标</w:t>
      </w:r>
      <w:r>
        <w:rPr>
          <w:rFonts w:hint="eastAsia" w:ascii="宋体" w:hAnsi="宋体" w:cs="Arial"/>
          <w:b/>
          <w:color w:val="000000" w:themeColor="text1"/>
          <w:sz w:val="28"/>
          <w:szCs w:val="28"/>
          <w:lang w:eastAsia="zh-CN"/>
          <w14:textFill>
            <w14:solidFill>
              <w14:schemeClr w14:val="tx1"/>
            </w14:solidFill>
          </w14:textFill>
        </w:rPr>
        <w:t>，</w:t>
      </w:r>
      <w:r>
        <w:rPr>
          <w:rFonts w:hint="eastAsia" w:ascii="宋体" w:hAnsi="宋体" w:cs="Arial"/>
          <w:b/>
          <w:color w:val="000000" w:themeColor="text1"/>
          <w:sz w:val="28"/>
          <w:szCs w:val="28"/>
          <w:lang w:val="en-US" w:eastAsia="zh-CN"/>
          <w14:textFill>
            <w14:solidFill>
              <w14:schemeClr w14:val="tx1"/>
            </w14:solidFill>
          </w14:textFill>
        </w:rPr>
        <w:t>301评标室评标</w:t>
      </w:r>
      <w:r>
        <w:rPr>
          <w:rFonts w:hint="eastAsia" w:ascii="宋体" w:hAnsi="宋体" w:cs="Arial"/>
          <w:b/>
          <w:color w:val="000000" w:themeColor="text1"/>
          <w:sz w:val="28"/>
          <w:szCs w:val="28"/>
          <w14:textFill>
            <w14:solidFill>
              <w14:schemeClr w14:val="tx1"/>
            </w14:solidFill>
          </w14:textFill>
        </w:rPr>
        <w:t>。</w:t>
      </w:r>
    </w:p>
    <w:p>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3442"/>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203开标室：</w:t>
            </w:r>
          </w:p>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w:t>
            </w:r>
            <w:r>
              <w:rPr>
                <w:rFonts w:ascii="宋体" w:hAnsi="宋体" w:cs="宋体"/>
                <w:color w:val="000000" w:themeColor="text1"/>
                <w:kern w:val="0"/>
                <w:sz w:val="28"/>
                <w:szCs w:val="28"/>
                <w14:textFill>
                  <w14:solidFill>
                    <w14:schemeClr w14:val="tx1"/>
                  </w14:solidFill>
                </w14:textFill>
              </w:rPr>
              <w:t>1816</w:t>
            </w:r>
          </w:p>
        </w:tc>
        <w:tc>
          <w:tcPr>
            <w:tcW w:w="3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301会议室：</w:t>
            </w:r>
          </w:p>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kern w:val="0"/>
                <w:sz w:val="28"/>
                <w:szCs w:val="28"/>
                <w14:textFill>
                  <w14:solidFill>
                    <w14:schemeClr w14:val="tx1"/>
                  </w14:solidFill>
                </w14:textFill>
              </w:rPr>
            </w:pPr>
          </w:p>
        </w:tc>
        <w:tc>
          <w:tcPr>
            <w:tcW w:w="3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302会议室：</w:t>
            </w:r>
          </w:p>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0571-88907720</w:t>
            </w:r>
          </w:p>
        </w:tc>
        <w:tc>
          <w:tcPr>
            <w:tcW w:w="3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303会议室：</w:t>
            </w:r>
          </w:p>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kern w:val="0"/>
                <w:sz w:val="28"/>
                <w:szCs w:val="28"/>
                <w14:textFill>
                  <w14:solidFill>
                    <w14:schemeClr w14:val="tx1"/>
                  </w14:solidFill>
                </w14:textFill>
              </w:rPr>
            </w:pPr>
          </w:p>
        </w:tc>
        <w:tc>
          <w:tcPr>
            <w:tcW w:w="3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306会议室：</w:t>
            </w:r>
          </w:p>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0571-88907751</w:t>
            </w:r>
          </w:p>
        </w:tc>
        <w:tc>
          <w:tcPr>
            <w:tcW w:w="3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p>
        </w:tc>
      </w:tr>
    </w:tbl>
    <w:p>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p>
    <w:p>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bookmarkStart w:id="10" w:name="PO_15528_PM032"/>
            <w:r>
              <w:rPr>
                <w:rFonts w:hint="eastAsia" w:ascii="仿宋" w:hAnsi="仿宋" w:eastAsia="仿宋" w:cs="仿宋"/>
                <w:color w:val="000000" w:themeColor="text1"/>
                <w:sz w:val="28"/>
                <w:szCs w:val="28"/>
                <w14:textFill>
                  <w14:solidFill>
                    <w14:schemeClr w14:val="tx1"/>
                  </w14:solidFill>
                </w14:textFill>
              </w:rPr>
              <w:t>孙松丽</w:t>
            </w:r>
            <w:bookmarkEnd w:id="10"/>
          </w:p>
        </w:tc>
        <w:tc>
          <w:tcPr>
            <w:tcW w:w="208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bookmarkStart w:id="11" w:name="PO_15528_PM033"/>
            <w:r>
              <w:rPr>
                <w:rFonts w:hint="eastAsia" w:ascii="仿宋" w:hAnsi="仿宋" w:eastAsia="仿宋" w:cs="仿宋"/>
                <w:color w:val="000000" w:themeColor="text1"/>
                <w:sz w:val="28"/>
                <w:szCs w:val="28"/>
                <w14:textFill>
                  <w14:solidFill>
                    <w14:schemeClr w14:val="tx1"/>
                  </w14:solidFill>
                </w14:textFill>
              </w:rPr>
              <w:t>0571-88906928</w:t>
            </w:r>
            <w:bookmarkEnd w:id="11"/>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bookmarkStart w:id="12" w:name="PO_15528_PM034"/>
            <w:r>
              <w:rPr>
                <w:rFonts w:hint="eastAsia" w:ascii="仿宋" w:hAnsi="仿宋" w:eastAsia="仿宋" w:cs="仿宋"/>
                <w:color w:val="000000" w:themeColor="text1"/>
                <w:sz w:val="28"/>
                <w:szCs w:val="28"/>
                <w14:textFill>
                  <w14:solidFill>
                    <w14:schemeClr w14:val="tx1"/>
                  </w14:solidFill>
                </w14:textFill>
              </w:rPr>
              <w:t xml:space="preserve"> </w:t>
            </w:r>
            <w:bookmarkEnd w:id="12"/>
          </w:p>
        </w:tc>
        <w:tc>
          <w:tcPr>
            <w:tcW w:w="2645" w:type="dxa"/>
            <w:vMerge w:val="restart"/>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13" w:name="PO_409_PM001385"/>
            <w:r>
              <w:rPr>
                <w:rFonts w:hint="eastAsia" w:ascii="仿宋" w:hAnsi="仿宋" w:eastAsia="仿宋" w:cs="仿宋"/>
                <w:color w:val="000000" w:themeColor="text1"/>
                <w:sz w:val="28"/>
                <w:szCs w:val="28"/>
                <w14:textFill>
                  <w14:solidFill>
                    <w14:schemeClr w14:val="tx1"/>
                  </w14:solidFill>
                </w14:textFill>
              </w:rPr>
              <w:t xml:space="preserve"> </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商红娟</w:t>
            </w:r>
          </w:p>
        </w:tc>
        <w:tc>
          <w:tcPr>
            <w:tcW w:w="208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0571-88907706</w:t>
            </w: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高媛沁</w:t>
            </w:r>
          </w:p>
        </w:tc>
        <w:tc>
          <w:tcPr>
            <w:tcW w:w="208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0571-88907717</w:t>
            </w: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邵女士</w:t>
            </w:r>
          </w:p>
        </w:tc>
        <w:tc>
          <w:tcPr>
            <w:tcW w:w="208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ascii="仿宋" w:hAnsi="仿宋" w:eastAsia="仿宋" w:cs="仿宋"/>
                <w:color w:val="000000" w:themeColor="text1"/>
                <w:sz w:val="28"/>
                <w:szCs w:val="28"/>
                <w14:textFill>
                  <w14:solidFill>
                    <w14:schemeClr w14:val="tx1"/>
                  </w14:solidFill>
                </w14:textFill>
              </w:rPr>
              <w:t>7750</w:t>
            </w: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四楼（采购监督部）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bl>
    <w:p>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p>
    <w:p>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p>
    <w:p>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p>
    <w:p>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p>
    <w:p>
      <w:pPr>
        <w:snapToGrid w:val="0"/>
        <w:spacing w:line="44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bookmarkStart w:id="14" w:name="PO_TDCUS_ITEM_PRC_TABLE_1_1_2"/>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采购单位</w:t>
            </w:r>
          </w:p>
        </w:tc>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浙江省公安警务航空队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地址</w:t>
            </w:r>
          </w:p>
        </w:tc>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浙江省杭州萧山国际机场内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咨询事项</w:t>
            </w:r>
          </w:p>
        </w:tc>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采购需求等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联系人</w:t>
            </w:r>
          </w:p>
        </w:tc>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陆铮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联系方式</w:t>
            </w:r>
          </w:p>
        </w:tc>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0571-87287505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传真</w:t>
            </w:r>
          </w:p>
        </w:tc>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备注</w:t>
            </w:r>
          </w:p>
        </w:tc>
        <w:tc>
          <w:tcPr>
            <w:tcW w:w="2500" w:type="pct"/>
          </w:tcPr>
          <w:p>
            <w:pPr>
              <w:snapToGrid w:val="0"/>
              <w:spacing w:line="440" w:lineRule="exact"/>
              <w:jc w:val="center"/>
              <w:rPr>
                <w:rFonts w:ascii="仿宋_GB2312" w:hAnsi="仿宋" w:eastAsia="仿宋_GB2312"/>
                <w:color w:val="000000" w:themeColor="text1"/>
                <w:sz w:val="30"/>
                <w:szCs w:val="30"/>
                <w14:textFill>
                  <w14:solidFill>
                    <w14:schemeClr w14:val="tx1"/>
                  </w14:solidFill>
                </w14:textFill>
              </w:rPr>
            </w:pPr>
          </w:p>
        </w:tc>
      </w:tr>
    </w:tbl>
    <w:p>
      <w:pPr>
        <w:snapToGrid w:val="0"/>
        <w:spacing w:line="440" w:lineRule="exact"/>
        <w:ind w:firstLine="600" w:firstLineChars="200"/>
        <w:jc w:val="center"/>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 xml:space="preserve"> </w:t>
      </w:r>
      <w:bookmarkEnd w:id="14"/>
    </w:p>
    <w:p>
      <w:pPr>
        <w:snapToGrid w:val="0"/>
        <w:spacing w:line="440" w:lineRule="exact"/>
        <w:ind w:firstLine="602" w:firstLineChars="200"/>
        <w:jc w:val="left"/>
        <w:rPr>
          <w:rFonts w:ascii="仿宋" w:hAnsi="仿宋" w:eastAsia="仿宋" w:cs="Arial"/>
          <w:b/>
          <w:bCs/>
          <w:color w:val="000000" w:themeColor="text1"/>
          <w:sz w:val="30"/>
          <w:szCs w:val="30"/>
          <w14:textFill>
            <w14:solidFill>
              <w14:schemeClr w14:val="tx1"/>
            </w14:solidFill>
          </w14:textFill>
        </w:rPr>
      </w:pPr>
    </w:p>
    <w:p>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bookmarkStart w:id="15" w:name="PO_TDCUS_ITEM_PRC_TABLE_1_1"/>
      <w:bookmarkEnd w:id="15"/>
      <w:r>
        <w:rPr>
          <w:rFonts w:ascii="仿宋" w:hAnsi="仿宋" w:eastAsia="仿宋" w:cs="Arial"/>
          <w:b/>
          <w:bCs/>
          <w:color w:val="000000" w:themeColor="text1"/>
          <w:sz w:val="30"/>
          <w:szCs w:val="30"/>
          <w14:textFill>
            <w14:solidFill>
              <w14:schemeClr w14:val="tx1"/>
            </w14:solidFill>
          </w14:textFill>
        </w:rPr>
        <w:tab/>
      </w: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pPr>
        <w:snapToGrid w:val="0"/>
        <w:spacing w:line="360" w:lineRule="auto"/>
        <w:ind w:firstLine="560" w:firstLineChars="200"/>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名    称：浙江省财政厅政府采购监管处、浙江省政府采购行政裁决服务中心（杭州）</w:t>
      </w:r>
    </w:p>
    <w:p>
      <w:pPr>
        <w:snapToGrid w:val="0"/>
        <w:spacing w:line="360" w:lineRule="auto"/>
        <w:ind w:firstLine="560" w:firstLineChars="200"/>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地   址：浙江省杭州市上城区四季青街道新业路市民之家G03办公室</w:t>
      </w:r>
    </w:p>
    <w:p>
      <w:pPr>
        <w:snapToGrid w:val="0"/>
        <w:spacing w:line="360" w:lineRule="auto"/>
        <w:ind w:firstLine="560" w:firstLineChars="200"/>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传   真：/</w:t>
      </w:r>
    </w:p>
    <w:p>
      <w:pPr>
        <w:snapToGrid w:val="0"/>
        <w:spacing w:line="360" w:lineRule="auto"/>
        <w:ind w:firstLine="560" w:firstLineChars="200"/>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联系人 ：朱女士、王女士</w:t>
      </w:r>
    </w:p>
    <w:p>
      <w:pPr>
        <w:snapToGrid w:val="0"/>
        <w:spacing w:line="360" w:lineRule="auto"/>
        <w:ind w:firstLine="560" w:firstLineChars="200"/>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监督投诉电话：0571-85252453</w:t>
      </w:r>
    </w:p>
    <w:p>
      <w:pPr>
        <w:snapToGrid w:val="0"/>
        <w:spacing w:line="440" w:lineRule="exact"/>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预算金额未达100万元的采购项目，由采购人处理采购争议。</w:t>
      </w:r>
    </w:p>
    <w:p>
      <w:pPr>
        <w:pStyle w:val="32"/>
        <w:tabs>
          <w:tab w:val="left" w:pos="220"/>
        </w:tabs>
        <w:spacing w:before="120" w:after="120" w:line="360" w:lineRule="auto"/>
        <w:outlineLvl w:val="0"/>
        <w:rPr>
          <w:rFonts w:hAnsi="宋体" w:cs="仿宋"/>
          <w:color w:val="000000" w:themeColor="text1"/>
          <w:sz w:val="28"/>
          <w:szCs w:val="28"/>
          <w14:textFill>
            <w14:solidFill>
              <w14:schemeClr w14:val="tx1"/>
            </w14:solidFill>
          </w14:textFill>
        </w:rPr>
      </w:pPr>
    </w:p>
    <w:p>
      <w:pPr>
        <w:pStyle w:val="32"/>
        <w:spacing w:before="120" w:after="120"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6" w:name="_Toc496796636"/>
      <w:bookmarkStart w:id="17" w:name="_Toc29498"/>
      <w:r>
        <w:rPr>
          <w:rFonts w:hint="eastAsia" w:ascii="仿宋" w:hAnsi="仿宋" w:eastAsia="仿宋"/>
          <w:b/>
          <w:color w:val="000000" w:themeColor="text1"/>
          <w:sz w:val="36"/>
          <w:szCs w:val="36"/>
          <w14:textFill>
            <w14:solidFill>
              <w14:schemeClr w14:val="tx1"/>
            </w14:solidFill>
          </w14:textFill>
        </w:rPr>
        <w:t>第二章</w:t>
      </w:r>
      <w:bookmarkStart w:id="18" w:name="投标人须知"/>
      <w:r>
        <w:rPr>
          <w:rFonts w:hint="eastAsia" w:ascii="仿宋" w:hAnsi="仿宋" w:eastAsia="仿宋"/>
          <w:b/>
          <w:color w:val="000000" w:themeColor="text1"/>
          <w:sz w:val="36"/>
          <w:szCs w:val="36"/>
          <w14:textFill>
            <w14:solidFill>
              <w14:schemeClr w14:val="tx1"/>
            </w14:solidFill>
          </w14:textFill>
        </w:rPr>
        <w:t>投标人须知</w:t>
      </w:r>
      <w:bookmarkEnd w:id="16"/>
      <w:bookmarkEnd w:id="17"/>
      <w:bookmarkEnd w:id="18"/>
    </w:p>
    <w:p>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根据《政府采购促进中小企业发展管理办法》财库〔2020〕46号文件的规定，本项目</w:t>
            </w:r>
            <w:r>
              <w:rPr>
                <w:rFonts w:hint="eastAsia" w:ascii="仿宋" w:hAnsi="仿宋" w:eastAsia="仿宋"/>
                <w:b/>
                <w:color w:val="000000" w:themeColor="text1"/>
                <w:sz w:val="24"/>
                <w:szCs w:val="24"/>
                <w:u w:val="single"/>
                <w14:textFill>
                  <w14:solidFill>
                    <w14:schemeClr w14:val="tx1"/>
                  </w14:solidFill>
                </w14:textFill>
              </w:rPr>
              <w:t>否</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68" w:type="dxa"/>
            <w:tcBorders>
              <w:top w:val="single" w:color="auto" w:sz="4" w:space="0"/>
              <w:left w:val="single" w:color="auto" w:sz="4" w:space="0"/>
              <w:bottom w:val="single" w:color="auto" w:sz="4" w:space="0"/>
              <w:right w:val="single" w:color="auto" w:sz="4" w:space="0"/>
            </w:tcBorders>
            <w:vAlign w:val="center"/>
          </w:tcPr>
          <w:p>
            <w:pPr>
              <w:pStyle w:val="182"/>
              <w:numPr>
                <w:ilvl w:val="0"/>
                <w:numId w:val="30"/>
              </w:numPr>
              <w:snapToGrid w:val="0"/>
              <w:spacing w:line="460" w:lineRule="exact"/>
              <w:ind w:firstLineChars="0"/>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项目属性（服务类）</w:t>
            </w:r>
          </w:p>
          <w:p>
            <w:pPr>
              <w:pStyle w:val="182"/>
              <w:numPr>
                <w:ilvl w:val="0"/>
                <w:numId w:val="30"/>
              </w:numPr>
              <w:snapToGrid w:val="0"/>
              <w:spacing w:line="460" w:lineRule="exact"/>
              <w:ind w:firstLineChars="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pPr>
              <w:snapToGrid w:val="0"/>
              <w:spacing w:line="460" w:lineRule="exact"/>
              <w:ind w:left="6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采购标的：2024-2025年直升机航空保险，</w:t>
            </w:r>
          </w:p>
          <w:p>
            <w:pPr>
              <w:snapToGrid w:val="0"/>
              <w:spacing w:line="460" w:lineRule="exact"/>
              <w:ind w:left="6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所属行业：租赁和商务服务业</w:t>
            </w:r>
          </w:p>
          <w:p>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3.根据财库〔2020〕46号财库、〔2022〕19号的相关规定，在评审时对符合本办法规定的小微企业报价给予</w:t>
            </w:r>
            <w:r>
              <w:rPr>
                <w:rFonts w:hint="eastAsia" w:ascii="仿宋" w:hAnsi="仿宋" w:eastAsia="仿宋"/>
                <w:b/>
                <w:color w:val="000000" w:themeColor="text1"/>
                <w:sz w:val="24"/>
                <w:szCs w:val="24"/>
                <w:u w:val="single"/>
                <w14:textFill>
                  <w14:solidFill>
                    <w14:schemeClr w14:val="tx1"/>
                  </w14:solidFill>
                </w14:textFill>
              </w:rPr>
              <w:t xml:space="preserve"> 10% </w:t>
            </w:r>
            <w:r>
              <w:rPr>
                <w:rFonts w:hint="eastAsia" w:ascii="仿宋" w:hAnsi="仿宋" w:eastAsia="仿宋"/>
                <w:b/>
                <w:color w:val="000000" w:themeColor="text1"/>
                <w:sz w:val="24"/>
                <w:szCs w:val="24"/>
                <w14:textFill>
                  <w14:solidFill>
                    <w14:schemeClr w14:val="tx1"/>
                  </w14:solidFill>
                </w14:textFill>
              </w:rPr>
              <w:t>（10%-20%）（工程项目为</w:t>
            </w:r>
            <w:r>
              <w:rPr>
                <w:rFonts w:hint="eastAsia" w:ascii="仿宋" w:hAnsi="仿宋" w:eastAsia="仿宋"/>
                <w:b/>
                <w:color w:val="000000" w:themeColor="text1"/>
                <w:sz w:val="24"/>
                <w:szCs w:val="24"/>
                <w:u w:val="single"/>
                <w14:textFill>
                  <w14:solidFill>
                    <w14:schemeClr w14:val="tx1"/>
                  </w14:solidFill>
                </w14:textFill>
              </w:rPr>
              <w:t>（5%）</w:t>
            </w:r>
            <w:r>
              <w:rPr>
                <w:rFonts w:hint="eastAsia" w:ascii="仿宋" w:hAnsi="仿宋" w:eastAsia="仿宋"/>
                <w:b/>
                <w:color w:val="000000" w:themeColor="text1"/>
                <w:sz w:val="24"/>
                <w:szCs w:val="24"/>
                <w14:textFill>
                  <w14:solidFill>
                    <w14:schemeClr w14:val="tx1"/>
                  </w14:solidFill>
                </w14:textFill>
              </w:rPr>
              <w:t>）的扣除，取扣除后的价格作为最终投标报价（此最终投标报价仅作为价格分计算）。中小企业参加政府采购活动，应当出具本办法规定的《中小企业声明函》，否则不得享受相关中小企业扶持政策。</w:t>
            </w:r>
          </w:p>
          <w:p>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color w:val="000000" w:themeColor="text1"/>
                <w:sz w:val="24"/>
                <w:szCs w:val="24"/>
                <w:u w:val="single"/>
                <w14:textFill>
                  <w14:solidFill>
                    <w14:schemeClr w14:val="tx1"/>
                  </w14:solidFill>
                </w14:textFill>
              </w:rPr>
              <w:t xml:space="preserve"> 4% </w:t>
            </w:r>
            <w:r>
              <w:rPr>
                <w:rFonts w:hint="eastAsia" w:ascii="仿宋" w:hAnsi="仿宋" w:eastAsia="仿宋"/>
                <w:b/>
                <w:color w:val="000000" w:themeColor="text1"/>
                <w:sz w:val="24"/>
                <w:szCs w:val="24"/>
                <w14:textFill>
                  <w14:solidFill>
                    <w14:schemeClr w14:val="tx1"/>
                  </w14:solidFill>
                </w14:textFill>
              </w:rPr>
              <w:t>(4%-6%)（工程项目为</w:t>
            </w:r>
            <w:r>
              <w:rPr>
                <w:rFonts w:hint="eastAsia" w:ascii="仿宋" w:hAnsi="仿宋" w:eastAsia="仿宋"/>
                <w:b/>
                <w:color w:val="000000" w:themeColor="text1"/>
                <w:sz w:val="24"/>
                <w:szCs w:val="24"/>
                <w:u w:val="single"/>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）的扣除，用扣除后的价格参加评审。</w:t>
            </w:r>
          </w:p>
          <w:p>
            <w:pPr>
              <w:snapToGrid w:val="0"/>
              <w:spacing w:line="460" w:lineRule="exact"/>
              <w:ind w:firstLine="602" w:firstLineChars="25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组成联合体或者接受分包 的小微企业与联合体内其他企业、分包企业之间存在直接控 股、管理关系的，不享受价格扣除优惠政策。</w:t>
            </w:r>
          </w:p>
          <w:p>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snapToGrid w:val="0"/>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6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6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6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质疑</w:t>
            </w:r>
          </w:p>
        </w:tc>
        <w:tc>
          <w:tcPr>
            <w:tcW w:w="736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质疑</w:t>
            </w:r>
            <w:r>
              <w:rPr>
                <w:rFonts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bookmarkStart w:id="19" w:name="PO_15528_PM042"/>
            <w:r>
              <w:rPr>
                <w:rFonts w:hint="eastAsia" w:ascii="仿宋" w:hAnsi="仿宋" w:eastAsia="仿宋"/>
                <w:color w:val="000000" w:themeColor="text1"/>
                <w:sz w:val="24"/>
                <w:szCs w:val="24"/>
                <w14:textFill>
                  <w14:solidFill>
                    <w14:schemeClr w14:val="tx1"/>
                  </w14:solidFill>
                </w14:textFill>
              </w:rPr>
              <w:t>不允许进口产品</w:t>
            </w:r>
            <w:bookmarkEnd w:id="19"/>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bookmarkStart w:id="20" w:name="PO_15528_PM044"/>
            <w:r>
              <w:rPr>
                <w:rFonts w:hint="eastAsia" w:ascii="仿宋_GB2312" w:hAnsi="仿宋" w:eastAsia="仿宋_GB2312"/>
                <w:bCs/>
                <w:color w:val="000000" w:themeColor="text1"/>
                <w:sz w:val="24"/>
                <w:lang w:val="en-US" w:eastAsia="zh-CN"/>
                <w14:textFill>
                  <w14:solidFill>
                    <w14:schemeClr w14:val="tx1"/>
                  </w14:solidFill>
                </w14:textFill>
              </w:rPr>
              <w:t>不</w:t>
            </w:r>
            <w:r>
              <w:rPr>
                <w:rFonts w:hint="eastAsia" w:ascii="仿宋_GB2312" w:hAnsi="仿宋" w:eastAsia="仿宋_GB2312"/>
                <w:bCs/>
                <w:color w:val="000000" w:themeColor="text1"/>
                <w:sz w:val="24"/>
                <w14:textFill>
                  <w14:solidFill>
                    <w14:schemeClr w14:val="tx1"/>
                  </w14:solidFill>
                </w14:textFill>
              </w:rPr>
              <w:t>允许分包</w:t>
            </w:r>
            <w:bookmarkEnd w:id="20"/>
            <w:r>
              <w:rPr>
                <w:rFonts w:hint="eastAsia" w:ascii="仿宋_GB2312" w:hAnsi="仿宋" w:eastAsia="仿宋_GB2312"/>
                <w:bCs/>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pacing w:line="340" w:lineRule="exact"/>
              <w:textAlignment w:val="auto"/>
            </w:pPr>
            <w:r>
              <w:rPr>
                <w:rFonts w:hint="eastAsia" w:ascii="仿宋_GB2312" w:hAnsi="仿宋" w:eastAsia="仿宋_GB2312" w:cs="Times New Roman"/>
                <w:bCs/>
                <w:color w:val="000000" w:themeColor="text1"/>
                <w:kern w:val="2"/>
                <w:sz w:val="24"/>
                <w:szCs w:val="22"/>
                <w:lang w:val="en-US" w:eastAsia="zh-CN" w:bidi="ar-SA"/>
                <w14:textFill>
                  <w14:solidFill>
                    <w14:schemeClr w14:val="tx1"/>
                  </w14:solidFill>
                </w14:textFill>
              </w:rPr>
              <w:t>鉴于本项目内容多技术含量高而复杂，且承担着公安和应急处置保障任务，要求供应商能快速准确响应，尤其是遇到紧急、特情形时，如响应出现问题，将影响到本项目任务保障等关键职责的正常履行，进而导致因相关灾害防御工作不力而造成重大人员财产损失，所以对供应商的集中统一管控能力有较高要求，以避免因其内部因素引发服务不及时，不到位问题。基于上述原因，本项目不允许联合体投标，不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11</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 w:eastAsia="仿宋_GB2312"/>
                <w:bCs/>
                <w:color w:val="000000" w:themeColor="text1"/>
                <w:sz w:val="24"/>
                <w14:textFill>
                  <w14:solidFill>
                    <w14:schemeClr w14:val="tx1"/>
                  </w14:solidFill>
                </w14:textFill>
              </w:rPr>
            </w:pPr>
            <w:bookmarkStart w:id="21" w:name="PO_15528_PM007_1"/>
            <w:r>
              <w:rPr>
                <w:rFonts w:hint="eastAsia" w:ascii="仿宋_GB2312" w:hAnsi="仿宋" w:eastAsia="仿宋_GB2312"/>
                <w:bCs/>
                <w:color w:val="000000" w:themeColor="text1"/>
                <w:sz w:val="24"/>
                <w14:textFill>
                  <w14:solidFill>
                    <w14:schemeClr w14:val="tx1"/>
                  </w14:solidFill>
                </w14:textFill>
              </w:rPr>
              <w:t>标项1:</w:t>
            </w:r>
            <w:r>
              <w:rPr>
                <w:rFonts w:hint="eastAsia" w:ascii="仿宋_GB2312" w:hAnsi="仿宋" w:eastAsia="仿宋_GB2312"/>
                <w:bCs/>
                <w:color w:val="000000" w:themeColor="text1"/>
                <w:sz w:val="24"/>
                <w:lang w:val="en-US" w:eastAsia="zh-CN"/>
                <w14:textFill>
                  <w14:solidFill>
                    <w14:schemeClr w14:val="tx1"/>
                  </w14:solidFill>
                </w14:textFill>
              </w:rPr>
              <w:t>不</w:t>
            </w:r>
            <w:r>
              <w:rPr>
                <w:rFonts w:hint="eastAsia" w:ascii="仿宋_GB2312" w:hAnsi="仿宋" w:eastAsia="仿宋_GB2312"/>
                <w:bCs/>
                <w:color w:val="000000" w:themeColor="text1"/>
                <w:sz w:val="24"/>
                <w14:textFill>
                  <w14:solidFill>
                    <w14:schemeClr w14:val="tx1"/>
                  </w14:solidFill>
                </w14:textFill>
              </w:rPr>
              <w:t>允许联合体投标</w:t>
            </w:r>
            <w:bookmarkEnd w:id="21"/>
            <w:r>
              <w:rPr>
                <w:rFonts w:hint="eastAsia" w:ascii="仿宋_GB2312" w:hAnsi="仿宋" w:eastAsia="仿宋_GB2312"/>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lang w:eastAsia="zh-CN"/>
              </w:rPr>
            </w:pPr>
            <w:r>
              <w:rPr>
                <w:rFonts w:hint="eastAsia" w:ascii="仿宋_GB2312" w:hAnsi="仿宋" w:eastAsia="仿宋_GB2312"/>
                <w:bCs/>
                <w:color w:val="000000" w:themeColor="text1"/>
                <w:sz w:val="24"/>
                <w:lang w:eastAsia="zh-CN"/>
                <w14:textFill>
                  <w14:solidFill>
                    <w14:schemeClr w14:val="tx1"/>
                  </w14:solidFill>
                </w14:textFill>
              </w:rPr>
              <w:t>鉴于</w:t>
            </w:r>
            <w:r>
              <w:rPr>
                <w:rFonts w:hint="eastAsia" w:ascii="仿宋_GB2312" w:hAnsi="仿宋" w:eastAsia="仿宋_GB2312"/>
                <w:bCs/>
                <w:color w:val="000000" w:themeColor="text1"/>
                <w:sz w:val="24"/>
                <w:lang w:val="en-US" w:eastAsia="zh-CN"/>
                <w14:textFill>
                  <w14:solidFill>
                    <w14:schemeClr w14:val="tx1"/>
                  </w14:solidFill>
                </w14:textFill>
              </w:rPr>
              <w:t>本</w:t>
            </w:r>
            <w:r>
              <w:rPr>
                <w:rFonts w:hint="eastAsia" w:ascii="仿宋_GB2312" w:hAnsi="仿宋" w:eastAsia="仿宋_GB2312"/>
                <w:bCs/>
                <w:color w:val="000000" w:themeColor="text1"/>
                <w:sz w:val="24"/>
                <w:lang w:eastAsia="zh-CN"/>
                <w14:textFill>
                  <w14:solidFill>
                    <w14:schemeClr w14:val="tx1"/>
                  </w14:solidFill>
                </w14:textFill>
              </w:rPr>
              <w:t>项目内容多技术含量高而复杂，且承担着公安和应急处置保障任务，要求供应商能快速准确响应，尤其是遇到紧急、特情形时，如响应出现问题，将影响到</w:t>
            </w:r>
            <w:r>
              <w:rPr>
                <w:rFonts w:hint="eastAsia" w:ascii="仿宋_GB2312" w:hAnsi="仿宋" w:eastAsia="仿宋_GB2312"/>
                <w:bCs/>
                <w:color w:val="000000" w:themeColor="text1"/>
                <w:sz w:val="24"/>
                <w:lang w:val="en-US" w:eastAsia="zh-CN"/>
                <w14:textFill>
                  <w14:solidFill>
                    <w14:schemeClr w14:val="tx1"/>
                  </w14:solidFill>
                </w14:textFill>
              </w:rPr>
              <w:t>本项目</w:t>
            </w:r>
            <w:r>
              <w:rPr>
                <w:rFonts w:hint="eastAsia" w:ascii="仿宋_GB2312" w:hAnsi="仿宋" w:eastAsia="仿宋_GB2312"/>
                <w:bCs/>
                <w:color w:val="000000" w:themeColor="text1"/>
                <w:sz w:val="24"/>
                <w:lang w:eastAsia="zh-CN"/>
                <w14:textFill>
                  <w14:solidFill>
                    <w14:schemeClr w14:val="tx1"/>
                  </w14:solidFill>
                </w14:textFill>
              </w:rPr>
              <w:t>任务保障等关键职责的正常履行，进而导致因相关灾害防御工作不力而造成重大人员财产损失，所以对供应商的集中统一管控能力有较高要求，以避免因其内部因素引发服务不及时，不到位问题。基于上述原因，</w:t>
            </w:r>
            <w:r>
              <w:rPr>
                <w:rFonts w:hint="eastAsia" w:ascii="仿宋_GB2312" w:hAnsi="仿宋" w:eastAsia="仿宋_GB2312"/>
                <w:bCs/>
                <w:color w:val="000000" w:themeColor="text1"/>
                <w:sz w:val="24"/>
                <w:lang w:val="en-US" w:eastAsia="zh-CN"/>
                <w14:textFill>
                  <w14:solidFill>
                    <w14:schemeClr w14:val="tx1"/>
                  </w14:solidFill>
                </w14:textFill>
              </w:rPr>
              <w:t>本</w:t>
            </w:r>
            <w:r>
              <w:rPr>
                <w:rFonts w:hint="eastAsia" w:ascii="仿宋_GB2312" w:hAnsi="仿宋" w:eastAsia="仿宋_GB2312"/>
                <w:bCs/>
                <w:color w:val="000000" w:themeColor="text1"/>
                <w:sz w:val="24"/>
                <w:lang w:eastAsia="zh-CN"/>
                <w14:textFill>
                  <w14:solidFill>
                    <w14:schemeClr w14:val="tx1"/>
                  </w14:solidFill>
                </w14:textFill>
              </w:rPr>
              <w:t>项目不允许联合体投标，不允许分包。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bookmarkStart w:id="22" w:name="PO_15528_PM040"/>
            <w:r>
              <w:rPr>
                <w:rFonts w:hint="eastAsia" w:ascii="仿宋" w:hAnsi="仿宋" w:eastAsia="仿宋"/>
                <w:color w:val="000000" w:themeColor="text1"/>
                <w:sz w:val="24"/>
                <w:szCs w:val="24"/>
                <w14:textFill>
                  <w14:solidFill>
                    <w14:schemeClr w14:val="tx1"/>
                  </w14:solidFill>
                </w14:textFill>
              </w:rPr>
              <w:t>不组织现场踏勘</w:t>
            </w:r>
            <w:bookmarkEnd w:id="22"/>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bookmarkStart w:id="23" w:name="PO_1000000445_PM041"/>
            <w:r>
              <w:rPr>
                <w:rFonts w:hint="eastAsia" w:ascii="仿宋" w:hAnsi="仿宋" w:eastAsia="仿宋"/>
                <w:color w:val="000000" w:themeColor="text1"/>
                <w:sz w:val="24"/>
                <w:szCs w:val="24"/>
                <w14:textFill>
                  <w14:solidFill>
                    <w14:schemeClr w14:val="tx1"/>
                  </w14:solidFill>
                </w14:textFill>
              </w:rPr>
              <w:t>不进行演示</w:t>
            </w:r>
            <w:bookmarkEnd w:id="23"/>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bookmarkStart w:id="24" w:name="PO_1000000445_PM043"/>
            <w:r>
              <w:rPr>
                <w:rFonts w:hint="eastAsia" w:ascii="仿宋" w:hAnsi="仿宋" w:eastAsia="仿宋"/>
                <w:color w:val="000000" w:themeColor="text1"/>
                <w:sz w:val="24"/>
                <w:szCs w:val="24"/>
                <w14:textFill>
                  <w14:solidFill>
                    <w14:schemeClr w14:val="tx1"/>
                  </w14:solidFill>
                </w14:textFill>
              </w:rPr>
              <w:t>不要求提供样品</w:t>
            </w:r>
            <w:bookmarkEnd w:id="24"/>
            <w:r>
              <w:rPr>
                <w:rFonts w:hint="eastAsia" w:ascii="仿宋" w:hAnsi="仿宋" w:eastAsia="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https://middle.zcygov.cn/v-settle-front/registry</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https://edu.zcygov.cn/luban/e-biding</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1、未按规定密封或标记的；</w:t>
            </w:r>
          </w:p>
          <w:p>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2、由于包装不妥，在送交途中严重破损或失散的；</w:t>
            </w:r>
          </w:p>
          <w:p>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3、超过投标截止时间送达的。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6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pPr>
              <w:autoSpaceDE w:val="0"/>
              <w:autoSpaceDN w:val="0"/>
              <w:snapToGrid w:val="0"/>
              <w:jc w:val="left"/>
              <w:textAlignment w:val="bottom"/>
              <w:rPr>
                <w:rFonts w:ascii="仿宋" w:hAnsi="仿宋" w:eastAsia="仿宋"/>
                <w:b/>
                <w:color w:val="000000" w:themeColor="text1"/>
                <w:sz w:val="24"/>
                <w:szCs w:val="24"/>
                <w14:textFill>
                  <w14:solidFill>
                    <w14:schemeClr w14:val="tx1"/>
                  </w14:solidFill>
                </w14:textFill>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9</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6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fldChar w:fldCharType="begin"/>
            </w:r>
            <w:r>
              <w:instrText xml:space="preserve"> HYPERLINK "http://www.zjzfcg.gov.cn/new" </w:instrText>
            </w:r>
            <w:r>
              <w:fldChar w:fldCharType="separate"/>
            </w:r>
            <w:r>
              <w:rPr>
                <w:rStyle w:val="69"/>
                <w:rFonts w:hint="eastAsia" w:ascii="仿宋" w:hAnsi="仿宋" w:eastAsia="仿宋"/>
                <w:color w:val="000000" w:themeColor="text1"/>
                <w:sz w:val="24"/>
                <w:szCs w:val="24"/>
                <w14:textFill>
                  <w14:solidFill>
                    <w14:schemeClr w14:val="tx1"/>
                  </w14:solidFill>
                </w14:textFill>
              </w:rPr>
              <w:t>http://www.zjzfcg.gov.cn</w:t>
            </w:r>
            <w:r>
              <w:rPr>
                <w:rStyle w:val="6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hint="eastAsia" w:ascii="仿宋" w:hAnsi="仿宋" w:eastAsia="仿宋"/>
                <w:b/>
                <w:color w:val="000000" w:themeColor="text1"/>
                <w:sz w:val="24"/>
                <w:szCs w:val="24"/>
                <w14:textFill>
                  <w14:solidFill>
                    <w14:schemeClr w14:val="tx1"/>
                  </w14:solidFill>
                </w14:textFill>
              </w:rPr>
              <w:t>（中标人为中小企业的，其声明函将随中标结果同时公告）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0</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6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21</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6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22</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6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23</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6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6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pPr>
        <w:pStyle w:val="32"/>
        <w:snapToGrid w:val="0"/>
        <w:spacing w:before="240" w:beforeLines="100" w:after="240"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pPr>
        <w:snapToGrid w:val="0"/>
        <w:spacing w:before="120"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pPr>
        <w:snapToGrid w:val="0"/>
        <w:spacing w:before="120"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pPr>
        <w:pStyle w:val="32"/>
        <w:snapToGrid w:val="0"/>
        <w:spacing w:beforeLines="0" w:after="120"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pPr>
        <w:pStyle w:val="32"/>
        <w:snapToGrid w:val="0"/>
        <w:spacing w:beforeLines="0" w:after="120"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4.投标人应仔细阅读招标文件的所有内容，按照招标文件的要求提交投标文件，并对所提供的全部资料的真实性承担法律责任。</w:t>
      </w:r>
    </w:p>
    <w:p>
      <w:pPr>
        <w:snapToGrid w:val="0"/>
        <w:spacing w:before="120"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（五）质疑</w:t>
      </w:r>
    </w:p>
    <w:p>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认为采购文件使自己的权益受到损害的，可以自获取采购文件之日或者采购公告期限届满之日（公告期限届满后获取采购文件的，以公告期限届满之日为准）起7个工作日内，对采购文件需求及评分细则的以书面形式向采购人提出质疑，对其他内容的以书面形式向采购人和招标方提出质疑。</w:t>
      </w:r>
    </w:p>
    <w:p>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pPr>
        <w:pStyle w:val="32"/>
        <w:snapToGrid w:val="0"/>
        <w:spacing w:beforeLines="0" w:after="120"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69"/>
          <w:rFonts w:hint="eastAsia" w:ascii="仿宋" w:hAnsi="仿宋" w:eastAsia="仿宋"/>
          <w:bCs/>
          <w:color w:val="000000" w:themeColor="text1"/>
          <w:sz w:val="28"/>
          <w:szCs w:val="28"/>
          <w14:textFill>
            <w14:solidFill>
              <w14:schemeClr w14:val="tx1"/>
            </w14:solidFill>
          </w14:textFill>
        </w:rPr>
        <w:t>http://zfcg.czt.zj.gov.cn/</w:t>
      </w:r>
      <w:r>
        <w:rPr>
          <w:rStyle w:val="69"/>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 xml:space="preserve"> 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pPr>
        <w:pStyle w:val="32"/>
        <w:snapToGrid w:val="0"/>
        <w:spacing w:before="120" w:after="120"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pPr>
        <w:pStyle w:val="32"/>
        <w:snapToGrid w:val="0"/>
        <w:spacing w:before="120" w:after="120"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pPr>
        <w:pStyle w:val="32"/>
        <w:snapToGrid w:val="0"/>
        <w:spacing w:before="120" w:after="120"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pPr>
        <w:pStyle w:val="32"/>
        <w:snapToGrid w:val="0"/>
        <w:spacing w:before="240" w:beforeLines="100" w:after="240"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pPr>
        <w:pStyle w:val="32"/>
        <w:adjustRightInd w:val="0"/>
        <w:snapToGrid w:val="0"/>
        <w:spacing w:before="120" w:after="120"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69"/>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pPr>
        <w:pStyle w:val="3"/>
        <w:widowControl w:val="0"/>
        <w:spacing w:after="120"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pPr>
        <w:pStyle w:val="19"/>
        <w:tabs>
          <w:tab w:val="clear" w:pos="454"/>
        </w:tabs>
        <w:snapToGrid w:val="0"/>
        <w:spacing w:before="120" w:beforeLines="50" w:after="156" w:line="460" w:lineRule="exact"/>
        <w:ind w:left="0"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pPr>
        <w:pStyle w:val="19"/>
        <w:tabs>
          <w:tab w:val="clear" w:pos="454"/>
        </w:tabs>
        <w:snapToGrid w:val="0"/>
        <w:spacing w:before="120"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pPr>
        <w:pStyle w:val="19"/>
        <w:tabs>
          <w:tab w:val="clear" w:pos="454"/>
        </w:tabs>
        <w:snapToGrid w:val="0"/>
        <w:spacing w:before="120"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pPr>
        <w:snapToGrid w:val="0"/>
        <w:spacing w:before="120"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pPr>
        <w:pStyle w:val="32"/>
        <w:adjustRightInd w:val="0"/>
        <w:snapToGrid w:val="0"/>
        <w:spacing w:before="120" w:after="120"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pPr>
        <w:pStyle w:val="32"/>
        <w:adjustRightInd w:val="0"/>
        <w:snapToGrid w:val="0"/>
        <w:spacing w:before="120" w:after="120"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pPr>
        <w:snapToGrid w:val="0"/>
        <w:spacing w:before="120"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pPr>
        <w:pStyle w:val="32"/>
        <w:snapToGrid w:val="0"/>
        <w:spacing w:before="120" w:after="120"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pPr>
        <w:pStyle w:val="32"/>
        <w:snapToGrid w:val="0"/>
        <w:spacing w:before="120" w:after="120"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3.投标报价金额到元为止，如投标报价总价出现角、分，将被抹除。</w:t>
      </w:r>
    </w:p>
    <w:p>
      <w:pPr>
        <w:pStyle w:val="32"/>
        <w:snapToGrid w:val="0"/>
        <w:spacing w:before="120" w:after="120"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pPr>
        <w:pStyle w:val="32"/>
        <w:snapToGrid w:val="0"/>
        <w:spacing w:before="120" w:after="120"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2.投标人被列入失信被执行人、重大税收违法案件当事人名单、政府采购严重违法失信行为记录名单的；</w:t>
      </w:r>
    </w:p>
    <w:p>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.投标人被视为串通投标的；</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pPr>
        <w:pStyle w:val="32"/>
        <w:snapToGrid w:val="0"/>
        <w:spacing w:beforeLines="0" w:after="120"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pPr>
        <w:pStyle w:val="32"/>
        <w:adjustRightInd w:val="0"/>
        <w:snapToGrid w:val="0"/>
        <w:spacing w:before="120" w:after="120"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pPr>
        <w:pStyle w:val="32"/>
        <w:snapToGrid w:val="0"/>
        <w:spacing w:before="240" w:beforeLines="100" w:after="240"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pPr>
        <w:pStyle w:val="32"/>
        <w:snapToGrid w:val="0"/>
        <w:spacing w:before="120" w:after="120"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pPr>
        <w:pStyle w:val="32"/>
        <w:snapToGrid w:val="0"/>
        <w:spacing w:before="120" w:after="120"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pPr>
        <w:pStyle w:val="32"/>
        <w:snapToGrid w:val="0"/>
        <w:spacing w:before="120" w:after="120"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pPr>
        <w:pStyle w:val="32"/>
        <w:snapToGrid w:val="0"/>
        <w:spacing w:before="120" w:after="120"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pPr>
        <w:pStyle w:val="32"/>
        <w:snapToGrid w:val="0"/>
        <w:spacing w:before="120" w:after="120"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pPr>
        <w:pStyle w:val="32"/>
        <w:snapToGrid w:val="0"/>
        <w:spacing w:before="120" w:after="120"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1、开启开标场地录音录像采集设备，并确保正常运行。</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2、按规定统一收缴、保存评标现场相关人员通讯工具。</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3、介绍评审现场的人员情况，宣布评审工作纪律，告知评审人员应当回避情形；组织推选评标委员会组长。</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4、宣读提交投标文件的供应商名单，组织评标委员会各位成员签订纸质形式的《政府采购评审人员廉洁自律承诺书》。</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5、采购人可以在评标前说明项目背景和采购需求，说明内容不得含有歧视性、倾向性意见，不得超出招标文件所述范围。说明应当提交书面材料，并随采购文件一并存档。</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9、做好评审现场相关记录，协助评标委员会组长做好评审报告起草、有关内容电脑文字录入等工作，并要求评标委员会各成员签字确认。</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10、评审结束后，招标方应对评标委员会各成员的专业水平、职业道德、遵纪守法等情况进行评价；同时按规定向评审专家发放评审费，并交还评审人员及其他现场相关人员的通讯工具。</w:t>
      </w:r>
    </w:p>
    <w:p>
      <w:pPr>
        <w:pStyle w:val="32"/>
        <w:snapToGrid w:val="0"/>
        <w:spacing w:before="120" w:after="120" w:line="460" w:lineRule="exact"/>
        <w:ind w:firstLine="551"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11、招标方将在《中标公告》中，公开评标委员会对每个投标人的《评分明细》以及《得分汇总表》情况。</w:t>
      </w:r>
      <w:r>
        <w:rPr>
          <w:rFonts w:ascii="Calibri" w:hAnsi="Calibri" w:eastAsia="仿宋" w:cs="Calibri"/>
          <w:b/>
          <w:bCs/>
          <w:color w:val="000000" w:themeColor="text1"/>
          <w:sz w:val="28"/>
          <w:szCs w:val="28"/>
          <w14:textFill>
            <w14:solidFill>
              <w14:schemeClr w14:val="tx1"/>
            </w14:solidFill>
          </w14:textFill>
        </w:rPr>
        <w:t> </w:t>
      </w:r>
      <w:r>
        <w:rPr>
          <w:rFonts w:hint="eastAsia" w:ascii="仿宋" w:hAnsi="仿宋" w:eastAsia="仿宋"/>
          <w:b/>
          <w:bCs/>
          <w:color w:val="000000" w:themeColor="text1"/>
          <w:sz w:val="28"/>
          <w:szCs w:val="28"/>
          <w14:textFill>
            <w14:solidFill>
              <w14:schemeClr w14:val="tx1"/>
            </w14:solidFill>
          </w14:textFill>
        </w:rPr>
        <w:tab/>
      </w:r>
    </w:p>
    <w:p>
      <w:pPr>
        <w:pStyle w:val="32"/>
        <w:snapToGrid w:val="0"/>
        <w:spacing w:before="120" w:after="120"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1、在评审专家中推选评标委员会组长。</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3、评审人员对各投标人投标文件的有效性、符合性、完整性和响应程度进行审查，确定是否对招标文件作出实质性响应。</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4、评审人员按招标文件规定的评审方法和评审标准，依法独立对投标人投标文件进行评估、比较，并给予评价或打分，不受任何单位和个人的干预。</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7、评标委员会根据评审汇总情况和招标文件规定确定中标候选供应商排序名单。 </w:t>
      </w:r>
    </w:p>
    <w:p>
      <w:pPr>
        <w:pStyle w:val="32"/>
        <w:snapToGrid w:val="0"/>
        <w:spacing w:before="120" w:after="120"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8、起草评审报告，所有评审人员须在评审报告上签字确认。</w:t>
      </w:r>
    </w:p>
    <w:p>
      <w:pPr>
        <w:pStyle w:val="32"/>
        <w:snapToGrid w:val="0"/>
        <w:spacing w:before="240" w:beforeLines="100" w:after="240"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pPr>
        <w:pStyle w:val="32"/>
        <w:snapToGrid w:val="0"/>
        <w:spacing w:before="120" w:after="120"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pPr>
        <w:pStyle w:val="32"/>
        <w:snapToGrid w:val="0"/>
        <w:spacing w:before="120" w:after="120"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pPr>
        <w:pStyle w:val="32"/>
        <w:snapToGrid w:val="0"/>
        <w:spacing w:before="120" w:after="120"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pPr>
        <w:pStyle w:val="32"/>
        <w:snapToGrid w:val="0"/>
        <w:spacing w:before="120" w:after="120"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32"/>
        <w:snapToGrid w:val="0"/>
        <w:spacing w:before="120" w:after="120"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pPr>
        <w:pStyle w:val="32"/>
        <w:snapToGrid w:val="0"/>
        <w:spacing w:before="120" w:after="120"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2"/>
        <w:snapToGrid w:val="0"/>
        <w:spacing w:before="240" w:beforeLines="100" w:after="240"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pPr>
        <w:pStyle w:val="32"/>
        <w:snapToGrid w:val="0"/>
        <w:spacing w:before="120" w:after="120"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pPr>
        <w:pStyle w:val="32"/>
        <w:snapToGrid w:val="0"/>
        <w:spacing w:before="120" w:after="120"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hAnsi="宋体" w:cstheme="minorBid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pPr>
        <w:pStyle w:val="32"/>
        <w:snapToGrid w:val="0"/>
        <w:spacing w:before="120" w:after="120"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pPr>
        <w:pStyle w:val="32"/>
        <w:snapToGrid w:val="0"/>
        <w:spacing w:before="240" w:beforeLines="100" w:after="240"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2"/>
        <w:snapToGrid w:val="0"/>
        <w:spacing w:before="120" w:after="120"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pPr>
        <w:pStyle w:val="32"/>
        <w:snapToGrid w:val="0"/>
        <w:spacing w:before="240" w:beforeLines="100" w:after="240"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pPr>
        <w:pStyle w:val="32"/>
        <w:snapToGrid w:val="0"/>
        <w:spacing w:before="120" w:after="120"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pPr>
        <w:pStyle w:val="32"/>
        <w:snapToGrid w:val="0"/>
        <w:spacing w:before="240" w:beforeLines="100" w:after="240"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pPr>
        <w:pStyle w:val="32"/>
        <w:snapToGrid w:val="0"/>
        <w:spacing w:before="120" w:after="12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货款由采购人按采购文件规定的付款方式自行支付。纳入国库集中支付的，按照国库集中支付有关规定付款。</w:t>
      </w:r>
    </w:p>
    <w:p>
      <w:pPr>
        <w:pStyle w:val="32"/>
        <w:snapToGrid w:val="0"/>
        <w:spacing w:before="120" w:after="12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pPr>
        <w:pStyle w:val="32"/>
        <w:snapToGrid w:val="0"/>
        <w:spacing w:before="120" w:after="12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》等相关规范，对预付款支付要求如下：</w:t>
      </w:r>
    </w:p>
    <w:p>
      <w:pPr>
        <w:pStyle w:val="32"/>
        <w:snapToGrid w:val="0"/>
        <w:spacing w:before="120" w:after="12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1.对中小企业合同预付款比例原则上不低于合同金额的40％，不高于合同金额的70%；</w:t>
      </w:r>
    </w:p>
    <w:p>
      <w:pPr>
        <w:pStyle w:val="32"/>
        <w:snapToGrid w:val="0"/>
        <w:spacing w:before="120" w:after="12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2.项目分年安排预算的，每年预付款比例不低于项目年度计划支付资金额的40％，不高于年度计划支付资金额的70%；</w:t>
      </w:r>
    </w:p>
    <w:p>
      <w:pPr>
        <w:pStyle w:val="32"/>
        <w:snapToGrid w:val="0"/>
        <w:spacing w:before="120" w:after="12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pPr>
        <w:pStyle w:val="32"/>
        <w:snapToGrid w:val="0"/>
        <w:spacing w:before="120" w:after="12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pPr>
        <w:pStyle w:val="32"/>
        <w:snapToGrid w:val="0"/>
        <w:spacing w:before="120" w:after="12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pPr>
        <w:pStyle w:val="32"/>
        <w:spacing w:before="120" w:after="120"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5" w:name="_Toc2834"/>
      <w:bookmarkStart w:id="26" w:name="_Toc496796637"/>
      <w:r>
        <w:rPr>
          <w:rFonts w:hint="eastAsia" w:hAnsi="宋体"/>
          <w:b/>
          <w:color w:val="000000" w:themeColor="text1"/>
          <w:sz w:val="36"/>
          <w:szCs w:val="36"/>
          <w14:textFill>
            <w14:solidFill>
              <w14:schemeClr w14:val="tx1"/>
            </w14:solidFill>
          </w14:textFill>
        </w:rPr>
        <w:t>第三章</w:t>
      </w:r>
      <w:bookmarkStart w:id="27" w:name="评标办法及评分标准"/>
      <w:r>
        <w:rPr>
          <w:rFonts w:hint="eastAsia" w:hAnsi="宋体"/>
          <w:b/>
          <w:color w:val="000000" w:themeColor="text1"/>
          <w:sz w:val="36"/>
          <w:szCs w:val="36"/>
          <w14:textFill>
            <w14:solidFill>
              <w14:schemeClr w14:val="tx1"/>
            </w14:solidFill>
          </w14:textFill>
        </w:rPr>
        <w:t>评标办法及评分标准</w:t>
      </w:r>
      <w:bookmarkEnd w:id="25"/>
      <w:bookmarkEnd w:id="26"/>
      <w:bookmarkEnd w:id="27"/>
    </w:p>
    <w:p>
      <w:pPr>
        <w:spacing w:before="120" w:beforeLines="50" w:after="120"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pPr>
        <w:spacing w:before="120" w:beforeLines="50" w:after="120"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pPr>
        <w:spacing w:before="120" w:beforeLines="50" w:after="120" w:afterLines="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pPr>
        <w:spacing w:before="120" w:beforeLines="50" w:after="120"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中标候选人数量：有效投标供应商数量等于3家时，中标候选人数量为1家；有效投标供应商数量等于4家时，中标候选人数量为2家；有效投标供应商数量大于等于5家时，中标候选人数量为3家。</w:t>
      </w:r>
    </w:p>
    <w:p>
      <w:pPr>
        <w:spacing w:before="120" w:beforeLines="50" w:after="120"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二、分值的计算</w:t>
      </w:r>
    </w:p>
    <w:p>
      <w:pPr>
        <w:spacing w:before="120" w:beforeLines="50" w:after="120" w:afterLines="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技术、资信、商务及其他分按照评标委员会成员的独立评分结果汇总后的算术平均分计算，计算公式为：</w:t>
      </w:r>
    </w:p>
    <w:p>
      <w:pPr>
        <w:spacing w:before="120" w:beforeLines="50" w:after="120" w:afterLines="50" w:line="460" w:lineRule="exact"/>
        <w:ind w:firstLine="49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技术、资信商务及其他分=评标委员会所有成员评分合计数/评标委员会组成人员数</w:t>
      </w:r>
    </w:p>
    <w:p>
      <w:pPr>
        <w:spacing w:before="120" w:beforeLines="50" w:after="120"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投标人评标</w:t>
      </w:r>
      <w:r>
        <w:rPr>
          <w:rFonts w:hint="eastAsia" w:ascii="仿宋" w:hAnsi="仿宋" w:eastAsia="仿宋"/>
          <w:bCs/>
          <w:color w:val="000000" w:themeColor="text1"/>
          <w:sz w:val="30"/>
          <w:szCs w:val="30"/>
          <w14:textFill>
            <w14:solidFill>
              <w14:schemeClr w14:val="tx1"/>
            </w14:solidFill>
          </w14:textFill>
        </w:rPr>
        <w:t>综合得分=价格分+(技术分+资信商务及其他分)</w:t>
      </w:r>
    </w:p>
    <w:p>
      <w:pPr>
        <w:spacing w:before="120" w:beforeLines="50" w:after="120"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pPr>
        <w:spacing w:before="120" w:beforeLines="50" w:after="120" w:afterLines="50" w:line="460" w:lineRule="exact"/>
        <w:ind w:firstLine="602"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特别提醒：</w:t>
      </w:r>
      <w:r>
        <w:rPr>
          <w:rFonts w:hint="eastAsia" w:ascii="仿宋" w:hAnsi="仿宋" w:eastAsia="仿宋"/>
          <w:bCs/>
          <w:color w:val="000000" w:themeColor="text1"/>
          <w:sz w:val="30"/>
          <w:szCs w:val="30"/>
          <w14:textFill>
            <w14:solidFill>
              <w14:schemeClr w14:val="tx1"/>
            </w14:solidFill>
          </w14:textFill>
        </w:rPr>
        <w:t>评标委员会对每个投标人的评分明细以及得分汇总表情况在中标公告中公布。</w:t>
      </w:r>
    </w:p>
    <w:p>
      <w:pPr>
        <w:spacing w:before="120" w:beforeLines="50" w:after="120" w:afterLines="50" w:line="320" w:lineRule="exact"/>
        <w:rPr>
          <w:rFonts w:ascii="仿宋" w:hAnsi="仿宋" w:eastAsia="仿宋_GB2312"/>
          <w:b/>
          <w:color w:val="000000" w:themeColor="text1"/>
          <w:sz w:val="30"/>
          <w:szCs w:val="30"/>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8" w:name="_Toc496796638"/>
    </w:p>
    <w:tbl>
      <w:tblPr>
        <w:tblStyle w:val="6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01"/>
        <w:gridCol w:w="4971"/>
        <w:gridCol w:w="750"/>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bookmarkStart w:id="29" w:name="PO_TDCUS_ITEM_SM_TABLE_1_1"/>
            <w:r>
              <w:rPr>
                <w:rFonts w:hint="eastAsia" w:ascii="仿宋_GB2312" w:hAnsi="宋体" w:eastAsia="仿宋_GB2312"/>
                <w:b/>
                <w:color w:val="000000" w:themeColor="text1"/>
                <w:sz w:val="32"/>
                <w:szCs w:val="32"/>
                <w14:textFill>
                  <w14:solidFill>
                    <w14:schemeClr w14:val="tx1"/>
                  </w14:solidFill>
                </w14:textFill>
              </w:rPr>
              <w:t>序号</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评分类型</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评分标准</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分值</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打分</w:t>
            </w:r>
          </w:p>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报价</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(评标基准价／有效投标报价)*最大分值</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25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不符合（负偏离）技术要求中标注“▲”条款（不可偏离）的投标无效；</w:t>
            </w:r>
          </w:p>
          <w:p>
            <w:pPr>
              <w:pStyle w:val="2"/>
              <w:spacing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满足招标文件明确的全部技术条款要求的该项得满分；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技术条款低于技术要求（负偏离）的每项扣1分；标★技术条款低于技术要求（负偏离）的每项扣3分；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负偏离7项及以上的视为采购人不能接受的附加条件，其响应无效。</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21</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2</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投标人在完全响应招标文件要求的保障范围基础之上对保障条件进行改善，每一项实质性优化得1分（需提供优化内容，未提供不得分），此项最高得分5分。</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3</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投标人提供的服务内容丰富度、合理性，以及投保理赔程序清晰简便迅速，各类培训和增值服务丰富实用程度，再保安排合理性。</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4</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投标人对于飞行安全预防服务措施针对性和及时性。</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结合采购人工作实际，根据应急保障响应方案的合理性、可行性。</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6</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结合采购人工作实际，根据应急保障响应可提供的服务网点、服务工具。</w:t>
            </w:r>
          </w:p>
          <w:p>
            <w:pPr>
              <w:pStyle w:val="2"/>
              <w:spacing w:line="340" w:lineRule="exact"/>
            </w:pPr>
            <w:r>
              <w:rPr>
                <w:rFonts w:hint="eastAsia" w:ascii="仿宋_GB2312" w:hAnsi="宋体" w:eastAsia="仿宋_GB2312"/>
                <w:b/>
                <w:color w:val="000000" w:themeColor="text1"/>
                <w:sz w:val="32"/>
                <w:szCs w:val="32"/>
                <w14:textFill>
                  <w14:solidFill>
                    <w14:schemeClr w14:val="tx1"/>
                  </w14:solidFill>
                </w14:textFill>
              </w:rPr>
              <w:t>说明：投标人须提供服务网点、服务工具情况汇总表并备注在附件的页码；营业执照及保险经营许可证复印件作为证明材料列入附件，不按规定提供不得分。</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7</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投标人（含其国内分支机构）近10年（2014年1月1日至2023年12月31日，以出险日期为准）</w:t>
            </w:r>
          </w:p>
          <w:p>
            <w:pPr>
              <w:pStyle w:val="2"/>
              <w:spacing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1.有同类保险项目理赔情况的，得1分，此项得分最高为3分；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2.有通用航空险保险项目理赔情况的，每个得0.5分，此项得分最高为3.5分。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须同时提供：（1）保单复印件；（2）赔款计算书；（3）赔款支付凭证或银行回款凭证（被保险人出具的赔款收据、责任解除书以及其他能够证明被保险人收到赔偿的证明材料作为辅助证明）作为证明材料。此外如为共保项目须为首席承保人并提供共保协议复印件，同一理赔事件只计一次分数。</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6.5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8</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争议案件处理方面，在1个工作日内进行反馈、给予解决方案的：按照方案说明详细性、准确性、符合性。</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9</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本项目专业服务团队配置（含项目负责人）方案整体情况。</w:t>
            </w:r>
          </w:p>
          <w:p>
            <w:pPr>
              <w:pStyle w:val="2"/>
              <w:spacing w:line="340" w:lineRule="exact"/>
            </w:pPr>
            <w:r>
              <w:rPr>
                <w:rFonts w:hint="eastAsia" w:ascii="仿宋_GB2312" w:hAnsi="宋体" w:eastAsia="仿宋_GB2312"/>
                <w:b/>
                <w:color w:val="000000" w:themeColor="text1"/>
                <w:sz w:val="32"/>
                <w:szCs w:val="32"/>
                <w14:textFill>
                  <w14:solidFill>
                    <w14:schemeClr w14:val="tx1"/>
                  </w14:solidFill>
                </w14:textFill>
              </w:rPr>
              <w:t>按照团队配置的方案内容完整性、措施有效性、符合本项目实际情况性。</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10</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商务资信</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根据各保险公司总公司综合实力情况（202</w:t>
            </w:r>
            <w:r>
              <w:rPr>
                <w:rFonts w:hint="eastAsia" w:ascii="仿宋_GB2312" w:hAnsi="宋体" w:eastAsia="仿宋_GB2312"/>
                <w:b/>
                <w:color w:val="000000" w:themeColor="text1"/>
                <w:sz w:val="32"/>
                <w:szCs w:val="32"/>
                <w:lang w:val="en-US" w:eastAsia="zh-CN"/>
                <w14:textFill>
                  <w14:solidFill>
                    <w14:schemeClr w14:val="tx1"/>
                  </w14:solidFill>
                </w14:textFill>
              </w:rPr>
              <w:t>4</w:t>
            </w:r>
            <w:r>
              <w:rPr>
                <w:rFonts w:hint="eastAsia" w:ascii="仿宋_GB2312" w:hAnsi="宋体" w:eastAsia="仿宋_GB2312"/>
                <w:b/>
                <w:color w:val="000000" w:themeColor="text1"/>
                <w:sz w:val="32"/>
                <w:szCs w:val="32"/>
                <w14:textFill>
                  <w14:solidFill>
                    <w14:schemeClr w14:val="tx1"/>
                  </w14:solidFill>
                </w14:textFill>
              </w:rPr>
              <w:t>年第</w:t>
            </w:r>
            <w:r>
              <w:rPr>
                <w:rFonts w:hint="eastAsia" w:ascii="仿宋_GB2312" w:hAnsi="宋体" w:eastAsia="仿宋_GB2312"/>
                <w:b/>
                <w:color w:val="000000" w:themeColor="text1"/>
                <w:sz w:val="32"/>
                <w:szCs w:val="32"/>
                <w:lang w:val="en-US" w:eastAsia="zh-CN"/>
                <w14:textFill>
                  <w14:solidFill>
                    <w14:schemeClr w14:val="tx1"/>
                  </w14:solidFill>
                </w14:textFill>
              </w:rPr>
              <w:t>一</w:t>
            </w:r>
            <w:r>
              <w:rPr>
                <w:rFonts w:hint="eastAsia" w:ascii="仿宋_GB2312" w:hAnsi="宋体" w:eastAsia="仿宋_GB2312"/>
                <w:b/>
                <w:color w:val="000000" w:themeColor="text1"/>
                <w:sz w:val="32"/>
                <w:szCs w:val="32"/>
                <w14:textFill>
                  <w14:solidFill>
                    <w14:schemeClr w14:val="tx1"/>
                  </w14:solidFill>
                </w14:textFill>
              </w:rPr>
              <w:t>季度的综合偿付能力充足率）</w:t>
            </w:r>
          </w:p>
          <w:p>
            <w:pPr>
              <w:pStyle w:val="2"/>
              <w:spacing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（1）综合偿付能力充足率大于或等于220%的，得4分；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（2）综合偿付能力充足率大于或等于210%（含）-220%（不含）的，得3分；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（3）综合偿付能力充足率大于或等于200%（含）-210%（不含）的，得2分；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（4）综合偿付能力充足率大于或等于190%（含）-200%（不含）的，得1分；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（5）综合偿付能力充足率小于190%的，得0分；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证明材料：提供各保险公司经审计报告并加盖投标人公章。</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4</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11</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商务资信</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根据各保险公司总公司综合实力情况（202</w:t>
            </w:r>
            <w:r>
              <w:rPr>
                <w:rFonts w:hint="eastAsia" w:ascii="仿宋_GB2312" w:hAnsi="宋体" w:eastAsia="仿宋_GB2312"/>
                <w:b/>
                <w:color w:val="000000" w:themeColor="text1"/>
                <w:sz w:val="32"/>
                <w:szCs w:val="32"/>
                <w:lang w:val="en-US" w:eastAsia="zh-CN"/>
                <w14:textFill>
                  <w14:solidFill>
                    <w14:schemeClr w14:val="tx1"/>
                  </w14:solidFill>
                </w14:textFill>
              </w:rPr>
              <w:t>4</w:t>
            </w:r>
            <w:r>
              <w:rPr>
                <w:rFonts w:hint="eastAsia" w:ascii="仿宋_GB2312" w:hAnsi="宋体" w:eastAsia="仿宋_GB2312"/>
                <w:b/>
                <w:color w:val="000000" w:themeColor="text1"/>
                <w:sz w:val="32"/>
                <w:szCs w:val="32"/>
                <w14:textFill>
                  <w14:solidFill>
                    <w14:schemeClr w14:val="tx1"/>
                  </w14:solidFill>
                </w14:textFill>
              </w:rPr>
              <w:t>年第</w:t>
            </w:r>
            <w:r>
              <w:rPr>
                <w:rFonts w:hint="eastAsia" w:ascii="仿宋_GB2312" w:hAnsi="宋体" w:eastAsia="仿宋_GB2312"/>
                <w:b/>
                <w:color w:val="000000" w:themeColor="text1"/>
                <w:sz w:val="32"/>
                <w:szCs w:val="32"/>
                <w:lang w:val="en-US" w:eastAsia="zh-CN"/>
                <w14:textFill>
                  <w14:solidFill>
                    <w14:schemeClr w14:val="tx1"/>
                  </w14:solidFill>
                </w14:textFill>
              </w:rPr>
              <w:t>一</w:t>
            </w:r>
            <w:r>
              <w:rPr>
                <w:rFonts w:hint="eastAsia" w:ascii="仿宋_GB2312" w:hAnsi="宋体" w:eastAsia="仿宋_GB2312"/>
                <w:b/>
                <w:color w:val="000000" w:themeColor="text1"/>
                <w:sz w:val="32"/>
                <w:szCs w:val="32"/>
                <w14:textFill>
                  <w14:solidFill>
                    <w14:schemeClr w14:val="tx1"/>
                  </w14:solidFill>
                </w14:textFill>
              </w:rPr>
              <w:t>季度的核心偿付能力充足率）</w:t>
            </w:r>
          </w:p>
          <w:p>
            <w:pPr>
              <w:pStyle w:val="2"/>
              <w:spacing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（1）核心偿付能力充足率大于或等于190%的，得4分；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（3）核心偿付能力充足率大于或等于180%（含）-190%（不含）的，得3分；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（4）核心偿付能力充足率大于或等于170%（含）-180%（不含）的，得2分；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（5）核心偿付能力充足率大于或等于160%（含）-170%（不含）的，得1分；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（5）核心偿付能力充足率小于160%的，得0分；</w:t>
            </w:r>
          </w:p>
          <w:p>
            <w:pPr>
              <w:pStyle w:val="3"/>
              <w:snapToGrid/>
              <w:spacing w:after="120" w:line="3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证明材料：提供各保险公司经审计报告并加盖投标人公章。</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4</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12</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商务资信</w:t>
            </w:r>
          </w:p>
        </w:tc>
        <w:tc>
          <w:tcPr>
            <w:tcW w:w="2914"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根据中国银保监会消费者权益保护局《关于2023年第一季度保险消费投诉情况的通报》（银保监消保发【2023】2号）万张保单投诉量（件/万张）进行评审；万张保单投诉低于0.1（含）得2分，0.1（不含）一0.5得1分，其余不得分。</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2</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13</w:t>
            </w:r>
          </w:p>
        </w:tc>
        <w:tc>
          <w:tcPr>
            <w:tcW w:w="528"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商务资信</w:t>
            </w:r>
          </w:p>
        </w:tc>
        <w:tc>
          <w:tcPr>
            <w:tcW w:w="2914" w:type="pct"/>
          </w:tcPr>
          <w:p>
            <w:pPr>
              <w:spacing w:before="120" w:beforeLines="50" w:after="120" w:afterLines="50" w:line="340" w:lineRule="exact"/>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经验或业绩要求</w:t>
            </w:r>
            <w:r>
              <w:rPr>
                <w:rFonts w:hint="eastAsia" w:ascii="仿宋_GB2312" w:hAnsi="宋体" w:eastAsia="仿宋_GB2312"/>
                <w:b/>
                <w:color w:val="000000" w:themeColor="text1"/>
                <w:sz w:val="32"/>
                <w:szCs w:val="32"/>
                <w:lang w:eastAsia="zh-CN"/>
                <w14:textFill>
                  <w14:solidFill>
                    <w14:schemeClr w14:val="tx1"/>
                  </w14:solidFill>
                </w14:textFill>
              </w:rPr>
              <w:t>（</w:t>
            </w:r>
            <w:r>
              <w:rPr>
                <w:rFonts w:hint="eastAsia" w:ascii="仿宋_GB2312" w:hAnsi="宋体" w:eastAsia="仿宋_GB2312"/>
                <w:b/>
                <w:color w:val="000000" w:themeColor="text1"/>
                <w:sz w:val="32"/>
                <w:szCs w:val="32"/>
                <w:lang w:val="en-US" w:eastAsia="zh-CN"/>
                <w14:textFill>
                  <w14:solidFill>
                    <w14:schemeClr w14:val="tx1"/>
                  </w14:solidFill>
                </w14:textFill>
              </w:rPr>
              <w:t>详见商务要求表</w:t>
            </w:r>
            <w:r>
              <w:rPr>
                <w:rFonts w:hint="eastAsia" w:ascii="仿宋_GB2312" w:hAnsi="宋体" w:eastAsia="仿宋_GB2312"/>
                <w:b/>
                <w:color w:val="000000" w:themeColor="text1"/>
                <w:sz w:val="32"/>
                <w:szCs w:val="32"/>
                <w:lang w:eastAsia="zh-CN"/>
                <w14:textFill>
                  <w14:solidFill>
                    <w14:schemeClr w14:val="tx1"/>
                  </w14:solidFill>
                </w14:textFill>
              </w:rPr>
              <w:t>）</w:t>
            </w:r>
          </w:p>
        </w:tc>
        <w:tc>
          <w:tcPr>
            <w:tcW w:w="440" w:type="pct"/>
          </w:tcPr>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2.5</w:t>
            </w:r>
          </w:p>
        </w:tc>
        <w:tc>
          <w:tcPr>
            <w:tcW w:w="700" w:type="pct"/>
          </w:tcPr>
          <w:p>
            <w:pPr>
              <w:spacing w:before="120" w:beforeLines="50" w:after="120" w:afterLines="50" w:line="34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客观分</w:t>
            </w:r>
          </w:p>
        </w:tc>
      </w:tr>
    </w:tbl>
    <w:p>
      <w:pPr>
        <w:spacing w:before="120" w:beforeLines="50" w:after="120" w:afterLines="50" w:line="340" w:lineRule="exac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 </w:t>
      </w:r>
      <w:bookmarkEnd w:id="29"/>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jc w:val="center"/>
        <w:outlineLvl w:val="0"/>
        <w:rPr>
          <w:rFonts w:hAnsi="宋体"/>
          <w:b/>
          <w:color w:val="000000" w:themeColor="text1"/>
          <w:sz w:val="36"/>
          <w:szCs w:val="36"/>
          <w14:textFill>
            <w14:solidFill>
              <w14:schemeClr w14:val="tx1"/>
            </w14:solidFill>
          </w14:textFill>
        </w:rPr>
      </w:pPr>
    </w:p>
    <w:p>
      <w:pPr>
        <w:spacing w:after="240" w:afterLines="100" w:line="340" w:lineRule="exact"/>
        <w:outlineLvl w:val="0"/>
        <w:rPr>
          <w:rFonts w:hAnsi="宋体"/>
          <w:b/>
          <w:color w:val="000000" w:themeColor="text1"/>
          <w:sz w:val="36"/>
          <w:szCs w:val="36"/>
          <w14:textFill>
            <w14:solidFill>
              <w14:schemeClr w14:val="tx1"/>
            </w14:solidFill>
          </w14:textFill>
        </w:rPr>
      </w:pPr>
    </w:p>
    <w:p>
      <w:pPr>
        <w:spacing w:after="240" w:afterLines="100"/>
        <w:jc w:val="center"/>
        <w:outlineLvl w:val="0"/>
        <w:rPr>
          <w:rFonts w:hAnsi="宋体"/>
          <w:b/>
          <w:color w:val="000000" w:themeColor="text1"/>
          <w:sz w:val="36"/>
          <w:szCs w:val="36"/>
          <w14:textFill>
            <w14:solidFill>
              <w14:schemeClr w14:val="tx1"/>
            </w14:solidFill>
          </w14:textFill>
        </w:rPr>
      </w:pPr>
      <w:bookmarkStart w:id="30" w:name="_Toc24960"/>
    </w:p>
    <w:p>
      <w:pPr>
        <w:pStyle w:val="2"/>
        <w:rPr>
          <w:rFonts w:hAnsi="宋体"/>
          <w:b/>
          <w:color w:val="000000" w:themeColor="text1"/>
          <w:sz w:val="36"/>
          <w:szCs w:val="36"/>
          <w14:textFill>
            <w14:solidFill>
              <w14:schemeClr w14:val="tx1"/>
            </w14:solidFill>
          </w14:textFill>
        </w:rPr>
      </w:pPr>
    </w:p>
    <w:p>
      <w:pPr>
        <w:pStyle w:val="3"/>
        <w:spacing w:after="120"/>
        <w:rPr>
          <w:b/>
          <w:color w:val="000000" w:themeColor="text1"/>
          <w:sz w:val="36"/>
          <w:szCs w:val="36"/>
          <w14:textFill>
            <w14:solidFill>
              <w14:schemeClr w14:val="tx1"/>
            </w14:solidFill>
          </w14:textFill>
        </w:rPr>
      </w:pPr>
    </w:p>
    <w:p>
      <w:pPr>
        <w:pStyle w:val="3"/>
        <w:spacing w:after="120"/>
        <w:rPr>
          <w:b/>
          <w:color w:val="000000" w:themeColor="text1"/>
          <w:sz w:val="36"/>
          <w:szCs w:val="36"/>
          <w14:textFill>
            <w14:solidFill>
              <w14:schemeClr w14:val="tx1"/>
            </w14:solidFill>
          </w14:textFill>
        </w:rPr>
      </w:pPr>
    </w:p>
    <w:p>
      <w:pPr>
        <w:pStyle w:val="3"/>
        <w:spacing w:after="120"/>
        <w:rPr>
          <w:b/>
          <w:color w:val="000000" w:themeColor="text1"/>
          <w:sz w:val="36"/>
          <w:szCs w:val="36"/>
          <w14:textFill>
            <w14:solidFill>
              <w14:schemeClr w14:val="tx1"/>
            </w14:solidFill>
          </w14:textFill>
        </w:rPr>
      </w:pPr>
    </w:p>
    <w:p>
      <w:pPr>
        <w:spacing w:after="240" w:afterLines="100"/>
        <w:jc w:val="center"/>
        <w:outlineLvl w:val="0"/>
        <w:rPr>
          <w:rFonts w:hAnsi="宋体"/>
          <w:b/>
          <w:color w:val="000000" w:themeColor="text1"/>
          <w:sz w:val="36"/>
          <w:szCs w:val="36"/>
          <w14:textFill>
            <w14:solidFill>
              <w14:schemeClr w14:val="tx1"/>
            </w14:solidFill>
          </w14:textFill>
        </w:rPr>
      </w:pPr>
    </w:p>
    <w:p>
      <w:pPr>
        <w:spacing w:after="240" w:afterLines="100"/>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第四章招标需求</w:t>
      </w:r>
      <w:bookmarkEnd w:id="28"/>
      <w:bookmarkEnd w:id="30"/>
    </w:p>
    <w:p>
      <w:pPr>
        <w:snapToGrid w:val="0"/>
        <w:spacing w:before="120" w:beforeLines="50" w:after="120" w:afterLines="50"/>
        <w:rPr>
          <w:rFonts w:ascii="宋体" w:hAnsi="宋体" w:eastAsiaTheme="minorEastAsia"/>
          <w:b/>
          <w:color w:val="000000" w:themeColor="text1"/>
          <w:spacing w:val="40"/>
          <w:kern w:val="0"/>
          <w:sz w:val="36"/>
          <w:szCs w:val="36"/>
          <w14:textFill>
            <w14:solidFill>
              <w14:schemeClr w14:val="tx1"/>
            </w14:solidFill>
          </w14:textFill>
        </w:rPr>
      </w:pPr>
    </w:p>
    <w:p>
      <w:pPr>
        <w:snapToGrid w:val="0"/>
        <w:spacing w:before="120" w:beforeLines="50" w:after="120"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1.除采购文件明确的品牌外，欢迎其他能满足本项目技术需求且性能与所明确品牌相当的产品参加。</w:t>
      </w:r>
    </w:p>
    <w:p>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2.需求中不允许偏离的实质性要求和条件，以“▲”号标明，如投标人未响应的，将被视为无效。</w:t>
      </w:r>
    </w:p>
    <w:p>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但无对应细化分类或节能清单中的产品无法满足工作需要的，采购人应当在详细需求中标明并说明理由，否则按照前附表第三点要求执行。</w:t>
      </w:r>
    </w:p>
    <w:p>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 xml:space="preserve"> 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pPr>
        <w:spacing w:line="360" w:lineRule="auto"/>
        <w:ind w:firstLine="562" w:firstLineChars="200"/>
        <w:rPr>
          <w:rFonts w:ascii="宋体" w:hAnsi="宋体"/>
          <w:spacing w:val="-4"/>
          <w:szCs w:val="21"/>
        </w:rPr>
      </w:pPr>
      <w:r>
        <w:rPr>
          <w:rFonts w:ascii="仿宋" w:hAnsi="仿宋" w:eastAsia="仿宋"/>
          <w:b/>
          <w:color w:val="000000" w:themeColor="text1"/>
          <w:sz w:val="28"/>
          <w:szCs w:val="28"/>
          <w14:textFill>
            <w14:solidFill>
              <w14:schemeClr w14:val="tx1"/>
            </w14:solidFill>
          </w14:textFill>
        </w:rPr>
        <w:t>6.</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bookmarkStart w:id="31" w:name="_Toc496796639"/>
    </w:p>
    <w:p>
      <w:pPr>
        <w:adjustRightInd w:val="0"/>
        <w:snapToGrid w:val="0"/>
        <w:outlineLvl w:val="1"/>
        <w:rPr>
          <w:rFonts w:ascii="宋体" w:hAnsi="宋体" w:cs="宋体"/>
          <w:b/>
          <w:szCs w:val="21"/>
        </w:rPr>
      </w:pPr>
    </w:p>
    <w:p>
      <w:pPr>
        <w:adjustRightInd w:val="0"/>
        <w:snapToGrid w:val="0"/>
        <w:outlineLvl w:val="1"/>
        <w:rPr>
          <w:rFonts w:ascii="宋体" w:hAnsi="宋体" w:cs="宋体"/>
          <w:b/>
          <w:szCs w:val="21"/>
        </w:rPr>
      </w:pPr>
    </w:p>
    <w:p>
      <w:pPr>
        <w:adjustRightInd w:val="0"/>
        <w:snapToGrid w:val="0"/>
        <w:outlineLvl w:val="1"/>
        <w:rPr>
          <w:rFonts w:ascii="宋体" w:hAnsi="宋体" w:cs="宋体"/>
          <w:b/>
          <w:szCs w:val="21"/>
        </w:rPr>
      </w:pPr>
    </w:p>
    <w:p>
      <w:pPr>
        <w:adjustRightInd w:val="0"/>
        <w:snapToGrid w:val="0"/>
        <w:outlineLvl w:val="1"/>
        <w:rPr>
          <w:rFonts w:ascii="宋体" w:hAnsi="宋体" w:cs="宋体"/>
          <w:b/>
          <w:szCs w:val="21"/>
        </w:rPr>
      </w:pPr>
    </w:p>
    <w:p>
      <w:pPr>
        <w:adjustRightInd w:val="0"/>
        <w:snapToGrid w:val="0"/>
        <w:outlineLvl w:val="1"/>
        <w:rPr>
          <w:rFonts w:ascii="宋体" w:hAnsi="宋体" w:cs="宋体"/>
          <w:b/>
          <w:szCs w:val="21"/>
        </w:rPr>
      </w:pPr>
    </w:p>
    <w:p>
      <w:pPr>
        <w:adjustRightInd w:val="0"/>
        <w:snapToGrid w:val="0"/>
        <w:outlineLvl w:val="1"/>
        <w:rPr>
          <w:rFonts w:ascii="宋体" w:hAnsi="宋体" w:cs="宋体"/>
          <w:b/>
          <w:szCs w:val="21"/>
        </w:rPr>
      </w:pPr>
    </w:p>
    <w:p>
      <w:pPr>
        <w:adjustRightInd w:val="0"/>
        <w:snapToGrid w:val="0"/>
        <w:outlineLvl w:val="1"/>
        <w:rPr>
          <w:rFonts w:ascii="宋体" w:hAnsi="宋体" w:cs="宋体"/>
          <w:b/>
          <w:szCs w:val="21"/>
        </w:rPr>
      </w:pPr>
    </w:p>
    <w:p>
      <w:pPr>
        <w:adjustRightInd w:val="0"/>
        <w:snapToGrid w:val="0"/>
        <w:outlineLvl w:val="1"/>
        <w:rPr>
          <w:rFonts w:ascii="宋体" w:hAnsi="宋体" w:cs="宋体"/>
          <w:b/>
          <w:szCs w:val="21"/>
        </w:rPr>
      </w:pPr>
      <w:r>
        <w:rPr>
          <w:rFonts w:hint="eastAsia" w:ascii="宋体" w:hAnsi="宋体" w:cs="宋体"/>
          <w:b/>
          <w:szCs w:val="21"/>
        </w:rPr>
        <w:t>一、服务要求</w:t>
      </w:r>
    </w:p>
    <w:p>
      <w:pPr>
        <w:ind w:firstLine="422" w:firstLineChars="200"/>
        <w:rPr>
          <w:rFonts w:ascii="宋体" w:hAnsi="宋体" w:cs="宋体"/>
          <w:b/>
          <w:bCs/>
        </w:rPr>
      </w:pPr>
      <w:r>
        <w:rPr>
          <w:rFonts w:hint="eastAsia" w:ascii="宋体" w:hAnsi="宋体" w:cs="宋体"/>
          <w:b/>
          <w:bCs/>
        </w:rPr>
        <w:t>注：针对本部分保险方案，投标人提供的保险条款和保障内容可以覆盖保险方案中的保障需求，即被视为实质性响应招标文件保险保障条件。</w:t>
      </w:r>
    </w:p>
    <w:p>
      <w:pPr>
        <w:pStyle w:val="53"/>
        <w:spacing w:before="0" w:beforeAutospacing="0" w:after="0" w:afterAutospacing="0"/>
        <w:ind w:firstLine="398"/>
        <w:jc w:val="both"/>
        <w:rPr>
          <w:b/>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一、项目背景、概况</w:t>
      </w:r>
    </w:p>
    <w:p>
      <w:pPr>
        <w:pStyle w:val="53"/>
        <w:spacing w:before="0" w:beforeAutospacing="0" w:after="0" w:afterAutospacing="0"/>
        <w:ind w:firstLine="398"/>
        <w:jc w:val="both"/>
        <w:rPr>
          <w:b/>
          <w:kern w:val="2"/>
          <w:sz w:val="21"/>
          <w:szCs w:val="21"/>
        </w:rPr>
      </w:pPr>
      <w:r>
        <w:rPr>
          <w:rFonts w:hint="eastAsia"/>
          <w:b/>
          <w:sz w:val="21"/>
          <w:szCs w:val="21"/>
        </w:rPr>
        <w:t>1.1</w:t>
      </w:r>
      <w:r>
        <w:rPr>
          <w:rFonts w:hint="eastAsia"/>
          <w:b/>
          <w:kern w:val="2"/>
          <w:sz w:val="21"/>
          <w:szCs w:val="21"/>
        </w:rPr>
        <w:t>项目背景</w:t>
      </w:r>
    </w:p>
    <w:p>
      <w:pPr>
        <w:pStyle w:val="53"/>
        <w:spacing w:before="0" w:beforeAutospacing="0" w:after="0" w:afterAutospacing="0"/>
        <w:ind w:firstLine="420" w:firstLineChars="200"/>
        <w:jc w:val="both"/>
        <w:rPr>
          <w:kern w:val="2"/>
          <w:sz w:val="21"/>
          <w:szCs w:val="21"/>
        </w:rPr>
      </w:pPr>
      <w:r>
        <w:rPr>
          <w:rFonts w:hint="eastAsia"/>
          <w:kern w:val="2"/>
          <w:sz w:val="21"/>
          <w:szCs w:val="21"/>
        </w:rPr>
        <w:t>浙江省公安警务航空队现有4架直升机，所有直升机主要承担两项职能：一是警务工作，主要包括空中巡逻、警戒、侦察、指挥、警力投送、缉私禁毒和追捕逃犯等；二是应急救援，主要包括抢险救灾、紧急救援、应急指挥等。</w:t>
      </w:r>
    </w:p>
    <w:p>
      <w:pPr>
        <w:pStyle w:val="53"/>
        <w:spacing w:before="0" w:beforeAutospacing="0" w:after="0" w:afterAutospacing="0"/>
        <w:ind w:firstLine="398"/>
        <w:jc w:val="both"/>
        <w:rPr>
          <w:b/>
          <w:kern w:val="2"/>
          <w:sz w:val="21"/>
          <w:szCs w:val="21"/>
        </w:rPr>
      </w:pPr>
      <w:r>
        <w:rPr>
          <w:rFonts w:hint="eastAsia"/>
          <w:b/>
          <w:kern w:val="2"/>
          <w:sz w:val="21"/>
          <w:szCs w:val="21"/>
        </w:rPr>
        <w:t>1.2 保险安排</w:t>
      </w:r>
    </w:p>
    <w:p>
      <w:pPr>
        <w:adjustRightInd w:val="0"/>
        <w:snapToGrid w:val="0"/>
        <w:ind w:firstLine="420" w:firstLineChars="200"/>
        <w:rPr>
          <w:rFonts w:ascii="宋体" w:hAnsi="宋体" w:cs="宋体"/>
          <w:b/>
          <w:szCs w:val="21"/>
        </w:rPr>
      </w:pPr>
      <w:r>
        <w:rPr>
          <w:rFonts w:hint="eastAsia" w:ascii="宋体" w:hAnsi="宋体" w:cs="宋体"/>
          <w:szCs w:val="21"/>
        </w:rPr>
        <w:t>通过本次保险公开招标的方式确定中标保险公司进行投保，具体安排参见项目内容。</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二、项目内容</w:t>
      </w:r>
    </w:p>
    <w:p>
      <w:pPr>
        <w:pStyle w:val="53"/>
        <w:spacing w:before="0" w:beforeAutospacing="0" w:after="0" w:afterAutospacing="0"/>
        <w:ind w:firstLine="398"/>
        <w:jc w:val="both"/>
        <w:rPr>
          <w:b/>
          <w:kern w:val="2"/>
          <w:sz w:val="21"/>
          <w:szCs w:val="21"/>
        </w:rPr>
      </w:pPr>
      <w:r>
        <w:rPr>
          <w:rFonts w:hint="eastAsia"/>
          <w:b/>
          <w:kern w:val="2"/>
          <w:sz w:val="21"/>
          <w:szCs w:val="21"/>
        </w:rPr>
        <w:t>2.1 保险险种</w:t>
      </w:r>
    </w:p>
    <w:p>
      <w:pPr>
        <w:pStyle w:val="53"/>
        <w:spacing w:before="0" w:beforeAutospacing="0" w:after="0" w:afterAutospacing="0"/>
        <w:ind w:firstLine="398"/>
        <w:jc w:val="both"/>
        <w:rPr>
          <w:b/>
          <w:kern w:val="2"/>
          <w:sz w:val="21"/>
          <w:szCs w:val="21"/>
        </w:rPr>
      </w:pPr>
      <w:r>
        <w:rPr>
          <w:rFonts w:hint="eastAsia"/>
          <w:b/>
          <w:kern w:val="2"/>
          <w:sz w:val="21"/>
          <w:szCs w:val="21"/>
        </w:rPr>
        <w:t>2.1.1 直升机航空器综合险</w:t>
      </w:r>
    </w:p>
    <w:p>
      <w:pPr>
        <w:tabs>
          <w:tab w:val="left" w:pos="5688"/>
        </w:tabs>
        <w:adjustRightInd w:val="0"/>
        <w:ind w:left="420" w:leftChars="200"/>
        <w:rPr>
          <w:rFonts w:ascii="宋体" w:hAnsi="宋体" w:cs="宋体"/>
          <w:snapToGrid w:val="0"/>
          <w:kern w:val="0"/>
          <w:szCs w:val="21"/>
        </w:rPr>
      </w:pPr>
      <w:r>
        <w:rPr>
          <w:rFonts w:hint="eastAsia" w:ascii="宋体" w:hAnsi="宋体" w:cs="宋体"/>
          <w:snapToGrid w:val="0"/>
          <w:kern w:val="0"/>
          <w:szCs w:val="21"/>
        </w:rPr>
        <w:t>机身及零备件一切险</w:t>
      </w:r>
    </w:p>
    <w:p>
      <w:pPr>
        <w:tabs>
          <w:tab w:val="left" w:pos="5688"/>
        </w:tabs>
        <w:adjustRightInd w:val="0"/>
        <w:ind w:left="420" w:leftChars="200"/>
        <w:rPr>
          <w:rFonts w:ascii="宋体" w:hAnsi="宋体" w:cs="宋体"/>
          <w:snapToGrid w:val="0"/>
          <w:kern w:val="0"/>
          <w:szCs w:val="21"/>
        </w:rPr>
      </w:pPr>
      <w:r>
        <w:rPr>
          <w:rFonts w:hint="eastAsia" w:ascii="宋体" w:hAnsi="宋体" w:cs="宋体"/>
          <w:snapToGrid w:val="0"/>
          <w:kern w:val="0"/>
          <w:szCs w:val="21"/>
        </w:rPr>
        <w:t>第三者责任险</w:t>
      </w:r>
    </w:p>
    <w:p>
      <w:pPr>
        <w:tabs>
          <w:tab w:val="left" w:pos="5688"/>
        </w:tabs>
        <w:adjustRightInd w:val="0"/>
        <w:ind w:left="420" w:leftChars="200"/>
        <w:rPr>
          <w:rFonts w:ascii="宋体" w:hAnsi="宋体" w:cs="宋体"/>
          <w:snapToGrid w:val="0"/>
          <w:kern w:val="0"/>
          <w:szCs w:val="21"/>
        </w:rPr>
      </w:pPr>
      <w:r>
        <w:rPr>
          <w:rFonts w:hint="eastAsia" w:ascii="宋体" w:hAnsi="宋体" w:cs="宋体"/>
          <w:snapToGrid w:val="0"/>
          <w:kern w:val="0"/>
          <w:szCs w:val="21"/>
        </w:rPr>
        <w:t>乘客责任险</w:t>
      </w:r>
      <w:r>
        <w:rPr>
          <w:rFonts w:hint="eastAsia" w:ascii="宋体" w:hAnsi="宋体" w:cs="宋体"/>
          <w:szCs w:val="21"/>
        </w:rPr>
        <w:t>(包括飞行员及机组人员)</w:t>
      </w:r>
    </w:p>
    <w:p>
      <w:pPr>
        <w:tabs>
          <w:tab w:val="left" w:pos="5688"/>
        </w:tabs>
        <w:adjustRightInd w:val="0"/>
        <w:ind w:left="420" w:leftChars="200"/>
        <w:rPr>
          <w:rFonts w:ascii="宋体" w:hAnsi="宋体" w:cs="宋体"/>
          <w:snapToGrid w:val="0"/>
          <w:kern w:val="0"/>
          <w:szCs w:val="21"/>
        </w:rPr>
      </w:pPr>
      <w:r>
        <w:rPr>
          <w:rFonts w:hint="eastAsia" w:ascii="宋体" w:hAnsi="宋体" w:cs="宋体"/>
          <w:snapToGrid w:val="0"/>
          <w:kern w:val="0"/>
          <w:szCs w:val="21"/>
        </w:rPr>
        <w:t>航空机身战争及相关风险保险</w:t>
      </w:r>
    </w:p>
    <w:p>
      <w:pPr>
        <w:pStyle w:val="53"/>
        <w:spacing w:before="0" w:beforeAutospacing="0" w:after="0" w:afterAutospacing="0"/>
        <w:ind w:firstLine="398"/>
        <w:jc w:val="both"/>
        <w:rPr>
          <w:b/>
          <w:kern w:val="2"/>
          <w:sz w:val="21"/>
          <w:szCs w:val="21"/>
        </w:rPr>
      </w:pPr>
      <w:r>
        <w:rPr>
          <w:rFonts w:hint="eastAsia"/>
          <w:b/>
          <w:kern w:val="2"/>
          <w:sz w:val="21"/>
          <w:szCs w:val="21"/>
        </w:rPr>
        <w:t>2.1.2 人身保险</w:t>
      </w:r>
    </w:p>
    <w:p>
      <w:pPr>
        <w:tabs>
          <w:tab w:val="left" w:pos="5688"/>
        </w:tabs>
        <w:adjustRightInd w:val="0"/>
        <w:ind w:firstLine="420" w:firstLineChars="200"/>
        <w:rPr>
          <w:rFonts w:ascii="宋体" w:hAnsi="宋体" w:cs="宋体"/>
          <w:szCs w:val="21"/>
        </w:rPr>
      </w:pPr>
      <w:r>
        <w:rPr>
          <w:rFonts w:hint="eastAsia" w:ascii="宋体" w:hAnsi="宋体" w:cs="宋体"/>
          <w:szCs w:val="21"/>
        </w:rPr>
        <w:t>飞行员、机组、机务人员及保障人员意外伤害保险（特定期间）</w:t>
      </w:r>
    </w:p>
    <w:p>
      <w:pPr>
        <w:tabs>
          <w:tab w:val="left" w:pos="5688"/>
        </w:tabs>
        <w:adjustRightInd w:val="0"/>
        <w:ind w:firstLine="420" w:firstLineChars="200"/>
        <w:rPr>
          <w:rFonts w:ascii="宋体" w:hAnsi="宋体" w:cs="宋体"/>
          <w:szCs w:val="21"/>
        </w:rPr>
      </w:pPr>
      <w:r>
        <w:rPr>
          <w:rFonts w:hint="eastAsia" w:ascii="宋体" w:hAnsi="宋体" w:cs="宋体"/>
          <w:szCs w:val="21"/>
        </w:rPr>
        <w:t>飞行员、机组、机务人员及保障人员意外伤害保险（附加意外伤害医疗保险）</w:t>
      </w:r>
    </w:p>
    <w:p>
      <w:pPr>
        <w:tabs>
          <w:tab w:val="left" w:pos="5688"/>
        </w:tabs>
        <w:adjustRightInd w:val="0"/>
        <w:ind w:firstLine="420" w:firstLineChars="200"/>
        <w:rPr>
          <w:rFonts w:ascii="宋体" w:hAnsi="宋体" w:cs="宋体"/>
          <w:szCs w:val="21"/>
        </w:rPr>
      </w:pPr>
      <w:r>
        <w:rPr>
          <w:rFonts w:hint="eastAsia" w:ascii="宋体" w:hAnsi="宋体" w:cs="宋体"/>
          <w:szCs w:val="21"/>
        </w:rPr>
        <w:t>临时上机人员意外伤害保险（特定期间）</w:t>
      </w:r>
    </w:p>
    <w:p>
      <w:pPr>
        <w:tabs>
          <w:tab w:val="left" w:pos="5688"/>
        </w:tabs>
        <w:adjustRightInd w:val="0"/>
        <w:ind w:firstLine="398"/>
        <w:rPr>
          <w:rFonts w:ascii="宋体" w:hAnsi="宋体" w:cs="宋体"/>
          <w:b/>
          <w:bCs/>
          <w:snapToGrid w:val="0"/>
          <w:kern w:val="0"/>
          <w:szCs w:val="21"/>
        </w:rPr>
      </w:pPr>
    </w:p>
    <w:p>
      <w:pPr>
        <w:tabs>
          <w:tab w:val="left" w:pos="5688"/>
        </w:tabs>
        <w:adjustRightInd w:val="0"/>
        <w:ind w:firstLine="398"/>
        <w:rPr>
          <w:rFonts w:ascii="宋体" w:hAnsi="宋体" w:cs="宋体"/>
          <w:b/>
          <w:bCs/>
          <w:snapToGrid w:val="0"/>
          <w:kern w:val="0"/>
          <w:szCs w:val="21"/>
        </w:rPr>
      </w:pPr>
    </w:p>
    <w:p>
      <w:pPr>
        <w:tabs>
          <w:tab w:val="left" w:pos="5688"/>
        </w:tabs>
        <w:adjustRightInd w:val="0"/>
        <w:ind w:firstLine="398"/>
        <w:rPr>
          <w:rFonts w:ascii="宋体" w:hAnsi="宋体" w:cs="宋体"/>
          <w:snapToGrid w:val="0"/>
          <w:kern w:val="0"/>
          <w:szCs w:val="21"/>
        </w:rPr>
      </w:pPr>
      <w:r>
        <w:rPr>
          <w:rFonts w:hint="eastAsia" w:ascii="宋体" w:hAnsi="宋体" w:cs="宋体"/>
          <w:b/>
          <w:bCs/>
          <w:snapToGrid w:val="0"/>
          <w:kern w:val="0"/>
          <w:szCs w:val="21"/>
        </w:rPr>
        <w:t>2.2 保险方案</w:t>
      </w:r>
    </w:p>
    <w:p>
      <w:pPr>
        <w:tabs>
          <w:tab w:val="left" w:pos="5688"/>
        </w:tabs>
        <w:adjustRightInd w:val="0"/>
        <w:ind w:firstLine="398"/>
        <w:rPr>
          <w:rFonts w:ascii="宋体" w:hAnsi="宋体" w:cs="宋体"/>
          <w:b/>
          <w:bCs/>
          <w:snapToGrid w:val="0"/>
          <w:kern w:val="0"/>
          <w:szCs w:val="21"/>
        </w:rPr>
      </w:pPr>
      <w:r>
        <w:rPr>
          <w:rFonts w:hint="eastAsia" w:ascii="宋体" w:hAnsi="宋体" w:cs="宋体"/>
          <w:b/>
          <w:bCs/>
          <w:snapToGrid w:val="0"/>
          <w:kern w:val="0"/>
          <w:szCs w:val="21"/>
        </w:rPr>
        <w:t>2.2.1直升机航空器综合险</w:t>
      </w:r>
    </w:p>
    <w:p>
      <w:pPr>
        <w:tabs>
          <w:tab w:val="left" w:pos="5688"/>
        </w:tabs>
        <w:adjustRightInd w:val="0"/>
        <w:ind w:firstLine="398"/>
        <w:rPr>
          <w:rFonts w:ascii="宋体" w:hAnsi="宋体" w:cs="宋体"/>
          <w:b/>
          <w:bCs/>
          <w:snapToGrid w:val="0"/>
          <w:kern w:val="0"/>
          <w:szCs w:val="21"/>
        </w:rPr>
      </w:pPr>
      <w:r>
        <w:rPr>
          <w:rFonts w:hint="eastAsia" w:ascii="宋体" w:hAnsi="宋体" w:cs="宋体"/>
          <w:b/>
          <w:bCs/>
          <w:snapToGrid w:val="0"/>
          <w:kern w:val="0"/>
          <w:szCs w:val="21"/>
        </w:rPr>
        <w:t>2.2.1.1投保人</w:t>
      </w:r>
    </w:p>
    <w:p>
      <w:pPr>
        <w:tabs>
          <w:tab w:val="left" w:pos="5688"/>
        </w:tabs>
        <w:adjustRightInd w:val="0"/>
        <w:ind w:firstLine="420" w:firstLineChars="200"/>
        <w:rPr>
          <w:rFonts w:ascii="宋体" w:hAnsi="宋体" w:cs="宋体"/>
          <w:snapToGrid w:val="0"/>
          <w:kern w:val="0"/>
          <w:szCs w:val="21"/>
        </w:rPr>
      </w:pPr>
      <w:r>
        <w:rPr>
          <w:rFonts w:hint="eastAsia" w:ascii="宋体" w:hAnsi="宋体" w:cs="宋体"/>
          <w:snapToGrid w:val="0"/>
          <w:kern w:val="0"/>
          <w:szCs w:val="21"/>
        </w:rPr>
        <w:t>浙江省公安警务航空队</w:t>
      </w:r>
    </w:p>
    <w:p>
      <w:pPr>
        <w:tabs>
          <w:tab w:val="left" w:pos="5688"/>
        </w:tabs>
        <w:adjustRightInd w:val="0"/>
        <w:ind w:firstLine="398"/>
        <w:rPr>
          <w:rFonts w:ascii="宋体" w:hAnsi="宋体" w:cs="宋体"/>
          <w:b/>
          <w:bCs/>
          <w:snapToGrid w:val="0"/>
          <w:kern w:val="0"/>
          <w:szCs w:val="21"/>
        </w:rPr>
      </w:pPr>
      <w:r>
        <w:rPr>
          <w:rFonts w:hint="eastAsia" w:ascii="宋体" w:hAnsi="宋体" w:cs="宋体"/>
          <w:b/>
          <w:bCs/>
          <w:snapToGrid w:val="0"/>
          <w:kern w:val="0"/>
          <w:szCs w:val="21"/>
        </w:rPr>
        <w:t>2.2.1.2 被保险人名称及地址</w:t>
      </w:r>
    </w:p>
    <w:p>
      <w:pPr>
        <w:tabs>
          <w:tab w:val="left" w:pos="5688"/>
        </w:tabs>
        <w:adjustRightInd w:val="0"/>
        <w:ind w:firstLine="420" w:firstLineChars="200"/>
        <w:rPr>
          <w:rFonts w:ascii="宋体" w:hAnsi="宋体" w:cs="宋体"/>
          <w:snapToGrid w:val="0"/>
          <w:kern w:val="0"/>
          <w:szCs w:val="21"/>
        </w:rPr>
      </w:pPr>
      <w:r>
        <w:rPr>
          <w:rFonts w:hint="eastAsia" w:ascii="宋体" w:hAnsi="宋体" w:cs="宋体"/>
          <w:snapToGrid w:val="0"/>
          <w:kern w:val="0"/>
          <w:szCs w:val="21"/>
        </w:rPr>
        <w:t>名称：浙江省公安警务航空队</w:t>
      </w:r>
    </w:p>
    <w:p>
      <w:pPr>
        <w:tabs>
          <w:tab w:val="left" w:pos="5688"/>
        </w:tabs>
        <w:adjustRightInd w:val="0"/>
        <w:ind w:firstLine="420" w:firstLineChars="200"/>
        <w:rPr>
          <w:rFonts w:ascii="宋体" w:hAnsi="宋体" w:cs="宋体"/>
          <w:snapToGrid w:val="0"/>
          <w:kern w:val="0"/>
          <w:szCs w:val="21"/>
        </w:rPr>
      </w:pPr>
      <w:r>
        <w:rPr>
          <w:rFonts w:hint="eastAsia" w:ascii="宋体" w:hAnsi="宋体" w:cs="宋体"/>
          <w:snapToGrid w:val="0"/>
          <w:kern w:val="0"/>
          <w:szCs w:val="21"/>
        </w:rPr>
        <w:t>地址：浙江省杭州市萧山国际机场浙航路西</w:t>
      </w:r>
    </w:p>
    <w:p>
      <w:pPr>
        <w:pStyle w:val="53"/>
        <w:spacing w:before="0" w:beforeAutospacing="0" w:after="0" w:afterAutospacing="0"/>
        <w:ind w:firstLine="398"/>
        <w:jc w:val="both"/>
        <w:rPr>
          <w:b/>
          <w:kern w:val="2"/>
          <w:sz w:val="21"/>
          <w:szCs w:val="21"/>
        </w:rPr>
      </w:pPr>
      <w:r>
        <w:rPr>
          <w:rFonts w:hint="eastAsia"/>
          <w:b/>
          <w:kern w:val="2"/>
          <w:sz w:val="21"/>
          <w:szCs w:val="21"/>
        </w:rPr>
        <w:t>2.2.1.3 保险标的</w:t>
      </w:r>
    </w:p>
    <w:p>
      <w:pPr>
        <w:pStyle w:val="53"/>
        <w:spacing w:before="0" w:beforeAutospacing="0" w:after="0" w:afterAutospacing="0"/>
        <w:ind w:firstLine="398"/>
        <w:jc w:val="both"/>
        <w:rPr>
          <w:b/>
          <w:kern w:val="2"/>
          <w:sz w:val="21"/>
          <w:szCs w:val="21"/>
        </w:rPr>
      </w:pPr>
      <w:r>
        <w:rPr>
          <w:rFonts w:hint="eastAsia"/>
          <w:b/>
          <w:kern w:val="2"/>
          <w:sz w:val="21"/>
          <w:szCs w:val="21"/>
        </w:rPr>
        <w:t>直升机机身：</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96"/>
        <w:gridCol w:w="841"/>
        <w:gridCol w:w="941"/>
        <w:gridCol w:w="1896"/>
        <w:gridCol w:w="796"/>
        <w:gridCol w:w="986"/>
        <w:gridCol w:w="506"/>
        <w:gridCol w:w="506"/>
        <w:gridCol w:w="506"/>
        <w:gridCol w:w="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72"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ascii="宋体" w:hAnsi="宋体" w:cs="宋体"/>
                <w:b/>
                <w:szCs w:val="21"/>
              </w:rPr>
              <w:t>序号</w:t>
            </w:r>
          </w:p>
        </w:tc>
        <w:tc>
          <w:tcPr>
            <w:tcW w:w="6756" w:type="dxa"/>
            <w:gridSpan w:val="6"/>
            <w:tcBorders>
              <w:top w:val="single" w:color="auto" w:sz="4" w:space="0"/>
              <w:left w:val="single" w:color="auto" w:sz="4" w:space="0"/>
              <w:bottom w:val="single" w:color="auto" w:sz="4" w:space="0"/>
              <w:right w:val="single" w:color="auto" w:sz="4" w:space="0"/>
            </w:tcBorders>
            <w:vAlign w:val="center"/>
          </w:tcPr>
          <w:p>
            <w:pPr>
              <w:ind w:firstLine="398"/>
              <w:jc w:val="center"/>
              <w:rPr>
                <w:rFonts w:ascii="宋体" w:hAnsi="宋体" w:cs="宋体"/>
                <w:b/>
                <w:szCs w:val="21"/>
              </w:rPr>
            </w:pPr>
            <w:r>
              <w:rPr>
                <w:rFonts w:hint="eastAsia" w:ascii="宋体" w:hAnsi="宋体" w:cs="宋体"/>
                <w:b/>
                <w:szCs w:val="21"/>
              </w:rPr>
              <w:t>直升机机身</w:t>
            </w:r>
          </w:p>
        </w:tc>
        <w:tc>
          <w:tcPr>
            <w:tcW w:w="10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座位数</w:t>
            </w:r>
          </w:p>
        </w:tc>
        <w:tc>
          <w:tcPr>
            <w:tcW w:w="10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直升机</w:t>
            </w:r>
          </w:p>
          <w:p>
            <w:pPr>
              <w:jc w:val="center"/>
              <w:rPr>
                <w:rFonts w:ascii="宋体" w:hAnsi="宋体" w:cs="宋体"/>
                <w:b/>
                <w:szCs w:val="21"/>
              </w:rPr>
            </w:pPr>
            <w:r>
              <w:rPr>
                <w:rFonts w:hint="eastAsia" w:ascii="宋体" w:hAnsi="宋体" w:cs="宋体"/>
                <w:b/>
                <w:szCs w:val="21"/>
              </w:rPr>
              <w:t>所有权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型号</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注册号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生产序列号</w:t>
            </w: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协议价值:</w:t>
            </w:r>
          </w:p>
          <w:p>
            <w:pPr>
              <w:jc w:val="center"/>
              <w:rPr>
                <w:rFonts w:ascii="宋体" w:hAnsi="宋体" w:cs="宋体"/>
                <w:szCs w:val="21"/>
              </w:rPr>
            </w:pPr>
            <w:r>
              <w:rPr>
                <w:rFonts w:hint="eastAsia" w:ascii="宋体" w:hAnsi="宋体" w:cs="宋体"/>
                <w:szCs w:val="21"/>
              </w:rPr>
              <w:t>人民币</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制造年份</w:t>
            </w:r>
          </w:p>
        </w:tc>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引进时间</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乘客</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机组</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购买</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AW119MKII</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w:t>
            </w: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39,998,991.23</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2012</w:t>
            </w:r>
          </w:p>
        </w:tc>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2012.3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购买</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AW139</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3***1</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w:t>
            </w: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123,416,520.50</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2012</w:t>
            </w:r>
          </w:p>
        </w:tc>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2012.5</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购买</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AW139</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w:t>
            </w: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130,811,236.20</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2016</w:t>
            </w:r>
          </w:p>
        </w:tc>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2016</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购买</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AW139</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3***6</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w:t>
            </w: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127,999,533.27</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2016</w:t>
            </w:r>
          </w:p>
        </w:tc>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2016</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购买</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pStyle w:val="53"/>
        <w:spacing w:before="0" w:beforeAutospacing="0" w:after="0" w:afterAutospacing="0"/>
        <w:ind w:firstLine="396"/>
        <w:jc w:val="both"/>
        <w:rPr>
          <w:kern w:val="2"/>
          <w:sz w:val="21"/>
          <w:szCs w:val="21"/>
        </w:rPr>
      </w:pPr>
      <w:r>
        <w:rPr>
          <w:rFonts w:hint="eastAsia"/>
          <w:kern w:val="2"/>
          <w:sz w:val="21"/>
          <w:szCs w:val="21"/>
        </w:rPr>
        <w:t>“机身”是指直升机整体，包括但不限于旋翼、尾翼和发动机等。</w:t>
      </w:r>
    </w:p>
    <w:p>
      <w:pPr>
        <w:pStyle w:val="53"/>
        <w:spacing w:before="0" w:beforeAutospacing="0" w:after="0" w:afterAutospacing="0"/>
        <w:ind w:firstLine="398"/>
        <w:jc w:val="both"/>
        <w:rPr>
          <w:b/>
          <w:kern w:val="2"/>
          <w:sz w:val="21"/>
          <w:szCs w:val="21"/>
        </w:rPr>
      </w:pPr>
      <w:r>
        <w:rPr>
          <w:rFonts w:hint="eastAsia"/>
          <w:b/>
          <w:kern w:val="2"/>
          <w:sz w:val="21"/>
          <w:szCs w:val="21"/>
        </w:rPr>
        <w:t>机载设备：</w:t>
      </w:r>
    </w:p>
    <w:p>
      <w:pPr>
        <w:pStyle w:val="53"/>
        <w:spacing w:before="0" w:beforeAutospacing="0" w:after="0" w:afterAutospacing="0"/>
        <w:ind w:firstLine="398"/>
        <w:jc w:val="both"/>
        <w:rPr>
          <w:b/>
          <w:kern w:val="2"/>
          <w:sz w:val="21"/>
          <w:szCs w:val="21"/>
        </w:rPr>
      </w:pPr>
      <w:r>
        <w:rPr>
          <w:rFonts w:hint="eastAsia"/>
          <w:b/>
          <w:kern w:val="2"/>
          <w:sz w:val="21"/>
          <w:szCs w:val="21"/>
        </w:rPr>
        <w:t>加装机载设备直升机注册号：3</w:t>
      </w:r>
      <w:r>
        <w:rPr>
          <w:rFonts w:hint="eastAsia"/>
          <w:szCs w:val="21"/>
        </w:rPr>
        <w:t>***</w:t>
      </w:r>
      <w:r>
        <w:rPr>
          <w:rFonts w:hint="eastAsia"/>
          <w:b/>
          <w:kern w:val="2"/>
          <w:sz w:val="21"/>
          <w:szCs w:val="21"/>
        </w:rPr>
        <w:t>1</w:t>
      </w:r>
    </w:p>
    <w:tbl>
      <w:tblPr>
        <w:tblStyle w:val="5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04"/>
        <w:gridCol w:w="579"/>
        <w:gridCol w:w="1604"/>
        <w:gridCol w:w="2056"/>
        <w:gridCol w:w="1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604" w:type="dxa"/>
            <w:vMerge w:val="restart"/>
            <w:vAlign w:val="center"/>
          </w:tcPr>
          <w:p>
            <w:pPr>
              <w:tabs>
                <w:tab w:val="left" w:pos="4536"/>
                <w:tab w:val="left" w:pos="5103"/>
              </w:tabs>
              <w:jc w:val="center"/>
              <w:rPr>
                <w:rFonts w:ascii="宋体" w:hAnsi="宋体" w:cs="宋体"/>
                <w:szCs w:val="21"/>
              </w:rPr>
            </w:pPr>
            <w:r>
              <w:rPr>
                <w:rFonts w:hint="eastAsia" w:ascii="宋体" w:hAnsi="宋体" w:cs="宋体"/>
                <w:szCs w:val="21"/>
              </w:rPr>
              <w:t>设备名称</w:t>
            </w:r>
          </w:p>
        </w:tc>
        <w:tc>
          <w:tcPr>
            <w:tcW w:w="579" w:type="dxa"/>
            <w:vMerge w:val="restart"/>
            <w:vAlign w:val="center"/>
          </w:tcPr>
          <w:p>
            <w:pPr>
              <w:tabs>
                <w:tab w:val="left" w:pos="4536"/>
                <w:tab w:val="left" w:pos="5103"/>
              </w:tabs>
              <w:jc w:val="center"/>
              <w:rPr>
                <w:rFonts w:ascii="宋体" w:hAnsi="宋体" w:cs="宋体"/>
                <w:szCs w:val="21"/>
              </w:rPr>
            </w:pPr>
            <w:r>
              <w:rPr>
                <w:rFonts w:hint="eastAsia" w:ascii="宋体" w:hAnsi="宋体" w:cs="宋体"/>
                <w:szCs w:val="21"/>
              </w:rPr>
              <w:t>数量</w:t>
            </w:r>
          </w:p>
        </w:tc>
        <w:tc>
          <w:tcPr>
            <w:tcW w:w="3660" w:type="dxa"/>
            <w:gridSpan w:val="2"/>
            <w:vAlign w:val="center"/>
          </w:tcPr>
          <w:p>
            <w:pPr>
              <w:tabs>
                <w:tab w:val="left" w:pos="4536"/>
                <w:tab w:val="left" w:pos="5103"/>
              </w:tabs>
              <w:jc w:val="center"/>
              <w:rPr>
                <w:rFonts w:ascii="宋体" w:hAnsi="宋体" w:cs="宋体"/>
                <w:szCs w:val="21"/>
              </w:rPr>
            </w:pPr>
            <w:r>
              <w:rPr>
                <w:rFonts w:hint="eastAsia" w:ascii="宋体" w:hAnsi="宋体" w:cs="宋体"/>
                <w:szCs w:val="21"/>
              </w:rPr>
              <w:t>保险金额（重置价值）</w:t>
            </w:r>
          </w:p>
        </w:tc>
        <w:tc>
          <w:tcPr>
            <w:tcW w:w="1551" w:type="dxa"/>
            <w:vMerge w:val="restart"/>
            <w:vAlign w:val="center"/>
          </w:tcPr>
          <w:p>
            <w:pPr>
              <w:tabs>
                <w:tab w:val="left" w:pos="4536"/>
                <w:tab w:val="left" w:pos="5103"/>
              </w:tabs>
              <w:jc w:val="center"/>
              <w:rPr>
                <w:rFonts w:ascii="宋体" w:hAnsi="宋体" w:cs="宋体"/>
                <w:szCs w:val="21"/>
              </w:rPr>
            </w:pPr>
            <w:r>
              <w:rPr>
                <w:rFonts w:hint="eastAsia" w:ascii="宋体" w:hAnsi="宋体" w:cs="宋体"/>
                <w:szCs w:val="21"/>
              </w:rPr>
              <w:t>备注说明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604" w:type="dxa"/>
            <w:vMerge w:val="continue"/>
          </w:tcPr>
          <w:p>
            <w:pPr>
              <w:tabs>
                <w:tab w:val="left" w:pos="4536"/>
                <w:tab w:val="left" w:pos="5103"/>
              </w:tabs>
              <w:jc w:val="center"/>
              <w:rPr>
                <w:rFonts w:ascii="宋体" w:hAnsi="宋体" w:cs="宋体"/>
                <w:szCs w:val="21"/>
                <w:u w:val="single"/>
              </w:rPr>
            </w:pPr>
          </w:p>
        </w:tc>
        <w:tc>
          <w:tcPr>
            <w:tcW w:w="579" w:type="dxa"/>
            <w:vMerge w:val="continue"/>
          </w:tcPr>
          <w:p>
            <w:pPr>
              <w:tabs>
                <w:tab w:val="left" w:pos="4536"/>
                <w:tab w:val="left" w:pos="5103"/>
              </w:tabs>
              <w:jc w:val="center"/>
              <w:rPr>
                <w:rFonts w:ascii="宋体" w:hAnsi="宋体" w:cs="宋体"/>
                <w:szCs w:val="21"/>
              </w:rPr>
            </w:pPr>
          </w:p>
        </w:tc>
        <w:tc>
          <w:tcPr>
            <w:tcW w:w="1604" w:type="dxa"/>
            <w:vAlign w:val="center"/>
          </w:tcPr>
          <w:p>
            <w:pPr>
              <w:tabs>
                <w:tab w:val="left" w:pos="4536"/>
                <w:tab w:val="left" w:pos="5103"/>
              </w:tabs>
              <w:jc w:val="center"/>
              <w:rPr>
                <w:rFonts w:ascii="宋体" w:hAnsi="宋体" w:cs="宋体"/>
                <w:szCs w:val="21"/>
              </w:rPr>
            </w:pPr>
            <w:r>
              <w:rPr>
                <w:rFonts w:hint="eastAsia" w:ascii="宋体" w:hAnsi="宋体" w:cs="宋体"/>
                <w:szCs w:val="21"/>
              </w:rPr>
              <w:t>总价(原币 USD)</w:t>
            </w:r>
          </w:p>
        </w:tc>
        <w:tc>
          <w:tcPr>
            <w:tcW w:w="2056" w:type="dxa"/>
            <w:vAlign w:val="center"/>
          </w:tcPr>
          <w:p>
            <w:pPr>
              <w:tabs>
                <w:tab w:val="left" w:pos="4536"/>
                <w:tab w:val="left" w:pos="5103"/>
              </w:tabs>
              <w:jc w:val="center"/>
              <w:rPr>
                <w:rFonts w:ascii="宋体" w:hAnsi="宋体" w:cs="宋体"/>
                <w:szCs w:val="21"/>
              </w:rPr>
            </w:pPr>
            <w:r>
              <w:rPr>
                <w:rFonts w:hint="eastAsia" w:ascii="宋体" w:hAnsi="宋体" w:cs="宋体"/>
                <w:szCs w:val="21"/>
              </w:rPr>
              <w:t>总价(CNY)</w:t>
            </w:r>
          </w:p>
        </w:tc>
        <w:tc>
          <w:tcPr>
            <w:tcW w:w="1551" w:type="dxa"/>
            <w:vMerge w:val="continue"/>
          </w:tcPr>
          <w:p>
            <w:pPr>
              <w:tabs>
                <w:tab w:val="left" w:pos="4536"/>
                <w:tab w:val="left" w:pos="5103"/>
              </w:tabs>
              <w:jc w:val="center"/>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04" w:type="dxa"/>
            <w:vAlign w:val="center"/>
          </w:tcPr>
          <w:p>
            <w:pPr>
              <w:tabs>
                <w:tab w:val="left" w:pos="4536"/>
                <w:tab w:val="left" w:pos="5103"/>
              </w:tabs>
              <w:jc w:val="center"/>
              <w:rPr>
                <w:rFonts w:ascii="宋体" w:hAnsi="宋体" w:cs="宋体"/>
                <w:szCs w:val="21"/>
              </w:rPr>
            </w:pPr>
            <w:r>
              <w:rPr>
                <w:rFonts w:hint="eastAsia" w:ascii="宋体" w:hAnsi="宋体" w:cs="宋体"/>
                <w:szCs w:val="21"/>
              </w:rPr>
              <w:t>***</w:t>
            </w:r>
          </w:p>
        </w:tc>
        <w:tc>
          <w:tcPr>
            <w:tcW w:w="579" w:type="dxa"/>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1604" w:type="dxa"/>
            <w:vAlign w:val="center"/>
          </w:tcPr>
          <w:p>
            <w:pPr>
              <w:tabs>
                <w:tab w:val="left" w:pos="4536"/>
                <w:tab w:val="left" w:pos="5103"/>
              </w:tabs>
              <w:jc w:val="center"/>
              <w:rPr>
                <w:rFonts w:ascii="宋体" w:hAnsi="宋体" w:cs="宋体"/>
                <w:szCs w:val="21"/>
              </w:rPr>
            </w:pPr>
            <w:r>
              <w:rPr>
                <w:rFonts w:hint="eastAsia" w:ascii="宋体" w:hAnsi="宋体" w:cs="宋体"/>
                <w:szCs w:val="21"/>
              </w:rPr>
              <w:t>28785.90</w:t>
            </w:r>
          </w:p>
        </w:tc>
        <w:tc>
          <w:tcPr>
            <w:tcW w:w="2056" w:type="dxa"/>
            <w:vAlign w:val="center"/>
          </w:tcPr>
          <w:p>
            <w:pPr>
              <w:tabs>
                <w:tab w:val="left" w:pos="4536"/>
                <w:tab w:val="left" w:pos="5103"/>
              </w:tabs>
              <w:jc w:val="center"/>
              <w:rPr>
                <w:rFonts w:ascii="宋体" w:hAnsi="宋体" w:cs="宋体"/>
                <w:szCs w:val="21"/>
              </w:rPr>
            </w:pPr>
            <w:r>
              <w:rPr>
                <w:rFonts w:hint="eastAsia" w:ascii="宋体" w:hAnsi="宋体" w:cs="宋体"/>
                <w:szCs w:val="21"/>
              </w:rPr>
              <w:t>190620.23</w:t>
            </w:r>
          </w:p>
        </w:tc>
        <w:tc>
          <w:tcPr>
            <w:tcW w:w="1551" w:type="dxa"/>
            <w:vMerge w:val="restart"/>
            <w:vAlign w:val="center"/>
          </w:tcPr>
          <w:p>
            <w:pPr>
              <w:jc w:val="center"/>
              <w:rPr>
                <w:rFonts w:ascii="宋体" w:hAnsi="宋体" w:cs="宋体"/>
                <w:szCs w:val="21"/>
              </w:rPr>
            </w:pPr>
            <w:r>
              <w:rPr>
                <w:rFonts w:hint="eastAsia" w:ascii="宋体" w:hAnsi="宋体" w:cs="宋体"/>
                <w:szCs w:val="21"/>
              </w:rPr>
              <w:t>汇率为 1:6.62</w:t>
            </w:r>
          </w:p>
          <w:p>
            <w:pPr>
              <w:jc w:val="center"/>
              <w:rPr>
                <w:rFonts w:ascii="宋体" w:hAnsi="宋体" w:cs="宋体"/>
                <w:szCs w:val="21"/>
              </w:rPr>
            </w:pPr>
            <w:r>
              <w:rPr>
                <w:rFonts w:hint="eastAsia" w:ascii="宋体" w:hAnsi="宋体" w:cs="宋体"/>
                <w:szCs w:val="21"/>
              </w:rPr>
              <w:t>以人民币金额为准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04" w:type="dxa"/>
            <w:vAlign w:val="center"/>
          </w:tcPr>
          <w:p>
            <w:pPr>
              <w:tabs>
                <w:tab w:val="left" w:pos="4536"/>
                <w:tab w:val="left" w:pos="5103"/>
              </w:tabs>
              <w:jc w:val="center"/>
              <w:rPr>
                <w:rFonts w:ascii="宋体" w:hAnsi="宋体" w:cs="宋体"/>
                <w:szCs w:val="21"/>
              </w:rPr>
            </w:pPr>
            <w:r>
              <w:rPr>
                <w:rFonts w:hint="eastAsia" w:ascii="宋体" w:hAnsi="宋体" w:cs="宋体"/>
                <w:szCs w:val="21"/>
              </w:rPr>
              <w:t>***</w:t>
            </w:r>
          </w:p>
        </w:tc>
        <w:tc>
          <w:tcPr>
            <w:tcW w:w="579" w:type="dxa"/>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1604" w:type="dxa"/>
            <w:vAlign w:val="center"/>
          </w:tcPr>
          <w:p>
            <w:pPr>
              <w:tabs>
                <w:tab w:val="left" w:pos="4536"/>
                <w:tab w:val="left" w:pos="5103"/>
              </w:tabs>
              <w:jc w:val="center"/>
              <w:rPr>
                <w:rFonts w:ascii="宋体" w:hAnsi="宋体" w:cs="宋体"/>
                <w:szCs w:val="21"/>
              </w:rPr>
            </w:pPr>
            <w:r>
              <w:rPr>
                <w:rFonts w:hint="eastAsia" w:ascii="宋体" w:hAnsi="宋体" w:cs="宋体"/>
                <w:szCs w:val="21"/>
              </w:rPr>
              <w:t>83097.86</w:t>
            </w:r>
          </w:p>
        </w:tc>
        <w:tc>
          <w:tcPr>
            <w:tcW w:w="2056" w:type="dxa"/>
            <w:vAlign w:val="center"/>
          </w:tcPr>
          <w:p>
            <w:pPr>
              <w:tabs>
                <w:tab w:val="left" w:pos="4536"/>
                <w:tab w:val="left" w:pos="5103"/>
              </w:tabs>
              <w:jc w:val="center"/>
              <w:rPr>
                <w:rFonts w:ascii="宋体" w:hAnsi="宋体" w:cs="宋体"/>
                <w:szCs w:val="21"/>
              </w:rPr>
            </w:pPr>
            <w:r>
              <w:rPr>
                <w:rFonts w:hint="eastAsia" w:ascii="宋体" w:hAnsi="宋体" w:cs="宋体"/>
                <w:szCs w:val="21"/>
              </w:rPr>
              <w:t>550274.03</w:t>
            </w:r>
          </w:p>
        </w:tc>
        <w:tc>
          <w:tcPr>
            <w:tcW w:w="1551" w:type="dxa"/>
            <w:vMerge w:val="continue"/>
            <w:vAlign w:val="center"/>
          </w:tcPr>
          <w:p>
            <w:pPr>
              <w:jc w:val="center"/>
              <w:rPr>
                <w:rFonts w:ascii="宋体" w:hAnsi="宋体" w:cs="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04" w:type="dxa"/>
            <w:vAlign w:val="center"/>
          </w:tcPr>
          <w:p>
            <w:pPr>
              <w:tabs>
                <w:tab w:val="left" w:pos="4536"/>
                <w:tab w:val="left" w:pos="5103"/>
              </w:tabs>
              <w:jc w:val="center"/>
              <w:rPr>
                <w:rFonts w:ascii="宋体" w:hAnsi="宋体" w:cs="宋体"/>
                <w:szCs w:val="21"/>
              </w:rPr>
            </w:pPr>
            <w:r>
              <w:rPr>
                <w:rFonts w:hint="eastAsia" w:ascii="宋体" w:hAnsi="宋体" w:cs="宋体"/>
                <w:szCs w:val="21"/>
              </w:rPr>
              <w:t>***</w:t>
            </w:r>
          </w:p>
        </w:tc>
        <w:tc>
          <w:tcPr>
            <w:tcW w:w="579" w:type="dxa"/>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1604" w:type="dxa"/>
            <w:vAlign w:val="center"/>
          </w:tcPr>
          <w:p>
            <w:pPr>
              <w:tabs>
                <w:tab w:val="left" w:pos="4536"/>
                <w:tab w:val="left" w:pos="5103"/>
              </w:tabs>
              <w:jc w:val="center"/>
              <w:rPr>
                <w:rFonts w:ascii="宋体" w:hAnsi="宋体" w:cs="宋体"/>
                <w:szCs w:val="21"/>
              </w:rPr>
            </w:pPr>
            <w:r>
              <w:rPr>
                <w:rFonts w:hint="eastAsia" w:ascii="宋体" w:hAnsi="宋体" w:cs="宋体"/>
                <w:szCs w:val="21"/>
              </w:rPr>
              <w:t>882569.70</w:t>
            </w:r>
          </w:p>
        </w:tc>
        <w:tc>
          <w:tcPr>
            <w:tcW w:w="2056" w:type="dxa"/>
            <w:vAlign w:val="center"/>
          </w:tcPr>
          <w:p>
            <w:pPr>
              <w:tabs>
                <w:tab w:val="left" w:pos="4536"/>
                <w:tab w:val="left" w:pos="5103"/>
              </w:tabs>
              <w:jc w:val="center"/>
              <w:rPr>
                <w:rFonts w:ascii="宋体" w:hAnsi="宋体" w:cs="宋体"/>
                <w:szCs w:val="21"/>
              </w:rPr>
            </w:pPr>
            <w:r>
              <w:rPr>
                <w:rFonts w:hint="eastAsia" w:ascii="宋体" w:hAnsi="宋体" w:cs="宋体"/>
                <w:szCs w:val="21"/>
              </w:rPr>
              <w:t>5844376.66</w:t>
            </w:r>
          </w:p>
        </w:tc>
        <w:tc>
          <w:tcPr>
            <w:tcW w:w="1551" w:type="dxa"/>
            <w:vMerge w:val="continue"/>
            <w:vAlign w:val="center"/>
          </w:tcPr>
          <w:p>
            <w:pPr>
              <w:jc w:val="center"/>
              <w:rPr>
                <w:rFonts w:ascii="宋体" w:hAnsi="宋体" w:cs="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83" w:type="dxa"/>
            <w:gridSpan w:val="2"/>
            <w:vAlign w:val="center"/>
          </w:tcPr>
          <w:p>
            <w:pPr>
              <w:tabs>
                <w:tab w:val="left" w:pos="4536"/>
                <w:tab w:val="left" w:pos="5103"/>
              </w:tabs>
              <w:jc w:val="center"/>
              <w:rPr>
                <w:rFonts w:ascii="宋体" w:hAnsi="宋体" w:cs="宋体"/>
                <w:szCs w:val="21"/>
              </w:rPr>
            </w:pPr>
          </w:p>
        </w:tc>
        <w:tc>
          <w:tcPr>
            <w:tcW w:w="1604" w:type="dxa"/>
            <w:vAlign w:val="center"/>
          </w:tcPr>
          <w:p>
            <w:pPr>
              <w:tabs>
                <w:tab w:val="left" w:pos="4536"/>
                <w:tab w:val="left" w:pos="5103"/>
              </w:tabs>
              <w:jc w:val="center"/>
              <w:rPr>
                <w:rFonts w:ascii="宋体" w:hAnsi="宋体" w:cs="宋体"/>
                <w:szCs w:val="21"/>
              </w:rPr>
            </w:pPr>
            <w:r>
              <w:rPr>
                <w:rFonts w:hint="eastAsia" w:ascii="宋体" w:hAnsi="宋体" w:cs="宋体"/>
                <w:szCs w:val="21"/>
              </w:rPr>
              <w:t>合计</w:t>
            </w:r>
          </w:p>
        </w:tc>
        <w:tc>
          <w:tcPr>
            <w:tcW w:w="2056" w:type="dxa"/>
            <w:vAlign w:val="center"/>
          </w:tcPr>
          <w:p>
            <w:pPr>
              <w:tabs>
                <w:tab w:val="left" w:pos="4536"/>
                <w:tab w:val="left" w:pos="5103"/>
              </w:tabs>
              <w:jc w:val="center"/>
              <w:rPr>
                <w:rFonts w:ascii="宋体" w:hAnsi="宋体" w:cs="宋体"/>
                <w:szCs w:val="21"/>
              </w:rPr>
            </w:pPr>
            <w:r>
              <w:rPr>
                <w:rFonts w:hint="eastAsia" w:ascii="宋体" w:hAnsi="宋体" w:cs="宋体"/>
                <w:szCs w:val="21"/>
              </w:rPr>
              <w:t>人民币6,585,270.92</w:t>
            </w:r>
          </w:p>
        </w:tc>
        <w:tc>
          <w:tcPr>
            <w:tcW w:w="1551" w:type="dxa"/>
            <w:vAlign w:val="center"/>
          </w:tcPr>
          <w:p>
            <w:pPr>
              <w:jc w:val="center"/>
              <w:rPr>
                <w:rFonts w:ascii="宋体" w:hAnsi="宋体" w:cs="宋体"/>
                <w:szCs w:val="21"/>
                <w:u w:val="single"/>
              </w:rPr>
            </w:pPr>
          </w:p>
        </w:tc>
      </w:tr>
    </w:tbl>
    <w:p>
      <w:pPr>
        <w:pStyle w:val="53"/>
        <w:spacing w:before="0" w:beforeAutospacing="0" w:after="0" w:afterAutospacing="0"/>
        <w:ind w:firstLine="398"/>
        <w:jc w:val="both"/>
        <w:rPr>
          <w:b/>
          <w:kern w:val="2"/>
          <w:sz w:val="21"/>
          <w:szCs w:val="21"/>
        </w:rPr>
      </w:pPr>
      <w:r>
        <w:rPr>
          <w:rFonts w:hint="eastAsia"/>
          <w:b/>
          <w:kern w:val="2"/>
          <w:sz w:val="21"/>
          <w:szCs w:val="21"/>
        </w:rPr>
        <w:t>加装机载设备直升机注册号：3</w:t>
      </w:r>
      <w:r>
        <w:rPr>
          <w:rFonts w:hint="eastAsia"/>
          <w:szCs w:val="21"/>
        </w:rPr>
        <w:t>***</w:t>
      </w:r>
      <w:r>
        <w:rPr>
          <w:rFonts w:hint="eastAsia"/>
          <w:b/>
          <w:kern w:val="2"/>
          <w:sz w:val="21"/>
          <w:szCs w:val="21"/>
        </w:rPr>
        <w:t>5</w:t>
      </w:r>
    </w:p>
    <w:tbl>
      <w:tblPr>
        <w:tblStyle w:val="59"/>
        <w:tblW w:w="4998" w:type="pct"/>
        <w:tblInd w:w="0" w:type="dxa"/>
        <w:tblLayout w:type="autofit"/>
        <w:tblCellMar>
          <w:top w:w="0" w:type="dxa"/>
          <w:left w:w="108" w:type="dxa"/>
          <w:bottom w:w="0" w:type="dxa"/>
          <w:right w:w="108" w:type="dxa"/>
        </w:tblCellMar>
      </w:tblPr>
      <w:tblGrid>
        <w:gridCol w:w="3671"/>
        <w:gridCol w:w="483"/>
        <w:gridCol w:w="1351"/>
        <w:gridCol w:w="1838"/>
        <w:gridCol w:w="1182"/>
      </w:tblGrid>
      <w:tr>
        <w:tblPrEx>
          <w:tblCellMar>
            <w:top w:w="0" w:type="dxa"/>
            <w:left w:w="108" w:type="dxa"/>
            <w:bottom w:w="0" w:type="dxa"/>
            <w:right w:w="108" w:type="dxa"/>
          </w:tblCellMar>
        </w:tblPrEx>
        <w:trPr>
          <w:cantSplit/>
          <w:trHeight w:val="270" w:hRule="atLeast"/>
        </w:trPr>
        <w:tc>
          <w:tcPr>
            <w:tcW w:w="2153" w:type="pct"/>
            <w:vMerge w:val="restar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设备名称</w:t>
            </w:r>
          </w:p>
        </w:tc>
        <w:tc>
          <w:tcPr>
            <w:tcW w:w="283" w:type="pct"/>
            <w:vMerge w:val="restar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数量</w:t>
            </w:r>
          </w:p>
        </w:tc>
        <w:tc>
          <w:tcPr>
            <w:tcW w:w="1870" w:type="pct"/>
            <w:gridSpan w:val="2"/>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r>
              <w:rPr>
                <w:rFonts w:hint="eastAsia" w:ascii="宋体" w:hAnsi="宋体" w:cs="宋体"/>
                <w:szCs w:val="21"/>
              </w:rPr>
              <w:t>保险金额（重置价值）</w:t>
            </w:r>
          </w:p>
        </w:tc>
        <w:tc>
          <w:tcPr>
            <w:tcW w:w="693" w:type="pct"/>
            <w:vMerge w:val="restar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备注说明</w:t>
            </w:r>
          </w:p>
        </w:tc>
      </w:tr>
      <w:tr>
        <w:tblPrEx>
          <w:tblCellMar>
            <w:top w:w="0" w:type="dxa"/>
            <w:left w:w="108" w:type="dxa"/>
            <w:bottom w:w="0" w:type="dxa"/>
            <w:right w:w="108" w:type="dxa"/>
          </w:tblCellMar>
        </w:tblPrEx>
        <w:trPr>
          <w:cantSplit/>
          <w:trHeight w:val="270" w:hRule="atLeast"/>
        </w:trPr>
        <w:tc>
          <w:tcPr>
            <w:tcW w:w="2153" w:type="pct"/>
            <w:vMerge w:val="continue"/>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u w:val="single"/>
              </w:rPr>
            </w:pPr>
          </w:p>
        </w:tc>
        <w:tc>
          <w:tcPr>
            <w:tcW w:w="283" w:type="pct"/>
            <w:vMerge w:val="continue"/>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p>
        </w:tc>
        <w:tc>
          <w:tcPr>
            <w:tcW w:w="792"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总价(原币 USD)</w:t>
            </w:r>
          </w:p>
        </w:tc>
        <w:tc>
          <w:tcPr>
            <w:tcW w:w="1078"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总价(CNY)</w:t>
            </w:r>
          </w:p>
        </w:tc>
        <w:tc>
          <w:tcPr>
            <w:tcW w:w="693" w:type="pct"/>
            <w:vMerge w:val="continue"/>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p>
        </w:tc>
      </w:tr>
      <w:tr>
        <w:tblPrEx>
          <w:tblCellMar>
            <w:top w:w="0" w:type="dxa"/>
            <w:left w:w="108" w:type="dxa"/>
            <w:bottom w:w="0" w:type="dxa"/>
            <w:right w:w="108" w:type="dxa"/>
          </w:tblCellMar>
        </w:tblPrEx>
        <w:trPr>
          <w:cantSplit/>
          <w:trHeight w:val="340" w:hRule="atLeast"/>
        </w:trPr>
        <w:tc>
          <w:tcPr>
            <w:tcW w:w="2153" w:type="pct"/>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r>
              <w:rPr>
                <w:rFonts w:hint="eastAsia" w:ascii="宋体" w:hAnsi="宋体" w:cs="宋体"/>
                <w:szCs w:val="21"/>
              </w:rPr>
              <w:t>***</w:t>
            </w:r>
          </w:p>
        </w:tc>
        <w:tc>
          <w:tcPr>
            <w:tcW w:w="283"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792"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28785.90</w:t>
            </w:r>
          </w:p>
        </w:tc>
        <w:tc>
          <w:tcPr>
            <w:tcW w:w="1078"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190620.23</w:t>
            </w:r>
          </w:p>
        </w:tc>
        <w:tc>
          <w:tcPr>
            <w:tcW w:w="693" w:type="pct"/>
            <w:vMerge w:val="restart"/>
            <w:tcBorders>
              <w:top w:val="single" w:color="auto" w:sz="6" w:space="0"/>
              <w:left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汇率为 1:6.62</w:t>
            </w:r>
          </w:p>
          <w:p>
            <w:pPr>
              <w:jc w:val="center"/>
              <w:rPr>
                <w:rFonts w:ascii="宋体" w:hAnsi="宋体" w:cs="宋体"/>
                <w:szCs w:val="21"/>
                <w:u w:val="single"/>
              </w:rPr>
            </w:pPr>
            <w:r>
              <w:rPr>
                <w:rFonts w:hint="eastAsia" w:ascii="宋体" w:hAnsi="宋体" w:cs="宋体"/>
                <w:szCs w:val="21"/>
              </w:rPr>
              <w:t>以人民币金额为准</w:t>
            </w:r>
          </w:p>
        </w:tc>
      </w:tr>
      <w:tr>
        <w:tblPrEx>
          <w:tblCellMar>
            <w:top w:w="0" w:type="dxa"/>
            <w:left w:w="108" w:type="dxa"/>
            <w:bottom w:w="0" w:type="dxa"/>
            <w:right w:w="108" w:type="dxa"/>
          </w:tblCellMar>
        </w:tblPrEx>
        <w:trPr>
          <w:cantSplit/>
          <w:trHeight w:val="340" w:hRule="atLeast"/>
        </w:trPr>
        <w:tc>
          <w:tcPr>
            <w:tcW w:w="2153" w:type="pct"/>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r>
              <w:rPr>
                <w:rFonts w:hint="eastAsia" w:ascii="宋体" w:hAnsi="宋体" w:cs="宋体"/>
                <w:szCs w:val="21"/>
              </w:rPr>
              <w:t>***</w:t>
            </w:r>
          </w:p>
        </w:tc>
        <w:tc>
          <w:tcPr>
            <w:tcW w:w="283"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792"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153478.44</w:t>
            </w:r>
          </w:p>
        </w:tc>
        <w:tc>
          <w:tcPr>
            <w:tcW w:w="1078"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1016334.23</w:t>
            </w:r>
          </w:p>
        </w:tc>
        <w:tc>
          <w:tcPr>
            <w:tcW w:w="693" w:type="pct"/>
            <w:vMerge w:val="continue"/>
            <w:tcBorders>
              <w:left w:val="single" w:color="auto" w:sz="6" w:space="0"/>
              <w:right w:val="single" w:color="auto" w:sz="6" w:space="0"/>
            </w:tcBorders>
            <w:vAlign w:val="center"/>
          </w:tcPr>
          <w:p>
            <w:pPr>
              <w:jc w:val="center"/>
              <w:rPr>
                <w:rFonts w:ascii="宋体" w:hAnsi="宋体" w:cs="宋体"/>
                <w:szCs w:val="21"/>
                <w:u w:val="single"/>
              </w:rPr>
            </w:pPr>
          </w:p>
        </w:tc>
      </w:tr>
      <w:tr>
        <w:tblPrEx>
          <w:tblCellMar>
            <w:top w:w="0" w:type="dxa"/>
            <w:left w:w="108" w:type="dxa"/>
            <w:bottom w:w="0" w:type="dxa"/>
            <w:right w:w="108" w:type="dxa"/>
          </w:tblCellMar>
        </w:tblPrEx>
        <w:trPr>
          <w:cantSplit/>
          <w:trHeight w:val="340" w:hRule="atLeast"/>
        </w:trPr>
        <w:tc>
          <w:tcPr>
            <w:tcW w:w="2153" w:type="pct"/>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r>
              <w:rPr>
                <w:rFonts w:hint="eastAsia" w:ascii="宋体" w:hAnsi="宋体" w:cs="宋体"/>
                <w:szCs w:val="21"/>
              </w:rPr>
              <w:t>***</w:t>
            </w:r>
          </w:p>
        </w:tc>
        <w:tc>
          <w:tcPr>
            <w:tcW w:w="283"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792"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83122.97</w:t>
            </w:r>
          </w:p>
        </w:tc>
        <w:tc>
          <w:tcPr>
            <w:tcW w:w="1078"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550274.03</w:t>
            </w:r>
          </w:p>
        </w:tc>
        <w:tc>
          <w:tcPr>
            <w:tcW w:w="693" w:type="pct"/>
            <w:vMerge w:val="continue"/>
            <w:tcBorders>
              <w:left w:val="single" w:color="auto" w:sz="6" w:space="0"/>
              <w:right w:val="single" w:color="auto" w:sz="6" w:space="0"/>
            </w:tcBorders>
            <w:vAlign w:val="center"/>
          </w:tcPr>
          <w:p>
            <w:pPr>
              <w:jc w:val="center"/>
              <w:rPr>
                <w:rFonts w:ascii="宋体" w:hAnsi="宋体" w:cs="宋体"/>
                <w:szCs w:val="21"/>
                <w:u w:val="single"/>
              </w:rPr>
            </w:pPr>
          </w:p>
        </w:tc>
      </w:tr>
      <w:tr>
        <w:tblPrEx>
          <w:tblCellMar>
            <w:top w:w="0" w:type="dxa"/>
            <w:left w:w="108" w:type="dxa"/>
            <w:bottom w:w="0" w:type="dxa"/>
            <w:right w:w="108" w:type="dxa"/>
          </w:tblCellMar>
        </w:tblPrEx>
        <w:trPr>
          <w:cantSplit/>
          <w:trHeight w:val="340" w:hRule="atLeast"/>
        </w:trPr>
        <w:tc>
          <w:tcPr>
            <w:tcW w:w="2153" w:type="pct"/>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r>
              <w:rPr>
                <w:rFonts w:hint="eastAsia" w:ascii="宋体" w:hAnsi="宋体" w:cs="宋体"/>
                <w:szCs w:val="21"/>
              </w:rPr>
              <w:t>***</w:t>
            </w:r>
          </w:p>
        </w:tc>
        <w:tc>
          <w:tcPr>
            <w:tcW w:w="283"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792"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737191.71</w:t>
            </w:r>
          </w:p>
        </w:tc>
        <w:tc>
          <w:tcPr>
            <w:tcW w:w="1078"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4880209.12</w:t>
            </w:r>
          </w:p>
        </w:tc>
        <w:tc>
          <w:tcPr>
            <w:tcW w:w="693" w:type="pct"/>
            <w:vMerge w:val="continue"/>
            <w:tcBorders>
              <w:left w:val="single" w:color="auto" w:sz="6" w:space="0"/>
              <w:right w:val="single" w:color="auto" w:sz="6" w:space="0"/>
            </w:tcBorders>
            <w:vAlign w:val="center"/>
          </w:tcPr>
          <w:p>
            <w:pPr>
              <w:jc w:val="center"/>
              <w:rPr>
                <w:rFonts w:ascii="宋体" w:hAnsi="宋体" w:cs="宋体"/>
                <w:szCs w:val="21"/>
                <w:u w:val="single"/>
              </w:rPr>
            </w:pPr>
          </w:p>
        </w:tc>
      </w:tr>
      <w:tr>
        <w:tblPrEx>
          <w:tblCellMar>
            <w:top w:w="0" w:type="dxa"/>
            <w:left w:w="108" w:type="dxa"/>
            <w:bottom w:w="0" w:type="dxa"/>
            <w:right w:w="108" w:type="dxa"/>
          </w:tblCellMar>
        </w:tblPrEx>
        <w:trPr>
          <w:cantSplit/>
          <w:trHeight w:val="340" w:hRule="atLeast"/>
        </w:trPr>
        <w:tc>
          <w:tcPr>
            <w:tcW w:w="2153" w:type="pct"/>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r>
              <w:rPr>
                <w:rFonts w:hint="eastAsia" w:ascii="宋体" w:hAnsi="宋体" w:cs="宋体"/>
                <w:szCs w:val="21"/>
              </w:rPr>
              <w:t>***</w:t>
            </w:r>
          </w:p>
        </w:tc>
        <w:tc>
          <w:tcPr>
            <w:tcW w:w="283"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792"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882569.70</w:t>
            </w:r>
          </w:p>
        </w:tc>
        <w:tc>
          <w:tcPr>
            <w:tcW w:w="1078"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5844376.66</w:t>
            </w:r>
          </w:p>
        </w:tc>
        <w:tc>
          <w:tcPr>
            <w:tcW w:w="693" w:type="pct"/>
            <w:vMerge w:val="continue"/>
            <w:tcBorders>
              <w:left w:val="single" w:color="auto" w:sz="6" w:space="0"/>
              <w:right w:val="single" w:color="auto" w:sz="6" w:space="0"/>
            </w:tcBorders>
            <w:vAlign w:val="center"/>
          </w:tcPr>
          <w:p>
            <w:pPr>
              <w:jc w:val="center"/>
              <w:rPr>
                <w:rFonts w:ascii="宋体" w:hAnsi="宋体" w:cs="宋体"/>
                <w:szCs w:val="21"/>
                <w:u w:val="single"/>
              </w:rPr>
            </w:pPr>
          </w:p>
        </w:tc>
      </w:tr>
      <w:tr>
        <w:tblPrEx>
          <w:tblCellMar>
            <w:top w:w="0" w:type="dxa"/>
            <w:left w:w="108" w:type="dxa"/>
            <w:bottom w:w="0" w:type="dxa"/>
            <w:right w:w="108" w:type="dxa"/>
          </w:tblCellMar>
        </w:tblPrEx>
        <w:trPr>
          <w:cantSplit/>
          <w:trHeight w:val="340" w:hRule="atLeast"/>
        </w:trPr>
        <w:tc>
          <w:tcPr>
            <w:tcW w:w="2153" w:type="pct"/>
            <w:tcBorders>
              <w:top w:val="single" w:color="auto" w:sz="6" w:space="0"/>
              <w:left w:val="single" w:color="auto" w:sz="6" w:space="0"/>
              <w:bottom w:val="single" w:color="auto" w:sz="6" w:space="0"/>
              <w:right w:val="single" w:color="auto" w:sz="6" w:space="0"/>
            </w:tcBorders>
          </w:tcPr>
          <w:p>
            <w:pPr>
              <w:tabs>
                <w:tab w:val="left" w:pos="4536"/>
                <w:tab w:val="left" w:pos="5103"/>
              </w:tabs>
              <w:jc w:val="center"/>
              <w:rPr>
                <w:rFonts w:ascii="宋体" w:hAnsi="宋体" w:cs="宋体"/>
                <w:szCs w:val="21"/>
              </w:rPr>
            </w:pPr>
            <w:r>
              <w:rPr>
                <w:rFonts w:hint="eastAsia" w:ascii="宋体" w:hAnsi="宋体" w:cs="宋体"/>
                <w:szCs w:val="21"/>
              </w:rPr>
              <w:t>***</w:t>
            </w:r>
          </w:p>
        </w:tc>
        <w:tc>
          <w:tcPr>
            <w:tcW w:w="283"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1</w:t>
            </w:r>
          </w:p>
        </w:tc>
        <w:tc>
          <w:tcPr>
            <w:tcW w:w="792"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 xml:space="preserve">314199.40 </w:t>
            </w:r>
          </w:p>
        </w:tc>
        <w:tc>
          <w:tcPr>
            <w:tcW w:w="1078"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2080000.00</w:t>
            </w:r>
          </w:p>
        </w:tc>
        <w:tc>
          <w:tcPr>
            <w:tcW w:w="693" w:type="pct"/>
            <w:vMerge w:val="continue"/>
            <w:tcBorders>
              <w:left w:val="single" w:color="auto" w:sz="6" w:space="0"/>
              <w:bottom w:val="single" w:color="auto" w:sz="6" w:space="0"/>
              <w:right w:val="single" w:color="auto" w:sz="6" w:space="0"/>
            </w:tcBorders>
            <w:vAlign w:val="center"/>
          </w:tcPr>
          <w:p>
            <w:pPr>
              <w:jc w:val="center"/>
              <w:rPr>
                <w:rFonts w:ascii="宋体" w:hAnsi="宋体" w:cs="宋体"/>
                <w:szCs w:val="21"/>
                <w:u w:val="single"/>
              </w:rPr>
            </w:pPr>
          </w:p>
        </w:tc>
      </w:tr>
      <w:tr>
        <w:tblPrEx>
          <w:tblCellMar>
            <w:top w:w="0" w:type="dxa"/>
            <w:left w:w="108" w:type="dxa"/>
            <w:bottom w:w="0" w:type="dxa"/>
            <w:right w:w="108" w:type="dxa"/>
          </w:tblCellMar>
        </w:tblPrEx>
        <w:trPr>
          <w:cantSplit/>
          <w:trHeight w:val="340" w:hRule="atLeast"/>
        </w:trPr>
        <w:tc>
          <w:tcPr>
            <w:tcW w:w="2153"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p>
        </w:tc>
        <w:tc>
          <w:tcPr>
            <w:tcW w:w="283"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p>
        </w:tc>
        <w:tc>
          <w:tcPr>
            <w:tcW w:w="792"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合计</w:t>
            </w:r>
          </w:p>
        </w:tc>
        <w:tc>
          <w:tcPr>
            <w:tcW w:w="1078" w:type="pct"/>
            <w:tcBorders>
              <w:top w:val="single" w:color="auto" w:sz="6" w:space="0"/>
              <w:left w:val="single" w:color="auto" w:sz="6" w:space="0"/>
              <w:bottom w:val="single" w:color="auto" w:sz="6" w:space="0"/>
              <w:right w:val="single" w:color="auto" w:sz="6" w:space="0"/>
            </w:tcBorders>
            <w:vAlign w:val="center"/>
          </w:tcPr>
          <w:p>
            <w:pPr>
              <w:tabs>
                <w:tab w:val="left" w:pos="4536"/>
                <w:tab w:val="left" w:pos="5103"/>
              </w:tabs>
              <w:jc w:val="center"/>
              <w:rPr>
                <w:rFonts w:ascii="宋体" w:hAnsi="宋体" w:cs="宋体"/>
                <w:szCs w:val="21"/>
              </w:rPr>
            </w:pPr>
            <w:r>
              <w:rPr>
                <w:rFonts w:hint="eastAsia" w:ascii="宋体" w:hAnsi="宋体" w:cs="宋体"/>
                <w:szCs w:val="21"/>
              </w:rPr>
              <w:t>人民币14,561,814.27</w:t>
            </w:r>
          </w:p>
        </w:tc>
        <w:tc>
          <w:tcPr>
            <w:tcW w:w="693"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u w:val="single"/>
              </w:rPr>
            </w:pPr>
          </w:p>
        </w:tc>
      </w:tr>
    </w:tbl>
    <w:p>
      <w:pPr>
        <w:ind w:firstLine="398"/>
        <w:rPr>
          <w:rFonts w:ascii="宋体" w:hAnsi="宋体" w:cs="宋体"/>
          <w:b/>
          <w:szCs w:val="21"/>
        </w:rPr>
      </w:pPr>
    </w:p>
    <w:p>
      <w:pPr>
        <w:ind w:firstLine="398"/>
        <w:rPr>
          <w:rFonts w:ascii="宋体" w:hAnsi="宋体" w:cs="宋体"/>
          <w:b/>
          <w:szCs w:val="21"/>
        </w:rPr>
      </w:pPr>
      <w:r>
        <w:rPr>
          <w:rFonts w:hint="eastAsia" w:ascii="宋体" w:hAnsi="宋体" w:cs="宋体"/>
          <w:b/>
          <w:szCs w:val="21"/>
        </w:rPr>
        <w:t>库存零备件及机载设备：</w:t>
      </w:r>
    </w:p>
    <w:tbl>
      <w:tblPr>
        <w:tblStyle w:val="59"/>
        <w:tblW w:w="4999" w:type="pct"/>
        <w:tblInd w:w="0" w:type="dxa"/>
        <w:tblLayout w:type="autofit"/>
        <w:tblCellMar>
          <w:top w:w="0" w:type="dxa"/>
          <w:left w:w="108" w:type="dxa"/>
          <w:bottom w:w="0" w:type="dxa"/>
          <w:right w:w="108" w:type="dxa"/>
        </w:tblCellMar>
      </w:tblPr>
      <w:tblGrid>
        <w:gridCol w:w="4155"/>
        <w:gridCol w:w="4371"/>
      </w:tblGrid>
      <w:tr>
        <w:tblPrEx>
          <w:tblCellMar>
            <w:top w:w="0" w:type="dxa"/>
            <w:left w:w="108" w:type="dxa"/>
            <w:bottom w:w="0" w:type="dxa"/>
            <w:right w:w="108" w:type="dxa"/>
          </w:tblCellMar>
        </w:tblPrEx>
        <w:trPr>
          <w:trHeight w:val="270" w:hRule="atLeast"/>
          <w:tblHeader/>
        </w:trPr>
        <w:tc>
          <w:tcPr>
            <w:tcW w:w="243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名称</w:t>
            </w:r>
          </w:p>
        </w:tc>
        <w:tc>
          <w:tcPr>
            <w:tcW w:w="2563" w:type="pct"/>
            <w:tcBorders>
              <w:top w:val="single" w:color="auto" w:sz="4" w:space="0"/>
              <w:left w:val="nil"/>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保险金额</w:t>
            </w:r>
            <w:r>
              <w:rPr>
                <w:rFonts w:hint="eastAsia" w:ascii="宋体" w:hAnsi="宋体" w:cs="宋体"/>
                <w:szCs w:val="21"/>
              </w:rPr>
              <w:t>(CNY)</w:t>
            </w:r>
          </w:p>
        </w:tc>
      </w:tr>
      <w:tr>
        <w:tblPrEx>
          <w:tblCellMar>
            <w:top w:w="0" w:type="dxa"/>
            <w:left w:w="108" w:type="dxa"/>
            <w:bottom w:w="0" w:type="dxa"/>
            <w:right w:w="108" w:type="dxa"/>
          </w:tblCellMar>
        </w:tblPrEx>
        <w:trPr>
          <w:trHeight w:val="35" w:hRule="atLeast"/>
          <w:tblHeader/>
        </w:trPr>
        <w:tc>
          <w:tcPr>
            <w:tcW w:w="2436" w:type="pc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bCs/>
                <w:szCs w:val="21"/>
              </w:rPr>
              <w:t>库存零备件及机载设备</w:t>
            </w:r>
          </w:p>
        </w:tc>
        <w:tc>
          <w:tcPr>
            <w:tcW w:w="2563" w:type="pct"/>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30,000,000.00</w:t>
            </w:r>
          </w:p>
        </w:tc>
      </w:tr>
      <w:tr>
        <w:tblPrEx>
          <w:tblCellMar>
            <w:top w:w="0" w:type="dxa"/>
            <w:left w:w="108" w:type="dxa"/>
            <w:bottom w:w="0" w:type="dxa"/>
            <w:right w:w="108" w:type="dxa"/>
          </w:tblCellMar>
        </w:tblPrEx>
        <w:trPr>
          <w:trHeight w:val="270" w:hRule="atLeast"/>
          <w:tblHeader/>
        </w:trPr>
        <w:tc>
          <w:tcPr>
            <w:tcW w:w="2436" w:type="pc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2563" w:type="pct"/>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人民币30,000,000.00</w:t>
            </w:r>
          </w:p>
        </w:tc>
      </w:tr>
    </w:tbl>
    <w:p>
      <w:pPr>
        <w:pStyle w:val="53"/>
        <w:spacing w:before="0" w:beforeAutospacing="0" w:after="0" w:afterAutospacing="0"/>
        <w:ind w:firstLine="398"/>
        <w:jc w:val="both"/>
        <w:rPr>
          <w:b/>
          <w:kern w:val="2"/>
          <w:sz w:val="21"/>
          <w:szCs w:val="21"/>
        </w:rPr>
      </w:pPr>
      <w:r>
        <w:rPr>
          <w:rFonts w:hint="eastAsia"/>
          <w:b/>
          <w:kern w:val="2"/>
          <w:sz w:val="21"/>
          <w:szCs w:val="21"/>
        </w:rPr>
        <w:t>以上投保直升机机身、机载设备、零备件协议价值共计: RMB473,373,366.39。</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2.2.1.4 保险标的用途</w:t>
      </w:r>
    </w:p>
    <w:p>
      <w:pPr>
        <w:pStyle w:val="53"/>
        <w:spacing w:before="0" w:beforeAutospacing="0" w:after="0" w:afterAutospacing="0"/>
        <w:ind w:left="210" w:leftChars="100" w:firstLine="420" w:firstLineChars="200"/>
        <w:jc w:val="both"/>
        <w:rPr>
          <w:kern w:val="2"/>
          <w:sz w:val="21"/>
          <w:szCs w:val="21"/>
        </w:rPr>
      </w:pPr>
      <w:r>
        <w:rPr>
          <w:rFonts w:hint="eastAsia"/>
          <w:kern w:val="2"/>
          <w:sz w:val="21"/>
          <w:szCs w:val="21"/>
        </w:rPr>
        <w:t xml:space="preserve">执行警务飞行以及政府下达的其他飞行任务。包括但不限于：训练飞行、飞行演练、空中巡察与指挥、空中侦察和追捕逃犯、反恐支援和空降突袭、快速运送人员和装备、城市消防救援、公务视察、贵宾接送、医疗急救、抢险救灾、应急救援、野外搜救、环境保护、缉私禁毒、交通疏导、航拍、飞行展示、静态展示、大修后的试飞、地面试车等。  </w:t>
      </w:r>
    </w:p>
    <w:p>
      <w:pPr>
        <w:pStyle w:val="53"/>
        <w:spacing w:before="0" w:beforeAutospacing="0" w:after="0" w:afterAutospacing="0"/>
        <w:ind w:left="210" w:leftChars="100" w:firstLine="420" w:firstLineChars="200"/>
        <w:jc w:val="both"/>
        <w:rPr>
          <w:kern w:val="2"/>
          <w:sz w:val="21"/>
          <w:szCs w:val="21"/>
        </w:rPr>
      </w:pP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2.2.1.5 飞行范围</w:t>
      </w:r>
    </w:p>
    <w:p>
      <w:pPr>
        <w:ind w:firstLine="630" w:firstLineChars="300"/>
        <w:rPr>
          <w:rFonts w:ascii="宋体" w:hAnsi="宋体" w:cs="宋体"/>
          <w:szCs w:val="21"/>
        </w:rPr>
      </w:pPr>
      <w:r>
        <w:rPr>
          <w:rFonts w:hint="eastAsia" w:ascii="宋体" w:hAnsi="宋体" w:cs="宋体"/>
          <w:szCs w:val="21"/>
        </w:rPr>
        <w:t>中华人民共和国境内（不包括香港、澳门、台湾地区）</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2.2.1.6 保险项目、免赔额及赔偿限额</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417"/>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2" w:type="dxa"/>
            <w:vAlign w:val="center"/>
          </w:tcPr>
          <w:p>
            <w:pPr>
              <w:snapToGrid w:val="0"/>
              <w:ind w:right="6"/>
              <w:jc w:val="center"/>
              <w:rPr>
                <w:rFonts w:ascii="宋体" w:hAnsi="宋体" w:cs="宋体"/>
                <w:b/>
                <w:szCs w:val="21"/>
              </w:rPr>
            </w:pPr>
            <w:r>
              <w:rPr>
                <w:rFonts w:hint="eastAsia" w:ascii="宋体" w:hAnsi="宋体" w:cs="宋体"/>
                <w:b/>
                <w:szCs w:val="21"/>
              </w:rPr>
              <w:t>险种</w:t>
            </w:r>
          </w:p>
        </w:tc>
        <w:tc>
          <w:tcPr>
            <w:tcW w:w="1417" w:type="dxa"/>
            <w:vAlign w:val="center"/>
          </w:tcPr>
          <w:p>
            <w:pPr>
              <w:snapToGrid w:val="0"/>
              <w:ind w:right="6"/>
              <w:jc w:val="center"/>
              <w:rPr>
                <w:rFonts w:ascii="宋体" w:hAnsi="宋体" w:cs="宋体"/>
                <w:b/>
                <w:szCs w:val="21"/>
              </w:rPr>
            </w:pPr>
            <w:r>
              <w:rPr>
                <w:rFonts w:hint="eastAsia" w:ascii="宋体" w:hAnsi="宋体" w:cs="宋体"/>
                <w:b/>
                <w:szCs w:val="21"/>
              </w:rPr>
              <w:t>免赔额</w:t>
            </w:r>
          </w:p>
        </w:tc>
        <w:tc>
          <w:tcPr>
            <w:tcW w:w="5567" w:type="dxa"/>
            <w:vAlign w:val="center"/>
          </w:tcPr>
          <w:p>
            <w:pPr>
              <w:snapToGrid w:val="0"/>
              <w:ind w:right="6"/>
              <w:jc w:val="center"/>
              <w:rPr>
                <w:rFonts w:ascii="宋体" w:hAnsi="宋体" w:cs="宋体"/>
                <w:b/>
                <w:szCs w:val="21"/>
              </w:rPr>
            </w:pPr>
            <w:r>
              <w:rPr>
                <w:rFonts w:hint="eastAsia" w:ascii="宋体" w:hAnsi="宋体" w:cs="宋体"/>
                <w:b/>
                <w:szCs w:val="21"/>
              </w:rPr>
              <w:t>保险金额/赔偿限额（包括免赔额）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02" w:type="dxa"/>
            <w:vAlign w:val="center"/>
          </w:tcPr>
          <w:p>
            <w:pPr>
              <w:snapToGrid w:val="0"/>
              <w:ind w:right="6"/>
              <w:jc w:val="center"/>
              <w:rPr>
                <w:rFonts w:ascii="宋体" w:hAnsi="宋体" w:cs="宋体"/>
                <w:szCs w:val="21"/>
              </w:rPr>
            </w:pPr>
            <w:r>
              <w:rPr>
                <w:rFonts w:hint="eastAsia" w:ascii="宋体" w:hAnsi="宋体" w:cs="宋体"/>
                <w:szCs w:val="21"/>
              </w:rPr>
              <w:t>一、机身、机载设备及零备件一切险</w:t>
            </w:r>
          </w:p>
        </w:tc>
        <w:tc>
          <w:tcPr>
            <w:tcW w:w="1417" w:type="dxa"/>
            <w:vAlign w:val="center"/>
          </w:tcPr>
          <w:p>
            <w:pPr>
              <w:snapToGrid w:val="0"/>
              <w:ind w:right="6"/>
              <w:jc w:val="center"/>
              <w:rPr>
                <w:rFonts w:ascii="宋体" w:hAnsi="宋体" w:cs="宋体"/>
                <w:szCs w:val="21"/>
              </w:rPr>
            </w:pPr>
            <w:r>
              <w:rPr>
                <w:rFonts w:hint="eastAsia" w:ascii="宋体" w:hAnsi="宋体" w:cs="宋体"/>
                <w:szCs w:val="21"/>
              </w:rPr>
              <w:t>无免赔</w:t>
            </w:r>
          </w:p>
        </w:tc>
        <w:tc>
          <w:tcPr>
            <w:tcW w:w="5567" w:type="dxa"/>
            <w:vAlign w:val="center"/>
          </w:tcPr>
          <w:p>
            <w:pPr>
              <w:snapToGrid w:val="0"/>
              <w:ind w:right="6"/>
              <w:jc w:val="center"/>
              <w:rPr>
                <w:rFonts w:ascii="宋体" w:hAnsi="宋体" w:cs="宋体"/>
                <w:szCs w:val="21"/>
              </w:rPr>
            </w:pPr>
            <w:r>
              <w:rPr>
                <w:rFonts w:hint="eastAsia" w:ascii="宋体" w:hAnsi="宋体" w:cs="宋体"/>
                <w:szCs w:val="21"/>
              </w:rPr>
              <w:t>按协议价值赔付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pPr>
              <w:snapToGrid w:val="0"/>
              <w:ind w:right="6"/>
              <w:jc w:val="center"/>
              <w:rPr>
                <w:rFonts w:ascii="宋体" w:hAnsi="宋体" w:cs="宋体"/>
                <w:szCs w:val="21"/>
              </w:rPr>
            </w:pPr>
            <w:r>
              <w:rPr>
                <w:rFonts w:hint="eastAsia" w:ascii="宋体" w:hAnsi="宋体" w:cs="宋体"/>
                <w:szCs w:val="21"/>
              </w:rPr>
              <w:t>二、第三者法定责任险</w:t>
            </w:r>
          </w:p>
          <w:p>
            <w:pPr>
              <w:snapToGrid w:val="0"/>
              <w:ind w:right="6"/>
              <w:jc w:val="center"/>
              <w:rPr>
                <w:rFonts w:ascii="宋体" w:hAnsi="宋体" w:cs="宋体"/>
                <w:szCs w:val="21"/>
              </w:rPr>
            </w:pPr>
            <w:r>
              <w:rPr>
                <w:rFonts w:hint="eastAsia" w:ascii="宋体" w:hAnsi="宋体" w:cs="宋体"/>
                <w:szCs w:val="21"/>
              </w:rPr>
              <w:t>+第三者法定责任险超额保险</w:t>
            </w:r>
          </w:p>
        </w:tc>
        <w:tc>
          <w:tcPr>
            <w:tcW w:w="1417" w:type="dxa"/>
            <w:vAlign w:val="center"/>
          </w:tcPr>
          <w:p>
            <w:pPr>
              <w:snapToGrid w:val="0"/>
              <w:ind w:right="6"/>
              <w:jc w:val="center"/>
              <w:rPr>
                <w:rFonts w:ascii="宋体" w:hAnsi="宋体" w:cs="宋体"/>
                <w:szCs w:val="21"/>
              </w:rPr>
            </w:pPr>
            <w:r>
              <w:rPr>
                <w:rFonts w:hint="eastAsia" w:ascii="宋体" w:hAnsi="宋体" w:cs="宋体"/>
                <w:szCs w:val="21"/>
              </w:rPr>
              <w:t>人身伤亡：无</w:t>
            </w:r>
          </w:p>
          <w:p>
            <w:pPr>
              <w:snapToGrid w:val="0"/>
              <w:ind w:right="6"/>
              <w:jc w:val="center"/>
              <w:rPr>
                <w:rFonts w:ascii="宋体" w:hAnsi="宋体" w:cs="宋体"/>
                <w:szCs w:val="21"/>
              </w:rPr>
            </w:pPr>
            <w:r>
              <w:rPr>
                <w:rFonts w:hint="eastAsia" w:ascii="宋体" w:hAnsi="宋体" w:cs="宋体"/>
                <w:szCs w:val="21"/>
              </w:rPr>
              <w:t>物质损失：无</w:t>
            </w:r>
          </w:p>
        </w:tc>
        <w:tc>
          <w:tcPr>
            <w:tcW w:w="5567" w:type="dxa"/>
            <w:vAlign w:val="center"/>
          </w:tcPr>
          <w:p>
            <w:pPr>
              <w:snapToGrid w:val="0"/>
              <w:ind w:right="6"/>
              <w:jc w:val="left"/>
              <w:rPr>
                <w:rFonts w:ascii="宋体" w:hAnsi="宋体" w:cs="宋体"/>
                <w:szCs w:val="21"/>
              </w:rPr>
            </w:pPr>
            <w:r>
              <w:rPr>
                <w:rFonts w:hint="eastAsia" w:ascii="宋体" w:hAnsi="宋体" w:cs="宋体"/>
                <w:szCs w:val="21"/>
              </w:rPr>
              <w:t>第三者法定责任险：每架直升机：￥5,000万元/每次事件及年累计；</w:t>
            </w:r>
          </w:p>
          <w:p>
            <w:pPr>
              <w:snapToGrid w:val="0"/>
              <w:ind w:right="6"/>
              <w:jc w:val="left"/>
              <w:rPr>
                <w:rFonts w:ascii="宋体" w:hAnsi="宋体" w:cs="宋体"/>
                <w:szCs w:val="21"/>
              </w:rPr>
            </w:pPr>
            <w:r>
              <w:rPr>
                <w:rFonts w:hint="eastAsia" w:ascii="宋体" w:hAnsi="宋体" w:cs="宋体"/>
                <w:szCs w:val="21"/>
              </w:rPr>
              <w:t>第三者法定责任险超额保险： 4架直升机（以及在本保单年度内加入的直升机）在各自保险期限内共同适用的每次事件及累计赔偿限额为￥20,000万元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pPr>
              <w:snapToGrid w:val="0"/>
              <w:ind w:right="6"/>
              <w:jc w:val="center"/>
              <w:rPr>
                <w:rFonts w:ascii="宋体" w:hAnsi="宋体" w:cs="宋体"/>
                <w:szCs w:val="21"/>
              </w:rPr>
            </w:pPr>
            <w:r>
              <w:rPr>
                <w:rFonts w:hint="eastAsia" w:ascii="宋体" w:hAnsi="宋体" w:cs="宋体"/>
                <w:szCs w:val="21"/>
              </w:rPr>
              <w:t>三、乘客责任险</w:t>
            </w:r>
          </w:p>
          <w:p>
            <w:pPr>
              <w:snapToGrid w:val="0"/>
              <w:ind w:right="6"/>
              <w:jc w:val="center"/>
              <w:rPr>
                <w:rFonts w:ascii="宋体" w:hAnsi="宋体" w:cs="宋体"/>
                <w:szCs w:val="21"/>
              </w:rPr>
            </w:pPr>
            <w:r>
              <w:rPr>
                <w:rFonts w:hint="eastAsia" w:ascii="宋体" w:hAnsi="宋体" w:cs="宋体"/>
                <w:szCs w:val="21"/>
              </w:rPr>
              <w:t>(包括飞行员及机组人员)</w:t>
            </w:r>
          </w:p>
        </w:tc>
        <w:tc>
          <w:tcPr>
            <w:tcW w:w="1417" w:type="dxa"/>
            <w:vAlign w:val="center"/>
          </w:tcPr>
          <w:p>
            <w:pPr>
              <w:snapToGrid w:val="0"/>
              <w:ind w:right="6"/>
              <w:jc w:val="center"/>
              <w:rPr>
                <w:rFonts w:ascii="宋体" w:hAnsi="宋体" w:cs="宋体"/>
                <w:szCs w:val="21"/>
              </w:rPr>
            </w:pPr>
            <w:r>
              <w:rPr>
                <w:rFonts w:hint="eastAsia" w:ascii="宋体" w:hAnsi="宋体" w:cs="宋体"/>
                <w:szCs w:val="21"/>
              </w:rPr>
              <w:t>人身伤亡：无</w:t>
            </w:r>
          </w:p>
          <w:p>
            <w:pPr>
              <w:snapToGrid w:val="0"/>
              <w:ind w:right="6"/>
              <w:jc w:val="center"/>
              <w:rPr>
                <w:rFonts w:ascii="宋体" w:hAnsi="宋体" w:cs="宋体"/>
                <w:szCs w:val="21"/>
              </w:rPr>
            </w:pPr>
            <w:r>
              <w:rPr>
                <w:rFonts w:hint="eastAsia" w:ascii="宋体" w:hAnsi="宋体" w:cs="宋体"/>
                <w:szCs w:val="21"/>
              </w:rPr>
              <w:t>行李及个人物品：无</w:t>
            </w:r>
          </w:p>
        </w:tc>
        <w:tc>
          <w:tcPr>
            <w:tcW w:w="5567" w:type="dxa"/>
            <w:vAlign w:val="center"/>
          </w:tcPr>
          <w:p>
            <w:pPr>
              <w:snapToGrid w:val="0"/>
              <w:ind w:right="6"/>
              <w:jc w:val="center"/>
              <w:rPr>
                <w:rFonts w:ascii="宋体" w:hAnsi="宋体" w:cs="宋体"/>
                <w:szCs w:val="21"/>
              </w:rPr>
            </w:pPr>
            <w:r>
              <w:rPr>
                <w:rFonts w:hint="eastAsia" w:ascii="宋体" w:hAnsi="宋体" w:cs="宋体"/>
                <w:szCs w:val="21"/>
              </w:rPr>
              <w:t>人身伤亡：￥250万元/每人每次事故</w:t>
            </w:r>
          </w:p>
          <w:p>
            <w:pPr>
              <w:snapToGrid w:val="0"/>
              <w:ind w:right="6"/>
              <w:jc w:val="center"/>
              <w:rPr>
                <w:rFonts w:ascii="宋体" w:hAnsi="宋体" w:cs="宋体"/>
                <w:szCs w:val="21"/>
              </w:rPr>
            </w:pPr>
            <w:r>
              <w:rPr>
                <w:rFonts w:hint="eastAsia" w:ascii="宋体" w:hAnsi="宋体" w:cs="宋体"/>
                <w:szCs w:val="21"/>
              </w:rPr>
              <w:t>行李及物品：￥10万元/每人每次事故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02" w:type="dxa"/>
            <w:vAlign w:val="center"/>
          </w:tcPr>
          <w:p>
            <w:pPr>
              <w:snapToGrid w:val="0"/>
              <w:ind w:right="6"/>
              <w:jc w:val="center"/>
              <w:rPr>
                <w:rFonts w:ascii="宋体" w:hAnsi="宋体" w:cs="宋体"/>
                <w:szCs w:val="21"/>
              </w:rPr>
            </w:pPr>
            <w:r>
              <w:rPr>
                <w:rFonts w:hint="eastAsia" w:ascii="宋体" w:hAnsi="宋体" w:cs="宋体"/>
                <w:szCs w:val="21"/>
              </w:rPr>
              <w:t>四、航空机身战争及相关风险保障</w:t>
            </w:r>
          </w:p>
        </w:tc>
        <w:tc>
          <w:tcPr>
            <w:tcW w:w="1417" w:type="dxa"/>
            <w:vAlign w:val="center"/>
          </w:tcPr>
          <w:p>
            <w:pPr>
              <w:snapToGrid w:val="0"/>
              <w:ind w:right="6"/>
              <w:jc w:val="center"/>
              <w:rPr>
                <w:rFonts w:ascii="宋体" w:hAnsi="宋体" w:cs="宋体"/>
                <w:szCs w:val="21"/>
              </w:rPr>
            </w:pPr>
            <w:r>
              <w:rPr>
                <w:rFonts w:hint="eastAsia" w:ascii="宋体" w:hAnsi="宋体" w:cs="宋体"/>
                <w:szCs w:val="21"/>
              </w:rPr>
              <w:t>无</w:t>
            </w:r>
          </w:p>
        </w:tc>
        <w:tc>
          <w:tcPr>
            <w:tcW w:w="5567" w:type="dxa"/>
            <w:vAlign w:val="center"/>
          </w:tcPr>
          <w:p>
            <w:pPr>
              <w:snapToGrid w:val="0"/>
              <w:ind w:right="6"/>
              <w:jc w:val="center"/>
              <w:rPr>
                <w:rFonts w:ascii="宋体" w:hAnsi="宋体" w:cs="宋体"/>
                <w:szCs w:val="21"/>
              </w:rPr>
            </w:pPr>
            <w:r>
              <w:rPr>
                <w:rFonts w:hint="eastAsia" w:ascii="宋体" w:hAnsi="宋体" w:cs="宋体"/>
                <w:szCs w:val="21"/>
              </w:rPr>
              <w:t>同第一部分</w:t>
            </w:r>
          </w:p>
        </w:tc>
      </w:tr>
    </w:tbl>
    <w:p>
      <w:pPr>
        <w:ind w:firstLine="398"/>
        <w:rPr>
          <w:rFonts w:ascii="宋体" w:hAnsi="宋体" w:cs="宋体"/>
          <w:b/>
          <w:szCs w:val="21"/>
        </w:rPr>
      </w:pPr>
      <w:r>
        <w:rPr>
          <w:rFonts w:hint="eastAsia" w:ascii="宋体" w:hAnsi="宋体" w:cs="宋体"/>
          <w:b/>
          <w:szCs w:val="21"/>
        </w:rPr>
        <w:t>注：以上包括航空责任战争及相关风险保障AVN52E</w:t>
      </w: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2.2.1.7 保险期限</w:t>
      </w:r>
    </w:p>
    <w:p>
      <w:pPr>
        <w:pStyle w:val="53"/>
        <w:spacing w:before="0" w:beforeAutospacing="0" w:after="0" w:afterAutospacing="0"/>
        <w:ind w:firstLine="396"/>
        <w:jc w:val="both"/>
        <w:rPr>
          <w:sz w:val="21"/>
          <w:szCs w:val="21"/>
        </w:rPr>
      </w:pPr>
      <w:r>
        <w:rPr>
          <w:rFonts w:hint="eastAsia"/>
          <w:sz w:val="21"/>
          <w:szCs w:val="21"/>
        </w:rPr>
        <w:t>3***1：2024年06月26日零时起，至2025年06月25日二十四时止；</w:t>
      </w:r>
    </w:p>
    <w:p>
      <w:pPr>
        <w:pStyle w:val="53"/>
        <w:spacing w:before="0" w:beforeAutospacing="0" w:after="0" w:afterAutospacing="0"/>
        <w:ind w:firstLine="396"/>
        <w:jc w:val="both"/>
        <w:rPr>
          <w:sz w:val="21"/>
          <w:szCs w:val="21"/>
        </w:rPr>
      </w:pPr>
      <w:r>
        <w:rPr>
          <w:rFonts w:hint="eastAsia"/>
          <w:sz w:val="21"/>
          <w:szCs w:val="21"/>
        </w:rPr>
        <w:t>3</w:t>
      </w:r>
      <w:r>
        <w:rPr>
          <w:rFonts w:hint="eastAsia"/>
          <w:szCs w:val="21"/>
        </w:rPr>
        <w:t>***</w:t>
      </w:r>
      <w:r>
        <w:rPr>
          <w:rFonts w:hint="eastAsia"/>
          <w:sz w:val="21"/>
          <w:szCs w:val="21"/>
        </w:rPr>
        <w:t>2：2024年06月26日零时起，至2025年06月25日二十四时止；</w:t>
      </w:r>
    </w:p>
    <w:p>
      <w:pPr>
        <w:pStyle w:val="53"/>
        <w:spacing w:before="0" w:beforeAutospacing="0" w:after="0" w:afterAutospacing="0"/>
        <w:ind w:firstLine="396"/>
        <w:jc w:val="both"/>
        <w:rPr>
          <w:sz w:val="21"/>
          <w:szCs w:val="21"/>
        </w:rPr>
      </w:pPr>
      <w:r>
        <w:rPr>
          <w:rFonts w:hint="eastAsia"/>
          <w:sz w:val="21"/>
          <w:szCs w:val="21"/>
        </w:rPr>
        <w:t>3</w:t>
      </w:r>
      <w:r>
        <w:rPr>
          <w:rFonts w:hint="eastAsia"/>
          <w:szCs w:val="21"/>
        </w:rPr>
        <w:t>***</w:t>
      </w:r>
      <w:r>
        <w:rPr>
          <w:rFonts w:hint="eastAsia"/>
          <w:sz w:val="21"/>
          <w:szCs w:val="21"/>
        </w:rPr>
        <w:t>5：2024年06月26日零时起，至2025年06月25日二十四时止；</w:t>
      </w:r>
    </w:p>
    <w:p>
      <w:pPr>
        <w:pStyle w:val="53"/>
        <w:spacing w:before="0" w:beforeAutospacing="0" w:after="0" w:afterAutospacing="0"/>
        <w:ind w:firstLine="396"/>
        <w:jc w:val="both"/>
        <w:rPr>
          <w:sz w:val="21"/>
          <w:szCs w:val="21"/>
        </w:rPr>
      </w:pPr>
      <w:r>
        <w:rPr>
          <w:rFonts w:hint="eastAsia"/>
          <w:sz w:val="21"/>
          <w:szCs w:val="21"/>
        </w:rPr>
        <w:t>3</w:t>
      </w:r>
      <w:r>
        <w:rPr>
          <w:rFonts w:hint="eastAsia"/>
          <w:szCs w:val="21"/>
        </w:rPr>
        <w:t>***</w:t>
      </w:r>
      <w:r>
        <w:rPr>
          <w:rFonts w:hint="eastAsia"/>
          <w:sz w:val="21"/>
          <w:szCs w:val="21"/>
        </w:rPr>
        <w:t>6：2024年06月26日零时起，至2025年06月25日二十四时止。</w:t>
      </w:r>
    </w:p>
    <w:p>
      <w:pPr>
        <w:pStyle w:val="53"/>
        <w:spacing w:before="0" w:beforeAutospacing="0" w:after="0" w:afterAutospacing="0"/>
        <w:ind w:firstLine="420" w:firstLineChars="200"/>
        <w:jc w:val="both"/>
        <w:rPr>
          <w:sz w:val="21"/>
          <w:szCs w:val="21"/>
        </w:rPr>
      </w:pPr>
      <w:r>
        <w:rPr>
          <w:rFonts w:hint="eastAsia"/>
          <w:sz w:val="21"/>
          <w:szCs w:val="21"/>
        </w:rPr>
        <w:t>具体保险日期以投保人最终确认为准（北京时间）</w:t>
      </w:r>
    </w:p>
    <w:p>
      <w:pPr>
        <w:pStyle w:val="53"/>
        <w:spacing w:before="0" w:beforeAutospacing="0" w:after="0" w:afterAutospacing="0"/>
        <w:ind w:firstLine="398"/>
        <w:jc w:val="both"/>
        <w:rPr>
          <w:rFonts w:ascii="Microsoft YaHei UI" w:hAnsi="Microsoft YaHei UI" w:eastAsia="Microsoft YaHei UI" w:cs="Arial"/>
          <w:kern w:val="2"/>
          <w:sz w:val="18"/>
          <w:szCs w:val="18"/>
        </w:rPr>
      </w:pP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2.2.1.8 司法管辖</w:t>
      </w:r>
    </w:p>
    <w:p>
      <w:pPr>
        <w:ind w:firstLine="420" w:firstLineChars="200"/>
        <w:rPr>
          <w:rFonts w:ascii="宋体" w:hAnsi="宋体" w:cs="宋体"/>
          <w:szCs w:val="21"/>
        </w:rPr>
      </w:pPr>
      <w:r>
        <w:rPr>
          <w:rFonts w:hint="eastAsia" w:ascii="宋体" w:hAnsi="宋体" w:cs="宋体"/>
          <w:szCs w:val="21"/>
        </w:rPr>
        <w:t>中华人民共和国司法管辖。</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2.2.1.9特别约定</w:t>
      </w:r>
    </w:p>
    <w:p>
      <w:pPr>
        <w:ind w:firstLine="398"/>
        <w:rPr>
          <w:rFonts w:ascii="宋体" w:hAnsi="宋体" w:cs="宋体"/>
          <w:szCs w:val="21"/>
        </w:rPr>
      </w:pPr>
      <w:r>
        <w:rPr>
          <w:rFonts w:hint="eastAsia" w:ascii="宋体" w:hAnsi="宋体" w:cs="宋体"/>
          <w:szCs w:val="21"/>
        </w:rPr>
        <w:t xml:space="preserve">★2.2.1.9.1兹经双方同意并约定，鉴于本保单承保的直升机属于国家航空器并主要用于执行警务飞行和政府下达的其他飞行任务，因此被保险直升机不适用于民用航空器的相关规定，而适用于中国公安警航系统的相关管理规定。 </w:t>
      </w:r>
    </w:p>
    <w:p>
      <w:pPr>
        <w:ind w:firstLine="398"/>
        <w:rPr>
          <w:rFonts w:ascii="宋体" w:hAnsi="宋体" w:cs="宋体"/>
          <w:szCs w:val="21"/>
        </w:rPr>
      </w:pPr>
      <w:r>
        <w:rPr>
          <w:rFonts w:hint="eastAsia" w:ascii="宋体" w:hAnsi="宋体" w:cs="宋体"/>
          <w:szCs w:val="21"/>
        </w:rPr>
        <w:t>★2.2.1.9.2兹经双方同意并约定，本保单中的“乘客”指直升机上或处于与直升机相连的任何设备或装置上的任何人员，包括但不限于：</w:t>
      </w:r>
    </w:p>
    <w:p>
      <w:pPr>
        <w:rPr>
          <w:rFonts w:ascii="宋体" w:hAnsi="宋体" w:cs="宋体"/>
          <w:szCs w:val="21"/>
        </w:rPr>
      </w:pPr>
      <w:r>
        <w:rPr>
          <w:rFonts w:hint="eastAsia" w:ascii="宋体" w:hAnsi="宋体" w:cs="宋体"/>
          <w:szCs w:val="21"/>
        </w:rPr>
        <w:t>—飞行员及机组人员；</w:t>
      </w:r>
    </w:p>
    <w:p>
      <w:pPr>
        <w:rPr>
          <w:rFonts w:ascii="宋体" w:hAnsi="宋体" w:cs="宋体"/>
          <w:szCs w:val="21"/>
        </w:rPr>
      </w:pPr>
      <w:r>
        <w:rPr>
          <w:rFonts w:hint="eastAsia" w:ascii="宋体" w:hAnsi="宋体" w:cs="宋体"/>
          <w:szCs w:val="21"/>
        </w:rPr>
        <w:t xml:space="preserve">—在直升机上履行或者不履行指导和监督职责的被保险人工作人员； </w:t>
      </w:r>
    </w:p>
    <w:p>
      <w:pPr>
        <w:rPr>
          <w:rFonts w:ascii="宋体" w:hAnsi="宋体" w:cs="宋体"/>
          <w:szCs w:val="21"/>
        </w:rPr>
      </w:pPr>
      <w:r>
        <w:rPr>
          <w:rFonts w:hint="eastAsia" w:ascii="宋体" w:hAnsi="宋体" w:cs="宋体"/>
          <w:szCs w:val="21"/>
        </w:rPr>
        <w:t>—在受雇佣前需要进行飞行检查的被保险人的预聘工作人员；</w:t>
      </w:r>
    </w:p>
    <w:p>
      <w:pPr>
        <w:rPr>
          <w:rFonts w:ascii="宋体" w:hAnsi="宋体" w:cs="宋体"/>
          <w:szCs w:val="21"/>
        </w:rPr>
      </w:pPr>
      <w:r>
        <w:rPr>
          <w:rFonts w:hint="eastAsia" w:ascii="宋体" w:hAnsi="宋体" w:cs="宋体"/>
          <w:szCs w:val="21"/>
        </w:rPr>
        <w:t>—处于滑索上的或通过绞机和滑索上下直升机的人员；</w:t>
      </w:r>
    </w:p>
    <w:p>
      <w:pPr>
        <w:rPr>
          <w:rFonts w:ascii="宋体" w:hAnsi="宋体" w:cs="宋体"/>
          <w:szCs w:val="21"/>
        </w:rPr>
      </w:pPr>
      <w:r>
        <w:rPr>
          <w:rFonts w:hint="eastAsia" w:ascii="宋体" w:hAnsi="宋体" w:cs="宋体"/>
          <w:szCs w:val="21"/>
        </w:rPr>
        <w:t>—各级领导人、外国专家及被救援人员；</w:t>
      </w:r>
    </w:p>
    <w:p>
      <w:pPr>
        <w:rPr>
          <w:rFonts w:ascii="宋体" w:hAnsi="宋体" w:cs="宋体"/>
          <w:szCs w:val="21"/>
        </w:rPr>
      </w:pPr>
      <w:r>
        <w:rPr>
          <w:rFonts w:hint="eastAsia" w:ascii="宋体" w:hAnsi="宋体" w:cs="宋体"/>
          <w:szCs w:val="21"/>
        </w:rPr>
        <w:t>—其他相关人员。</w:t>
      </w:r>
    </w:p>
    <w:p>
      <w:pPr>
        <w:ind w:firstLine="398"/>
        <w:rPr>
          <w:rFonts w:ascii="宋体" w:hAnsi="宋体" w:cs="宋体"/>
          <w:szCs w:val="21"/>
        </w:rPr>
      </w:pPr>
      <w:r>
        <w:rPr>
          <w:rFonts w:hint="eastAsia" w:ascii="宋体" w:hAnsi="宋体" w:cs="宋体"/>
          <w:szCs w:val="21"/>
        </w:rPr>
        <w:t>★2.2.1.9.3 兹经双方同意并约定，对于整个保单的除外责任中“乘客数量”除外条款修改如下：当直升机所载乘客总数超过最大乘客座位数时，但在不超过该直升机规定的最大起飞重量前提下，以下情况不在此限：</w:t>
      </w:r>
    </w:p>
    <w:p>
      <w:pPr>
        <w:numPr>
          <w:ilvl w:val="0"/>
          <w:numId w:val="31"/>
        </w:numPr>
        <w:ind w:left="-210" w:leftChars="-100" w:firstLine="397"/>
        <w:rPr>
          <w:rFonts w:ascii="宋体" w:hAnsi="宋体" w:cs="宋体"/>
          <w:szCs w:val="21"/>
        </w:rPr>
      </w:pPr>
      <w:r>
        <w:rPr>
          <w:rFonts w:hint="eastAsia" w:ascii="宋体" w:hAnsi="宋体" w:cs="宋体"/>
          <w:szCs w:val="21"/>
        </w:rPr>
        <w:t>参与处置恐怖、暴力案件及重大突发事件；</w:t>
      </w:r>
    </w:p>
    <w:p>
      <w:pPr>
        <w:numPr>
          <w:ilvl w:val="0"/>
          <w:numId w:val="31"/>
        </w:numPr>
        <w:ind w:left="-210" w:leftChars="-100" w:firstLine="397"/>
        <w:rPr>
          <w:rFonts w:ascii="宋体" w:hAnsi="宋体" w:cs="宋体"/>
          <w:szCs w:val="21"/>
        </w:rPr>
      </w:pPr>
      <w:r>
        <w:rPr>
          <w:rFonts w:hint="eastAsia" w:ascii="宋体" w:hAnsi="宋体" w:cs="宋体"/>
          <w:szCs w:val="21"/>
        </w:rPr>
        <w:t>参加重大活动的安全保卫；</w:t>
      </w:r>
    </w:p>
    <w:p>
      <w:pPr>
        <w:numPr>
          <w:ilvl w:val="0"/>
          <w:numId w:val="31"/>
        </w:numPr>
        <w:ind w:left="-210" w:leftChars="-100" w:firstLine="397"/>
        <w:rPr>
          <w:rFonts w:ascii="宋体" w:hAnsi="宋体" w:cs="宋体"/>
          <w:szCs w:val="21"/>
        </w:rPr>
      </w:pPr>
      <w:r>
        <w:rPr>
          <w:rFonts w:hint="eastAsia" w:ascii="宋体" w:hAnsi="宋体" w:cs="宋体"/>
          <w:szCs w:val="21"/>
        </w:rPr>
        <w:t>参加追捕逃犯、禁毒缉私；</w:t>
      </w:r>
    </w:p>
    <w:p>
      <w:pPr>
        <w:numPr>
          <w:ilvl w:val="0"/>
          <w:numId w:val="31"/>
        </w:numPr>
        <w:ind w:left="-210" w:leftChars="-100" w:firstLine="397"/>
        <w:rPr>
          <w:rFonts w:ascii="宋体" w:hAnsi="宋体" w:cs="宋体"/>
          <w:szCs w:val="21"/>
        </w:rPr>
      </w:pPr>
      <w:r>
        <w:rPr>
          <w:rFonts w:hint="eastAsia" w:ascii="宋体" w:hAnsi="宋体" w:cs="宋体"/>
          <w:szCs w:val="21"/>
        </w:rPr>
        <w:t>组织空中侦查、监控警戒；</w:t>
      </w:r>
    </w:p>
    <w:p>
      <w:pPr>
        <w:numPr>
          <w:ilvl w:val="0"/>
          <w:numId w:val="31"/>
        </w:numPr>
        <w:ind w:left="-210" w:leftChars="-100" w:firstLine="397"/>
        <w:rPr>
          <w:rFonts w:ascii="宋体" w:hAnsi="宋体" w:cs="宋体"/>
          <w:szCs w:val="21"/>
        </w:rPr>
      </w:pPr>
      <w:r>
        <w:rPr>
          <w:rFonts w:hint="eastAsia" w:ascii="宋体" w:hAnsi="宋体" w:cs="宋体"/>
          <w:szCs w:val="21"/>
        </w:rPr>
        <w:t>协助治安管理、交通管理；</w:t>
      </w:r>
    </w:p>
    <w:p>
      <w:pPr>
        <w:numPr>
          <w:ilvl w:val="0"/>
          <w:numId w:val="31"/>
        </w:numPr>
        <w:ind w:left="-210" w:leftChars="-100" w:firstLine="397"/>
        <w:rPr>
          <w:rFonts w:ascii="宋体" w:hAnsi="宋体" w:cs="宋体"/>
          <w:szCs w:val="21"/>
        </w:rPr>
      </w:pPr>
      <w:r>
        <w:rPr>
          <w:rFonts w:hint="eastAsia" w:ascii="宋体" w:hAnsi="宋体" w:cs="宋体"/>
          <w:szCs w:val="21"/>
        </w:rPr>
        <w:t>协助或实施消防灭火；</w:t>
      </w:r>
    </w:p>
    <w:p>
      <w:pPr>
        <w:numPr>
          <w:ilvl w:val="0"/>
          <w:numId w:val="31"/>
        </w:numPr>
        <w:ind w:left="-210" w:leftChars="-100" w:firstLine="397"/>
        <w:rPr>
          <w:rFonts w:ascii="宋体" w:hAnsi="宋体" w:cs="宋体"/>
          <w:szCs w:val="21"/>
        </w:rPr>
      </w:pPr>
      <w:r>
        <w:rPr>
          <w:rFonts w:hint="eastAsia" w:ascii="宋体" w:hAnsi="宋体" w:cs="宋体"/>
          <w:szCs w:val="21"/>
        </w:rPr>
        <w:t>实施警力、物资紧急投送；</w:t>
      </w:r>
    </w:p>
    <w:p>
      <w:pPr>
        <w:numPr>
          <w:ilvl w:val="0"/>
          <w:numId w:val="31"/>
        </w:numPr>
        <w:ind w:left="-210" w:leftChars="-100" w:firstLine="397"/>
        <w:rPr>
          <w:rFonts w:ascii="宋体" w:hAnsi="宋体" w:cs="宋体"/>
          <w:szCs w:val="21"/>
        </w:rPr>
      </w:pPr>
      <w:r>
        <w:rPr>
          <w:rFonts w:hint="eastAsia" w:ascii="宋体" w:hAnsi="宋体" w:cs="宋体"/>
          <w:szCs w:val="21"/>
        </w:rPr>
        <w:t>参加抢险救灾和应急救援；</w:t>
      </w:r>
    </w:p>
    <w:p>
      <w:pPr>
        <w:numPr>
          <w:ilvl w:val="0"/>
          <w:numId w:val="31"/>
        </w:numPr>
        <w:ind w:left="-210" w:leftChars="-100" w:firstLine="397"/>
        <w:rPr>
          <w:rFonts w:ascii="宋体" w:hAnsi="宋体" w:cs="宋体"/>
          <w:szCs w:val="21"/>
        </w:rPr>
      </w:pPr>
      <w:r>
        <w:rPr>
          <w:rFonts w:hint="eastAsia" w:ascii="宋体" w:hAnsi="宋体" w:cs="宋体"/>
          <w:szCs w:val="21"/>
        </w:rPr>
        <w:t>协助政府有关部门开展城市规划、安全监管、环境监测等执法活动；</w:t>
      </w:r>
    </w:p>
    <w:p>
      <w:pPr>
        <w:numPr>
          <w:ilvl w:val="0"/>
          <w:numId w:val="31"/>
        </w:numPr>
        <w:ind w:left="-210" w:leftChars="-100" w:firstLine="397"/>
        <w:rPr>
          <w:rFonts w:ascii="宋体" w:hAnsi="宋体" w:cs="宋体"/>
          <w:szCs w:val="21"/>
        </w:rPr>
      </w:pPr>
      <w:r>
        <w:rPr>
          <w:rFonts w:hint="eastAsia" w:ascii="宋体" w:hAnsi="宋体" w:cs="宋体"/>
          <w:szCs w:val="21"/>
        </w:rPr>
        <w:t>上级赋予的其他任务。</w:t>
      </w:r>
    </w:p>
    <w:p>
      <w:pPr>
        <w:rPr>
          <w:rFonts w:ascii="宋体" w:hAnsi="宋体" w:cs="宋体"/>
          <w:szCs w:val="21"/>
        </w:rPr>
      </w:pPr>
      <w:r>
        <w:rPr>
          <w:rFonts w:hint="eastAsia" w:ascii="宋体" w:hAnsi="宋体" w:cs="宋体"/>
          <w:szCs w:val="21"/>
        </w:rPr>
        <w:t>同时，当发生此处列明承保的超员不超载的情况时，本保单的乘客责任险(包括飞行员及机组人员)赔偿人数以实际人数为准，每人赔偿标准以保单约定的赔偿限额为准。</w:t>
      </w:r>
    </w:p>
    <w:p>
      <w:pPr>
        <w:ind w:firstLine="398"/>
        <w:rPr>
          <w:rFonts w:ascii="宋体" w:hAnsi="宋体" w:cs="宋体"/>
          <w:szCs w:val="21"/>
        </w:rPr>
      </w:pPr>
      <w:r>
        <w:rPr>
          <w:rFonts w:hint="eastAsia" w:ascii="宋体" w:hAnsi="宋体" w:cs="宋体"/>
          <w:szCs w:val="21"/>
        </w:rPr>
        <w:t>★2.2.1.9.4兹经双方同意并约定，保险事故发生后，被保险直升机的修理费用加上施救费用及从事故地点运往修理地点及返回经营地的运输费用达到或超过保险金额的75％时，被保险人可以选择宣布推定全损，保险人可按直升机的保险金额进行赔付。经过双方协商，保险人可以获得受损直升机的残值及其相关利益。直升机的残值可由经被保险人同意的专家确定或经保险双方协商认定。上述被保险直升机如加装高价值机载设备，推定全损计算时损失及保险金额均不考虑机载设备，机载设备是否具备经济维修的可能性另行协商。</w:t>
      </w:r>
    </w:p>
    <w:p>
      <w:pPr>
        <w:ind w:firstLine="398"/>
        <w:rPr>
          <w:rFonts w:ascii="宋体" w:hAnsi="宋体" w:cs="宋体"/>
          <w:szCs w:val="21"/>
        </w:rPr>
      </w:pPr>
      <w:r>
        <w:rPr>
          <w:rFonts w:hint="eastAsia" w:ascii="宋体" w:hAnsi="宋体" w:cs="宋体"/>
          <w:szCs w:val="21"/>
        </w:rPr>
        <w:t>★2.2.1.9.5兹经双方同意并约定，当乘客责任险保险事故发生后，不论死伤者是否属于被保险人的工作人员或聘任的其他人员，保险人均将其视为普通乘客（而非被保险人的工作人员或聘任的其他人员）依法赔偿死亡或残疾赔偿金。除死亡和残疾赔偿金之外的项目依照《民法典（第七编侵权责任）》及《最高人民法院关于审理人身损害赔偿案件适用法律若干问题的解释》中规定的赔偿项目及赔偿标准进行赔偿。</w:t>
      </w:r>
    </w:p>
    <w:p>
      <w:pPr>
        <w:ind w:firstLine="398"/>
        <w:rPr>
          <w:rFonts w:ascii="宋体" w:hAnsi="宋体" w:cs="宋体"/>
          <w:szCs w:val="21"/>
        </w:rPr>
      </w:pPr>
      <w:r>
        <w:rPr>
          <w:rFonts w:hint="eastAsia" w:ascii="宋体" w:hAnsi="宋体" w:cs="宋体"/>
          <w:szCs w:val="21"/>
        </w:rPr>
        <w:t>★2.2.1.9.6兹经双方同意并约定，本保单扩展赔付乘客在直升机上，或者上、下机时由于保险事故引起的人身伤亡或者疾病而发生的由被保险人支付的合理费用，包括但不限于药费、治疗费、救护车费用、医院使用费（含床位费）、护理费、营养费、就医交通费、丧葬及葬礼费用。赔偿限额CNY500,000/每人每次事故,此限额在乘客责任险赔偿限额基础之上额外计算。</w:t>
      </w:r>
    </w:p>
    <w:p>
      <w:pPr>
        <w:ind w:firstLine="398"/>
        <w:rPr>
          <w:rFonts w:ascii="宋体" w:hAnsi="宋体" w:cs="宋体"/>
          <w:szCs w:val="21"/>
        </w:rPr>
      </w:pPr>
      <w:r>
        <w:rPr>
          <w:rFonts w:hint="eastAsia" w:ascii="宋体" w:hAnsi="宋体" w:cs="宋体"/>
          <w:szCs w:val="21"/>
        </w:rPr>
        <w:t>★2.2.1.9.7兹经双方同意并约定，保险事故发生后，被保险直升机在维修中涉及航材、维修部件或机身拆解部分等材料的运送和相关人员的运送时，保险人同意将空运作为最经济的运送方式之一。</w:t>
      </w:r>
    </w:p>
    <w:p>
      <w:pPr>
        <w:ind w:firstLine="398"/>
        <w:rPr>
          <w:rFonts w:ascii="宋体" w:hAnsi="宋体" w:cs="宋体"/>
          <w:szCs w:val="21"/>
        </w:rPr>
      </w:pPr>
      <w:r>
        <w:rPr>
          <w:rFonts w:hint="eastAsia" w:ascii="宋体" w:hAnsi="宋体" w:cs="宋体"/>
          <w:szCs w:val="21"/>
        </w:rPr>
        <w:t>★2.2.1.9.8兹经双方同意并约定，鉴于被保险直升机系国家航空器并包含军事装备，涉及相应保密的需要，保险人同意并负责赔偿由于保密需求导致的被保险直升机在发生承保事故后的维修等相关费用的增加。</w:t>
      </w:r>
    </w:p>
    <w:p>
      <w:pPr>
        <w:ind w:firstLine="398"/>
        <w:rPr>
          <w:rFonts w:ascii="宋体" w:hAnsi="宋体" w:cs="宋体"/>
          <w:szCs w:val="21"/>
        </w:rPr>
      </w:pPr>
      <w:r>
        <w:rPr>
          <w:rFonts w:hint="eastAsia" w:ascii="宋体" w:hAnsi="宋体" w:cs="宋体"/>
          <w:szCs w:val="21"/>
        </w:rPr>
        <w:t>★2.2.1.9.9兹经双方同意并约定，本保单中的失踪天数为10天。</w:t>
      </w:r>
    </w:p>
    <w:p>
      <w:pPr>
        <w:ind w:firstLine="398"/>
        <w:rPr>
          <w:rFonts w:ascii="宋体" w:hAnsi="宋体" w:cs="宋体"/>
          <w:szCs w:val="21"/>
        </w:rPr>
      </w:pPr>
      <w:r>
        <w:rPr>
          <w:rFonts w:hint="eastAsia" w:ascii="宋体" w:hAnsi="宋体" w:cs="宋体"/>
          <w:szCs w:val="21"/>
        </w:rPr>
        <w:t>★2.2.1.9.10兹经双方同意并约定，本保单扩展承保在同一存放场地内因正常运营所需被保险直升机被拖车或其他交通工具运输、移动期间遭受的损失。</w:t>
      </w:r>
    </w:p>
    <w:p>
      <w:pPr>
        <w:ind w:firstLine="398"/>
        <w:rPr>
          <w:rFonts w:ascii="宋体" w:hAnsi="宋体" w:cs="宋体"/>
          <w:szCs w:val="21"/>
        </w:rPr>
      </w:pPr>
      <w:r>
        <w:rPr>
          <w:rFonts w:hint="eastAsia" w:ascii="宋体" w:hAnsi="宋体" w:cs="宋体"/>
          <w:szCs w:val="21"/>
        </w:rPr>
        <w:t>★2.2.1.9.11兹经双方同意并约定，本保单扩展承保保单载明的附加设备/机载设备由于被保险直升机发生保险事故所导致的损失、损坏或灭失，同时本保单扩展承保保单载明的附加设备/机载设备在被拆离或安装至被保险直升机的过程中由于意外事故导致的损失、损坏或灭失，但需以被加载设备的直升机的保险有效为前提条件。</w:t>
      </w:r>
    </w:p>
    <w:p>
      <w:pPr>
        <w:pStyle w:val="785"/>
        <w:rPr>
          <w:rFonts w:ascii="宋体" w:hAnsi="宋体" w:cs="宋体"/>
          <w:szCs w:val="21"/>
        </w:rPr>
      </w:pPr>
      <w:r>
        <w:rPr>
          <w:rFonts w:hint="eastAsia" w:ascii="宋体" w:hAnsi="宋体" w:cs="宋体"/>
          <w:szCs w:val="21"/>
        </w:rPr>
        <w:t>2.2.1.9.12兹经双方同意并约定，为避免不必要的争议，本保单明确在发生保险事故后被保险直升机涉及推定全损中的修理费用是指受损直升机整体维修费用而非保险责任范围内的维修费用。</w:t>
      </w:r>
    </w:p>
    <w:p>
      <w:pPr>
        <w:ind w:firstLine="420" w:firstLineChars="200"/>
        <w:rPr>
          <w:rFonts w:ascii="宋体" w:hAnsi="宋体" w:cs="宋体"/>
          <w:szCs w:val="21"/>
        </w:rPr>
      </w:pPr>
      <w:r>
        <w:rPr>
          <w:rFonts w:hint="eastAsia" w:ascii="宋体" w:hAnsi="宋体" w:cs="宋体"/>
          <w:szCs w:val="21"/>
        </w:rPr>
        <w:t>2.2.1.9.13兹经双方同意并约定，鉴于被保险直升机系国家航空器，当直升机发生全损（含实际全损、推定全损及协议全损）事故后，当因直升机售价波动、税费原因导致机身险协议价值不足以按崭新状态重置相同型号（当该型号停产后为性能最接近的替代型号）时，保险公司同意按照保单投保协议价值的110%扣除免赔额及残值后赔偿。上述内容同样适用于机载设备发生全损的情况。</w:t>
      </w:r>
    </w:p>
    <w:p>
      <w:pPr>
        <w:ind w:firstLine="398"/>
        <w:rPr>
          <w:rFonts w:ascii="宋体" w:hAnsi="宋体" w:cs="宋体"/>
          <w:szCs w:val="21"/>
        </w:rPr>
      </w:pPr>
      <w:r>
        <w:rPr>
          <w:rFonts w:hint="eastAsia" w:ascii="宋体" w:hAnsi="宋体" w:cs="宋体"/>
          <w:szCs w:val="21"/>
        </w:rPr>
        <w:t>★2.2.1.9.14兹经双方同意并约定，保险期间内，如果一架被保险直升机上的机载设备或在库机载设备临时转到另一架被保险直升机上使用，本保单自动承保，转入设备被保险直升机的机载设备保额自动增加，保险人不得加收保费。但如果转入机载设备的保额超过转入设备被保险直升机机身保额的10%时，被保险人应当及时通知保险人。</w:t>
      </w:r>
    </w:p>
    <w:p>
      <w:pPr>
        <w:ind w:firstLine="398"/>
        <w:rPr>
          <w:rFonts w:ascii="宋体" w:hAnsi="宋体" w:cs="宋体"/>
          <w:szCs w:val="21"/>
        </w:rPr>
      </w:pPr>
      <w:r>
        <w:rPr>
          <w:rFonts w:hint="eastAsia" w:ascii="宋体" w:hAnsi="宋体" w:cs="宋体"/>
          <w:szCs w:val="21"/>
        </w:rPr>
        <w:t>★2.2.1.9.15经双方同意并约定，鉴于警用航空器执行任务的特殊性，如涉及警犬搭乘投保警用直升机时因保险事故导致死亡的情况下，保险公司扩展同意按照遇难警犬在警犬所属单位固定资产表上所列金额进行赔偿。</w:t>
      </w:r>
    </w:p>
    <w:p>
      <w:pPr>
        <w:ind w:firstLine="398"/>
        <w:rPr>
          <w:rFonts w:ascii="宋体" w:hAnsi="宋体" w:cs="宋体"/>
          <w:szCs w:val="21"/>
        </w:rPr>
      </w:pPr>
      <w:r>
        <w:rPr>
          <w:rFonts w:hint="eastAsia" w:ascii="宋体" w:hAnsi="宋体" w:cs="宋体"/>
          <w:szCs w:val="21"/>
        </w:rPr>
        <w:t>★2.2.1.9.16 兹经双方同意并约定，为避免争议，本保单第三者法定责任险超额保险所约定的￥200,000,000.00的限额，是项目编号为xxx的公开招标文件（“招标文件”）所载明的保险标的4架直升机（以及在本保单年度内加入的直升机）的共用累计赔偿限额（“累计赔偿限额”）。该累计赔偿限额所适用的保单为投保人根据招标文件的招标结果针对上述4架直升机（以及在本保单年度内加入的直升机）所投保的一份或多份航空保险单（“航空器保险单”）。该累计赔偿限额附加在“航空器保险单”各自的第三者法定责任险赔偿限额之上。在“航空器保险单”中任何一份保单的第三者法定责任险赔偿限额耗尽之后，由第三者法定责任险超额保险在累计赔偿限额内进行赔偿。如果“航空器保险单”项下发生两起或两起以上可能引起第三者法定责任险超额保险赔偿的保险事故，由被保险人选择任意一起或多起保险事故在第三者法定责任险超额保险项下索赔，但保险人在第三者法定责任险超额保险项下承担的累计赔偿责任不超过累计赔偿限额。</w:t>
      </w:r>
    </w:p>
    <w:p>
      <w:pPr>
        <w:ind w:firstLine="398"/>
        <w:rPr>
          <w:rFonts w:ascii="宋体" w:hAnsi="宋体" w:cs="宋体"/>
          <w:szCs w:val="21"/>
        </w:rPr>
      </w:pPr>
      <w:r>
        <w:rPr>
          <w:rFonts w:hint="eastAsia" w:ascii="宋体" w:hAnsi="宋体" w:cs="宋体"/>
          <w:szCs w:val="21"/>
        </w:rPr>
        <w:t>★2.2.1.9.17兹经双方同意并约定，本保单涉及加收及退还保费时均按照日比例计算保费。</w:t>
      </w:r>
    </w:p>
    <w:p>
      <w:pPr>
        <w:ind w:firstLine="398"/>
        <w:rPr>
          <w:rFonts w:ascii="宋体" w:hAnsi="宋体" w:cs="宋体"/>
          <w:szCs w:val="21"/>
        </w:rPr>
      </w:pPr>
      <w:r>
        <w:rPr>
          <w:rFonts w:hint="eastAsia" w:ascii="宋体" w:hAnsi="宋体" w:cs="宋体"/>
          <w:szCs w:val="21"/>
        </w:rPr>
        <w:t>★2.2.1.9.18兹经双方同意并约定，本保单明确承保被保险飞机在训练或执行任务等情况下，因意外事故造成合作单位的财产损失或人员伤亡损失，被保险人依法应承担的经济赔偿责任可在第三者责任险项下获得保险公司赔偿。</w:t>
      </w:r>
    </w:p>
    <w:p>
      <w:pPr>
        <w:ind w:firstLine="398"/>
        <w:rPr>
          <w:rFonts w:ascii="宋体" w:hAnsi="宋体" w:cs="宋体"/>
          <w:szCs w:val="21"/>
        </w:rPr>
      </w:pPr>
      <w:r>
        <w:rPr>
          <w:rFonts w:hint="eastAsia" w:ascii="宋体" w:hAnsi="宋体" w:cs="宋体"/>
          <w:szCs w:val="21"/>
        </w:rPr>
        <w:t>★1.2.2.1.9.19兹经双方同意并约定，由于投保人/被保险人同时拥有本保单保险标的之外的其他警用航空器（包括直升机和无人机，以下称“其他警用航空器”），并分别购买了航空器综合险，当本保单保险标的与其他警用航空器发生相互事故时，保险人同意：（1）针对航空器机身保障，无论责任如何，被保险人可以分别在发生事故的警用航空器（包括直升机和无人机）各自投保的航空器综合险的机身险下进行索赔，并且保险人同意在本保单机身险项下放弃对投保人/被保险人的追偿权；（2）在不违反前述第（1）款约定的前提下，就责任险保障（包括第三者责任险和乘客责任险），被保险人按照发生事故的警用航空器（包括直升机和无人机）应承担的责任比例在各自投保的航空器综合险的责任险（包括第三者责任险和乘客责任险）下进行索赔。但是，如果其他警用航空器未投保责任险（包括第三者责任险和乘客责任险）或投保的责任险（包括第三者责任险和乘客责任险）不足以赔偿的，本保单对未得到赔偿部分的金额进行赔偿。</w:t>
      </w:r>
    </w:p>
    <w:p>
      <w:pPr>
        <w:ind w:firstLine="398"/>
        <w:rPr>
          <w:rFonts w:ascii="宋体" w:hAnsi="宋体" w:cs="宋体"/>
          <w:szCs w:val="21"/>
        </w:rPr>
      </w:pPr>
      <w:r>
        <w:rPr>
          <w:rFonts w:hint="eastAsia" w:ascii="宋体" w:hAnsi="宋体" w:cs="宋体"/>
          <w:szCs w:val="21"/>
        </w:rPr>
        <w:t>★2.2.1.9.20兹经双方同意并约定，当本保单保险标的与浙江省公安系统其他单位（以下简称“对方单位”）的警用航空器（包括直升机和无人机）发生相互事故时，保险人同意对方单位仅在其投保的航空器综合险保单（如有）的赔偿范围内承担相应责任。如果对方单位未投保航空器综合险或投保的航空器综合险不足以赔偿的，本保单对未得到赔偿部分的金额进行赔偿并放弃向对方单位的追偿权。</w:t>
      </w:r>
    </w:p>
    <w:p>
      <w:pPr>
        <w:ind w:firstLine="398"/>
        <w:rPr>
          <w:rFonts w:ascii="宋体" w:hAnsi="宋体" w:cs="宋体"/>
          <w:szCs w:val="21"/>
        </w:rPr>
      </w:pPr>
      <w:r>
        <w:rPr>
          <w:rFonts w:hint="eastAsia" w:ascii="宋体" w:hAnsi="宋体" w:cs="宋体"/>
          <w:szCs w:val="21"/>
        </w:rPr>
        <w:t>★2.2.1.9.21除法律规定情形外，保险公司不得随意注销保单；如果保险公司注销保单，需要提前60天书面通知被保险人。上述情况仅适用于完全交付保费的情况，如果保费尚未结清，参照附加条款“保单撤销条款”执行。</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2.2.1.10 特别条款</w:t>
      </w:r>
    </w:p>
    <w:p>
      <w:pPr>
        <w:ind w:left="-210" w:leftChars="-100"/>
        <w:rPr>
          <w:rFonts w:ascii="宋体" w:hAnsi="宋体" w:cs="宋体"/>
          <w:szCs w:val="21"/>
        </w:rPr>
      </w:pPr>
      <w:r>
        <w:rPr>
          <w:rFonts w:hint="eastAsia" w:ascii="宋体" w:hAnsi="宋体" w:cs="宋体"/>
          <w:szCs w:val="21"/>
        </w:rPr>
        <w:t xml:space="preserve">     投保方案中应至少包含如下特别条款：</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★扩展飞行员、机组人员赔偿条款AVN73/LSW700</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★额外赔付条款 AVN76/LSW705（10%）</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★预付赔款条款（60%）</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★预定损失理算师条款</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★协议价值条款（AVN61）</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w:t>
      </w:r>
      <w:r>
        <w:rPr>
          <w:rFonts w:hint="eastAsia" w:ascii="宋体" w:hAnsi="宋体" w:cs="宋体"/>
          <w:snapToGrid w:val="0"/>
          <w:kern w:val="0"/>
          <w:szCs w:val="21"/>
        </w:rPr>
        <w:t>飞机的加保和退保条款（AVN19A）</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w:t>
      </w:r>
      <w:r>
        <w:rPr>
          <w:rFonts w:hint="eastAsia" w:ascii="宋体" w:hAnsi="宋体" w:cs="宋体"/>
          <w:snapToGrid w:val="0"/>
          <w:kern w:val="0"/>
          <w:szCs w:val="21"/>
        </w:rPr>
        <w:t>错误与遗漏条款</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w:t>
      </w:r>
      <w:r>
        <w:rPr>
          <w:rFonts w:hint="eastAsia" w:ascii="宋体" w:hAnsi="宋体" w:cs="宋体"/>
          <w:snapToGrid w:val="0"/>
          <w:kern w:val="0"/>
          <w:szCs w:val="21"/>
        </w:rPr>
        <w:t>专业费用条款（10%）</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w:t>
      </w:r>
      <w:r>
        <w:rPr>
          <w:rFonts w:hint="eastAsia" w:ascii="宋体" w:hAnsi="宋体" w:cs="宋体"/>
          <w:snapToGrid w:val="0"/>
          <w:kern w:val="0"/>
          <w:szCs w:val="21"/>
        </w:rPr>
        <w:t>迫降条款（AVN78）</w:t>
      </w:r>
    </w:p>
    <w:p>
      <w:pPr>
        <w:ind w:left="105" w:leftChars="50" w:firstLine="396"/>
        <w:rPr>
          <w:rFonts w:ascii="宋体" w:hAnsi="宋体" w:cs="宋体"/>
          <w:szCs w:val="21"/>
        </w:rPr>
      </w:pPr>
      <w:r>
        <w:rPr>
          <w:rFonts w:ascii="Wingdings" w:hAnsi="Wingdings" w:cs="宋体"/>
          <w:szCs w:val="21"/>
        </w:rPr>
        <w:t></w:t>
      </w:r>
      <w:r>
        <w:rPr>
          <w:rFonts w:hint="eastAsia" w:ascii="宋体" w:hAnsi="宋体" w:cs="宋体"/>
          <w:snapToGrid w:val="0"/>
          <w:kern w:val="0"/>
          <w:szCs w:val="21"/>
        </w:rPr>
        <w:t>非授权使用条款（AVN77）</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w:t>
      </w:r>
      <w:r>
        <w:rPr>
          <w:rFonts w:hint="eastAsia" w:ascii="宋体" w:hAnsi="宋体" w:cs="宋体"/>
          <w:snapToGrid w:val="0"/>
          <w:kern w:val="0"/>
          <w:szCs w:val="21"/>
        </w:rPr>
        <w:t>保单撤销条款</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★租赁发动机或部件扩展保障条款</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★零备件一切险条款（LPO344C  10/96）</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★机载设备扩展保障条款</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★附加其他航空责任扩展保障批单（100万元人民币赔偿限额）（AVN 59）</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★战争、劫持及其他相关风险扩展责任条款（AVN52E）</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w:t>
      </w:r>
      <w:r>
        <w:rPr>
          <w:rFonts w:hint="eastAsia" w:ascii="宋体" w:hAnsi="宋体" w:cs="宋体"/>
          <w:snapToGrid w:val="0"/>
          <w:kern w:val="0"/>
          <w:szCs w:val="21"/>
        </w:rPr>
        <w:t>日期识别风险有限保障条款（AVN2001A/AVN2002A）</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w:t>
      </w:r>
      <w:r>
        <w:rPr>
          <w:rFonts w:hint="eastAsia" w:ascii="Wingdings" w:hAnsi="Wingdings" w:cs="宋体"/>
          <w:szCs w:val="21"/>
        </w:rPr>
        <w:t>交叉责任条</w:t>
      </w:r>
      <w:r>
        <w:rPr>
          <w:rFonts w:hint="eastAsia" w:ascii="宋体" w:hAnsi="宋体" w:cs="宋体"/>
          <w:szCs w:val="21"/>
        </w:rPr>
        <w:t>款（AVN63）</w:t>
      </w:r>
    </w:p>
    <w:p>
      <w:pPr>
        <w:ind w:left="105" w:leftChars="50" w:firstLine="398"/>
        <w:rPr>
          <w:rFonts w:ascii="宋体" w:hAnsi="宋体" w:cs="宋体"/>
          <w:szCs w:val="21"/>
        </w:rPr>
      </w:pPr>
      <w:r>
        <w:rPr>
          <w:rFonts w:ascii="Wingdings" w:hAnsi="Wingdings" w:cs="宋体"/>
          <w:szCs w:val="21"/>
        </w:rPr>
        <w:t></w:t>
      </w:r>
      <w:r>
        <w:rPr>
          <w:rFonts w:hint="eastAsia" w:ascii="宋体" w:hAnsi="宋体" w:cs="宋体"/>
          <w:szCs w:val="21"/>
        </w:rPr>
        <w:t>★经纪人条款</w:t>
      </w:r>
      <w:r>
        <w:rPr>
          <w:rFonts w:hint="eastAsia" w:ascii="宋体" w:hAnsi="宋体" w:cs="宋体"/>
          <w:snapToGrid w:val="0"/>
          <w:kern w:val="0"/>
          <w:szCs w:val="21"/>
        </w:rPr>
        <w:t>（航联10%）</w:t>
      </w:r>
    </w:p>
    <w:p>
      <w:pPr>
        <w:ind w:left="105" w:leftChars="50" w:firstLine="398"/>
        <w:rPr>
          <w:rFonts w:hint="eastAsia" w:ascii="Wingdings" w:hAnsi="Wingdings" w:cs="宋体"/>
          <w:szCs w:val="21"/>
        </w:rPr>
      </w:pPr>
      <w:r>
        <w:rPr>
          <w:rFonts w:ascii="Wingdings" w:hAnsi="Wingdings" w:cs="宋体"/>
          <w:szCs w:val="21"/>
        </w:rPr>
        <w:t></w:t>
      </w:r>
      <w:r>
        <w:rPr>
          <w:rFonts w:hint="eastAsia" w:ascii="宋体" w:hAnsi="宋体" w:cs="宋体"/>
          <w:szCs w:val="21"/>
        </w:rPr>
        <w:t>★</w:t>
      </w:r>
      <w:r>
        <w:rPr>
          <w:rFonts w:hint="eastAsia" w:ascii="Wingdings" w:hAnsi="Wingdings" w:cs="宋体"/>
          <w:szCs w:val="21"/>
        </w:rPr>
        <w:t>扩展医疗及相关费用条款</w:t>
      </w:r>
    </w:p>
    <w:p>
      <w:pPr>
        <w:ind w:firstLine="396"/>
        <w:rPr>
          <w:rFonts w:ascii="宋体" w:hAnsi="宋体" w:cs="宋体"/>
          <w:szCs w:val="21"/>
        </w:rPr>
      </w:pPr>
      <w:r>
        <w:rPr>
          <w:rFonts w:hint="eastAsia" w:ascii="宋体" w:hAnsi="宋体" w:cs="宋体"/>
          <w:b/>
          <w:bCs/>
          <w:szCs w:val="21"/>
        </w:rPr>
        <w:t>★以上所列条款为基本扩展条款，投标人可自行增加条款作为服务方案的一部分。投标文件中须提供特别条款具体措词</w:t>
      </w:r>
      <w:r>
        <w:rPr>
          <w:rFonts w:hint="eastAsia" w:ascii="宋体" w:hAnsi="宋体" w:cs="宋体"/>
          <w:b/>
          <w:bCs/>
          <w:szCs w:val="21"/>
          <w:highlight w:val="yellow"/>
        </w:rPr>
        <w:t>（格式自拟，未提供视为负偏离）</w:t>
      </w:r>
      <w:r>
        <w:rPr>
          <w:rFonts w:hint="eastAsia" w:ascii="宋体" w:hAnsi="宋体" w:cs="宋体"/>
          <w:b/>
          <w:bCs/>
          <w:szCs w:val="21"/>
        </w:rPr>
        <w:t>。</w:t>
      </w:r>
    </w:p>
    <w:p>
      <w:pPr>
        <w:pStyle w:val="3"/>
        <w:spacing w:after="120" w:line="240" w:lineRule="auto"/>
        <w:rPr>
          <w:rFonts w:cs="宋体"/>
          <w:szCs w:val="21"/>
        </w:rPr>
      </w:pPr>
    </w:p>
    <w:p>
      <w:pPr>
        <w:pStyle w:val="53"/>
        <w:spacing w:before="0" w:beforeAutospacing="0" w:after="0" w:afterAutospacing="0"/>
        <w:ind w:firstLine="398"/>
        <w:jc w:val="both"/>
        <w:rPr>
          <w:b/>
          <w:kern w:val="2"/>
          <w:sz w:val="21"/>
          <w:szCs w:val="21"/>
        </w:rPr>
      </w:pPr>
      <w:r>
        <w:rPr>
          <w:rFonts w:hint="eastAsia"/>
          <w:b/>
          <w:kern w:val="2"/>
          <w:sz w:val="21"/>
          <w:szCs w:val="21"/>
        </w:rPr>
        <w:t>附：飞行员信息和直升机数据</w:t>
      </w:r>
    </w:p>
    <w:p>
      <w:pPr>
        <w:pStyle w:val="53"/>
        <w:spacing w:before="0" w:beforeAutospacing="0" w:after="0" w:afterAutospacing="0"/>
        <w:ind w:firstLine="398"/>
        <w:jc w:val="both"/>
        <w:rPr>
          <w:b/>
          <w:kern w:val="2"/>
          <w:sz w:val="21"/>
          <w:szCs w:val="21"/>
        </w:rPr>
      </w:pPr>
      <w:r>
        <w:rPr>
          <w:rFonts w:hint="eastAsia"/>
          <w:b/>
          <w:bCs/>
          <w:szCs w:val="21"/>
        </w:rPr>
        <w:t>★</w:t>
      </w:r>
      <w:r>
        <w:rPr>
          <w:rFonts w:hint="eastAsia"/>
          <w:b/>
          <w:kern w:val="2"/>
          <w:sz w:val="21"/>
          <w:szCs w:val="21"/>
        </w:rPr>
        <w:t>飞行员情况（截止到2023年12月 31日）</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姓名</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现飞机型</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技术等级</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总飞行小时数（小时）</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本机型飞行小时数</w:t>
            </w:r>
          </w:p>
          <w:p>
            <w:pPr>
              <w:pStyle w:val="53"/>
              <w:spacing w:before="0" w:beforeAutospacing="0" w:after="0" w:afterAutospacing="0"/>
              <w:ind w:firstLine="396"/>
              <w:jc w:val="center"/>
              <w:rPr>
                <w:kern w:val="2"/>
                <w:sz w:val="21"/>
                <w:szCs w:val="21"/>
              </w:rPr>
            </w:pPr>
            <w:r>
              <w:rPr>
                <w:rFonts w:hint="eastAsia"/>
                <w:kern w:val="2"/>
                <w:sz w:val="21"/>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AW119MKII</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HU-269</w:t>
            </w:r>
          </w:p>
          <w:p>
            <w:pPr>
              <w:pStyle w:val="53"/>
              <w:spacing w:before="0" w:beforeAutospacing="0" w:after="0" w:afterAutospacing="0"/>
              <w:ind w:firstLine="396"/>
              <w:jc w:val="both"/>
              <w:rPr>
                <w:kern w:val="2"/>
                <w:sz w:val="21"/>
                <w:szCs w:val="21"/>
              </w:rPr>
            </w:pPr>
            <w:r>
              <w:rPr>
                <w:rFonts w:hint="eastAsia"/>
                <w:kern w:val="2"/>
                <w:sz w:val="21"/>
                <w:szCs w:val="21"/>
              </w:rPr>
              <w:t>R-22</w:t>
            </w:r>
          </w:p>
          <w:p>
            <w:pPr>
              <w:pStyle w:val="53"/>
              <w:spacing w:before="0" w:beforeAutospacing="0" w:after="0" w:afterAutospacing="0"/>
              <w:ind w:firstLine="396"/>
              <w:jc w:val="both"/>
              <w:rPr>
                <w:kern w:val="2"/>
                <w:sz w:val="21"/>
                <w:szCs w:val="21"/>
              </w:rPr>
            </w:pPr>
            <w:r>
              <w:rPr>
                <w:rFonts w:hint="eastAsia"/>
                <w:kern w:val="2"/>
                <w:sz w:val="21"/>
                <w:szCs w:val="21"/>
              </w:rPr>
              <w:t>EC-135</w:t>
            </w:r>
          </w:p>
          <w:p>
            <w:pPr>
              <w:pStyle w:val="53"/>
              <w:spacing w:before="0" w:beforeAutospacing="0" w:after="0" w:afterAutospacing="0"/>
              <w:ind w:firstLine="396"/>
              <w:jc w:val="both"/>
              <w:rPr>
                <w:kern w:val="2"/>
                <w:sz w:val="21"/>
                <w:szCs w:val="21"/>
              </w:rPr>
            </w:pPr>
            <w:r>
              <w:rPr>
                <w:rFonts w:hint="eastAsia"/>
                <w:kern w:val="2"/>
                <w:sz w:val="21"/>
                <w:szCs w:val="21"/>
              </w:rPr>
              <w:t>初教六</w:t>
            </w:r>
          </w:p>
          <w:p>
            <w:pPr>
              <w:pStyle w:val="53"/>
              <w:spacing w:before="0" w:beforeAutospacing="0" w:after="0" w:afterAutospacing="0"/>
              <w:ind w:firstLine="396"/>
              <w:jc w:val="both"/>
              <w:rPr>
                <w:kern w:val="2"/>
                <w:sz w:val="21"/>
                <w:szCs w:val="21"/>
              </w:rPr>
            </w:pPr>
            <w:r>
              <w:rPr>
                <w:rFonts w:hint="eastAsia"/>
                <w:kern w:val="2"/>
                <w:sz w:val="21"/>
                <w:szCs w:val="21"/>
              </w:rPr>
              <w:t>歼教五</w:t>
            </w:r>
          </w:p>
          <w:p>
            <w:pPr>
              <w:pStyle w:val="53"/>
              <w:spacing w:before="0" w:beforeAutospacing="0" w:after="0" w:afterAutospacing="0"/>
              <w:ind w:firstLine="396"/>
              <w:jc w:val="both"/>
              <w:rPr>
                <w:kern w:val="2"/>
                <w:sz w:val="21"/>
                <w:szCs w:val="21"/>
              </w:rPr>
            </w:pPr>
            <w:r>
              <w:rPr>
                <w:rFonts w:hint="eastAsia"/>
                <w:kern w:val="2"/>
                <w:sz w:val="21"/>
                <w:szCs w:val="21"/>
              </w:rPr>
              <w:t>歼教六</w:t>
            </w:r>
          </w:p>
          <w:p>
            <w:pPr>
              <w:pStyle w:val="53"/>
              <w:spacing w:before="0" w:beforeAutospacing="0" w:after="0" w:afterAutospacing="0"/>
              <w:ind w:firstLine="396"/>
              <w:jc w:val="both"/>
              <w:rPr>
                <w:kern w:val="2"/>
                <w:sz w:val="21"/>
                <w:szCs w:val="21"/>
              </w:rPr>
            </w:pPr>
            <w:r>
              <w:rPr>
                <w:rFonts w:hint="eastAsia"/>
                <w:kern w:val="2"/>
                <w:sz w:val="21"/>
                <w:szCs w:val="21"/>
              </w:rPr>
              <w:t>歼六</w:t>
            </w:r>
          </w:p>
          <w:p>
            <w:pPr>
              <w:pStyle w:val="53"/>
              <w:spacing w:before="0" w:beforeAutospacing="0" w:after="0" w:afterAutospacing="0"/>
              <w:ind w:firstLine="396"/>
              <w:jc w:val="both"/>
              <w:rPr>
                <w:kern w:val="2"/>
                <w:sz w:val="21"/>
                <w:szCs w:val="21"/>
              </w:rPr>
            </w:pPr>
            <w:r>
              <w:rPr>
                <w:rFonts w:hint="eastAsia"/>
                <w:kern w:val="2"/>
                <w:sz w:val="21"/>
                <w:szCs w:val="21"/>
              </w:rPr>
              <w:t>强五ABCD</w:t>
            </w:r>
          </w:p>
          <w:p>
            <w:pPr>
              <w:pStyle w:val="53"/>
              <w:spacing w:before="0" w:beforeAutospacing="0" w:after="0" w:afterAutospacing="0"/>
              <w:ind w:firstLine="396"/>
              <w:jc w:val="both"/>
              <w:rPr>
                <w:kern w:val="2"/>
                <w:sz w:val="21"/>
                <w:szCs w:val="21"/>
              </w:rPr>
            </w:pPr>
            <w:r>
              <w:rPr>
                <w:rFonts w:hint="eastAsia"/>
                <w:kern w:val="2"/>
                <w:sz w:val="21"/>
                <w:szCs w:val="21"/>
              </w:rPr>
              <w:t>AW119MKII</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p>
            <w:pPr>
              <w:pStyle w:val="53"/>
              <w:spacing w:before="0" w:beforeAutospacing="0" w:after="0" w:afterAutospacing="0"/>
              <w:ind w:firstLine="396"/>
              <w:jc w:val="both"/>
              <w:rPr>
                <w:kern w:val="2"/>
                <w:sz w:val="21"/>
                <w:szCs w:val="21"/>
              </w:rPr>
            </w:pPr>
            <w:r>
              <w:rPr>
                <w:rFonts w:hint="eastAsia"/>
                <w:kern w:val="2"/>
                <w:sz w:val="21"/>
                <w:szCs w:val="21"/>
              </w:rPr>
              <w:t>3346</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1722(AW119MKII</w:t>
            </w:r>
          </w:p>
          <w:p>
            <w:pPr>
              <w:pStyle w:val="53"/>
              <w:spacing w:before="0" w:beforeAutospacing="0" w:after="0" w:afterAutospacing="0"/>
              <w:jc w:val="center"/>
              <w:rPr>
                <w:kern w:val="2"/>
                <w:sz w:val="21"/>
                <w:szCs w:val="21"/>
              </w:rPr>
            </w:pPr>
            <w:r>
              <w:rPr>
                <w:rFonts w:hint="eastAsia"/>
                <w:kern w:val="2"/>
                <w:sz w:val="21"/>
                <w:szCs w:val="21"/>
              </w:rPr>
              <w:t>951;AW139 771 )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AW119MKII</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HU-269</w:t>
            </w:r>
          </w:p>
          <w:p>
            <w:pPr>
              <w:pStyle w:val="53"/>
              <w:spacing w:before="0" w:beforeAutospacing="0" w:after="0" w:afterAutospacing="0"/>
              <w:ind w:firstLine="396"/>
              <w:jc w:val="both"/>
              <w:rPr>
                <w:kern w:val="2"/>
                <w:sz w:val="21"/>
                <w:szCs w:val="21"/>
              </w:rPr>
            </w:pPr>
            <w:r>
              <w:rPr>
                <w:rFonts w:hint="eastAsia"/>
                <w:kern w:val="2"/>
                <w:sz w:val="21"/>
                <w:szCs w:val="21"/>
              </w:rPr>
              <w:t>AS-350B2</w:t>
            </w:r>
          </w:p>
          <w:p>
            <w:pPr>
              <w:pStyle w:val="53"/>
              <w:spacing w:before="0" w:beforeAutospacing="0" w:after="0" w:afterAutospacing="0"/>
              <w:ind w:firstLine="396"/>
              <w:jc w:val="both"/>
              <w:rPr>
                <w:kern w:val="2"/>
                <w:sz w:val="21"/>
                <w:szCs w:val="21"/>
              </w:rPr>
            </w:pPr>
            <w:r>
              <w:rPr>
                <w:rFonts w:hint="eastAsia"/>
                <w:kern w:val="2"/>
                <w:sz w:val="21"/>
                <w:szCs w:val="21"/>
              </w:rPr>
              <w:t>EC135</w:t>
            </w:r>
          </w:p>
          <w:p>
            <w:pPr>
              <w:pStyle w:val="53"/>
              <w:spacing w:before="0" w:beforeAutospacing="0" w:after="0" w:afterAutospacing="0"/>
              <w:ind w:firstLine="396"/>
              <w:jc w:val="both"/>
              <w:rPr>
                <w:kern w:val="2"/>
                <w:sz w:val="21"/>
                <w:szCs w:val="21"/>
              </w:rPr>
            </w:pPr>
            <w:r>
              <w:rPr>
                <w:rFonts w:hint="eastAsia"/>
                <w:kern w:val="2"/>
                <w:sz w:val="21"/>
                <w:szCs w:val="21"/>
              </w:rPr>
              <w:t>AW119MKII</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p>
            <w:pPr>
              <w:pStyle w:val="53"/>
              <w:spacing w:before="0" w:beforeAutospacing="0" w:after="0" w:afterAutospacing="0"/>
              <w:ind w:firstLine="396"/>
              <w:jc w:val="both"/>
              <w:rPr>
                <w:kern w:val="2"/>
                <w:sz w:val="21"/>
                <w:szCs w:val="21"/>
              </w:rPr>
            </w:pPr>
            <w:r>
              <w:rPr>
                <w:rFonts w:hint="eastAsia"/>
                <w:kern w:val="2"/>
                <w:sz w:val="21"/>
                <w:szCs w:val="21"/>
              </w:rPr>
              <w:t>1972</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1784(AW119MKII</w:t>
            </w:r>
          </w:p>
          <w:p>
            <w:pPr>
              <w:pStyle w:val="53"/>
              <w:spacing w:before="0" w:beforeAutospacing="0" w:after="0" w:afterAutospacing="0"/>
              <w:jc w:val="center"/>
              <w:rPr>
                <w:kern w:val="2"/>
                <w:sz w:val="21"/>
                <w:szCs w:val="21"/>
              </w:rPr>
            </w:pPr>
            <w:r>
              <w:rPr>
                <w:rFonts w:hint="eastAsia"/>
                <w:kern w:val="2"/>
                <w:sz w:val="21"/>
                <w:szCs w:val="21"/>
              </w:rPr>
              <w:t>670;AW139 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AW119MKII</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HU-269</w:t>
            </w:r>
          </w:p>
          <w:p>
            <w:pPr>
              <w:pStyle w:val="53"/>
              <w:spacing w:before="0" w:beforeAutospacing="0" w:after="0" w:afterAutospacing="0"/>
              <w:ind w:firstLine="396"/>
              <w:jc w:val="both"/>
              <w:rPr>
                <w:kern w:val="2"/>
                <w:sz w:val="21"/>
                <w:szCs w:val="21"/>
              </w:rPr>
            </w:pPr>
            <w:r>
              <w:rPr>
                <w:rFonts w:hint="eastAsia"/>
                <w:kern w:val="2"/>
                <w:sz w:val="21"/>
                <w:szCs w:val="21"/>
              </w:rPr>
              <w:t>AS-350B2</w:t>
            </w:r>
          </w:p>
          <w:p>
            <w:pPr>
              <w:pStyle w:val="53"/>
              <w:spacing w:before="0" w:beforeAutospacing="0" w:after="0" w:afterAutospacing="0"/>
              <w:ind w:firstLine="396"/>
              <w:jc w:val="both"/>
              <w:rPr>
                <w:kern w:val="2"/>
                <w:sz w:val="21"/>
                <w:szCs w:val="21"/>
              </w:rPr>
            </w:pPr>
            <w:r>
              <w:rPr>
                <w:rFonts w:hint="eastAsia"/>
                <w:kern w:val="2"/>
                <w:sz w:val="21"/>
                <w:szCs w:val="21"/>
              </w:rPr>
              <w:t>EC135</w:t>
            </w:r>
          </w:p>
          <w:p>
            <w:pPr>
              <w:pStyle w:val="53"/>
              <w:spacing w:before="0" w:beforeAutospacing="0" w:after="0" w:afterAutospacing="0"/>
              <w:ind w:firstLine="396"/>
              <w:jc w:val="both"/>
              <w:rPr>
                <w:kern w:val="2"/>
                <w:sz w:val="21"/>
                <w:szCs w:val="21"/>
              </w:rPr>
            </w:pPr>
            <w:r>
              <w:rPr>
                <w:rFonts w:hint="eastAsia"/>
                <w:kern w:val="2"/>
                <w:sz w:val="21"/>
                <w:szCs w:val="21"/>
              </w:rPr>
              <w:t>AW119MKII</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p>
            <w:pPr>
              <w:pStyle w:val="53"/>
              <w:spacing w:before="0" w:beforeAutospacing="0" w:after="0" w:afterAutospacing="0"/>
              <w:ind w:firstLine="396"/>
              <w:jc w:val="both"/>
              <w:rPr>
                <w:kern w:val="2"/>
                <w:sz w:val="21"/>
                <w:szCs w:val="21"/>
              </w:rPr>
            </w:pPr>
            <w:r>
              <w:rPr>
                <w:rFonts w:hint="eastAsia"/>
                <w:kern w:val="2"/>
                <w:sz w:val="21"/>
                <w:szCs w:val="21"/>
              </w:rPr>
              <w:t>1866</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1681(AW119MKII</w:t>
            </w:r>
          </w:p>
          <w:p>
            <w:pPr>
              <w:pStyle w:val="53"/>
              <w:spacing w:before="0" w:beforeAutospacing="0" w:after="0" w:afterAutospacing="0"/>
              <w:jc w:val="center"/>
              <w:rPr>
                <w:kern w:val="2"/>
                <w:sz w:val="21"/>
                <w:szCs w:val="21"/>
              </w:rPr>
            </w:pPr>
            <w:r>
              <w:rPr>
                <w:rFonts w:hint="eastAsia"/>
                <w:kern w:val="2"/>
                <w:sz w:val="21"/>
                <w:szCs w:val="21"/>
              </w:rPr>
              <w:t>676;AW139 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HU-269</w:t>
            </w:r>
          </w:p>
          <w:p>
            <w:pPr>
              <w:pStyle w:val="53"/>
              <w:spacing w:before="0" w:beforeAutospacing="0" w:after="0" w:afterAutospacing="0"/>
              <w:ind w:firstLine="396"/>
              <w:jc w:val="both"/>
              <w:rPr>
                <w:kern w:val="2"/>
                <w:sz w:val="21"/>
                <w:szCs w:val="21"/>
              </w:rPr>
            </w:pPr>
            <w:r>
              <w:rPr>
                <w:rFonts w:hint="eastAsia"/>
                <w:kern w:val="2"/>
                <w:sz w:val="21"/>
                <w:szCs w:val="21"/>
              </w:rPr>
              <w:t>R-22</w:t>
            </w:r>
          </w:p>
          <w:p>
            <w:pPr>
              <w:pStyle w:val="53"/>
              <w:spacing w:before="0" w:beforeAutospacing="0" w:after="0" w:afterAutospacing="0"/>
              <w:ind w:firstLine="396"/>
              <w:jc w:val="both"/>
              <w:rPr>
                <w:kern w:val="2"/>
                <w:sz w:val="21"/>
                <w:szCs w:val="21"/>
              </w:rPr>
            </w:pPr>
            <w:r>
              <w:rPr>
                <w:rFonts w:hint="eastAsia"/>
                <w:kern w:val="2"/>
                <w:sz w:val="21"/>
                <w:szCs w:val="21"/>
              </w:rPr>
              <w:t>EC-135</w:t>
            </w:r>
          </w:p>
          <w:p>
            <w:pPr>
              <w:pStyle w:val="53"/>
              <w:spacing w:before="0" w:beforeAutospacing="0" w:after="0" w:afterAutospacing="0"/>
              <w:ind w:firstLine="396"/>
              <w:jc w:val="both"/>
              <w:rPr>
                <w:kern w:val="2"/>
                <w:sz w:val="21"/>
                <w:szCs w:val="21"/>
              </w:rPr>
            </w:pPr>
            <w:r>
              <w:rPr>
                <w:rFonts w:hint="eastAsia"/>
                <w:kern w:val="2"/>
                <w:sz w:val="21"/>
                <w:szCs w:val="21"/>
              </w:rPr>
              <w:t>初教六</w:t>
            </w:r>
          </w:p>
          <w:p>
            <w:pPr>
              <w:pStyle w:val="53"/>
              <w:spacing w:before="0" w:beforeAutospacing="0" w:after="0" w:afterAutospacing="0"/>
              <w:ind w:firstLine="396"/>
              <w:jc w:val="both"/>
              <w:rPr>
                <w:kern w:val="2"/>
                <w:sz w:val="21"/>
                <w:szCs w:val="21"/>
              </w:rPr>
            </w:pPr>
            <w:r>
              <w:rPr>
                <w:rFonts w:hint="eastAsia"/>
                <w:kern w:val="2"/>
                <w:sz w:val="21"/>
                <w:szCs w:val="21"/>
              </w:rPr>
              <w:t>歼教六</w:t>
            </w:r>
          </w:p>
          <w:p>
            <w:pPr>
              <w:pStyle w:val="53"/>
              <w:spacing w:before="0" w:beforeAutospacing="0" w:after="0" w:afterAutospacing="0"/>
              <w:ind w:firstLine="396"/>
              <w:jc w:val="both"/>
              <w:rPr>
                <w:kern w:val="2"/>
                <w:sz w:val="21"/>
                <w:szCs w:val="21"/>
              </w:rPr>
            </w:pPr>
            <w:r>
              <w:rPr>
                <w:rFonts w:hint="eastAsia"/>
                <w:kern w:val="2"/>
                <w:sz w:val="21"/>
                <w:szCs w:val="21"/>
              </w:rPr>
              <w:t>歼七</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p>
            <w:pPr>
              <w:pStyle w:val="53"/>
              <w:spacing w:before="0" w:beforeAutospacing="0" w:after="0" w:afterAutospacing="0"/>
              <w:ind w:firstLine="396"/>
              <w:jc w:val="both"/>
              <w:rPr>
                <w:kern w:val="2"/>
                <w:sz w:val="21"/>
                <w:szCs w:val="21"/>
              </w:rPr>
            </w:pPr>
            <w:r>
              <w:rPr>
                <w:rFonts w:hint="eastAsia"/>
                <w:kern w:val="2"/>
                <w:sz w:val="21"/>
                <w:szCs w:val="21"/>
              </w:rPr>
              <w:t>3325</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AW139 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米8</w:t>
            </w:r>
          </w:p>
          <w:p>
            <w:pPr>
              <w:pStyle w:val="53"/>
              <w:spacing w:before="0" w:beforeAutospacing="0" w:after="0" w:afterAutospacing="0"/>
              <w:ind w:firstLine="396"/>
              <w:jc w:val="both"/>
              <w:rPr>
                <w:kern w:val="2"/>
                <w:sz w:val="21"/>
                <w:szCs w:val="21"/>
              </w:rPr>
            </w:pPr>
            <w:r>
              <w:rPr>
                <w:rFonts w:hint="eastAsia"/>
                <w:kern w:val="2"/>
                <w:sz w:val="21"/>
                <w:szCs w:val="21"/>
              </w:rPr>
              <w:t>直9</w:t>
            </w:r>
          </w:p>
          <w:p>
            <w:pPr>
              <w:pStyle w:val="53"/>
              <w:spacing w:before="0" w:beforeAutospacing="0" w:after="0" w:afterAutospacing="0"/>
              <w:ind w:firstLine="396"/>
              <w:jc w:val="both"/>
              <w:rPr>
                <w:kern w:val="2"/>
                <w:sz w:val="21"/>
                <w:szCs w:val="21"/>
              </w:rPr>
            </w:pPr>
            <w:r>
              <w:rPr>
                <w:rFonts w:hint="eastAsia"/>
                <w:kern w:val="2"/>
                <w:sz w:val="21"/>
                <w:szCs w:val="21"/>
              </w:rPr>
              <w:t>麦道600</w:t>
            </w:r>
          </w:p>
          <w:p>
            <w:pPr>
              <w:pStyle w:val="53"/>
              <w:spacing w:before="0" w:beforeAutospacing="0" w:after="0" w:afterAutospacing="0"/>
              <w:ind w:firstLine="396"/>
              <w:jc w:val="both"/>
              <w:rPr>
                <w:kern w:val="2"/>
                <w:sz w:val="21"/>
                <w:szCs w:val="21"/>
              </w:rPr>
            </w:pPr>
            <w:r>
              <w:rPr>
                <w:rFonts w:hint="eastAsia"/>
                <w:kern w:val="2"/>
                <w:sz w:val="21"/>
                <w:szCs w:val="21"/>
              </w:rPr>
              <w:t>麦道902</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p>
            <w:pPr>
              <w:pStyle w:val="53"/>
              <w:spacing w:before="0" w:beforeAutospacing="0" w:after="0" w:afterAutospacing="0"/>
              <w:ind w:firstLine="396"/>
              <w:jc w:val="both"/>
              <w:rPr>
                <w:kern w:val="2"/>
                <w:sz w:val="21"/>
                <w:szCs w:val="21"/>
              </w:rPr>
            </w:pPr>
            <w:r>
              <w:rPr>
                <w:rFonts w:hint="eastAsia"/>
                <w:kern w:val="2"/>
                <w:sz w:val="21"/>
                <w:szCs w:val="21"/>
              </w:rPr>
              <w:t>2655</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AW139 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直9</w:t>
            </w:r>
          </w:p>
          <w:p>
            <w:pPr>
              <w:pStyle w:val="53"/>
              <w:spacing w:before="0" w:beforeAutospacing="0" w:after="0" w:afterAutospacing="0"/>
              <w:ind w:firstLine="396"/>
              <w:jc w:val="both"/>
              <w:rPr>
                <w:kern w:val="2"/>
                <w:sz w:val="21"/>
                <w:szCs w:val="21"/>
              </w:rPr>
            </w:pPr>
            <w:r>
              <w:rPr>
                <w:rFonts w:hint="eastAsia"/>
                <w:kern w:val="2"/>
                <w:sz w:val="21"/>
                <w:szCs w:val="21"/>
              </w:rPr>
              <w:t>直11</w:t>
            </w:r>
          </w:p>
          <w:p>
            <w:pPr>
              <w:pStyle w:val="53"/>
              <w:spacing w:before="0" w:beforeAutospacing="0" w:after="0" w:afterAutospacing="0"/>
              <w:ind w:firstLine="396"/>
              <w:jc w:val="both"/>
              <w:rPr>
                <w:kern w:val="2"/>
                <w:sz w:val="21"/>
                <w:szCs w:val="21"/>
              </w:rPr>
            </w:pPr>
            <w:r>
              <w:rPr>
                <w:rFonts w:hint="eastAsia"/>
                <w:kern w:val="2"/>
                <w:sz w:val="21"/>
                <w:szCs w:val="21"/>
              </w:rPr>
              <w:t>HC120</w:t>
            </w:r>
          </w:p>
          <w:p>
            <w:pPr>
              <w:pStyle w:val="53"/>
              <w:spacing w:before="0" w:beforeAutospacing="0" w:after="0" w:afterAutospacing="0"/>
              <w:ind w:firstLine="396"/>
              <w:jc w:val="both"/>
              <w:rPr>
                <w:kern w:val="2"/>
                <w:sz w:val="21"/>
                <w:szCs w:val="21"/>
              </w:rPr>
            </w:pPr>
            <w:r>
              <w:rPr>
                <w:rFonts w:hint="eastAsia"/>
                <w:kern w:val="2"/>
                <w:sz w:val="21"/>
                <w:szCs w:val="21"/>
              </w:rPr>
              <w:t>松鼠</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4148</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AW139 773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AW139</w:t>
            </w:r>
          </w:p>
          <w:p>
            <w:pPr>
              <w:pStyle w:val="53"/>
              <w:spacing w:before="0" w:beforeAutospacing="0" w:after="0" w:afterAutospacing="0"/>
              <w:ind w:firstLine="396"/>
              <w:jc w:val="both"/>
              <w:rPr>
                <w:kern w:val="2"/>
                <w:sz w:val="21"/>
                <w:szCs w:val="21"/>
              </w:rPr>
            </w:pPr>
            <w:r>
              <w:rPr>
                <w:rFonts w:hint="eastAsia"/>
                <w:kern w:val="2"/>
                <w:sz w:val="21"/>
                <w:szCs w:val="21"/>
              </w:rPr>
              <w:t>AW119MKII</w:t>
            </w:r>
          </w:p>
          <w:p>
            <w:pPr>
              <w:pStyle w:val="53"/>
              <w:spacing w:before="0" w:beforeAutospacing="0" w:after="0" w:afterAutospacing="0"/>
              <w:ind w:firstLine="396"/>
              <w:jc w:val="both"/>
              <w:rPr>
                <w:kern w:val="2"/>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AW139</w:t>
            </w:r>
          </w:p>
          <w:p>
            <w:pPr>
              <w:pStyle w:val="53"/>
              <w:spacing w:before="0" w:beforeAutospacing="0" w:after="0" w:afterAutospacing="0"/>
              <w:ind w:firstLine="396"/>
              <w:jc w:val="both"/>
              <w:rPr>
                <w:kern w:val="2"/>
                <w:sz w:val="21"/>
                <w:szCs w:val="21"/>
              </w:rPr>
            </w:pPr>
            <w:r>
              <w:rPr>
                <w:rFonts w:hint="eastAsia"/>
                <w:kern w:val="2"/>
                <w:sz w:val="21"/>
                <w:szCs w:val="21"/>
              </w:rPr>
              <w:t>AW119MKII</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803</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620(AW119MKII</w:t>
            </w:r>
          </w:p>
          <w:p>
            <w:pPr>
              <w:pStyle w:val="53"/>
              <w:spacing w:before="0" w:beforeAutospacing="0" w:after="0" w:afterAutospacing="0"/>
              <w:jc w:val="center"/>
              <w:rPr>
                <w:kern w:val="2"/>
                <w:sz w:val="21"/>
                <w:szCs w:val="21"/>
              </w:rPr>
            </w:pPr>
            <w:r>
              <w:rPr>
                <w:rFonts w:hint="eastAsia"/>
                <w:kern w:val="2"/>
                <w:sz w:val="21"/>
                <w:szCs w:val="21"/>
              </w:rPr>
              <w:t>175;AW139 445)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AW139</w:t>
            </w:r>
          </w:p>
          <w:p>
            <w:pPr>
              <w:pStyle w:val="53"/>
              <w:spacing w:before="0" w:beforeAutospacing="0" w:after="0" w:afterAutospacing="0"/>
              <w:ind w:firstLine="396"/>
              <w:jc w:val="both"/>
              <w:rPr>
                <w:kern w:val="2"/>
                <w:sz w:val="21"/>
                <w:szCs w:val="21"/>
              </w:rPr>
            </w:pPr>
            <w:r>
              <w:rPr>
                <w:rFonts w:hint="eastAsia"/>
                <w:kern w:val="2"/>
                <w:sz w:val="21"/>
                <w:szCs w:val="21"/>
              </w:rPr>
              <w:t>AW119MKII</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AW139</w:t>
            </w:r>
          </w:p>
          <w:p>
            <w:pPr>
              <w:pStyle w:val="53"/>
              <w:spacing w:before="0" w:beforeAutospacing="0" w:after="0" w:afterAutospacing="0"/>
              <w:ind w:firstLine="396"/>
              <w:jc w:val="both"/>
              <w:rPr>
                <w:kern w:val="2"/>
                <w:sz w:val="21"/>
                <w:szCs w:val="21"/>
              </w:rPr>
            </w:pPr>
            <w:r>
              <w:rPr>
                <w:rFonts w:hint="eastAsia"/>
                <w:kern w:val="2"/>
                <w:sz w:val="21"/>
                <w:szCs w:val="21"/>
              </w:rPr>
              <w:t>AW119MKII</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783</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605(AW119MKII</w:t>
            </w:r>
          </w:p>
          <w:p>
            <w:pPr>
              <w:pStyle w:val="53"/>
              <w:spacing w:before="0" w:beforeAutospacing="0" w:after="0" w:afterAutospacing="0"/>
              <w:jc w:val="center"/>
              <w:rPr>
                <w:kern w:val="2"/>
                <w:sz w:val="21"/>
                <w:szCs w:val="21"/>
              </w:rPr>
            </w:pPr>
            <w:r>
              <w:rPr>
                <w:rFonts w:hint="eastAsia"/>
                <w:kern w:val="2"/>
                <w:sz w:val="21"/>
                <w:szCs w:val="21"/>
              </w:rPr>
              <w:t>33;AW139 572)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直11</w:t>
            </w:r>
          </w:p>
          <w:p>
            <w:pPr>
              <w:pStyle w:val="53"/>
              <w:spacing w:before="0" w:beforeAutospacing="0" w:after="0" w:afterAutospacing="0"/>
              <w:ind w:firstLine="396"/>
              <w:jc w:val="both"/>
              <w:rPr>
                <w:kern w:val="2"/>
                <w:sz w:val="21"/>
                <w:szCs w:val="21"/>
              </w:rPr>
            </w:pPr>
            <w:r>
              <w:rPr>
                <w:rFonts w:hint="eastAsia"/>
                <w:kern w:val="2"/>
                <w:sz w:val="21"/>
                <w:szCs w:val="21"/>
              </w:rPr>
              <w:t>米171</w:t>
            </w:r>
          </w:p>
          <w:p>
            <w:pPr>
              <w:pStyle w:val="53"/>
              <w:spacing w:before="0" w:beforeAutospacing="0" w:after="0" w:afterAutospacing="0"/>
              <w:ind w:firstLine="396"/>
              <w:jc w:val="both"/>
              <w:rPr>
                <w:kern w:val="2"/>
                <w:sz w:val="21"/>
                <w:szCs w:val="21"/>
              </w:rPr>
            </w:pPr>
            <w:r>
              <w:rPr>
                <w:rFonts w:hint="eastAsia"/>
                <w:kern w:val="2"/>
                <w:sz w:val="21"/>
                <w:szCs w:val="21"/>
              </w:rPr>
              <w:t>AW139</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2009</w:t>
            </w: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AW139 689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飞行学员</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04" w:type="dxa"/>
            <w:tcBorders>
              <w:top w:val="single" w:color="auto" w:sz="4" w:space="0"/>
              <w:left w:val="single" w:color="auto" w:sz="4" w:space="0"/>
              <w:bottom w:val="single" w:color="auto" w:sz="4" w:space="0"/>
              <w:right w:val="single" w:color="auto" w:sz="4" w:space="0"/>
            </w:tcBorders>
          </w:tcPr>
          <w:p>
            <w:pPr>
              <w:pStyle w:val="53"/>
              <w:spacing w:before="0" w:beforeAutospacing="0" w:after="0" w:afterAutospacing="0"/>
              <w:jc w:val="center"/>
              <w:rPr>
                <w:kern w:val="2"/>
                <w:sz w:val="21"/>
                <w:szCs w:val="21"/>
              </w:rPr>
            </w:pPr>
            <w:r>
              <w:rPr>
                <w:rStyle w:val="1000"/>
                <w:rFonts w:hint="default" w:cs="Arial"/>
              </w:rPr>
              <w:t>***</w:t>
            </w: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r>
              <w:rPr>
                <w:rFonts w:hint="eastAsia"/>
                <w:kern w:val="2"/>
                <w:sz w:val="21"/>
                <w:szCs w:val="21"/>
              </w:rPr>
              <w:t>飞行学员</w:t>
            </w:r>
          </w:p>
        </w:tc>
        <w:tc>
          <w:tcPr>
            <w:tcW w:w="1705"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tc>
        <w:tc>
          <w:tcPr>
            <w:tcW w:w="2222" w:type="dxa"/>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both"/>
              <w:rPr>
                <w:kern w:val="2"/>
                <w:sz w:val="21"/>
                <w:szCs w:val="21"/>
              </w:rPr>
            </w:pPr>
          </w:p>
        </w:tc>
      </w:tr>
    </w:tbl>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（1）上述飞行员在完成了本机型的转机型培训并获得相应资质认证后，可以担任本机型相应资质的驾驶员。</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（2）被保险人使用或后续培养的飞行员，在完成了本机型的转机型培训并获得相应资质认证后，可以担任本机型相应资质的驾驶员。</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3）警航飞行员（含警航飞行学员）在改装和见习阶段可以在有机长或教员资质的飞行员带领下操作直升机，警航飞行员（含警航飞行学员）可以进行为通过机型改装或为取得飞行资质所必须的单独操作直升机的飞行。</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（4）列明的飞行员及其他的经浙江省警务航空队授权同意并具备驾驶保险标的一览表所列机型的相应资质的飞行员（含飞行学员）不需承保人事先同意也可以驾驶本保单项下承保的直升机。</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预计本年度总飞行小时数，总起降架次（2024-2025年度）</w:t>
      </w:r>
    </w:p>
    <w:tbl>
      <w:tblPr>
        <w:tblStyle w:val="5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557"/>
        <w:gridCol w:w="1137"/>
        <w:gridCol w:w="927"/>
        <w:gridCol w:w="1032"/>
        <w:gridCol w:w="593"/>
        <w:gridCol w:w="137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restar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2877" w:type="pct"/>
            <w:gridSpan w:val="5"/>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航空器</w:t>
            </w:r>
          </w:p>
        </w:tc>
        <w:tc>
          <w:tcPr>
            <w:tcW w:w="95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851"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69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型号</w:t>
            </w:r>
          </w:p>
        </w:tc>
        <w:tc>
          <w:tcPr>
            <w:tcW w:w="47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注册号</w:t>
            </w:r>
          </w:p>
        </w:tc>
        <w:tc>
          <w:tcPr>
            <w:tcW w:w="609"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生产序列号</w:t>
            </w:r>
          </w:p>
        </w:tc>
        <w:tc>
          <w:tcPr>
            <w:tcW w:w="510"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制造年份</w:t>
            </w:r>
          </w:p>
        </w:tc>
        <w:tc>
          <w:tcPr>
            <w:tcW w:w="586"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飞行开始时间</w:t>
            </w:r>
          </w:p>
        </w:tc>
        <w:tc>
          <w:tcPr>
            <w:tcW w:w="95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本年度预计总飞行小时数</w:t>
            </w:r>
          </w:p>
        </w:tc>
        <w:tc>
          <w:tcPr>
            <w:tcW w:w="851"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本年度预计起降架次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1</w:t>
            </w:r>
          </w:p>
        </w:tc>
        <w:tc>
          <w:tcPr>
            <w:tcW w:w="69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AW119MKII</w:t>
            </w:r>
          </w:p>
        </w:tc>
        <w:tc>
          <w:tcPr>
            <w:tcW w:w="47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3***2</w:t>
            </w:r>
          </w:p>
        </w:tc>
        <w:tc>
          <w:tcPr>
            <w:tcW w:w="609"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2012</w:t>
            </w:r>
          </w:p>
        </w:tc>
        <w:tc>
          <w:tcPr>
            <w:tcW w:w="586"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95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60</w:t>
            </w:r>
          </w:p>
        </w:tc>
        <w:tc>
          <w:tcPr>
            <w:tcW w:w="851"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2</w:t>
            </w:r>
          </w:p>
        </w:tc>
        <w:tc>
          <w:tcPr>
            <w:tcW w:w="69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AW139</w:t>
            </w:r>
          </w:p>
        </w:tc>
        <w:tc>
          <w:tcPr>
            <w:tcW w:w="47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3***1</w:t>
            </w:r>
          </w:p>
        </w:tc>
        <w:tc>
          <w:tcPr>
            <w:tcW w:w="609"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2012</w:t>
            </w:r>
          </w:p>
        </w:tc>
        <w:tc>
          <w:tcPr>
            <w:tcW w:w="586"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95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160</w:t>
            </w:r>
          </w:p>
        </w:tc>
        <w:tc>
          <w:tcPr>
            <w:tcW w:w="851"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3</w:t>
            </w:r>
          </w:p>
        </w:tc>
        <w:tc>
          <w:tcPr>
            <w:tcW w:w="69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AW139</w:t>
            </w:r>
          </w:p>
        </w:tc>
        <w:tc>
          <w:tcPr>
            <w:tcW w:w="47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3***5</w:t>
            </w:r>
          </w:p>
        </w:tc>
        <w:tc>
          <w:tcPr>
            <w:tcW w:w="609"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2016</w:t>
            </w:r>
          </w:p>
        </w:tc>
        <w:tc>
          <w:tcPr>
            <w:tcW w:w="586"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95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160</w:t>
            </w:r>
          </w:p>
        </w:tc>
        <w:tc>
          <w:tcPr>
            <w:tcW w:w="851"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4</w:t>
            </w:r>
          </w:p>
        </w:tc>
        <w:tc>
          <w:tcPr>
            <w:tcW w:w="69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AW139</w:t>
            </w:r>
          </w:p>
        </w:tc>
        <w:tc>
          <w:tcPr>
            <w:tcW w:w="47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3***6</w:t>
            </w:r>
          </w:p>
        </w:tc>
        <w:tc>
          <w:tcPr>
            <w:tcW w:w="609"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2016</w:t>
            </w:r>
          </w:p>
        </w:tc>
        <w:tc>
          <w:tcPr>
            <w:tcW w:w="586"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95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160</w:t>
            </w:r>
          </w:p>
        </w:tc>
        <w:tc>
          <w:tcPr>
            <w:tcW w:w="851"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jc w:val="center"/>
              <w:rPr>
                <w:kern w:val="2"/>
                <w:sz w:val="21"/>
                <w:szCs w:val="21"/>
              </w:rPr>
            </w:pPr>
            <w:r>
              <w:rPr>
                <w:rFonts w:hint="eastAsia"/>
                <w:kern w:val="2"/>
                <w:sz w:val="21"/>
                <w:szCs w:val="21"/>
              </w:rPr>
              <w:t>合计</w:t>
            </w:r>
          </w:p>
        </w:tc>
        <w:tc>
          <w:tcPr>
            <w:tcW w:w="69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473"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586"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p>
        </w:tc>
        <w:tc>
          <w:tcPr>
            <w:tcW w:w="957"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540</w:t>
            </w:r>
          </w:p>
        </w:tc>
        <w:tc>
          <w:tcPr>
            <w:tcW w:w="851" w:type="pct"/>
            <w:tcBorders>
              <w:top w:val="single" w:color="auto" w:sz="4" w:space="0"/>
              <w:left w:val="single" w:color="auto" w:sz="4" w:space="0"/>
              <w:bottom w:val="single" w:color="auto" w:sz="4" w:space="0"/>
              <w:right w:val="single" w:color="auto" w:sz="4" w:space="0"/>
            </w:tcBorders>
            <w:vAlign w:val="center"/>
          </w:tcPr>
          <w:p>
            <w:pPr>
              <w:pStyle w:val="53"/>
              <w:spacing w:before="0" w:beforeAutospacing="0" w:after="0" w:afterAutospacing="0"/>
              <w:ind w:firstLine="396"/>
              <w:jc w:val="center"/>
              <w:rPr>
                <w:kern w:val="2"/>
                <w:sz w:val="21"/>
                <w:szCs w:val="21"/>
              </w:rPr>
            </w:pPr>
            <w:r>
              <w:rPr>
                <w:rFonts w:hint="eastAsia"/>
                <w:kern w:val="2"/>
                <w:sz w:val="21"/>
                <w:szCs w:val="21"/>
              </w:rPr>
              <w:t>1750</w:t>
            </w:r>
          </w:p>
        </w:tc>
      </w:tr>
    </w:tbl>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飞行员飞行小时数，年度飞行计划，起落架次和飞行总时间等信息仅作为参考，不能作为保险公司拒绝赔偿的依据。</w:t>
      </w:r>
    </w:p>
    <w:p>
      <w:pPr>
        <w:pStyle w:val="53"/>
        <w:spacing w:before="0" w:beforeAutospacing="0" w:after="0" w:afterAutospacing="0"/>
        <w:ind w:firstLine="396"/>
        <w:jc w:val="both"/>
        <w:rPr>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2.2.2飞行员、机组、机务人员及保障人员意外伤害保险（特定期间）</w:t>
      </w:r>
    </w:p>
    <w:p>
      <w:pPr>
        <w:pStyle w:val="53"/>
        <w:spacing w:before="0" w:beforeAutospacing="0" w:after="0" w:afterAutospacing="0"/>
        <w:ind w:firstLine="398"/>
        <w:jc w:val="both"/>
        <w:rPr>
          <w:b/>
          <w:kern w:val="2"/>
          <w:sz w:val="21"/>
          <w:szCs w:val="21"/>
        </w:rPr>
      </w:pPr>
      <w:r>
        <w:rPr>
          <w:rFonts w:hint="eastAsia"/>
          <w:b/>
          <w:kern w:val="2"/>
          <w:sz w:val="21"/>
          <w:szCs w:val="21"/>
        </w:rPr>
        <w:t>注：特定期间指被保险人在航空器上或处于与航空器相连的任何设备或装置上或上下航空器过程中。</w:t>
      </w:r>
    </w:p>
    <w:p>
      <w:pPr>
        <w:pStyle w:val="53"/>
        <w:spacing w:before="0" w:beforeAutospacing="0" w:after="0" w:afterAutospacing="0"/>
        <w:ind w:firstLine="398"/>
        <w:jc w:val="both"/>
        <w:rPr>
          <w:b/>
          <w:kern w:val="2"/>
          <w:sz w:val="21"/>
          <w:szCs w:val="21"/>
        </w:rPr>
      </w:pPr>
      <w:r>
        <w:rPr>
          <w:rFonts w:hint="eastAsia"/>
          <w:b/>
          <w:kern w:val="2"/>
          <w:sz w:val="21"/>
          <w:szCs w:val="21"/>
        </w:rPr>
        <w:t>2.2.2.1投保人</w:t>
      </w:r>
    </w:p>
    <w:p>
      <w:pPr>
        <w:pStyle w:val="53"/>
        <w:spacing w:before="0" w:beforeAutospacing="0" w:after="0" w:afterAutospacing="0"/>
        <w:ind w:firstLine="396"/>
        <w:jc w:val="both"/>
        <w:rPr>
          <w:kern w:val="2"/>
          <w:sz w:val="21"/>
          <w:szCs w:val="21"/>
        </w:rPr>
      </w:pPr>
      <w:r>
        <w:rPr>
          <w:rFonts w:hint="eastAsia"/>
          <w:kern w:val="2"/>
          <w:sz w:val="21"/>
          <w:szCs w:val="21"/>
        </w:rPr>
        <w:t>浙江省公安警务航空队</w:t>
      </w: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2.2.2.2 被保险人</w:t>
      </w:r>
    </w:p>
    <w:p>
      <w:pPr>
        <w:pStyle w:val="53"/>
        <w:spacing w:before="0" w:beforeAutospacing="0" w:after="0" w:afterAutospacing="0"/>
        <w:ind w:firstLine="396"/>
        <w:jc w:val="both"/>
        <w:rPr>
          <w:kern w:val="2"/>
          <w:sz w:val="21"/>
          <w:szCs w:val="21"/>
        </w:rPr>
      </w:pPr>
      <w:r>
        <w:rPr>
          <w:rFonts w:hint="eastAsia"/>
          <w:kern w:val="2"/>
          <w:sz w:val="21"/>
          <w:szCs w:val="21"/>
        </w:rPr>
        <w:t>浙江省公安警务航空队空勤人员及地勤人员共53人。</w:t>
      </w:r>
    </w:p>
    <w:p>
      <w:pPr>
        <w:pStyle w:val="53"/>
        <w:spacing w:before="0" w:beforeAutospacing="0" w:after="0" w:afterAutospacing="0"/>
        <w:ind w:firstLine="396"/>
        <w:jc w:val="both"/>
        <w:rPr>
          <w:kern w:val="2"/>
          <w:sz w:val="21"/>
          <w:szCs w:val="21"/>
        </w:rPr>
      </w:pPr>
      <w:r>
        <w:rPr>
          <w:rFonts w:hint="eastAsia"/>
          <w:kern w:val="2"/>
          <w:sz w:val="21"/>
          <w:szCs w:val="21"/>
        </w:rPr>
        <w:t>其中，空勤人员14人，地勤人员39人。投保名单以被保险人最终确认为准。</w:t>
      </w:r>
    </w:p>
    <w:p>
      <w:pPr>
        <w:pStyle w:val="53"/>
        <w:spacing w:before="0" w:beforeAutospacing="0" w:after="0" w:afterAutospacing="0"/>
        <w:ind w:firstLine="398"/>
        <w:jc w:val="both"/>
        <w:rPr>
          <w:kern w:val="2"/>
          <w:sz w:val="21"/>
          <w:szCs w:val="21"/>
        </w:rPr>
      </w:pPr>
      <w:r>
        <w:rPr>
          <w:rFonts w:hint="eastAsia"/>
          <w:szCs w:val="21"/>
        </w:rPr>
        <w:t>★</w:t>
      </w:r>
      <w:r>
        <w:rPr>
          <w:rFonts w:hint="eastAsia"/>
          <w:b/>
          <w:kern w:val="2"/>
          <w:sz w:val="21"/>
          <w:szCs w:val="21"/>
        </w:rPr>
        <w:t>2.2.2.3 保障地域范围</w:t>
      </w:r>
    </w:p>
    <w:p>
      <w:pPr>
        <w:pStyle w:val="53"/>
        <w:spacing w:before="0" w:beforeAutospacing="0" w:after="0" w:afterAutospacing="0"/>
        <w:ind w:firstLine="396"/>
        <w:jc w:val="both"/>
        <w:rPr>
          <w:kern w:val="2"/>
          <w:sz w:val="21"/>
          <w:szCs w:val="21"/>
        </w:rPr>
      </w:pPr>
      <w:r>
        <w:rPr>
          <w:rFonts w:hint="eastAsia"/>
          <w:sz w:val="21"/>
          <w:szCs w:val="21"/>
        </w:rPr>
        <w:t>中华人民共和国境内（不包括香港、澳门、台湾地区）。</w:t>
      </w:r>
    </w:p>
    <w:tbl>
      <w:tblPr>
        <w:tblStyle w:val="59"/>
        <w:tblpPr w:leftFromText="180" w:rightFromText="180" w:vertAnchor="text" w:horzAnchor="page" w:tblpX="1459" w:tblpY="4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37"/>
        <w:gridCol w:w="1165"/>
        <w:gridCol w:w="24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55" w:type="dxa"/>
            <w:vAlign w:val="center"/>
          </w:tcPr>
          <w:p>
            <w:pPr>
              <w:pStyle w:val="53"/>
              <w:spacing w:before="0" w:beforeAutospacing="0" w:after="0" w:afterAutospacing="0"/>
              <w:jc w:val="center"/>
              <w:rPr>
                <w:kern w:val="2"/>
                <w:sz w:val="21"/>
                <w:szCs w:val="21"/>
              </w:rPr>
            </w:pPr>
            <w:r>
              <w:rPr>
                <w:rFonts w:hint="eastAsia"/>
                <w:kern w:val="2"/>
                <w:sz w:val="21"/>
                <w:szCs w:val="21"/>
              </w:rPr>
              <w:t>人员</w:t>
            </w:r>
          </w:p>
        </w:tc>
        <w:tc>
          <w:tcPr>
            <w:tcW w:w="2237" w:type="dxa"/>
            <w:vAlign w:val="center"/>
          </w:tcPr>
          <w:p>
            <w:pPr>
              <w:pStyle w:val="53"/>
              <w:spacing w:before="0" w:beforeAutospacing="0" w:after="0" w:afterAutospacing="0"/>
              <w:ind w:firstLine="396"/>
              <w:jc w:val="center"/>
              <w:rPr>
                <w:kern w:val="2"/>
                <w:sz w:val="21"/>
                <w:szCs w:val="21"/>
              </w:rPr>
            </w:pPr>
            <w:r>
              <w:rPr>
                <w:rFonts w:hint="eastAsia"/>
                <w:kern w:val="2"/>
                <w:sz w:val="21"/>
                <w:szCs w:val="21"/>
              </w:rPr>
              <w:t>保险项目</w:t>
            </w:r>
          </w:p>
        </w:tc>
        <w:tc>
          <w:tcPr>
            <w:tcW w:w="1165" w:type="dxa"/>
            <w:vAlign w:val="center"/>
          </w:tcPr>
          <w:p>
            <w:pPr>
              <w:pStyle w:val="53"/>
              <w:spacing w:before="0" w:beforeAutospacing="0" w:after="0" w:afterAutospacing="0"/>
              <w:jc w:val="center"/>
              <w:rPr>
                <w:kern w:val="2"/>
                <w:sz w:val="21"/>
                <w:szCs w:val="21"/>
              </w:rPr>
            </w:pPr>
            <w:r>
              <w:rPr>
                <w:rFonts w:hint="eastAsia"/>
                <w:kern w:val="2"/>
                <w:sz w:val="21"/>
                <w:szCs w:val="21"/>
              </w:rPr>
              <w:t>人数</w:t>
            </w:r>
          </w:p>
        </w:tc>
        <w:tc>
          <w:tcPr>
            <w:tcW w:w="2409" w:type="dxa"/>
            <w:vAlign w:val="center"/>
          </w:tcPr>
          <w:p>
            <w:pPr>
              <w:pStyle w:val="53"/>
              <w:spacing w:before="0" w:beforeAutospacing="0" w:after="0" w:afterAutospacing="0"/>
              <w:jc w:val="center"/>
              <w:rPr>
                <w:kern w:val="2"/>
                <w:sz w:val="21"/>
                <w:szCs w:val="21"/>
              </w:rPr>
            </w:pPr>
            <w:r>
              <w:rPr>
                <w:rFonts w:hint="eastAsia"/>
                <w:kern w:val="2"/>
                <w:sz w:val="21"/>
                <w:szCs w:val="21"/>
              </w:rPr>
              <w:t>保额</w:t>
            </w:r>
          </w:p>
        </w:tc>
        <w:tc>
          <w:tcPr>
            <w:tcW w:w="1276" w:type="dxa"/>
            <w:vAlign w:val="center"/>
          </w:tcPr>
          <w:p>
            <w:pPr>
              <w:pStyle w:val="53"/>
              <w:spacing w:before="0" w:beforeAutospacing="0" w:after="0" w:afterAutospacing="0"/>
              <w:jc w:val="center"/>
              <w:rPr>
                <w:kern w:val="2"/>
                <w:sz w:val="21"/>
                <w:szCs w:val="21"/>
              </w:rPr>
            </w:pPr>
            <w:r>
              <w:rPr>
                <w:rFonts w:hint="eastAsia"/>
                <w:kern w:val="2"/>
                <w:sz w:val="21"/>
                <w:szCs w:val="21"/>
              </w:rPr>
              <w:t>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55" w:type="dxa"/>
            <w:vAlign w:val="center"/>
          </w:tcPr>
          <w:p>
            <w:pPr>
              <w:pStyle w:val="53"/>
              <w:spacing w:before="0" w:beforeAutospacing="0" w:after="0" w:afterAutospacing="0"/>
              <w:jc w:val="center"/>
              <w:rPr>
                <w:kern w:val="2"/>
                <w:sz w:val="21"/>
                <w:szCs w:val="21"/>
              </w:rPr>
            </w:pPr>
            <w:r>
              <w:rPr>
                <w:rFonts w:hint="eastAsia"/>
                <w:kern w:val="2"/>
                <w:sz w:val="21"/>
                <w:szCs w:val="21"/>
              </w:rPr>
              <w:t>空勤人员</w:t>
            </w:r>
          </w:p>
        </w:tc>
        <w:tc>
          <w:tcPr>
            <w:tcW w:w="2237" w:type="dxa"/>
            <w:vAlign w:val="center"/>
          </w:tcPr>
          <w:p>
            <w:pPr>
              <w:pStyle w:val="53"/>
              <w:spacing w:before="0" w:beforeAutospacing="0" w:after="0" w:afterAutospacing="0"/>
              <w:jc w:val="center"/>
              <w:rPr>
                <w:kern w:val="2"/>
                <w:sz w:val="21"/>
                <w:szCs w:val="21"/>
              </w:rPr>
            </w:pPr>
            <w:r>
              <w:rPr>
                <w:rFonts w:hint="eastAsia"/>
                <w:kern w:val="2"/>
                <w:sz w:val="21"/>
                <w:szCs w:val="21"/>
              </w:rPr>
              <w:t>人身意外伤害保险</w:t>
            </w:r>
          </w:p>
          <w:p>
            <w:pPr>
              <w:pStyle w:val="53"/>
              <w:spacing w:before="0" w:beforeAutospacing="0" w:after="0" w:afterAutospacing="0"/>
              <w:jc w:val="center"/>
              <w:rPr>
                <w:kern w:val="2"/>
                <w:sz w:val="21"/>
                <w:szCs w:val="21"/>
              </w:rPr>
            </w:pPr>
            <w:r>
              <w:rPr>
                <w:rFonts w:hint="eastAsia"/>
                <w:kern w:val="2"/>
                <w:sz w:val="21"/>
                <w:szCs w:val="21"/>
              </w:rPr>
              <w:t>（特定期间）</w:t>
            </w:r>
          </w:p>
        </w:tc>
        <w:tc>
          <w:tcPr>
            <w:tcW w:w="1165" w:type="dxa"/>
            <w:vAlign w:val="center"/>
          </w:tcPr>
          <w:p>
            <w:pPr>
              <w:pStyle w:val="53"/>
              <w:spacing w:before="0" w:beforeAutospacing="0" w:after="0" w:afterAutospacing="0"/>
              <w:jc w:val="center"/>
              <w:rPr>
                <w:kern w:val="2"/>
                <w:sz w:val="21"/>
                <w:szCs w:val="21"/>
              </w:rPr>
            </w:pPr>
            <w:r>
              <w:rPr>
                <w:rFonts w:hint="eastAsia"/>
                <w:kern w:val="2"/>
                <w:sz w:val="21"/>
                <w:szCs w:val="21"/>
              </w:rPr>
              <w:t>14</w:t>
            </w:r>
          </w:p>
        </w:tc>
        <w:tc>
          <w:tcPr>
            <w:tcW w:w="2409" w:type="dxa"/>
            <w:vAlign w:val="center"/>
          </w:tcPr>
          <w:p>
            <w:pPr>
              <w:pStyle w:val="53"/>
              <w:spacing w:before="0" w:beforeAutospacing="0" w:after="0" w:afterAutospacing="0"/>
              <w:jc w:val="center"/>
              <w:rPr>
                <w:kern w:val="2"/>
                <w:sz w:val="21"/>
                <w:szCs w:val="21"/>
              </w:rPr>
            </w:pPr>
            <w:r>
              <w:rPr>
                <w:rFonts w:hint="eastAsia"/>
                <w:kern w:val="2"/>
                <w:sz w:val="21"/>
                <w:szCs w:val="21"/>
              </w:rPr>
              <w:t>RMB2,500,000.00/人</w:t>
            </w:r>
          </w:p>
        </w:tc>
        <w:tc>
          <w:tcPr>
            <w:tcW w:w="1276" w:type="dxa"/>
            <w:vAlign w:val="center"/>
          </w:tcPr>
          <w:p>
            <w:pPr>
              <w:pStyle w:val="53"/>
              <w:spacing w:before="0" w:beforeAutospacing="0" w:after="0" w:afterAutospacing="0"/>
              <w:jc w:val="center"/>
              <w:rPr>
                <w:kern w:val="2"/>
                <w:sz w:val="21"/>
                <w:szCs w:val="21"/>
              </w:rPr>
            </w:pPr>
            <w:r>
              <w:rPr>
                <w:rFonts w:hint="eastAsia"/>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 w:type="dxa"/>
            <w:vAlign w:val="center"/>
          </w:tcPr>
          <w:p>
            <w:pPr>
              <w:pStyle w:val="53"/>
              <w:spacing w:before="0" w:beforeAutospacing="0" w:after="0" w:afterAutospacing="0"/>
              <w:jc w:val="center"/>
              <w:rPr>
                <w:kern w:val="2"/>
                <w:sz w:val="21"/>
                <w:szCs w:val="21"/>
              </w:rPr>
            </w:pPr>
            <w:r>
              <w:rPr>
                <w:rFonts w:hint="eastAsia"/>
                <w:kern w:val="2"/>
                <w:sz w:val="21"/>
                <w:szCs w:val="21"/>
              </w:rPr>
              <w:t>地勤人员</w:t>
            </w:r>
          </w:p>
        </w:tc>
        <w:tc>
          <w:tcPr>
            <w:tcW w:w="2237" w:type="dxa"/>
            <w:vAlign w:val="center"/>
          </w:tcPr>
          <w:p>
            <w:pPr>
              <w:pStyle w:val="53"/>
              <w:spacing w:before="0" w:beforeAutospacing="0" w:after="0" w:afterAutospacing="0"/>
              <w:jc w:val="center"/>
              <w:rPr>
                <w:kern w:val="2"/>
                <w:sz w:val="21"/>
                <w:szCs w:val="21"/>
              </w:rPr>
            </w:pPr>
            <w:r>
              <w:rPr>
                <w:rFonts w:hint="eastAsia"/>
                <w:kern w:val="2"/>
                <w:sz w:val="21"/>
                <w:szCs w:val="21"/>
              </w:rPr>
              <w:t>人身意外伤害保险</w:t>
            </w:r>
          </w:p>
          <w:p>
            <w:pPr>
              <w:pStyle w:val="53"/>
              <w:spacing w:before="0" w:beforeAutospacing="0" w:after="0" w:afterAutospacing="0"/>
              <w:jc w:val="center"/>
              <w:rPr>
                <w:kern w:val="2"/>
                <w:sz w:val="21"/>
                <w:szCs w:val="21"/>
              </w:rPr>
            </w:pPr>
            <w:r>
              <w:rPr>
                <w:rFonts w:hint="eastAsia"/>
                <w:kern w:val="2"/>
                <w:sz w:val="21"/>
                <w:szCs w:val="21"/>
              </w:rPr>
              <w:t>（特定期间）</w:t>
            </w:r>
          </w:p>
        </w:tc>
        <w:tc>
          <w:tcPr>
            <w:tcW w:w="1165" w:type="dxa"/>
            <w:vAlign w:val="center"/>
          </w:tcPr>
          <w:p>
            <w:pPr>
              <w:pStyle w:val="53"/>
              <w:spacing w:before="0" w:beforeAutospacing="0" w:after="0" w:afterAutospacing="0"/>
              <w:jc w:val="center"/>
              <w:rPr>
                <w:kern w:val="2"/>
                <w:sz w:val="21"/>
                <w:szCs w:val="21"/>
              </w:rPr>
            </w:pPr>
            <w:r>
              <w:rPr>
                <w:rFonts w:hint="eastAsia"/>
                <w:kern w:val="2"/>
                <w:sz w:val="21"/>
                <w:szCs w:val="21"/>
              </w:rPr>
              <w:t>39</w:t>
            </w:r>
          </w:p>
        </w:tc>
        <w:tc>
          <w:tcPr>
            <w:tcW w:w="2409" w:type="dxa"/>
            <w:vAlign w:val="center"/>
          </w:tcPr>
          <w:p>
            <w:pPr>
              <w:pStyle w:val="53"/>
              <w:spacing w:before="0" w:beforeAutospacing="0" w:after="0" w:afterAutospacing="0"/>
              <w:jc w:val="center"/>
              <w:rPr>
                <w:kern w:val="2"/>
                <w:sz w:val="21"/>
                <w:szCs w:val="21"/>
              </w:rPr>
            </w:pPr>
            <w:r>
              <w:rPr>
                <w:rFonts w:hint="eastAsia"/>
                <w:kern w:val="2"/>
                <w:sz w:val="21"/>
                <w:szCs w:val="21"/>
              </w:rPr>
              <w:t>RMB2,500,000.00/人</w:t>
            </w:r>
          </w:p>
        </w:tc>
        <w:tc>
          <w:tcPr>
            <w:tcW w:w="1276" w:type="dxa"/>
            <w:vAlign w:val="center"/>
          </w:tcPr>
          <w:p>
            <w:pPr>
              <w:pStyle w:val="53"/>
              <w:spacing w:before="0" w:beforeAutospacing="0" w:after="0" w:afterAutospacing="0"/>
              <w:jc w:val="center"/>
              <w:rPr>
                <w:kern w:val="2"/>
                <w:sz w:val="21"/>
                <w:szCs w:val="21"/>
              </w:rPr>
            </w:pPr>
            <w:r>
              <w:rPr>
                <w:rFonts w:hint="eastAsia"/>
                <w:kern w:val="2"/>
                <w:sz w:val="21"/>
                <w:szCs w:val="21"/>
              </w:rPr>
              <w:t>无</w:t>
            </w:r>
          </w:p>
        </w:tc>
      </w:tr>
    </w:tbl>
    <w:p>
      <w:pPr>
        <w:pStyle w:val="53"/>
        <w:spacing w:before="0" w:beforeAutospacing="0" w:after="0" w:afterAutospacing="0" w:line="360" w:lineRule="auto"/>
        <w:ind w:firstLine="398"/>
        <w:jc w:val="both"/>
        <w:rPr>
          <w:rFonts w:ascii="Microsoft YaHei UI" w:hAnsi="Microsoft YaHei UI" w:eastAsia="Microsoft YaHei UI" w:cs="Arial"/>
          <w:kern w:val="2"/>
          <w:sz w:val="18"/>
          <w:szCs w:val="18"/>
        </w:rPr>
      </w:pPr>
      <w:r>
        <w:rPr>
          <w:rFonts w:hint="eastAsia"/>
          <w:szCs w:val="21"/>
        </w:rPr>
        <w:t>★</w:t>
      </w:r>
      <w:r>
        <w:rPr>
          <w:rFonts w:hint="eastAsia"/>
          <w:b/>
          <w:kern w:val="2"/>
          <w:sz w:val="21"/>
          <w:szCs w:val="21"/>
        </w:rPr>
        <w:t>2.2.2.4 保险项目、保险金额及免赔额</w:t>
      </w: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2.2.2.5保险期限</w:t>
      </w:r>
    </w:p>
    <w:p>
      <w:pPr>
        <w:pStyle w:val="53"/>
        <w:spacing w:before="0" w:beforeAutospacing="0" w:after="0" w:afterAutospacing="0"/>
        <w:ind w:firstLine="396"/>
        <w:jc w:val="both"/>
        <w:rPr>
          <w:kern w:val="2"/>
          <w:sz w:val="21"/>
          <w:szCs w:val="21"/>
        </w:rPr>
      </w:pPr>
      <w:r>
        <w:rPr>
          <w:rFonts w:hint="eastAsia"/>
          <w:sz w:val="21"/>
          <w:szCs w:val="21"/>
        </w:rPr>
        <w:t>2024年06月26日零时起，至2025年06月25日二十四时止，具体保险日期以投保人最终确认为准。</w:t>
      </w:r>
      <w:r>
        <w:rPr>
          <w:rFonts w:hint="eastAsia"/>
          <w:kern w:val="2"/>
          <w:sz w:val="21"/>
          <w:szCs w:val="21"/>
        </w:rPr>
        <w:t>（北京时间）</w:t>
      </w:r>
    </w:p>
    <w:p>
      <w:pPr>
        <w:pStyle w:val="53"/>
        <w:spacing w:before="0" w:beforeAutospacing="0" w:after="0" w:afterAutospacing="0"/>
        <w:ind w:firstLine="398"/>
        <w:jc w:val="both"/>
        <w:rPr>
          <w:b/>
          <w:kern w:val="2"/>
          <w:sz w:val="21"/>
          <w:szCs w:val="21"/>
        </w:rPr>
      </w:pPr>
      <w:r>
        <w:rPr>
          <w:rFonts w:hint="eastAsia"/>
          <w:b/>
          <w:kern w:val="2"/>
          <w:sz w:val="21"/>
          <w:szCs w:val="21"/>
        </w:rPr>
        <w:t>2.2.2.6特别约定</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2.2.2.6.1兹经双方同意并约定，本保单仅承保被保险人在航空器上或处于与航空器相连的任何设备或装置上或上下航空器过程中遭受意外伤害所导致的身故、残疾或烧伤，保险人依照合同约定给付保险金（航空器仅指投保人拥有或运营的航空器）。</w:t>
      </w:r>
    </w:p>
    <w:p>
      <w:pPr>
        <w:pStyle w:val="53"/>
        <w:spacing w:before="0" w:beforeAutospacing="0" w:after="0" w:afterAutospacing="0"/>
        <w:ind w:firstLine="398"/>
        <w:jc w:val="both"/>
        <w:rPr>
          <w:kern w:val="2"/>
          <w:sz w:val="21"/>
          <w:szCs w:val="21"/>
        </w:rPr>
      </w:pPr>
      <w:r>
        <w:rPr>
          <w:rFonts w:hint="eastAsia"/>
          <w:szCs w:val="21"/>
        </w:rPr>
        <w:t>★2</w:t>
      </w:r>
      <w:r>
        <w:rPr>
          <w:rFonts w:hint="eastAsia"/>
          <w:kern w:val="2"/>
          <w:sz w:val="21"/>
          <w:szCs w:val="21"/>
        </w:rPr>
        <w:t>.2.2.6.2兹经双方同意并约定，鉴于被保险人职业的特殊性，被保险人执行警务飞行和政府下达的其他飞行任务期间不视为本保单中除外条款中“战争、军事活动、武装叛乱或暴乱期间或恐怖袭击”。</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2.2.2.6.3兹经双方同意并约定，保险期限内被保险人10%新增的空勤人员和地勤人员（包括但不限于飞行员、任务员、机务人员及地面保障管理人员）自动免费纳入本保单保险保障范围内，被保险人须在新增人员到岗后十五个工作日内书面告知保险人。</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2.2.2.6.4兹经双方同意并约定，本保单的被保险人包括空勤人员、地勤人员及列明的所有人员。</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2.2.2.6.5兹经双方同意并约定，本保单中涉及伤残等级评定均以二零一三年六月八日中国保险行业协会、中国法医学会联合发布的《人身保险伤残评定标准》为准。</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2.2.2.6.6兹经双方同意并约定，被保险人在执行警务飞行以及政府下达的其他飞行任务，包括但不限于：空中巡察与指挥、空中侦察、缉私禁毒和追捕逃犯、反恐支援和空降突袭等期间遭受意外伤害事故的，属于保险责任范围。</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2.2.2.6.7兹经双方同意并约定，在保险事故发生后，如果本保单保险条款之间存在冲突，统一按照对被保险人有利的赔偿标准进行赔付。</w:t>
      </w:r>
    </w:p>
    <w:p>
      <w:pPr>
        <w:pStyle w:val="53"/>
        <w:spacing w:before="0" w:beforeAutospacing="0" w:after="0" w:afterAutospacing="0"/>
        <w:ind w:firstLine="398"/>
        <w:jc w:val="both"/>
        <w:rPr>
          <w:kern w:val="2"/>
          <w:sz w:val="21"/>
          <w:szCs w:val="21"/>
        </w:rPr>
      </w:pPr>
      <w:r>
        <w:rPr>
          <w:rFonts w:hint="eastAsia"/>
          <w:b/>
          <w:kern w:val="2"/>
          <w:sz w:val="21"/>
          <w:szCs w:val="21"/>
        </w:rPr>
        <w:t>2.2.2.7附加条款</w:t>
      </w:r>
    </w:p>
    <w:p>
      <w:pPr>
        <w:pStyle w:val="53"/>
        <w:spacing w:before="0" w:beforeAutospacing="0" w:after="0" w:afterAutospacing="0"/>
        <w:jc w:val="both"/>
        <w:rPr>
          <w:kern w:val="2"/>
          <w:sz w:val="21"/>
          <w:szCs w:val="21"/>
        </w:rPr>
      </w:pPr>
      <w:r>
        <w:rPr>
          <w:rFonts w:ascii="Wingdings" w:hAnsi="Wingdings"/>
          <w:kern w:val="2"/>
          <w:sz w:val="21"/>
          <w:szCs w:val="21"/>
        </w:rPr>
        <w:t></w:t>
      </w:r>
      <w:r>
        <w:rPr>
          <w:rFonts w:hint="eastAsia"/>
          <w:szCs w:val="21"/>
        </w:rPr>
        <w:t>★</w:t>
      </w:r>
      <w:r>
        <w:rPr>
          <w:rFonts w:hint="eastAsia"/>
          <w:kern w:val="2"/>
          <w:sz w:val="21"/>
          <w:szCs w:val="21"/>
        </w:rPr>
        <w:t>意外伤害烧伤保险条款</w:t>
      </w:r>
    </w:p>
    <w:p>
      <w:pPr>
        <w:pStyle w:val="53"/>
        <w:spacing w:before="0" w:beforeAutospacing="0" w:after="0" w:afterAutospacing="0"/>
        <w:jc w:val="both"/>
        <w:rPr>
          <w:kern w:val="2"/>
          <w:sz w:val="21"/>
          <w:szCs w:val="21"/>
        </w:rPr>
      </w:pPr>
      <w:r>
        <w:rPr>
          <w:rFonts w:ascii="Wingdings" w:hAnsi="Wingdings"/>
          <w:kern w:val="2"/>
          <w:sz w:val="21"/>
          <w:szCs w:val="21"/>
        </w:rPr>
        <w:t></w:t>
      </w:r>
      <w:r>
        <w:rPr>
          <w:rFonts w:hint="eastAsia"/>
          <w:szCs w:val="21"/>
        </w:rPr>
        <w:t>★</w:t>
      </w:r>
      <w:r>
        <w:rPr>
          <w:rFonts w:hint="eastAsia"/>
          <w:kern w:val="2"/>
          <w:sz w:val="21"/>
          <w:szCs w:val="21"/>
        </w:rPr>
        <w:t>经纪人条款（航联10%）</w:t>
      </w:r>
    </w:p>
    <w:p>
      <w:pPr>
        <w:pStyle w:val="53"/>
        <w:spacing w:before="0" w:beforeAutospacing="0" w:after="0" w:afterAutospacing="0"/>
        <w:ind w:firstLine="396"/>
        <w:jc w:val="both"/>
        <w:rPr>
          <w:kern w:val="2"/>
          <w:sz w:val="21"/>
          <w:szCs w:val="21"/>
        </w:rPr>
      </w:pPr>
      <w:r>
        <w:rPr>
          <w:rFonts w:hint="eastAsia"/>
          <w:kern w:val="2"/>
          <w:sz w:val="21"/>
          <w:szCs w:val="21"/>
        </w:rPr>
        <w:t>以上所列条款为基本扩展条款，投标人可自行增加条款作为服务方案的一部分。投标文件中须提供特别条款具体措词。</w:t>
      </w: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2.2.2.8保险合同条款措辞</w:t>
      </w:r>
    </w:p>
    <w:p>
      <w:pPr>
        <w:pStyle w:val="53"/>
        <w:spacing w:before="0" w:beforeAutospacing="0" w:after="0" w:afterAutospacing="0"/>
        <w:jc w:val="both"/>
        <w:rPr>
          <w:bCs/>
          <w:kern w:val="2"/>
          <w:sz w:val="21"/>
          <w:szCs w:val="21"/>
        </w:rPr>
      </w:pPr>
      <w:r>
        <w:rPr>
          <w:rFonts w:ascii="Wingdings" w:hAnsi="Wingdings"/>
          <w:bCs/>
          <w:kern w:val="2"/>
          <w:sz w:val="21"/>
          <w:szCs w:val="21"/>
        </w:rPr>
        <w:t></w:t>
      </w:r>
      <w:r>
        <w:rPr>
          <w:rFonts w:hint="eastAsia"/>
          <w:bCs/>
          <w:kern w:val="2"/>
          <w:sz w:val="21"/>
          <w:szCs w:val="21"/>
        </w:rPr>
        <w:t>团体人身意外伤害保险</w:t>
      </w:r>
    </w:p>
    <w:p>
      <w:pPr>
        <w:pStyle w:val="53"/>
        <w:spacing w:before="0" w:beforeAutospacing="0" w:after="0" w:afterAutospacing="0"/>
        <w:jc w:val="both"/>
        <w:rPr>
          <w:bCs/>
          <w:kern w:val="2"/>
          <w:sz w:val="21"/>
          <w:szCs w:val="21"/>
        </w:rPr>
      </w:pPr>
      <w:r>
        <w:rPr>
          <w:rFonts w:hint="eastAsia"/>
          <w:bCs/>
          <w:kern w:val="2"/>
          <w:sz w:val="21"/>
          <w:szCs w:val="21"/>
        </w:rPr>
        <w:t>和/或</w:t>
      </w:r>
    </w:p>
    <w:p>
      <w:pPr>
        <w:pStyle w:val="53"/>
        <w:spacing w:before="0" w:beforeAutospacing="0" w:after="0" w:afterAutospacing="0"/>
        <w:jc w:val="both"/>
        <w:rPr>
          <w:bCs/>
          <w:kern w:val="2"/>
          <w:sz w:val="21"/>
          <w:szCs w:val="21"/>
        </w:rPr>
      </w:pPr>
      <w:r>
        <w:rPr>
          <w:rFonts w:ascii="Wingdings" w:hAnsi="Wingdings"/>
          <w:bCs/>
          <w:kern w:val="2"/>
          <w:sz w:val="21"/>
          <w:szCs w:val="21"/>
        </w:rPr>
        <w:t></w:t>
      </w:r>
      <w:r>
        <w:rPr>
          <w:rFonts w:hint="eastAsia"/>
          <w:bCs/>
          <w:kern w:val="2"/>
          <w:sz w:val="21"/>
          <w:szCs w:val="21"/>
        </w:rPr>
        <w:t>机上人员意外伤害保险</w:t>
      </w:r>
    </w:p>
    <w:p>
      <w:pPr>
        <w:pStyle w:val="53"/>
        <w:spacing w:before="0" w:beforeAutospacing="0" w:after="0" w:afterAutospacing="0"/>
        <w:jc w:val="both"/>
        <w:rPr>
          <w:bCs/>
          <w:kern w:val="2"/>
          <w:sz w:val="21"/>
          <w:szCs w:val="21"/>
        </w:rPr>
      </w:pPr>
      <w:r>
        <w:rPr>
          <w:rFonts w:hint="eastAsia"/>
          <w:bCs/>
          <w:kern w:val="2"/>
          <w:sz w:val="21"/>
          <w:szCs w:val="21"/>
        </w:rPr>
        <w:t>条款须满足投保人上述保障需求。</w:t>
      </w:r>
    </w:p>
    <w:p>
      <w:pPr>
        <w:pStyle w:val="53"/>
        <w:spacing w:before="0" w:beforeAutospacing="0" w:after="0" w:afterAutospacing="0"/>
        <w:ind w:firstLine="396"/>
        <w:jc w:val="both"/>
        <w:rPr>
          <w:kern w:val="2"/>
          <w:sz w:val="21"/>
          <w:szCs w:val="21"/>
        </w:rPr>
      </w:pPr>
      <w:r>
        <w:rPr>
          <w:rFonts w:hint="eastAsia"/>
          <w:szCs w:val="21"/>
        </w:rPr>
        <w:t>★</w:t>
      </w:r>
      <w:r>
        <w:rPr>
          <w:rFonts w:hint="eastAsia"/>
          <w:b/>
          <w:bCs/>
          <w:kern w:val="2"/>
          <w:sz w:val="21"/>
          <w:szCs w:val="21"/>
        </w:rPr>
        <w:t>请投标单位提供具体条款措辞</w:t>
      </w:r>
      <w:r>
        <w:rPr>
          <w:rFonts w:hint="eastAsia"/>
          <w:b/>
          <w:bCs/>
          <w:kern w:val="2"/>
          <w:sz w:val="21"/>
          <w:szCs w:val="21"/>
          <w:highlight w:val="yellow"/>
        </w:rPr>
        <w:t>（格式自拟，未提供视为负偏离）</w:t>
      </w:r>
      <w:r>
        <w:rPr>
          <w:rFonts w:hint="eastAsia"/>
          <w:b/>
          <w:bCs/>
          <w:kern w:val="2"/>
          <w:sz w:val="21"/>
          <w:szCs w:val="21"/>
        </w:rPr>
        <w:t>。</w:t>
      </w:r>
    </w:p>
    <w:p>
      <w:pPr>
        <w:pStyle w:val="53"/>
        <w:spacing w:before="0" w:beforeAutospacing="0" w:after="0" w:afterAutospacing="0"/>
        <w:ind w:firstLine="398"/>
        <w:jc w:val="both"/>
        <w:rPr>
          <w:b/>
          <w:kern w:val="2"/>
          <w:sz w:val="21"/>
          <w:szCs w:val="21"/>
        </w:rPr>
      </w:pPr>
      <w:r>
        <w:rPr>
          <w:rFonts w:hint="eastAsia"/>
          <w:b/>
          <w:kern w:val="2"/>
          <w:sz w:val="21"/>
          <w:szCs w:val="21"/>
        </w:rPr>
        <w:t>2.2.3飞行员、机组、机务人员及保障人员意外伤害保险（附加意外伤害医疗保险）</w:t>
      </w:r>
    </w:p>
    <w:p>
      <w:pPr>
        <w:pStyle w:val="53"/>
        <w:spacing w:before="0" w:beforeAutospacing="0" w:after="0" w:afterAutospacing="0"/>
        <w:ind w:firstLine="398"/>
        <w:jc w:val="both"/>
        <w:rPr>
          <w:b/>
          <w:kern w:val="2"/>
          <w:sz w:val="21"/>
          <w:szCs w:val="21"/>
        </w:rPr>
      </w:pPr>
      <w:r>
        <w:rPr>
          <w:rFonts w:hint="eastAsia"/>
          <w:b/>
          <w:kern w:val="2"/>
          <w:sz w:val="21"/>
          <w:szCs w:val="21"/>
        </w:rPr>
        <w:t>2.2.3.1投保人</w:t>
      </w:r>
    </w:p>
    <w:p>
      <w:pPr>
        <w:pStyle w:val="53"/>
        <w:spacing w:before="0" w:beforeAutospacing="0" w:after="0" w:afterAutospacing="0"/>
        <w:ind w:firstLine="396"/>
        <w:jc w:val="both"/>
        <w:rPr>
          <w:kern w:val="2"/>
          <w:sz w:val="21"/>
          <w:szCs w:val="21"/>
        </w:rPr>
      </w:pPr>
      <w:r>
        <w:rPr>
          <w:rFonts w:hint="eastAsia"/>
          <w:kern w:val="2"/>
          <w:sz w:val="21"/>
          <w:szCs w:val="21"/>
        </w:rPr>
        <w:t>浙江省公安警务航空队</w:t>
      </w: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2.2.3.2 被保险人</w:t>
      </w:r>
    </w:p>
    <w:p>
      <w:pPr>
        <w:pStyle w:val="53"/>
        <w:spacing w:before="0" w:beforeAutospacing="0" w:after="0" w:afterAutospacing="0"/>
        <w:ind w:firstLine="396"/>
        <w:jc w:val="both"/>
        <w:rPr>
          <w:kern w:val="2"/>
          <w:sz w:val="21"/>
          <w:szCs w:val="21"/>
        </w:rPr>
      </w:pPr>
      <w:r>
        <w:rPr>
          <w:rFonts w:hint="eastAsia"/>
          <w:kern w:val="2"/>
          <w:sz w:val="21"/>
          <w:szCs w:val="21"/>
        </w:rPr>
        <w:t>浙江省公安警务航空队空勤人员及地勤人员共53人。</w:t>
      </w:r>
    </w:p>
    <w:p>
      <w:pPr>
        <w:pStyle w:val="53"/>
        <w:spacing w:before="0" w:beforeAutospacing="0" w:after="0" w:afterAutospacing="0"/>
        <w:ind w:firstLine="396"/>
        <w:jc w:val="both"/>
        <w:rPr>
          <w:kern w:val="2"/>
          <w:sz w:val="21"/>
          <w:szCs w:val="21"/>
        </w:rPr>
      </w:pPr>
      <w:r>
        <w:rPr>
          <w:rFonts w:hint="eastAsia"/>
          <w:kern w:val="2"/>
          <w:sz w:val="21"/>
          <w:szCs w:val="21"/>
        </w:rPr>
        <w:t>其中，空勤人员14人，地勤人员39人。投保名单以被保险人最终确认为准。</w:t>
      </w:r>
    </w:p>
    <w:p>
      <w:pPr>
        <w:pStyle w:val="53"/>
        <w:spacing w:before="0" w:beforeAutospacing="0" w:after="0" w:afterAutospacing="0"/>
        <w:ind w:firstLine="398"/>
        <w:jc w:val="both"/>
        <w:rPr>
          <w:kern w:val="2"/>
          <w:sz w:val="21"/>
          <w:szCs w:val="21"/>
        </w:rPr>
      </w:pPr>
      <w:r>
        <w:rPr>
          <w:rFonts w:hint="eastAsia"/>
          <w:szCs w:val="21"/>
        </w:rPr>
        <w:t>★</w:t>
      </w:r>
      <w:r>
        <w:rPr>
          <w:rFonts w:hint="eastAsia"/>
          <w:b/>
          <w:kern w:val="2"/>
          <w:sz w:val="21"/>
          <w:szCs w:val="21"/>
        </w:rPr>
        <w:t>2.2.3.3 保障地域范围</w:t>
      </w:r>
    </w:p>
    <w:p>
      <w:pPr>
        <w:pStyle w:val="53"/>
        <w:spacing w:before="0" w:beforeAutospacing="0" w:after="0" w:afterAutospacing="0"/>
        <w:ind w:firstLine="396"/>
        <w:jc w:val="both"/>
        <w:rPr>
          <w:kern w:val="2"/>
          <w:sz w:val="21"/>
          <w:szCs w:val="21"/>
        </w:rPr>
      </w:pPr>
      <w:r>
        <w:rPr>
          <w:rFonts w:hint="eastAsia"/>
          <w:kern w:val="2"/>
          <w:sz w:val="21"/>
          <w:szCs w:val="21"/>
        </w:rPr>
        <w:t>全球范围</w:t>
      </w:r>
    </w:p>
    <w:p>
      <w:pPr>
        <w:pStyle w:val="53"/>
        <w:spacing w:before="0" w:beforeAutospacing="0" w:after="0" w:afterAutospacing="0" w:line="360" w:lineRule="auto"/>
        <w:ind w:firstLine="398"/>
        <w:jc w:val="both"/>
        <w:rPr>
          <w:b/>
          <w:kern w:val="2"/>
          <w:sz w:val="21"/>
          <w:szCs w:val="21"/>
        </w:rPr>
      </w:pPr>
      <w:r>
        <w:rPr>
          <w:rFonts w:hint="eastAsia"/>
          <w:szCs w:val="21"/>
        </w:rPr>
        <w:t>★</w:t>
      </w:r>
      <w:r>
        <w:rPr>
          <w:rFonts w:hint="eastAsia"/>
          <w:b/>
          <w:kern w:val="2"/>
          <w:sz w:val="21"/>
          <w:szCs w:val="21"/>
        </w:rPr>
        <w:t>2.2.3.4 保险项目、保险金额及免赔额</w:t>
      </w:r>
    </w:p>
    <w:tbl>
      <w:tblPr>
        <w:tblStyle w:val="59"/>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457"/>
        <w:gridCol w:w="735"/>
        <w:gridCol w:w="229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12" w:type="pct"/>
            <w:vAlign w:val="center"/>
          </w:tcPr>
          <w:p>
            <w:pPr>
              <w:pStyle w:val="53"/>
              <w:spacing w:before="0" w:beforeAutospacing="0" w:after="0" w:afterAutospacing="0"/>
              <w:jc w:val="center"/>
              <w:rPr>
                <w:kern w:val="2"/>
                <w:sz w:val="21"/>
                <w:szCs w:val="21"/>
              </w:rPr>
            </w:pPr>
            <w:r>
              <w:rPr>
                <w:rFonts w:hint="eastAsia"/>
                <w:kern w:val="2"/>
                <w:sz w:val="21"/>
                <w:szCs w:val="21"/>
              </w:rPr>
              <w:t>人员</w:t>
            </w:r>
          </w:p>
        </w:tc>
        <w:tc>
          <w:tcPr>
            <w:tcW w:w="1602" w:type="pct"/>
            <w:vAlign w:val="center"/>
          </w:tcPr>
          <w:p>
            <w:pPr>
              <w:pStyle w:val="53"/>
              <w:spacing w:before="0" w:beforeAutospacing="0" w:after="0" w:afterAutospacing="0"/>
              <w:jc w:val="center"/>
              <w:rPr>
                <w:kern w:val="2"/>
                <w:sz w:val="21"/>
                <w:szCs w:val="21"/>
              </w:rPr>
            </w:pPr>
            <w:r>
              <w:rPr>
                <w:rFonts w:hint="eastAsia"/>
                <w:kern w:val="2"/>
                <w:sz w:val="21"/>
                <w:szCs w:val="21"/>
              </w:rPr>
              <w:t>保险项目</w:t>
            </w:r>
          </w:p>
        </w:tc>
        <w:tc>
          <w:tcPr>
            <w:tcW w:w="485" w:type="pct"/>
            <w:vAlign w:val="center"/>
          </w:tcPr>
          <w:p>
            <w:pPr>
              <w:pStyle w:val="53"/>
              <w:spacing w:before="0" w:beforeAutospacing="0" w:after="0" w:afterAutospacing="0"/>
              <w:jc w:val="center"/>
              <w:rPr>
                <w:kern w:val="2"/>
                <w:sz w:val="21"/>
                <w:szCs w:val="21"/>
              </w:rPr>
            </w:pPr>
            <w:r>
              <w:rPr>
                <w:rFonts w:hint="eastAsia"/>
                <w:kern w:val="2"/>
                <w:sz w:val="21"/>
                <w:szCs w:val="21"/>
              </w:rPr>
              <w:t>人数</w:t>
            </w:r>
          </w:p>
        </w:tc>
        <w:tc>
          <w:tcPr>
            <w:tcW w:w="1454" w:type="pct"/>
            <w:vAlign w:val="center"/>
          </w:tcPr>
          <w:p>
            <w:pPr>
              <w:pStyle w:val="53"/>
              <w:spacing w:before="0" w:beforeAutospacing="0" w:after="0" w:afterAutospacing="0"/>
              <w:ind w:firstLine="396"/>
              <w:jc w:val="center"/>
              <w:rPr>
                <w:kern w:val="2"/>
                <w:sz w:val="21"/>
                <w:szCs w:val="21"/>
              </w:rPr>
            </w:pPr>
            <w:r>
              <w:rPr>
                <w:rFonts w:hint="eastAsia"/>
                <w:kern w:val="2"/>
                <w:sz w:val="21"/>
                <w:szCs w:val="21"/>
              </w:rPr>
              <w:t>保额</w:t>
            </w:r>
          </w:p>
        </w:tc>
        <w:tc>
          <w:tcPr>
            <w:tcW w:w="748" w:type="pct"/>
            <w:vAlign w:val="center"/>
          </w:tcPr>
          <w:p>
            <w:pPr>
              <w:pStyle w:val="53"/>
              <w:spacing w:before="0" w:beforeAutospacing="0" w:after="0" w:afterAutospacing="0"/>
              <w:jc w:val="center"/>
              <w:rPr>
                <w:kern w:val="2"/>
                <w:sz w:val="21"/>
                <w:szCs w:val="21"/>
              </w:rPr>
            </w:pPr>
            <w:r>
              <w:rPr>
                <w:rFonts w:hint="eastAsia"/>
                <w:kern w:val="2"/>
                <w:sz w:val="21"/>
                <w:szCs w:val="21"/>
              </w:rPr>
              <w:t>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pct"/>
            <w:vMerge w:val="restart"/>
            <w:vAlign w:val="center"/>
          </w:tcPr>
          <w:p>
            <w:pPr>
              <w:pStyle w:val="53"/>
              <w:spacing w:before="0" w:beforeAutospacing="0" w:after="0" w:afterAutospacing="0"/>
              <w:jc w:val="center"/>
              <w:rPr>
                <w:kern w:val="2"/>
                <w:sz w:val="21"/>
                <w:szCs w:val="21"/>
              </w:rPr>
            </w:pPr>
            <w:r>
              <w:rPr>
                <w:rFonts w:hint="eastAsia"/>
                <w:kern w:val="2"/>
                <w:sz w:val="21"/>
                <w:szCs w:val="21"/>
              </w:rPr>
              <w:t>空勤人员</w:t>
            </w:r>
          </w:p>
        </w:tc>
        <w:tc>
          <w:tcPr>
            <w:tcW w:w="1602" w:type="pct"/>
            <w:vAlign w:val="center"/>
          </w:tcPr>
          <w:p>
            <w:pPr>
              <w:pStyle w:val="53"/>
              <w:spacing w:before="0" w:beforeAutospacing="0" w:after="0" w:afterAutospacing="0"/>
              <w:jc w:val="center"/>
              <w:rPr>
                <w:kern w:val="2"/>
                <w:sz w:val="21"/>
                <w:szCs w:val="21"/>
              </w:rPr>
            </w:pPr>
            <w:r>
              <w:rPr>
                <w:rFonts w:hint="eastAsia"/>
                <w:kern w:val="2"/>
                <w:sz w:val="21"/>
                <w:szCs w:val="21"/>
              </w:rPr>
              <w:t>人身意外伤害保险</w:t>
            </w:r>
          </w:p>
        </w:tc>
        <w:tc>
          <w:tcPr>
            <w:tcW w:w="485" w:type="pct"/>
            <w:vMerge w:val="restart"/>
            <w:vAlign w:val="center"/>
          </w:tcPr>
          <w:p>
            <w:pPr>
              <w:pStyle w:val="53"/>
              <w:spacing w:before="0" w:beforeAutospacing="0" w:after="0" w:afterAutospacing="0"/>
              <w:jc w:val="center"/>
              <w:rPr>
                <w:kern w:val="2"/>
                <w:sz w:val="21"/>
                <w:szCs w:val="21"/>
              </w:rPr>
            </w:pPr>
            <w:r>
              <w:rPr>
                <w:rFonts w:hint="eastAsia"/>
                <w:kern w:val="2"/>
                <w:sz w:val="21"/>
                <w:szCs w:val="21"/>
              </w:rPr>
              <w:t>14</w:t>
            </w:r>
          </w:p>
        </w:tc>
        <w:tc>
          <w:tcPr>
            <w:tcW w:w="1454" w:type="pct"/>
            <w:vAlign w:val="center"/>
          </w:tcPr>
          <w:p>
            <w:pPr>
              <w:pStyle w:val="53"/>
              <w:spacing w:before="0" w:beforeAutospacing="0" w:after="0" w:afterAutospacing="0"/>
              <w:ind w:firstLine="396"/>
              <w:jc w:val="center"/>
              <w:rPr>
                <w:kern w:val="2"/>
                <w:sz w:val="21"/>
                <w:szCs w:val="21"/>
              </w:rPr>
            </w:pPr>
            <w:r>
              <w:rPr>
                <w:rFonts w:hint="eastAsia"/>
                <w:kern w:val="2"/>
                <w:sz w:val="21"/>
                <w:szCs w:val="21"/>
              </w:rPr>
              <w:t>RMB3,000,000.00/人</w:t>
            </w:r>
          </w:p>
        </w:tc>
        <w:tc>
          <w:tcPr>
            <w:tcW w:w="748" w:type="pct"/>
            <w:vAlign w:val="center"/>
          </w:tcPr>
          <w:p>
            <w:pPr>
              <w:pStyle w:val="53"/>
              <w:spacing w:before="0" w:beforeAutospacing="0" w:after="0" w:afterAutospacing="0"/>
              <w:jc w:val="center"/>
              <w:rPr>
                <w:kern w:val="2"/>
                <w:sz w:val="21"/>
                <w:szCs w:val="21"/>
              </w:rPr>
            </w:pPr>
            <w:r>
              <w:rPr>
                <w:rFonts w:hint="eastAsia"/>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pct"/>
            <w:vMerge w:val="continue"/>
            <w:vAlign w:val="center"/>
          </w:tcPr>
          <w:p>
            <w:pPr>
              <w:pStyle w:val="53"/>
              <w:spacing w:before="0" w:beforeAutospacing="0" w:after="0" w:afterAutospacing="0"/>
              <w:ind w:firstLine="396"/>
              <w:jc w:val="center"/>
              <w:rPr>
                <w:kern w:val="2"/>
                <w:sz w:val="21"/>
                <w:szCs w:val="21"/>
              </w:rPr>
            </w:pPr>
          </w:p>
        </w:tc>
        <w:tc>
          <w:tcPr>
            <w:tcW w:w="1602" w:type="pct"/>
            <w:vAlign w:val="center"/>
          </w:tcPr>
          <w:p>
            <w:pPr>
              <w:pStyle w:val="53"/>
              <w:spacing w:before="0" w:beforeAutospacing="0" w:after="0" w:afterAutospacing="0"/>
              <w:jc w:val="center"/>
              <w:rPr>
                <w:kern w:val="2"/>
                <w:sz w:val="21"/>
                <w:szCs w:val="21"/>
              </w:rPr>
            </w:pPr>
            <w:r>
              <w:rPr>
                <w:rFonts w:hint="eastAsia"/>
                <w:kern w:val="2"/>
                <w:sz w:val="21"/>
                <w:szCs w:val="21"/>
              </w:rPr>
              <w:t>附加意外伤害医疗保险</w:t>
            </w:r>
          </w:p>
        </w:tc>
        <w:tc>
          <w:tcPr>
            <w:tcW w:w="485" w:type="pct"/>
            <w:vMerge w:val="continue"/>
            <w:vAlign w:val="center"/>
          </w:tcPr>
          <w:p>
            <w:pPr>
              <w:pStyle w:val="53"/>
              <w:spacing w:before="0" w:beforeAutospacing="0" w:after="0" w:afterAutospacing="0"/>
              <w:ind w:firstLine="396"/>
              <w:jc w:val="center"/>
              <w:rPr>
                <w:kern w:val="2"/>
                <w:sz w:val="21"/>
                <w:szCs w:val="21"/>
              </w:rPr>
            </w:pPr>
          </w:p>
        </w:tc>
        <w:tc>
          <w:tcPr>
            <w:tcW w:w="1454" w:type="pct"/>
            <w:vAlign w:val="center"/>
          </w:tcPr>
          <w:p>
            <w:pPr>
              <w:pStyle w:val="53"/>
              <w:spacing w:before="0" w:beforeAutospacing="0" w:after="0" w:afterAutospacing="0"/>
              <w:ind w:firstLine="396"/>
              <w:jc w:val="center"/>
              <w:rPr>
                <w:kern w:val="2"/>
                <w:sz w:val="21"/>
                <w:szCs w:val="21"/>
              </w:rPr>
            </w:pPr>
            <w:r>
              <w:rPr>
                <w:rFonts w:hint="eastAsia"/>
                <w:kern w:val="2"/>
                <w:sz w:val="21"/>
                <w:szCs w:val="21"/>
              </w:rPr>
              <w:t>RMB600,000.00/人</w:t>
            </w:r>
          </w:p>
        </w:tc>
        <w:tc>
          <w:tcPr>
            <w:tcW w:w="748" w:type="pct"/>
            <w:vAlign w:val="center"/>
          </w:tcPr>
          <w:p>
            <w:pPr>
              <w:pStyle w:val="53"/>
              <w:spacing w:before="0" w:beforeAutospacing="0" w:after="0" w:afterAutospacing="0"/>
              <w:jc w:val="center"/>
              <w:rPr>
                <w:kern w:val="2"/>
                <w:sz w:val="21"/>
                <w:szCs w:val="21"/>
              </w:rPr>
            </w:pPr>
            <w:r>
              <w:rPr>
                <w:rFonts w:hint="eastAsia"/>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pct"/>
            <w:vMerge w:val="restart"/>
            <w:vAlign w:val="center"/>
          </w:tcPr>
          <w:p>
            <w:pPr>
              <w:pStyle w:val="53"/>
              <w:spacing w:before="0" w:beforeAutospacing="0" w:after="0" w:afterAutospacing="0"/>
              <w:jc w:val="center"/>
              <w:rPr>
                <w:kern w:val="2"/>
                <w:sz w:val="21"/>
                <w:szCs w:val="21"/>
              </w:rPr>
            </w:pPr>
            <w:r>
              <w:rPr>
                <w:rFonts w:hint="eastAsia"/>
                <w:kern w:val="2"/>
                <w:sz w:val="21"/>
                <w:szCs w:val="21"/>
              </w:rPr>
              <w:t>地勤人员</w:t>
            </w:r>
          </w:p>
        </w:tc>
        <w:tc>
          <w:tcPr>
            <w:tcW w:w="1602" w:type="pct"/>
            <w:vAlign w:val="center"/>
          </w:tcPr>
          <w:p>
            <w:pPr>
              <w:pStyle w:val="53"/>
              <w:spacing w:before="0" w:beforeAutospacing="0" w:after="0" w:afterAutospacing="0"/>
              <w:jc w:val="center"/>
              <w:rPr>
                <w:kern w:val="2"/>
                <w:sz w:val="21"/>
                <w:szCs w:val="21"/>
              </w:rPr>
            </w:pPr>
            <w:r>
              <w:rPr>
                <w:rFonts w:hint="eastAsia"/>
                <w:kern w:val="2"/>
                <w:sz w:val="21"/>
                <w:szCs w:val="21"/>
              </w:rPr>
              <w:t>人身意外伤害保险</w:t>
            </w:r>
          </w:p>
        </w:tc>
        <w:tc>
          <w:tcPr>
            <w:tcW w:w="485" w:type="pct"/>
            <w:vMerge w:val="restart"/>
            <w:vAlign w:val="center"/>
          </w:tcPr>
          <w:p>
            <w:pPr>
              <w:pStyle w:val="53"/>
              <w:spacing w:before="0" w:beforeAutospacing="0" w:after="0" w:afterAutospacing="0"/>
              <w:jc w:val="center"/>
              <w:rPr>
                <w:kern w:val="2"/>
                <w:sz w:val="21"/>
                <w:szCs w:val="21"/>
              </w:rPr>
            </w:pPr>
            <w:r>
              <w:rPr>
                <w:rFonts w:hint="eastAsia"/>
                <w:kern w:val="2"/>
                <w:sz w:val="21"/>
                <w:szCs w:val="21"/>
              </w:rPr>
              <w:t>39</w:t>
            </w:r>
          </w:p>
        </w:tc>
        <w:tc>
          <w:tcPr>
            <w:tcW w:w="1454" w:type="pct"/>
            <w:vAlign w:val="center"/>
          </w:tcPr>
          <w:p>
            <w:pPr>
              <w:pStyle w:val="53"/>
              <w:spacing w:before="0" w:beforeAutospacing="0" w:after="0" w:afterAutospacing="0"/>
              <w:ind w:firstLine="396"/>
              <w:jc w:val="center"/>
              <w:rPr>
                <w:kern w:val="2"/>
                <w:sz w:val="21"/>
                <w:szCs w:val="21"/>
              </w:rPr>
            </w:pPr>
            <w:r>
              <w:rPr>
                <w:rFonts w:hint="eastAsia"/>
                <w:kern w:val="2"/>
                <w:sz w:val="21"/>
                <w:szCs w:val="21"/>
              </w:rPr>
              <w:t>RMB3,000,000.00/人</w:t>
            </w:r>
          </w:p>
        </w:tc>
        <w:tc>
          <w:tcPr>
            <w:tcW w:w="748" w:type="pct"/>
            <w:vAlign w:val="center"/>
          </w:tcPr>
          <w:p>
            <w:pPr>
              <w:pStyle w:val="53"/>
              <w:spacing w:before="0" w:beforeAutospacing="0" w:after="0" w:afterAutospacing="0"/>
              <w:jc w:val="center"/>
              <w:rPr>
                <w:kern w:val="2"/>
                <w:sz w:val="21"/>
                <w:szCs w:val="21"/>
              </w:rPr>
            </w:pPr>
            <w:r>
              <w:rPr>
                <w:rFonts w:hint="eastAsia"/>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pct"/>
            <w:vMerge w:val="continue"/>
            <w:vAlign w:val="center"/>
          </w:tcPr>
          <w:p>
            <w:pPr>
              <w:pStyle w:val="53"/>
              <w:spacing w:before="0" w:beforeAutospacing="0" w:after="0" w:afterAutospacing="0"/>
              <w:ind w:firstLine="396"/>
              <w:jc w:val="center"/>
              <w:rPr>
                <w:kern w:val="2"/>
                <w:sz w:val="21"/>
                <w:szCs w:val="21"/>
              </w:rPr>
            </w:pPr>
          </w:p>
        </w:tc>
        <w:tc>
          <w:tcPr>
            <w:tcW w:w="1602" w:type="pct"/>
            <w:vAlign w:val="center"/>
          </w:tcPr>
          <w:p>
            <w:pPr>
              <w:pStyle w:val="53"/>
              <w:spacing w:before="0" w:beforeAutospacing="0" w:after="0" w:afterAutospacing="0"/>
              <w:jc w:val="center"/>
              <w:rPr>
                <w:kern w:val="2"/>
                <w:sz w:val="21"/>
                <w:szCs w:val="21"/>
              </w:rPr>
            </w:pPr>
            <w:r>
              <w:rPr>
                <w:rFonts w:hint="eastAsia"/>
                <w:kern w:val="2"/>
                <w:sz w:val="21"/>
                <w:szCs w:val="21"/>
              </w:rPr>
              <w:t>附加意外伤害医疗保险</w:t>
            </w:r>
          </w:p>
        </w:tc>
        <w:tc>
          <w:tcPr>
            <w:tcW w:w="485" w:type="pct"/>
            <w:vMerge w:val="continue"/>
            <w:vAlign w:val="center"/>
          </w:tcPr>
          <w:p>
            <w:pPr>
              <w:pStyle w:val="53"/>
              <w:spacing w:before="0" w:beforeAutospacing="0" w:after="0" w:afterAutospacing="0"/>
              <w:ind w:firstLine="396"/>
              <w:jc w:val="center"/>
              <w:rPr>
                <w:kern w:val="2"/>
                <w:sz w:val="21"/>
                <w:szCs w:val="21"/>
              </w:rPr>
            </w:pPr>
          </w:p>
        </w:tc>
        <w:tc>
          <w:tcPr>
            <w:tcW w:w="1454" w:type="pct"/>
            <w:vAlign w:val="center"/>
          </w:tcPr>
          <w:p>
            <w:pPr>
              <w:pStyle w:val="53"/>
              <w:spacing w:before="0" w:beforeAutospacing="0" w:after="0" w:afterAutospacing="0"/>
              <w:ind w:firstLine="396"/>
              <w:jc w:val="center"/>
              <w:rPr>
                <w:kern w:val="2"/>
                <w:sz w:val="21"/>
                <w:szCs w:val="21"/>
              </w:rPr>
            </w:pPr>
            <w:r>
              <w:rPr>
                <w:rFonts w:hint="eastAsia"/>
                <w:kern w:val="2"/>
                <w:sz w:val="21"/>
                <w:szCs w:val="21"/>
              </w:rPr>
              <w:t>RMB600,000.00/人</w:t>
            </w:r>
          </w:p>
        </w:tc>
        <w:tc>
          <w:tcPr>
            <w:tcW w:w="748" w:type="pct"/>
            <w:vAlign w:val="center"/>
          </w:tcPr>
          <w:p>
            <w:pPr>
              <w:pStyle w:val="53"/>
              <w:spacing w:before="0" w:beforeAutospacing="0" w:after="0" w:afterAutospacing="0"/>
              <w:jc w:val="center"/>
              <w:rPr>
                <w:kern w:val="2"/>
                <w:sz w:val="21"/>
                <w:szCs w:val="21"/>
              </w:rPr>
            </w:pPr>
            <w:r>
              <w:rPr>
                <w:rFonts w:hint="eastAsia"/>
                <w:kern w:val="2"/>
                <w:sz w:val="21"/>
                <w:szCs w:val="21"/>
              </w:rPr>
              <w:t>无</w:t>
            </w:r>
          </w:p>
        </w:tc>
      </w:tr>
    </w:tbl>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2.2.3.5保险期限</w:t>
      </w:r>
    </w:p>
    <w:p>
      <w:pPr>
        <w:pStyle w:val="53"/>
        <w:spacing w:before="0" w:beforeAutospacing="0" w:after="0" w:afterAutospacing="0"/>
        <w:ind w:firstLine="396"/>
        <w:jc w:val="both"/>
        <w:rPr>
          <w:kern w:val="2"/>
          <w:sz w:val="21"/>
          <w:szCs w:val="21"/>
        </w:rPr>
      </w:pPr>
      <w:r>
        <w:rPr>
          <w:rFonts w:hint="eastAsia"/>
          <w:sz w:val="21"/>
          <w:szCs w:val="21"/>
        </w:rPr>
        <w:t>2023年06月26日零时起，至2024年06月25日二十四时止，具体保险日期以投保人最终确认为准。</w:t>
      </w:r>
      <w:r>
        <w:rPr>
          <w:rFonts w:hint="eastAsia"/>
          <w:kern w:val="2"/>
          <w:sz w:val="21"/>
          <w:szCs w:val="21"/>
        </w:rPr>
        <w:t>（北京时间）</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2.2.3.6特别约定</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2.2.3.6.1兹经双方同意并约定，本保单扩展承保被保险人驾驶或搭乘（包括滑索上的或通过绞机和滑索等设备上下直升飞机过程）、维修与保养航空器期间遭受意外伤害所导致的身故、残疾或烧伤，以及由此意外伤害产生的医疗费用，保险人依照合同约定给付保险金。</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2.2.3.6.2兹经双方同意并约定，鉴于被保险人职业的特殊性，被保险人执行警务飞行和政府下达的其他飞行任务期间不视为本保单中除外条款中“战争、军事活动、武装叛乱或暴乱期间或恐怖袭击”。</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2.2.3.6.3兹经双方同意并约定，保险期限内被保险人10%新增的空勤人员和地勤人员（包括但不限于飞行员、任务员、机务人员及地面保障管理人员）自动免费纳入本保单保险保障范围内，被保险人须在新增人员到岗后十五个工作日内书面告知保险人。</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2.2.3.6.4兹经双方同意并约定，本保单扩展承保被保险人在境外的风险，境外医疗费用赔偿标准按照实际发生金额为准，赔偿限额以本保单约定为准。</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2.2.3.6.5兹经双方同意并约定，本保单中涉及伤残等级评定均以二零一三年六月八日中国保险行业协会、中国法医学会联合发布的《人身保险伤残评定标准》为准。</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2.2.3.6.6兹经双方同意并约定，本保单扩展承保被保险人员在非航空飞行期间和非航空作业期间的意外事故风险。</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2.2.3.6.7兹经双方同意并约定，被保险人在执行警务飞行以及政府下达的其他飞行任务，包括但不限于：空中巡察与指挥、空中侦察、缉私禁毒和追捕逃犯、反恐支援和空降突袭等期间遭受意外伤害事故的，属于保险责任范围</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2.2.3.6.8兹经双方同意并约定，本保单扩展承保被保险人员在全天24 小时的意外事故风险。</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2.2.3.6.9兹经双方同意并约定，本保单扩展承保被保险人的地勤人员的意外事故风险。</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2.2.3.6.10兹经双方同意并约定，本保单扩展赔付被保险人因在工作期间发生的意外事故而导致发生的意外医疗费用中非医保范围的医疗费用，赔付比例为实际发生费用的50%，但单次及累计最高赔付限额不超过本保单约定的保险金额，免赔额与主保单一致。</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2.2.3.6.11兹经双方同意并约定，在保险事故发生后，如果本保单保险条款之间存在冲突，统一按照对被保险人有利的赔偿标准进行赔付。</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2.2.3.7附加条款</w:t>
      </w:r>
    </w:p>
    <w:p>
      <w:pPr>
        <w:pStyle w:val="53"/>
        <w:spacing w:before="0" w:beforeAutospacing="0" w:after="0" w:afterAutospacing="0"/>
        <w:ind w:firstLine="397"/>
        <w:jc w:val="both"/>
        <w:rPr>
          <w:kern w:val="2"/>
          <w:sz w:val="21"/>
          <w:szCs w:val="21"/>
        </w:rPr>
      </w:pPr>
      <w:r>
        <w:rPr>
          <w:rFonts w:ascii="Wingdings" w:hAnsi="Wingdings"/>
          <w:kern w:val="2"/>
          <w:sz w:val="21"/>
          <w:szCs w:val="21"/>
        </w:rPr>
        <w:t></w:t>
      </w:r>
      <w:r>
        <w:rPr>
          <w:rFonts w:hint="eastAsia"/>
          <w:szCs w:val="21"/>
        </w:rPr>
        <w:t>★</w:t>
      </w:r>
      <w:r>
        <w:rPr>
          <w:rFonts w:hint="eastAsia"/>
          <w:kern w:val="2"/>
          <w:sz w:val="21"/>
          <w:szCs w:val="21"/>
        </w:rPr>
        <w:t>附加意外伤害医疗保险条款</w:t>
      </w:r>
    </w:p>
    <w:p>
      <w:pPr>
        <w:pStyle w:val="53"/>
        <w:spacing w:before="0" w:beforeAutospacing="0" w:after="0" w:afterAutospacing="0"/>
        <w:ind w:firstLine="397"/>
        <w:jc w:val="both"/>
        <w:rPr>
          <w:kern w:val="2"/>
          <w:sz w:val="21"/>
          <w:szCs w:val="21"/>
        </w:rPr>
      </w:pPr>
      <w:r>
        <w:rPr>
          <w:rFonts w:ascii="Wingdings" w:hAnsi="Wingdings"/>
          <w:kern w:val="2"/>
          <w:sz w:val="21"/>
          <w:szCs w:val="21"/>
        </w:rPr>
        <w:t></w:t>
      </w:r>
      <w:r>
        <w:rPr>
          <w:rFonts w:hint="eastAsia"/>
          <w:szCs w:val="21"/>
        </w:rPr>
        <w:t>★</w:t>
      </w:r>
      <w:r>
        <w:rPr>
          <w:rFonts w:hint="eastAsia"/>
          <w:kern w:val="2"/>
          <w:sz w:val="21"/>
          <w:szCs w:val="21"/>
        </w:rPr>
        <w:t>附加扩展保险期间条款（24小时）</w:t>
      </w:r>
    </w:p>
    <w:p>
      <w:pPr>
        <w:pStyle w:val="53"/>
        <w:spacing w:before="0" w:beforeAutospacing="0" w:after="0" w:afterAutospacing="0"/>
        <w:ind w:firstLine="397"/>
        <w:jc w:val="both"/>
        <w:rPr>
          <w:kern w:val="2"/>
          <w:sz w:val="21"/>
          <w:szCs w:val="21"/>
        </w:rPr>
      </w:pPr>
      <w:r>
        <w:rPr>
          <w:rFonts w:ascii="Wingdings" w:hAnsi="Wingdings"/>
          <w:kern w:val="2"/>
          <w:sz w:val="21"/>
          <w:szCs w:val="21"/>
        </w:rPr>
        <w:t></w:t>
      </w:r>
      <w:r>
        <w:rPr>
          <w:rFonts w:hint="eastAsia"/>
          <w:szCs w:val="21"/>
        </w:rPr>
        <w:t>★</w:t>
      </w:r>
      <w:r>
        <w:rPr>
          <w:rFonts w:hint="eastAsia"/>
          <w:kern w:val="2"/>
          <w:sz w:val="21"/>
          <w:szCs w:val="21"/>
        </w:rPr>
        <w:t>意外伤害烧伤保险条款</w:t>
      </w:r>
    </w:p>
    <w:p>
      <w:pPr>
        <w:pStyle w:val="53"/>
        <w:spacing w:before="0" w:beforeAutospacing="0" w:after="0" w:afterAutospacing="0"/>
        <w:ind w:firstLine="397"/>
        <w:jc w:val="both"/>
        <w:rPr>
          <w:kern w:val="2"/>
          <w:sz w:val="21"/>
          <w:szCs w:val="21"/>
        </w:rPr>
      </w:pPr>
      <w:r>
        <w:rPr>
          <w:rFonts w:ascii="Wingdings" w:hAnsi="Wingdings"/>
          <w:kern w:val="2"/>
          <w:sz w:val="21"/>
          <w:szCs w:val="21"/>
        </w:rPr>
        <w:t></w:t>
      </w:r>
      <w:r>
        <w:rPr>
          <w:rFonts w:hint="eastAsia"/>
          <w:szCs w:val="21"/>
        </w:rPr>
        <w:t>★</w:t>
      </w:r>
      <w:r>
        <w:rPr>
          <w:rFonts w:hint="eastAsia"/>
          <w:kern w:val="2"/>
          <w:sz w:val="21"/>
          <w:szCs w:val="21"/>
        </w:rPr>
        <w:t>经纪人条款（航联10%）</w:t>
      </w:r>
    </w:p>
    <w:p>
      <w:pPr>
        <w:pStyle w:val="53"/>
        <w:spacing w:before="0" w:beforeAutospacing="0" w:after="0" w:afterAutospacing="0"/>
        <w:ind w:firstLine="396"/>
        <w:jc w:val="both"/>
        <w:rPr>
          <w:kern w:val="2"/>
          <w:sz w:val="21"/>
          <w:szCs w:val="21"/>
        </w:rPr>
      </w:pPr>
      <w:r>
        <w:rPr>
          <w:rFonts w:hint="eastAsia"/>
          <w:kern w:val="2"/>
          <w:sz w:val="21"/>
          <w:szCs w:val="21"/>
        </w:rPr>
        <w:t>以上所列条款为基本扩展条款，投标人可自行增加条款作为服务方案的一部分。投标文件中须提供特别条款具体措词。</w:t>
      </w:r>
    </w:p>
    <w:p>
      <w:pPr>
        <w:pStyle w:val="53"/>
        <w:spacing w:before="0" w:beforeAutospacing="0" w:after="0" w:afterAutospacing="0"/>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2.2.3.8保险合同条款措辞</w:t>
      </w:r>
    </w:p>
    <w:p>
      <w:pPr>
        <w:pStyle w:val="53"/>
        <w:spacing w:before="0" w:beforeAutospacing="0" w:after="0" w:afterAutospacing="0"/>
        <w:ind w:firstLine="240" w:firstLineChars="100"/>
        <w:jc w:val="both"/>
        <w:rPr>
          <w:b/>
          <w:kern w:val="2"/>
          <w:sz w:val="21"/>
          <w:szCs w:val="21"/>
        </w:rPr>
      </w:pPr>
      <w:r>
        <w:rPr>
          <w:rFonts w:hint="eastAsia"/>
          <w:szCs w:val="21"/>
        </w:rPr>
        <w:t>★</w:t>
      </w:r>
      <w:r>
        <w:rPr>
          <w:rFonts w:ascii="Wingdings" w:hAnsi="Wingdings"/>
          <w:b/>
          <w:kern w:val="2"/>
          <w:sz w:val="21"/>
          <w:szCs w:val="21"/>
        </w:rPr>
        <w:t></w:t>
      </w:r>
      <w:r>
        <w:rPr>
          <w:rFonts w:hint="eastAsia"/>
          <w:b/>
          <w:kern w:val="2"/>
          <w:sz w:val="21"/>
          <w:szCs w:val="21"/>
        </w:rPr>
        <w:t>团体人身意外伤害保险和/或</w:t>
      </w:r>
      <w:r>
        <w:rPr>
          <w:rFonts w:ascii="Wingdings" w:hAnsi="Wingdings"/>
          <w:b/>
          <w:kern w:val="2"/>
          <w:sz w:val="21"/>
          <w:szCs w:val="21"/>
        </w:rPr>
        <w:t></w:t>
      </w:r>
      <w:r>
        <w:rPr>
          <w:rFonts w:hint="eastAsia"/>
          <w:b/>
          <w:kern w:val="2"/>
          <w:sz w:val="21"/>
          <w:szCs w:val="21"/>
        </w:rPr>
        <w:t>机上人员意外伤害保险条款须满足投保人上述保障需求。</w:t>
      </w:r>
    </w:p>
    <w:p>
      <w:pPr>
        <w:pStyle w:val="53"/>
        <w:spacing w:before="0" w:beforeAutospacing="0" w:after="0" w:afterAutospacing="0"/>
        <w:ind w:firstLine="211" w:firstLineChars="100"/>
        <w:jc w:val="both"/>
        <w:rPr>
          <w:kern w:val="2"/>
          <w:sz w:val="21"/>
          <w:szCs w:val="21"/>
        </w:rPr>
      </w:pPr>
      <w:r>
        <w:rPr>
          <w:rFonts w:hint="eastAsia"/>
          <w:b/>
          <w:kern w:val="2"/>
          <w:sz w:val="21"/>
          <w:szCs w:val="21"/>
        </w:rPr>
        <w:t>请投标单位提供具体条款措辞</w:t>
      </w:r>
      <w:r>
        <w:rPr>
          <w:rFonts w:hint="eastAsia"/>
          <w:b/>
          <w:kern w:val="2"/>
          <w:sz w:val="21"/>
          <w:szCs w:val="21"/>
          <w:highlight w:val="yellow"/>
        </w:rPr>
        <w:t>（格式自拟，未提供视为负偏离）</w:t>
      </w:r>
      <w:r>
        <w:rPr>
          <w:rFonts w:hint="eastAsia"/>
          <w:b/>
          <w:kern w:val="2"/>
          <w:sz w:val="21"/>
          <w:szCs w:val="21"/>
        </w:rPr>
        <w:t>。</w:t>
      </w:r>
    </w:p>
    <w:p>
      <w:pPr>
        <w:pStyle w:val="53"/>
        <w:spacing w:before="0" w:beforeAutospacing="0" w:after="0" w:afterAutospacing="0" w:line="360" w:lineRule="auto"/>
        <w:ind w:firstLine="396"/>
        <w:jc w:val="both"/>
        <w:rPr>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※2.2.4 临时上机人员意外伤害保险（特定期间）</w:t>
      </w:r>
    </w:p>
    <w:p>
      <w:pPr>
        <w:pStyle w:val="53"/>
        <w:spacing w:before="0" w:beforeAutospacing="0" w:after="0" w:afterAutospacing="0"/>
        <w:ind w:firstLine="398"/>
        <w:jc w:val="both"/>
        <w:rPr>
          <w:b/>
          <w:kern w:val="2"/>
          <w:sz w:val="21"/>
          <w:szCs w:val="21"/>
        </w:rPr>
      </w:pPr>
      <w:r>
        <w:rPr>
          <w:rFonts w:hint="eastAsia"/>
          <w:b/>
          <w:kern w:val="2"/>
          <w:sz w:val="21"/>
          <w:szCs w:val="21"/>
        </w:rPr>
        <w:t>注：</w:t>
      </w:r>
    </w:p>
    <w:p>
      <w:pPr>
        <w:pStyle w:val="53"/>
        <w:spacing w:before="0" w:beforeAutospacing="0" w:after="0" w:afterAutospacing="0"/>
        <w:ind w:firstLine="398"/>
        <w:jc w:val="both"/>
        <w:rPr>
          <w:b/>
          <w:kern w:val="2"/>
          <w:sz w:val="21"/>
          <w:szCs w:val="21"/>
        </w:rPr>
      </w:pPr>
      <w:r>
        <w:rPr>
          <w:b/>
          <w:kern w:val="2"/>
          <w:sz w:val="21"/>
          <w:szCs w:val="21"/>
        </w:rPr>
        <w:t>1.</w:t>
      </w:r>
      <w:r>
        <w:rPr>
          <w:rFonts w:hint="eastAsia"/>
          <w:b/>
          <w:kern w:val="2"/>
          <w:sz w:val="21"/>
          <w:szCs w:val="21"/>
        </w:rPr>
        <w:t>特定期间指被保险人在航空器上或处于与航空器相连的任何设备或装置上或上下航空器过程中。</w:t>
      </w:r>
    </w:p>
    <w:p>
      <w:pPr>
        <w:pStyle w:val="53"/>
        <w:shd w:val="clear"/>
        <w:spacing w:before="0" w:beforeAutospacing="0" w:after="0" w:afterAutospacing="0"/>
        <w:ind w:firstLine="398"/>
        <w:jc w:val="both"/>
        <w:rPr>
          <w:b/>
          <w:kern w:val="2"/>
          <w:sz w:val="21"/>
          <w:szCs w:val="21"/>
        </w:rPr>
      </w:pPr>
      <w:r>
        <w:rPr>
          <w:b/>
          <w:kern w:val="2"/>
          <w:sz w:val="21"/>
          <w:szCs w:val="21"/>
        </w:rPr>
        <w:t>2.</w:t>
      </w:r>
      <w:r>
        <w:rPr>
          <w:rFonts w:hint="eastAsia"/>
          <w:b/>
          <w:kern w:val="2"/>
          <w:sz w:val="21"/>
          <w:szCs w:val="21"/>
        </w:rPr>
        <w:t>临时上机人员指因投保人执行飞行任务期间所涉及的有临时上机需求的人员，包括但不限于飞行员及机组人员，在直升机上履行或者不履行指导和监督职责的工作人员，各级领导人，外国专家，被救援人员及其他相关人员。由于投保人执行的任务性质特殊，涉及保密要求，因此无法提前申报。具体申报方式以保险方案要求为准。如果发生保险事故，投保人对临时上机人员的具体信息承担举证责任。</w:t>
      </w:r>
    </w:p>
    <w:p>
      <w:pPr>
        <w:pStyle w:val="53"/>
        <w:spacing w:before="0" w:beforeAutospacing="0" w:after="0" w:afterAutospacing="0"/>
        <w:ind w:firstLine="398"/>
        <w:jc w:val="both"/>
        <w:rPr>
          <w:b/>
          <w:kern w:val="2"/>
          <w:sz w:val="21"/>
          <w:szCs w:val="21"/>
        </w:rPr>
      </w:pPr>
      <w:r>
        <w:rPr>
          <w:rFonts w:hint="eastAsia"/>
          <w:b/>
          <w:kern w:val="2"/>
          <w:sz w:val="21"/>
          <w:szCs w:val="21"/>
        </w:rPr>
        <w:t>2.2.4.1投保人</w:t>
      </w:r>
    </w:p>
    <w:p>
      <w:pPr>
        <w:pStyle w:val="53"/>
        <w:spacing w:before="0" w:beforeAutospacing="0" w:after="0" w:afterAutospacing="0"/>
        <w:ind w:firstLine="396"/>
        <w:jc w:val="both"/>
        <w:rPr>
          <w:kern w:val="2"/>
          <w:sz w:val="21"/>
          <w:szCs w:val="21"/>
        </w:rPr>
      </w:pPr>
      <w:r>
        <w:rPr>
          <w:rFonts w:hint="eastAsia"/>
          <w:kern w:val="2"/>
          <w:sz w:val="21"/>
          <w:szCs w:val="21"/>
        </w:rPr>
        <w:t>浙江省公安警务航空队</w:t>
      </w: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2.2.4.2被保险人</w:t>
      </w:r>
    </w:p>
    <w:p>
      <w:pPr>
        <w:pStyle w:val="53"/>
        <w:spacing w:before="0" w:beforeAutospacing="0" w:after="0" w:afterAutospacing="0"/>
        <w:ind w:firstLine="396"/>
        <w:jc w:val="both"/>
        <w:rPr>
          <w:kern w:val="2"/>
          <w:sz w:val="21"/>
          <w:szCs w:val="21"/>
        </w:rPr>
      </w:pPr>
      <w:r>
        <w:rPr>
          <w:rFonts w:hint="eastAsia"/>
          <w:kern w:val="2"/>
          <w:sz w:val="21"/>
          <w:szCs w:val="21"/>
        </w:rPr>
        <w:t>浙江省公安警务航空队确认投保的登机人员，投保名单以投保人最终确认为准。</w:t>
      </w:r>
    </w:p>
    <w:p>
      <w:pPr>
        <w:pStyle w:val="53"/>
        <w:spacing w:before="0" w:beforeAutospacing="0" w:after="0" w:afterAutospacing="0"/>
        <w:ind w:firstLine="398"/>
        <w:jc w:val="both"/>
        <w:rPr>
          <w:kern w:val="2"/>
          <w:sz w:val="21"/>
          <w:szCs w:val="21"/>
        </w:rPr>
      </w:pPr>
      <w:r>
        <w:rPr>
          <w:rFonts w:hint="eastAsia"/>
          <w:szCs w:val="21"/>
        </w:rPr>
        <w:t>★</w:t>
      </w:r>
      <w:r>
        <w:rPr>
          <w:rFonts w:hint="eastAsia"/>
          <w:b/>
          <w:kern w:val="2"/>
          <w:sz w:val="21"/>
          <w:szCs w:val="21"/>
        </w:rPr>
        <w:t>2.2.4.3保障地域范围</w:t>
      </w:r>
    </w:p>
    <w:p>
      <w:pPr>
        <w:rPr>
          <w:rFonts w:ascii="宋体" w:hAnsi="宋体" w:cs="宋体"/>
          <w:szCs w:val="21"/>
        </w:rPr>
      </w:pPr>
      <w:r>
        <w:rPr>
          <w:rFonts w:hint="eastAsia" w:ascii="宋体" w:hAnsi="宋体" w:cs="宋体"/>
          <w:szCs w:val="21"/>
        </w:rPr>
        <w:t>中华人民共和国境内（不包括香港、澳门、台湾地区）。</w:t>
      </w: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2.2.4.4投保需求</w:t>
      </w:r>
    </w:p>
    <w:p>
      <w:pPr>
        <w:pStyle w:val="53"/>
        <w:spacing w:before="0" w:beforeAutospacing="0" w:after="0" w:afterAutospacing="0"/>
        <w:ind w:firstLine="396"/>
        <w:jc w:val="both"/>
        <w:rPr>
          <w:bCs/>
          <w:kern w:val="2"/>
          <w:sz w:val="21"/>
          <w:szCs w:val="21"/>
        </w:rPr>
      </w:pPr>
      <w:r>
        <w:rPr>
          <w:rFonts w:hint="eastAsia"/>
          <w:bCs/>
          <w:kern w:val="2"/>
          <w:sz w:val="21"/>
          <w:szCs w:val="21"/>
        </w:rPr>
        <w:t>全年预计投保人次为500人次，每人次为每人投保一天，保险金额为250万元/每人每天，无免赔。</w:t>
      </w:r>
    </w:p>
    <w:p>
      <w:pPr>
        <w:pStyle w:val="53"/>
        <w:spacing w:before="0" w:beforeAutospacing="0" w:after="0" w:afterAutospacing="0"/>
        <w:ind w:firstLine="398"/>
        <w:jc w:val="both"/>
        <w:rPr>
          <w:b/>
          <w:kern w:val="2"/>
          <w:sz w:val="21"/>
          <w:szCs w:val="21"/>
        </w:rPr>
      </w:pPr>
      <w:r>
        <w:rPr>
          <w:rFonts w:hint="eastAsia"/>
          <w:szCs w:val="21"/>
        </w:rPr>
        <w:t>★</w:t>
      </w:r>
      <w:r>
        <w:rPr>
          <w:rFonts w:hint="eastAsia"/>
          <w:b/>
          <w:kern w:val="2"/>
          <w:sz w:val="21"/>
          <w:szCs w:val="21"/>
        </w:rPr>
        <w:t>2.2.4.5保险期限</w:t>
      </w:r>
    </w:p>
    <w:p>
      <w:pPr>
        <w:pStyle w:val="53"/>
        <w:spacing w:before="0" w:beforeAutospacing="0" w:after="0" w:afterAutospacing="0"/>
        <w:ind w:firstLine="396"/>
        <w:jc w:val="both"/>
        <w:rPr>
          <w:kern w:val="2"/>
          <w:sz w:val="21"/>
          <w:szCs w:val="21"/>
        </w:rPr>
      </w:pPr>
      <w:r>
        <w:rPr>
          <w:rFonts w:hint="eastAsia"/>
          <w:sz w:val="21"/>
          <w:szCs w:val="21"/>
        </w:rPr>
        <w:t>2024年06月26日零时起，至2025年06月25日二十四时止期间，具体保险日期以投保人最终确认为准。</w:t>
      </w:r>
      <w:r>
        <w:rPr>
          <w:rFonts w:hint="eastAsia"/>
          <w:kern w:val="2"/>
          <w:sz w:val="21"/>
          <w:szCs w:val="21"/>
        </w:rPr>
        <w:t>（北京时间）</w:t>
      </w:r>
    </w:p>
    <w:p>
      <w:pPr>
        <w:pStyle w:val="53"/>
        <w:spacing w:before="0" w:beforeAutospacing="0" w:after="0" w:afterAutospacing="0"/>
        <w:ind w:firstLine="398"/>
        <w:jc w:val="both"/>
        <w:rPr>
          <w:b/>
          <w:kern w:val="2"/>
          <w:sz w:val="21"/>
          <w:szCs w:val="21"/>
        </w:rPr>
      </w:pPr>
      <w:r>
        <w:rPr>
          <w:rFonts w:hint="eastAsia"/>
          <w:b/>
          <w:kern w:val="2"/>
          <w:sz w:val="21"/>
          <w:szCs w:val="21"/>
        </w:rPr>
        <w:t>2.2.4.6特别约定</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4.2.4.6.1兹经双方同意并约定，本保单仅承保被保险人在航空器上或处于与航空器相连的任何设备或装置上或上下航空器过程中遭受意外伤害所导致的身故、残疾或烧伤，保险人依照合同约定给付保险金（航空器仅指投保人拥有或运营的航空器）。</w:t>
      </w:r>
    </w:p>
    <w:p>
      <w:pPr>
        <w:pStyle w:val="53"/>
        <w:spacing w:before="0" w:beforeAutospacing="0" w:after="0" w:afterAutospacing="0"/>
        <w:ind w:firstLine="398"/>
        <w:jc w:val="both"/>
        <w:rPr>
          <w:kern w:val="2"/>
          <w:sz w:val="21"/>
          <w:szCs w:val="21"/>
        </w:rPr>
      </w:pPr>
      <w:r>
        <w:rPr>
          <w:rFonts w:hint="eastAsia"/>
          <w:szCs w:val="21"/>
        </w:rPr>
        <w:t>★</w:t>
      </w:r>
      <w:r>
        <w:rPr>
          <w:rFonts w:hint="eastAsia"/>
          <w:b/>
          <w:kern w:val="2"/>
          <w:sz w:val="21"/>
          <w:szCs w:val="21"/>
        </w:rPr>
        <w:t>2</w:t>
      </w:r>
      <w:r>
        <w:rPr>
          <w:rFonts w:hint="eastAsia"/>
          <w:kern w:val="2"/>
          <w:sz w:val="21"/>
          <w:szCs w:val="21"/>
        </w:rPr>
        <w:t>.2.4.6.2兹经双方同意并约定，鉴于被保险人职业的特殊性，被保险人执行警务飞行和政府下达的其他飞行任务期间不视为本保单中除外条款中“战争、军事活动、武装叛乱或暴乱期间或恐怖袭击”。</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2.2.4.6.3兹经双方同意并约定，本保单中涉及伤残等级评定均以二零一三年六月八日中国保险行业协会、中国法医学会联合发布的《人身保险伤残评定标准》为准。</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2.2.4.6.4兹经双方同意并约定，被保险人在执行警务飞行以及政府下达的其他飞行任务，包括但不限于：空中巡察与指挥、空中侦察、缉私禁毒和追捕逃犯、反恐支援和空降突袭等期间遭受意外伤害事故的，属于保险责任范围。</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2.2.4.6.5兹经双方同意并约定，在保险事故发生后，如果本保单保险条款之间存在冲突，统一按照对被保险人有利的赔偿标准进行赔付。</w:t>
      </w:r>
    </w:p>
    <w:p>
      <w:pPr>
        <w:pStyle w:val="53"/>
        <w:spacing w:before="0" w:beforeAutospacing="0" w:after="0" w:afterAutospacing="0"/>
        <w:ind w:firstLine="398"/>
        <w:jc w:val="both"/>
        <w:rPr>
          <w:kern w:val="2"/>
          <w:sz w:val="21"/>
          <w:szCs w:val="21"/>
        </w:rPr>
      </w:pPr>
      <w:r>
        <w:rPr>
          <w:rFonts w:hint="eastAsia"/>
          <w:szCs w:val="21"/>
        </w:rPr>
        <w:t>★</w:t>
      </w:r>
      <w:r>
        <w:rPr>
          <w:rFonts w:hint="eastAsia"/>
          <w:kern w:val="2"/>
          <w:sz w:val="21"/>
          <w:szCs w:val="21"/>
        </w:rPr>
        <w:t>2.2.4.6.6投保人于每月10日前向保险人书面申报上一月的被保险人信息；本保单保费，投保人将与本招标文件所涉项目中其他险种一起向保险人一次性支付保费，保费不做调整。</w:t>
      </w:r>
    </w:p>
    <w:p>
      <w:pPr>
        <w:pStyle w:val="53"/>
        <w:spacing w:before="0" w:beforeAutospacing="0" w:after="0" w:afterAutospacing="0" w:line="360" w:lineRule="auto"/>
        <w:ind w:firstLine="398"/>
        <w:jc w:val="both"/>
        <w:rPr>
          <w:b/>
          <w:kern w:val="2"/>
          <w:sz w:val="21"/>
          <w:szCs w:val="21"/>
        </w:rPr>
      </w:pPr>
    </w:p>
    <w:p>
      <w:pPr>
        <w:pStyle w:val="53"/>
        <w:spacing w:before="0" w:beforeAutospacing="0" w:after="0" w:afterAutospacing="0"/>
        <w:ind w:firstLine="398"/>
        <w:jc w:val="both"/>
        <w:rPr>
          <w:b/>
          <w:kern w:val="2"/>
          <w:sz w:val="21"/>
          <w:szCs w:val="21"/>
        </w:rPr>
      </w:pPr>
      <w:r>
        <w:rPr>
          <w:rFonts w:hint="eastAsia"/>
          <w:b/>
          <w:kern w:val="2"/>
          <w:sz w:val="21"/>
          <w:szCs w:val="21"/>
        </w:rPr>
        <w:t>2.2.4.7附加条款</w:t>
      </w:r>
    </w:p>
    <w:p>
      <w:pPr>
        <w:pStyle w:val="53"/>
        <w:spacing w:before="0" w:beforeAutospacing="0" w:after="0" w:afterAutospacing="0"/>
        <w:ind w:firstLine="210" w:firstLineChars="100"/>
        <w:jc w:val="both"/>
        <w:rPr>
          <w:kern w:val="2"/>
          <w:sz w:val="21"/>
          <w:szCs w:val="21"/>
        </w:rPr>
      </w:pPr>
      <w:r>
        <w:rPr>
          <w:rFonts w:ascii="Wingdings" w:hAnsi="Wingdings"/>
          <w:kern w:val="2"/>
          <w:sz w:val="21"/>
          <w:szCs w:val="21"/>
        </w:rPr>
        <w:t></w:t>
      </w:r>
      <w:r>
        <w:rPr>
          <w:rFonts w:hint="eastAsia"/>
          <w:szCs w:val="21"/>
        </w:rPr>
        <w:t>★</w:t>
      </w:r>
      <w:r>
        <w:rPr>
          <w:rFonts w:hint="eastAsia"/>
          <w:kern w:val="2"/>
          <w:sz w:val="21"/>
          <w:szCs w:val="21"/>
        </w:rPr>
        <w:t>意外伤害烧伤保险条款</w:t>
      </w:r>
    </w:p>
    <w:p>
      <w:pPr>
        <w:pStyle w:val="53"/>
        <w:spacing w:before="0" w:beforeAutospacing="0" w:after="0" w:afterAutospacing="0"/>
        <w:ind w:firstLine="210" w:firstLineChars="100"/>
        <w:jc w:val="both"/>
        <w:rPr>
          <w:kern w:val="2"/>
          <w:sz w:val="21"/>
          <w:szCs w:val="21"/>
        </w:rPr>
      </w:pPr>
      <w:r>
        <w:rPr>
          <w:rFonts w:ascii="Wingdings" w:hAnsi="Wingdings"/>
          <w:kern w:val="2"/>
          <w:sz w:val="21"/>
          <w:szCs w:val="21"/>
        </w:rPr>
        <w:t></w:t>
      </w:r>
      <w:r>
        <w:rPr>
          <w:rFonts w:hint="eastAsia"/>
          <w:szCs w:val="21"/>
        </w:rPr>
        <w:t>★</w:t>
      </w:r>
      <w:r>
        <w:rPr>
          <w:rFonts w:hint="eastAsia"/>
          <w:kern w:val="2"/>
          <w:sz w:val="21"/>
          <w:szCs w:val="21"/>
        </w:rPr>
        <w:t>经纪人条款（航联10%）</w:t>
      </w:r>
    </w:p>
    <w:p>
      <w:pPr>
        <w:pStyle w:val="53"/>
        <w:spacing w:before="0" w:beforeAutospacing="0" w:after="0" w:afterAutospacing="0"/>
        <w:ind w:firstLine="396"/>
        <w:jc w:val="both"/>
        <w:rPr>
          <w:kern w:val="2"/>
          <w:sz w:val="21"/>
          <w:szCs w:val="21"/>
        </w:rPr>
      </w:pPr>
      <w:r>
        <w:rPr>
          <w:rFonts w:hint="eastAsia"/>
          <w:szCs w:val="21"/>
        </w:rPr>
        <w:t>★</w:t>
      </w:r>
      <w:r>
        <w:rPr>
          <w:rFonts w:hint="eastAsia"/>
          <w:b/>
          <w:bCs/>
          <w:kern w:val="2"/>
          <w:sz w:val="21"/>
          <w:szCs w:val="21"/>
        </w:rPr>
        <w:t>以上所列条款为基本扩展条款，投标人可自行增加条款作为服务方案的一部分。投标文件中须提供特别条款具体措辞</w:t>
      </w:r>
      <w:r>
        <w:rPr>
          <w:rFonts w:hint="eastAsia"/>
          <w:b/>
          <w:bCs/>
          <w:kern w:val="2"/>
          <w:sz w:val="21"/>
          <w:szCs w:val="21"/>
          <w:highlight w:val="yellow"/>
        </w:rPr>
        <w:t>（格式自拟，未提供视为负偏离）</w:t>
      </w:r>
      <w:r>
        <w:rPr>
          <w:rFonts w:hint="eastAsia"/>
          <w:b/>
          <w:bCs/>
          <w:kern w:val="2"/>
          <w:sz w:val="21"/>
          <w:szCs w:val="21"/>
        </w:rPr>
        <w:t>。</w:t>
      </w:r>
    </w:p>
    <w:p>
      <w:pPr>
        <w:pStyle w:val="53"/>
        <w:spacing w:before="0" w:beforeAutospacing="0" w:after="0" w:afterAutospacing="0"/>
        <w:ind w:firstLine="240" w:firstLineChars="100"/>
        <w:jc w:val="both"/>
        <w:rPr>
          <w:szCs w:val="21"/>
        </w:rPr>
      </w:pPr>
    </w:p>
    <w:p>
      <w:pPr>
        <w:pStyle w:val="53"/>
        <w:spacing w:before="0" w:beforeAutospacing="0" w:after="0" w:afterAutospacing="0"/>
        <w:ind w:firstLine="240" w:firstLineChars="100"/>
        <w:jc w:val="both"/>
        <w:rPr>
          <w:szCs w:val="21"/>
        </w:rPr>
      </w:pPr>
    </w:p>
    <w:p>
      <w:pPr>
        <w:pStyle w:val="53"/>
        <w:spacing w:before="0" w:beforeAutospacing="0" w:after="0" w:afterAutospacing="0"/>
        <w:ind w:firstLine="240" w:firstLineChars="100"/>
        <w:jc w:val="both"/>
        <w:rPr>
          <w:b/>
          <w:kern w:val="2"/>
          <w:sz w:val="21"/>
          <w:szCs w:val="21"/>
        </w:rPr>
      </w:pPr>
      <w:r>
        <w:rPr>
          <w:rFonts w:hint="eastAsia"/>
          <w:szCs w:val="21"/>
        </w:rPr>
        <w:t>★</w:t>
      </w:r>
      <w:r>
        <w:rPr>
          <w:rFonts w:hint="eastAsia"/>
          <w:b/>
          <w:kern w:val="2"/>
          <w:sz w:val="21"/>
          <w:szCs w:val="21"/>
        </w:rPr>
        <w:t>2.2.4.8保险合同条款措辞</w:t>
      </w:r>
    </w:p>
    <w:p>
      <w:pPr>
        <w:pStyle w:val="53"/>
        <w:spacing w:before="0" w:beforeAutospacing="0" w:after="0" w:afterAutospacing="0"/>
        <w:ind w:firstLine="210" w:firstLineChars="100"/>
        <w:jc w:val="both"/>
        <w:rPr>
          <w:bCs/>
          <w:kern w:val="2"/>
          <w:sz w:val="21"/>
          <w:szCs w:val="21"/>
        </w:rPr>
      </w:pPr>
      <w:r>
        <w:rPr>
          <w:rFonts w:ascii="Wingdings" w:hAnsi="Wingdings"/>
          <w:bCs/>
          <w:kern w:val="2"/>
          <w:sz w:val="21"/>
          <w:szCs w:val="21"/>
        </w:rPr>
        <w:t></w:t>
      </w:r>
      <w:r>
        <w:rPr>
          <w:rFonts w:hint="eastAsia"/>
          <w:bCs/>
          <w:kern w:val="2"/>
          <w:sz w:val="21"/>
          <w:szCs w:val="21"/>
        </w:rPr>
        <w:t>团体人身意外伤害保险</w:t>
      </w:r>
    </w:p>
    <w:p>
      <w:pPr>
        <w:pStyle w:val="53"/>
        <w:spacing w:before="0" w:beforeAutospacing="0" w:after="0" w:afterAutospacing="0"/>
        <w:ind w:firstLine="396"/>
        <w:jc w:val="both"/>
        <w:rPr>
          <w:bCs/>
          <w:kern w:val="2"/>
          <w:sz w:val="21"/>
          <w:szCs w:val="21"/>
        </w:rPr>
      </w:pPr>
      <w:r>
        <w:rPr>
          <w:rFonts w:hint="eastAsia"/>
          <w:bCs/>
          <w:kern w:val="2"/>
          <w:sz w:val="21"/>
          <w:szCs w:val="21"/>
        </w:rPr>
        <w:t>和/或</w:t>
      </w:r>
    </w:p>
    <w:p>
      <w:pPr>
        <w:pStyle w:val="53"/>
        <w:spacing w:before="0" w:beforeAutospacing="0" w:after="0" w:afterAutospacing="0"/>
        <w:ind w:firstLine="210" w:firstLineChars="100"/>
        <w:jc w:val="both"/>
        <w:rPr>
          <w:bCs/>
          <w:kern w:val="2"/>
          <w:sz w:val="21"/>
          <w:szCs w:val="21"/>
        </w:rPr>
      </w:pPr>
      <w:r>
        <w:rPr>
          <w:rFonts w:ascii="Wingdings" w:hAnsi="Wingdings"/>
          <w:bCs/>
          <w:kern w:val="2"/>
          <w:sz w:val="21"/>
          <w:szCs w:val="21"/>
        </w:rPr>
        <w:t></w:t>
      </w:r>
      <w:r>
        <w:rPr>
          <w:rFonts w:hint="eastAsia"/>
          <w:bCs/>
          <w:kern w:val="2"/>
          <w:sz w:val="21"/>
          <w:szCs w:val="21"/>
        </w:rPr>
        <w:t>机上人员意外伤害保险</w:t>
      </w:r>
    </w:p>
    <w:p>
      <w:pPr>
        <w:pStyle w:val="53"/>
        <w:spacing w:before="0" w:beforeAutospacing="0" w:after="0" w:afterAutospacing="0"/>
        <w:ind w:firstLine="396"/>
        <w:jc w:val="both"/>
        <w:rPr>
          <w:bCs/>
          <w:kern w:val="2"/>
          <w:sz w:val="21"/>
          <w:szCs w:val="21"/>
        </w:rPr>
      </w:pPr>
      <w:r>
        <w:rPr>
          <w:rFonts w:hint="eastAsia"/>
          <w:bCs/>
          <w:kern w:val="2"/>
          <w:sz w:val="21"/>
          <w:szCs w:val="21"/>
        </w:rPr>
        <w:t>和/或</w:t>
      </w:r>
    </w:p>
    <w:p>
      <w:pPr>
        <w:pStyle w:val="53"/>
        <w:spacing w:before="0" w:beforeAutospacing="0" w:after="0" w:afterAutospacing="0"/>
        <w:ind w:firstLine="210" w:firstLineChars="100"/>
        <w:jc w:val="both"/>
        <w:rPr>
          <w:bCs/>
          <w:kern w:val="2"/>
          <w:sz w:val="21"/>
          <w:szCs w:val="21"/>
        </w:rPr>
      </w:pPr>
      <w:r>
        <w:rPr>
          <w:rFonts w:ascii="Wingdings" w:hAnsi="Wingdings"/>
          <w:bCs/>
          <w:kern w:val="2"/>
          <w:sz w:val="21"/>
          <w:szCs w:val="21"/>
        </w:rPr>
        <w:t></w:t>
      </w:r>
      <w:r>
        <w:rPr>
          <w:rFonts w:hint="eastAsia"/>
          <w:bCs/>
          <w:kern w:val="2"/>
          <w:sz w:val="21"/>
          <w:szCs w:val="21"/>
        </w:rPr>
        <w:t>其他可以提供相同保障保险产品条款</w:t>
      </w:r>
    </w:p>
    <w:p>
      <w:pPr>
        <w:pStyle w:val="53"/>
        <w:spacing w:before="0" w:beforeAutospacing="0" w:after="0" w:afterAutospacing="0"/>
        <w:ind w:firstLine="396"/>
        <w:jc w:val="both"/>
        <w:rPr>
          <w:bCs/>
          <w:kern w:val="2"/>
          <w:sz w:val="21"/>
          <w:szCs w:val="21"/>
        </w:rPr>
      </w:pPr>
      <w:r>
        <w:rPr>
          <w:rFonts w:hint="eastAsia"/>
          <w:bCs/>
          <w:kern w:val="2"/>
          <w:sz w:val="21"/>
          <w:szCs w:val="21"/>
        </w:rPr>
        <w:t>条款须满足投保人上述保障需求。</w:t>
      </w:r>
    </w:p>
    <w:p>
      <w:pPr>
        <w:pStyle w:val="53"/>
        <w:spacing w:before="0" w:beforeAutospacing="0" w:after="0" w:afterAutospacing="0"/>
        <w:ind w:firstLine="240" w:firstLineChars="100"/>
        <w:jc w:val="both"/>
        <w:rPr>
          <w:b/>
          <w:bCs/>
          <w:kern w:val="2"/>
          <w:sz w:val="21"/>
          <w:szCs w:val="21"/>
        </w:rPr>
      </w:pPr>
      <w:r>
        <w:rPr>
          <w:rFonts w:hint="eastAsia"/>
          <w:szCs w:val="21"/>
        </w:rPr>
        <w:t>★</w:t>
      </w:r>
      <w:r>
        <w:rPr>
          <w:rFonts w:hint="eastAsia"/>
          <w:b/>
          <w:bCs/>
          <w:kern w:val="2"/>
          <w:sz w:val="21"/>
          <w:szCs w:val="21"/>
        </w:rPr>
        <w:t>请投标单位提供具体条款措辞</w:t>
      </w:r>
      <w:r>
        <w:rPr>
          <w:rFonts w:hint="eastAsia"/>
          <w:b/>
          <w:bCs/>
          <w:kern w:val="2"/>
          <w:sz w:val="21"/>
          <w:szCs w:val="21"/>
          <w:highlight w:val="yellow"/>
        </w:rPr>
        <w:t>（格式自拟，未提供视为负偏离）</w:t>
      </w:r>
      <w:r>
        <w:rPr>
          <w:rFonts w:hint="eastAsia"/>
          <w:b/>
          <w:bCs/>
          <w:kern w:val="2"/>
          <w:sz w:val="21"/>
          <w:szCs w:val="21"/>
        </w:rPr>
        <w:t>。</w:t>
      </w:r>
    </w:p>
    <w:p>
      <w:pPr>
        <w:pStyle w:val="785"/>
        <w:spacing w:line="360" w:lineRule="auto"/>
        <w:ind w:firstLine="0" w:firstLineChars="0"/>
        <w:rPr>
          <w:rFonts w:ascii="宋体" w:hAnsi="宋体" w:cs="宋体"/>
          <w:szCs w:val="21"/>
        </w:rPr>
      </w:pPr>
    </w:p>
    <w:p>
      <w:pPr>
        <w:pStyle w:val="785"/>
        <w:spacing w:line="360" w:lineRule="auto"/>
        <w:ind w:firstLine="0" w:firstLineChars="0"/>
        <w:rPr>
          <w:rFonts w:ascii="宋体" w:hAnsi="宋体" w:cs="宋体"/>
          <w:b/>
          <w:szCs w:val="21"/>
        </w:rPr>
      </w:pPr>
      <w:r>
        <w:rPr>
          <w:rFonts w:hint="eastAsia" w:ascii="宋体" w:hAnsi="宋体" w:cs="宋体"/>
          <w:szCs w:val="21"/>
        </w:rPr>
        <w:t>★</w:t>
      </w:r>
      <w:r>
        <w:rPr>
          <w:rFonts w:hint="eastAsia" w:ascii="宋体" w:hAnsi="宋体" w:cs="宋体"/>
          <w:b/>
          <w:szCs w:val="21"/>
        </w:rPr>
        <w:t>三、支付方式：</w:t>
      </w:r>
    </w:p>
    <w:p>
      <w:pPr>
        <w:pStyle w:val="785"/>
        <w:rPr>
          <w:rFonts w:ascii="宋体" w:hAnsi="宋体" w:cs="宋体"/>
          <w:szCs w:val="21"/>
        </w:rPr>
      </w:pPr>
      <w:r>
        <w:rPr>
          <w:rFonts w:hint="eastAsia" w:ascii="宋体" w:hAnsi="宋体" w:cs="宋体"/>
          <w:szCs w:val="21"/>
        </w:rPr>
        <w:t xml:space="preserve">被保险人应在每架直升机保单起期日60天内向保险人缴纳保费。 </w:t>
      </w:r>
    </w:p>
    <w:p>
      <w:pPr>
        <w:pStyle w:val="785"/>
        <w:spacing w:line="360" w:lineRule="auto"/>
        <w:ind w:firstLine="0" w:firstLineChars="0"/>
        <w:rPr>
          <w:rFonts w:ascii="宋体" w:hAnsi="宋体" w:cs="宋体"/>
          <w:szCs w:val="21"/>
        </w:rPr>
      </w:pPr>
    </w:p>
    <w:p>
      <w:pPr>
        <w:pStyle w:val="785"/>
        <w:spacing w:line="360" w:lineRule="auto"/>
        <w:ind w:firstLine="0" w:firstLineChars="0"/>
        <w:rPr>
          <w:rFonts w:ascii="宋体" w:hAnsi="宋体" w:cs="宋体"/>
          <w:b/>
          <w:szCs w:val="21"/>
        </w:rPr>
      </w:pPr>
      <w:r>
        <w:rPr>
          <w:rFonts w:hint="eastAsia" w:ascii="宋体" w:hAnsi="宋体" w:cs="宋体"/>
          <w:szCs w:val="21"/>
        </w:rPr>
        <w:t>★</w:t>
      </w:r>
      <w:r>
        <w:rPr>
          <w:rFonts w:hint="eastAsia" w:ascii="宋体" w:hAnsi="宋体" w:cs="宋体"/>
          <w:b/>
          <w:szCs w:val="21"/>
        </w:rPr>
        <w:t>四、承保要求</w:t>
      </w:r>
    </w:p>
    <w:p>
      <w:pPr>
        <w:pStyle w:val="785"/>
        <w:rPr>
          <w:rFonts w:ascii="宋体" w:hAnsi="宋体" w:cs="宋体"/>
          <w:szCs w:val="21"/>
        </w:rPr>
      </w:pPr>
      <w:r>
        <w:rPr>
          <w:rFonts w:hint="eastAsia" w:ascii="宋体" w:hAnsi="宋体" w:cs="宋体"/>
          <w:szCs w:val="21"/>
        </w:rPr>
        <w:t>本项目指定经纪人为航联保险经纪有限公司。</w:t>
      </w:r>
    </w:p>
    <w:p>
      <w:pPr>
        <w:pStyle w:val="785"/>
        <w:rPr>
          <w:rFonts w:ascii="宋体" w:hAnsi="宋体" w:cs="宋体"/>
          <w:szCs w:val="21"/>
        </w:rPr>
      </w:pPr>
      <w:r>
        <w:rPr>
          <w:rFonts w:hint="eastAsia" w:ascii="宋体" w:hAnsi="宋体" w:cs="宋体"/>
          <w:szCs w:val="21"/>
        </w:rPr>
        <w:t>声明不做主承保或者只承保部分份额的投标文件将被拒绝。</w:t>
      </w:r>
    </w:p>
    <w:p>
      <w:pPr>
        <w:pStyle w:val="785"/>
        <w:rPr>
          <w:rFonts w:ascii="宋体" w:hAnsi="宋体" w:cs="宋体"/>
          <w:szCs w:val="21"/>
        </w:rPr>
      </w:pPr>
      <w:r>
        <w:rPr>
          <w:rFonts w:hint="eastAsia" w:ascii="宋体" w:hAnsi="宋体" w:cs="宋体"/>
          <w:szCs w:val="21"/>
        </w:rPr>
        <w:t>中标服务商须与业主签订包含所有保险保障内容的正式合同。</w:t>
      </w:r>
    </w:p>
    <w:p>
      <w:pPr>
        <w:pStyle w:val="785"/>
        <w:ind w:firstLine="210" w:firstLineChars="100"/>
        <w:rPr>
          <w:rFonts w:ascii="宋体" w:hAnsi="宋体" w:cs="宋体"/>
          <w:b/>
          <w:szCs w:val="21"/>
        </w:rPr>
      </w:pPr>
      <w:r>
        <w:rPr>
          <w:rFonts w:hint="eastAsia" w:ascii="宋体" w:hAnsi="宋体" w:cs="宋体"/>
          <w:szCs w:val="21"/>
        </w:rPr>
        <w:t>★</w:t>
      </w:r>
      <w:r>
        <w:rPr>
          <w:rFonts w:hint="eastAsia" w:ascii="宋体" w:hAnsi="宋体" w:cs="宋体"/>
          <w:b/>
          <w:szCs w:val="21"/>
        </w:rPr>
        <w:t>注：在此次项目服务时间到期后至浙江省公安警务航空队完成2025年招标工作前的保险等相应服务工作，必须由本次中标服务商延续完成，服务费用按本次保费日比例标准，要求下次中标服务商支付。</w:t>
      </w:r>
    </w:p>
    <w:p>
      <w:pPr>
        <w:tabs>
          <w:tab w:val="left" w:pos="5688"/>
        </w:tabs>
        <w:adjustRightInd w:val="0"/>
        <w:ind w:firstLine="422" w:firstLineChars="200"/>
        <w:rPr>
          <w:rFonts w:ascii="宋体" w:hAnsi="宋体" w:cs="宋体"/>
          <w:b/>
          <w:szCs w:val="21"/>
        </w:rPr>
      </w:pPr>
      <w:r>
        <w:rPr>
          <w:rFonts w:hint="eastAsia" w:ascii="宋体" w:hAnsi="宋体" w:cs="宋体"/>
          <w:b/>
          <w:szCs w:val="21"/>
        </w:rPr>
        <w:t>如果本次招标工作结束前，现有保单已经到期，则采购人可以选择按照2023-2024年度的条件由2023-2024年度的中标服务商暂保。计费标准为2023-2024年度保费日比例标准。付款方式由采购人和2023-2024年度的中标服务商协商确认。</w:t>
      </w:r>
    </w:p>
    <w:p>
      <w:pPr>
        <w:tabs>
          <w:tab w:val="left" w:pos="5688"/>
        </w:tabs>
        <w:adjustRightInd w:val="0"/>
        <w:ind w:firstLine="422" w:firstLineChars="200"/>
        <w:rPr>
          <w:rFonts w:ascii="宋体" w:hAnsi="宋体" w:cs="宋体"/>
          <w:b/>
          <w:szCs w:val="21"/>
        </w:rPr>
      </w:pPr>
    </w:p>
    <w:p>
      <w:pPr>
        <w:spacing w:line="360" w:lineRule="auto"/>
        <w:rPr>
          <w:rFonts w:ascii="仿宋" w:hAnsi="仿宋" w:eastAsia="仿宋"/>
          <w:b/>
          <w:bCs/>
          <w:color w:val="000000" w:themeColor="text1"/>
          <w:sz w:val="28"/>
          <w:szCs w:val="28"/>
          <w14:textFill>
            <w14:solidFill>
              <w14:schemeClr w14:val="tx1"/>
            </w14:solidFill>
          </w14:textFill>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360" w:lineRule="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商务要求表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项目工期;2024年6月26日-2025年6月25日</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地点：浙江省杭州市萧山国际机场浙航路西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付款方式：项目结束后一次性支付所有款项。</w:t>
            </w:r>
          </w:p>
          <w:p>
            <w:pPr>
              <w:adjustRightInd w:val="0"/>
              <w:spacing w:line="360" w:lineRule="auto"/>
              <w:textAlignment w:val="baseline"/>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1.合同签订后一周内，中标人向采购人提交合同总价1%的履约保证金，履约保证金在合同履约期间无违约情形的，项目验收结束后，于一周内退还（不计息）；</w:t>
            </w:r>
          </w:p>
          <w:p>
            <w:pPr>
              <w:adjustRightInd w:val="0"/>
              <w:spacing w:line="360" w:lineRule="auto"/>
              <w:textAlignment w:val="baseline"/>
              <w:rPr>
                <w:rFonts w:ascii="仿宋" w:hAnsi="仿宋" w:eastAsia="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2.提交方式：支票、汇票、本票或金融机构、担保机构出具的保函等非现金形式。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无特别说明，按“第五章  浙江省政府采购合同主要条款指引”相关违约责任及争议解决方式内容。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售</w:t>
            </w:r>
          </w:p>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后</w:t>
            </w:r>
          </w:p>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服务</w:t>
            </w: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若有，请提供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若有，请提供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若有，请提供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投标人技术力量情况</w:t>
            </w:r>
          </w:p>
        </w:tc>
        <w:tc>
          <w:tcPr>
            <w:tcW w:w="6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若有，请提供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投标人（含其国内分支机构）近3年（2021年1月1日至2023年12月31日，以保单合同签订日期为准）</w:t>
            </w:r>
          </w:p>
          <w:p>
            <w:pPr>
              <w:snapToGrid w:val="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有警航同类保险项目承保业绩情况，每个得0.5分，此项得分最高为2.5分；</w:t>
            </w:r>
          </w:p>
          <w:p>
            <w:pPr>
              <w:snapToGrid w:val="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上述项目须提供保单复印件作为证明材料，此外如为共保项目须为首席承保人并提供共保协议复印件，同一客户不同年份项目只计一次分数。</w:t>
            </w:r>
          </w:p>
        </w:tc>
      </w:tr>
    </w:tbl>
    <w:p>
      <w:pPr>
        <w:widowControl/>
        <w:jc w:val="left"/>
        <w:rPr>
          <w:rFonts w:ascii="仿宋" w:hAnsi="仿宋" w:eastAsia="仿宋" w:cs="仿宋"/>
          <w:b/>
          <w:bCs/>
          <w:color w:val="000000" w:themeColor="text1"/>
          <w:spacing w:val="30"/>
          <w:sz w:val="28"/>
          <w:szCs w:val="28"/>
          <w14:textFill>
            <w14:solidFill>
              <w14:schemeClr w14:val="tx1"/>
            </w14:solidFill>
          </w14:textFill>
        </w:rPr>
      </w:pPr>
      <w:r>
        <w:rPr>
          <w:rFonts w:ascii="仿宋" w:hAnsi="仿宋" w:eastAsia="仿宋" w:cs="仿宋"/>
          <w:b/>
          <w:bCs/>
          <w:color w:val="000000" w:themeColor="text1"/>
          <w:spacing w:val="30"/>
          <w:sz w:val="28"/>
          <w:szCs w:val="28"/>
          <w14:textFill>
            <w14:solidFill>
              <w14:schemeClr w14:val="tx1"/>
            </w14:solidFill>
          </w14:textFill>
        </w:rPr>
        <w:br w:type="page"/>
      </w:r>
    </w:p>
    <w:p>
      <w:pPr>
        <w:pStyle w:val="32"/>
        <w:spacing w:before="120" w:after="120" w:line="360" w:lineRule="auto"/>
        <w:jc w:val="center"/>
        <w:outlineLvl w:val="0"/>
        <w:rPr>
          <w:rFonts w:hAnsi="宋体"/>
          <w:b/>
          <w:color w:val="000000" w:themeColor="text1"/>
          <w:sz w:val="36"/>
          <w:szCs w:val="36"/>
          <w14:textFill>
            <w14:solidFill>
              <w14:schemeClr w14:val="tx1"/>
            </w14:solidFill>
          </w14:textFill>
        </w:rPr>
      </w:pPr>
      <w:bookmarkStart w:id="32" w:name="_Toc26308"/>
      <w:r>
        <w:rPr>
          <w:rFonts w:hint="eastAsia" w:hAnsi="宋体"/>
          <w:b/>
          <w:color w:val="000000" w:themeColor="text1"/>
          <w:sz w:val="36"/>
          <w:szCs w:val="36"/>
          <w14:textFill>
            <w14:solidFill>
              <w14:schemeClr w14:val="tx1"/>
            </w14:solidFill>
          </w14:textFill>
        </w:rPr>
        <w:t>第五章浙江省政府采购合同主要条款指引</w:t>
      </w:r>
      <w:bookmarkEnd w:id="31"/>
      <w:bookmarkEnd w:id="32"/>
    </w:p>
    <w:p>
      <w:pPr>
        <w:rPr>
          <w:color w:val="000000" w:themeColor="text1"/>
          <w14:textFill>
            <w14:solidFill>
              <w14:schemeClr w14:val="tx1"/>
            </w14:solidFill>
          </w14:textFill>
        </w:rPr>
      </w:pPr>
    </w:p>
    <w:p>
      <w:pPr>
        <w:pStyle w:val="32"/>
        <w:snapToGrid w:val="0"/>
        <w:spacing w:before="120" w:after="120" w:line="360" w:lineRule="auto"/>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合同编号：        </w:t>
      </w:r>
    </w:p>
    <w:p>
      <w:pPr>
        <w:pStyle w:val="32"/>
        <w:snapToGrid w:val="0"/>
        <w:spacing w:before="120" w:after="120" w:line="360" w:lineRule="auto"/>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lang w:val="en-US" w:eastAsia="zh-CN"/>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确认书号：</w:t>
      </w:r>
    </w:p>
    <w:p>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甲方</w:t>
      </w:r>
      <w:r>
        <w:rPr>
          <w:rFonts w:hint="eastAsia" w:ascii="仿宋" w:hAnsi="仿宋" w:eastAsia="仿宋"/>
          <w:color w:val="000000" w:themeColor="text1"/>
          <w:sz w:val="30"/>
          <w:szCs w:val="30"/>
          <w14:textFill>
            <w14:solidFill>
              <w14:schemeClr w14:val="tx1"/>
            </w14:solidFill>
          </w14:textFill>
        </w:rPr>
        <w:t xml:space="preserve">（采购人）： </w:t>
      </w:r>
    </w:p>
    <w:p>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乙方</w:t>
      </w:r>
      <w:r>
        <w:rPr>
          <w:rFonts w:hint="eastAsia" w:ascii="仿宋" w:hAnsi="仿宋" w:eastAsia="仿宋"/>
          <w:color w:val="000000" w:themeColor="text1"/>
          <w:sz w:val="30"/>
          <w:szCs w:val="30"/>
          <w14:textFill>
            <w14:solidFill>
              <w14:schemeClr w14:val="tx1"/>
            </w14:solidFill>
          </w14:textFill>
        </w:rPr>
        <w:t xml:space="preserve">（供应商）： </w:t>
      </w:r>
    </w:p>
    <w:p>
      <w:pPr>
        <w:pStyle w:val="32"/>
        <w:adjustRightInd w:val="0"/>
        <w:snapToGrid w:val="0"/>
        <w:spacing w:before="120" w:after="120" w:line="460" w:lineRule="exact"/>
        <w:ind w:firstLine="594"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甲、乙双方根据浙江省政府采购中心关于</w:t>
      </w:r>
      <w:r>
        <w:rPr>
          <w:rFonts w:hint="eastAsia" w:ascii="仿宋" w:hAnsi="仿宋" w:eastAsia="仿宋"/>
          <w:color w:val="000000" w:themeColor="text1"/>
          <w:sz w:val="30"/>
          <w:szCs w:val="30"/>
          <w14:textFill>
            <w14:solidFill>
              <w14:schemeClr w14:val="tx1"/>
            </w14:solidFill>
          </w14:textFill>
        </w:rPr>
        <w:t>项目编号为      的</w:t>
      </w:r>
      <w:r>
        <w:rPr>
          <w:rFonts w:hint="eastAsia" w:ascii="仿宋" w:hAnsi="仿宋" w:eastAsia="仿宋"/>
          <w:snapToGrid w:val="0"/>
          <w:color w:val="000000" w:themeColor="text1"/>
          <w:sz w:val="30"/>
          <w:szCs w:val="30"/>
          <w14:textFill>
            <w14:solidFill>
              <w14:schemeClr w14:val="tx1"/>
            </w14:solidFill>
          </w14:textFill>
        </w:rPr>
        <w:t>（标项及名称）项目公开招标的结果，签署本合同。</w:t>
      </w:r>
    </w:p>
    <w:p>
      <w:pPr>
        <w:pStyle w:val="32"/>
        <w:adjustRightInd w:val="0"/>
        <w:snapToGrid w:val="0"/>
        <w:spacing w:before="120" w:after="120" w:line="460" w:lineRule="exact"/>
        <w:ind w:firstLine="641" w:firstLineChars="213"/>
        <w:rPr>
          <w:rFonts w:ascii="仿宋" w:hAnsi="仿宋" w:eastAsia="仿宋"/>
          <w:b/>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一、项目内容</w:t>
      </w:r>
      <w:r>
        <w:rPr>
          <w:rFonts w:hint="eastAsia" w:ascii="仿宋" w:hAnsi="仿宋" w:eastAsia="仿宋"/>
          <w:b/>
          <w:color w:val="000000" w:themeColor="text1"/>
          <w:sz w:val="30"/>
          <w:szCs w:val="30"/>
          <w14:textFill>
            <w14:solidFill>
              <w14:schemeClr w14:val="tx1"/>
            </w14:solidFill>
          </w14:textFill>
        </w:rPr>
        <w:t>及合同价格</w:t>
      </w:r>
    </w:p>
    <w:p>
      <w:pPr>
        <w:pStyle w:val="32"/>
        <w:adjustRightInd w:val="0"/>
        <w:snapToGrid w:val="0"/>
        <w:spacing w:before="120" w:after="120" w:line="460" w:lineRule="exact"/>
        <w:ind w:firstLine="639" w:firstLineChars="213"/>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金额单位：元 </w:t>
      </w:r>
    </w:p>
    <w:tbl>
      <w:tblPr>
        <w:tblStyle w:val="59"/>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项目名称</w:t>
            </w:r>
          </w:p>
        </w:tc>
        <w:tc>
          <w:tcPr>
            <w:tcW w:w="3240"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line="460" w:lineRule="exact"/>
              <w:ind w:left="-108"/>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line="460" w:lineRule="exact"/>
              <w:ind w:left="-108"/>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212"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tcPr>
          <w:p>
            <w:pPr>
              <w:spacing w:line="460" w:lineRule="exact"/>
              <w:ind w:firstLine="639" w:firstLineChars="213"/>
              <w:rPr>
                <w:rFonts w:ascii="仿宋" w:hAnsi="仿宋" w:eastAsia="仿宋"/>
                <w:color w:val="000000" w:themeColor="text1"/>
                <w:sz w:val="30"/>
                <w:szCs w:val="30"/>
                <w14:textFill>
                  <w14:solidFill>
                    <w14:schemeClr w14:val="tx1"/>
                  </w14:solidFill>
                </w14:textFill>
              </w:rPr>
            </w:pPr>
          </w:p>
        </w:tc>
        <w:tc>
          <w:tcPr>
            <w:tcW w:w="3240" w:type="dxa"/>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pPr>
              <w:spacing w:line="460" w:lineRule="exact"/>
              <w:ind w:firstLine="639" w:firstLineChars="213"/>
              <w:rPr>
                <w:rFonts w:ascii="仿宋" w:hAnsi="仿宋" w:eastAsia="仿宋"/>
                <w:color w:val="000000" w:themeColor="text1"/>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pStyle w:val="432"/>
              <w:spacing w:after="120" w:line="460" w:lineRule="exact"/>
              <w:ind w:firstLine="639" w:firstLineChars="213"/>
              <w:rPr>
                <w:rFonts w:ascii="仿宋" w:hAnsi="仿宋" w:eastAsia="仿宋"/>
                <w:color w:val="000000" w:themeColor="text1"/>
                <w:kern w:val="2"/>
                <w:sz w:val="30"/>
                <w:szCs w:val="30"/>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pStyle w:val="432"/>
              <w:spacing w:after="120" w:line="460" w:lineRule="exact"/>
              <w:ind w:left="1890"/>
              <w:rPr>
                <w:rFonts w:ascii="仿宋" w:hAnsi="仿宋" w:eastAsia="仿宋"/>
                <w:color w:val="000000" w:themeColor="text1"/>
                <w:kern w:val="2"/>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tcPr>
          <w:p>
            <w:pPr>
              <w:pStyle w:val="32"/>
              <w:snapToGrid w:val="0"/>
              <w:spacing w:before="120" w:after="120" w:line="460" w:lineRule="exact"/>
              <w:ind w:firstLine="639" w:firstLineChars="213"/>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            计</w:t>
            </w:r>
          </w:p>
        </w:tc>
        <w:tc>
          <w:tcPr>
            <w:tcW w:w="1080"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460" w:lineRule="exact"/>
              <w:ind w:firstLine="639" w:firstLineChars="213"/>
              <w:jc w:val="center"/>
              <w:rPr>
                <w:rFonts w:ascii="仿宋" w:hAnsi="仿宋" w:eastAsia="仿宋"/>
                <w:color w:val="000000" w:themeColor="text1"/>
                <w:sz w:val="30"/>
                <w:szCs w:val="30"/>
                <w14:textFill>
                  <w14:solidFill>
                    <w14:schemeClr w14:val="tx1"/>
                  </w14:solidFill>
                </w14:textFill>
              </w:rPr>
            </w:pPr>
          </w:p>
        </w:tc>
        <w:tc>
          <w:tcPr>
            <w:tcW w:w="2472" w:type="dxa"/>
            <w:gridSpan w:val="2"/>
            <w:tcBorders>
              <w:top w:val="single" w:color="auto" w:sz="4" w:space="0"/>
              <w:left w:val="single" w:color="auto" w:sz="4" w:space="0"/>
              <w:bottom w:val="single" w:color="auto" w:sz="4" w:space="0"/>
              <w:right w:val="single" w:color="auto" w:sz="4" w:space="0"/>
            </w:tcBorders>
          </w:tcPr>
          <w:p>
            <w:pPr>
              <w:pStyle w:val="432"/>
              <w:spacing w:after="120" w:line="460" w:lineRule="exact"/>
              <w:ind w:firstLine="639" w:firstLineChars="213"/>
              <w:rPr>
                <w:rFonts w:ascii="仿宋" w:hAnsi="仿宋" w:eastAsia="仿宋"/>
                <w:color w:val="000000" w:themeColor="text1"/>
                <w:kern w:val="2"/>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pPr>
              <w:pStyle w:val="32"/>
              <w:snapToGrid w:val="0"/>
              <w:spacing w:before="120" w:after="120"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合同总价大写：                              小写：￥</w:t>
            </w:r>
          </w:p>
        </w:tc>
      </w:tr>
    </w:tbl>
    <w:p>
      <w:pPr>
        <w:pStyle w:val="32"/>
        <w:snapToGrid w:val="0"/>
        <w:spacing w:before="120" w:beforeLines="0" w:after="120" w:line="460" w:lineRule="exact"/>
        <w:ind w:left="-178" w:leftChars="-85" w:firstLine="639" w:firstLineChars="213"/>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注：1.项目具体技术需求及采购人地址等详见招标文件、投标文件以及询标记录。</w:t>
      </w:r>
    </w:p>
    <w:p>
      <w:pPr>
        <w:spacing w:line="460" w:lineRule="exact"/>
        <w:ind w:firstLine="639" w:firstLineChars="213"/>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2.以上合同总价包含项目达到预期使用效果所需的一切费用。</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二、技术资料</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1.乙方应按招标文件规定的时间向甲方提供使用项目的有关技术资料。</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2"/>
        <w:adjustRightInd w:val="0"/>
        <w:snapToGrid w:val="0"/>
        <w:spacing w:before="120" w:after="120"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三、知识产权</w:t>
      </w:r>
    </w:p>
    <w:p>
      <w:pPr>
        <w:pStyle w:val="32"/>
        <w:adjustRightInd w:val="0"/>
        <w:snapToGrid w:val="0"/>
        <w:spacing w:before="120" w:after="120"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乙方应保证所提供的货物或其任何一部分均不会侵犯任何第三方的知识产权</w:t>
      </w:r>
      <w:r>
        <w:rPr>
          <w:rFonts w:hint="eastAsia" w:ascii="仿宋" w:hAnsi="仿宋" w:eastAsia="仿宋"/>
          <w:bCs/>
          <w:snapToGrid w:val="0"/>
          <w:color w:val="000000" w:themeColor="text1"/>
          <w:sz w:val="30"/>
          <w:szCs w:val="30"/>
          <w14:textFill>
            <w14:solidFill>
              <w14:schemeClr w14:val="tx1"/>
            </w14:solidFill>
          </w14:textFill>
        </w:rPr>
        <w:t>。</w:t>
      </w:r>
    </w:p>
    <w:p>
      <w:pPr>
        <w:pStyle w:val="32"/>
        <w:adjustRightInd w:val="0"/>
        <w:snapToGrid w:val="0"/>
        <w:spacing w:before="120" w:after="120" w:line="460" w:lineRule="exact"/>
        <w:ind w:firstLine="596" w:firstLineChars="198"/>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四、产权担保</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乙方保证所交付的货物的所有权完全属于乙方且无任何抵押、查封等产权瑕疵。</w:t>
      </w:r>
    </w:p>
    <w:p>
      <w:pPr>
        <w:pStyle w:val="32"/>
        <w:adjustRightInd w:val="0"/>
        <w:snapToGrid w:val="0"/>
        <w:spacing w:before="120" w:after="120"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五、转包或分包</w:t>
      </w:r>
    </w:p>
    <w:p>
      <w:pPr>
        <w:adjustRightInd w:val="0"/>
        <w:snapToGrid w:val="0"/>
        <w:spacing w:before="120" w:beforeLines="50" w:after="120"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不允许转包。</w:t>
      </w:r>
    </w:p>
    <w:p>
      <w:pPr>
        <w:adjustRightInd w:val="0"/>
        <w:snapToGrid w:val="0"/>
        <w:spacing w:before="120" w:beforeLines="50" w:after="120" w:afterLines="50" w:line="460" w:lineRule="exact"/>
        <w:ind w:firstLine="639" w:firstLineChars="213"/>
        <w:rPr>
          <w:rFonts w:ascii="仿宋" w:hAnsi="仿宋" w:eastAsia="仿宋"/>
          <w:snapToGrid w:val="0"/>
          <w:color w:val="000000" w:themeColor="text1"/>
          <w:kern w:val="0"/>
          <w:sz w:val="30"/>
          <w:szCs w:val="30"/>
          <w:u w:val="single"/>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允许分包部分</w:t>
      </w:r>
      <w:r>
        <w:rPr>
          <w:rFonts w:hint="eastAsia" w:ascii="仿宋" w:hAnsi="仿宋" w:eastAsia="仿宋"/>
          <w:snapToGrid w:val="0"/>
          <w:color w:val="000000" w:themeColor="text1"/>
          <w:kern w:val="0"/>
          <w:sz w:val="30"/>
          <w:szCs w:val="30"/>
          <w:u w:val="single"/>
          <w14:textFill>
            <w14:solidFill>
              <w14:schemeClr w14:val="tx1"/>
            </w14:solidFill>
          </w14:textFill>
        </w:rPr>
        <w:t xml:space="preserve">               。</w:t>
      </w:r>
    </w:p>
    <w:p>
      <w:pPr>
        <w:adjustRightInd w:val="0"/>
        <w:snapToGrid w:val="0"/>
        <w:spacing w:before="120" w:beforeLines="50" w:after="120" w:afterLines="50" w:line="460" w:lineRule="exact"/>
        <w:ind w:firstLine="600" w:firstLineChars="200"/>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如乙方将项目转包或将不允许分包部分就行了分包，甲方有权解除合同，没收履约保证金并追究乙方的违约责任。</w:t>
      </w:r>
    </w:p>
    <w:p>
      <w:pPr>
        <w:pStyle w:val="32"/>
        <w:adjustRightInd w:val="0"/>
        <w:snapToGrid w:val="0"/>
        <w:spacing w:before="120" w:after="120" w:line="460" w:lineRule="exact"/>
        <w:ind w:firstLine="641"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六、质保期和履约保证金</w:t>
      </w:r>
    </w:p>
    <w:p>
      <w:pPr>
        <w:pStyle w:val="32"/>
        <w:adjustRightInd w:val="0"/>
        <w:snapToGrid w:val="0"/>
        <w:spacing w:before="120" w:after="120" w:line="460" w:lineRule="exact"/>
        <w:ind w:firstLine="600" w:firstLineChars="200"/>
        <w:jc w:val="left"/>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1.质保期年。（自项目验收合格交付使用之日起计）</w:t>
      </w:r>
    </w:p>
    <w:p>
      <w:pPr>
        <w:pStyle w:val="32"/>
        <w:adjustRightInd w:val="0"/>
        <w:snapToGrid w:val="0"/>
        <w:spacing w:before="120" w:after="120"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2.履约保证金元。[履约保证金交至采购人处，在合同约定交货验收合格满（   ）个月之日起5个工作日内无息退还]</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七、项目工期及实施地点</w:t>
      </w:r>
    </w:p>
    <w:p>
      <w:pPr>
        <w:pStyle w:val="32"/>
        <w:adjustRightInd w:val="0"/>
        <w:snapToGrid w:val="0"/>
        <w:spacing w:before="120" w:after="120"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1.交货期：</w:t>
      </w:r>
    </w:p>
    <w:p>
      <w:pPr>
        <w:pStyle w:val="32"/>
        <w:adjustRightInd w:val="0"/>
        <w:snapToGrid w:val="0"/>
        <w:spacing w:before="120" w:after="120" w:line="460" w:lineRule="exact"/>
        <w:ind w:firstLine="639"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2.实施地点：</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八、货款支付</w:t>
      </w:r>
    </w:p>
    <w:p>
      <w:pPr>
        <w:spacing w:line="360" w:lineRule="auto"/>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 xml:space="preserve"> 付款方式：（根据采购文件“第四部分商务要求表付款条件”内容填写）</w:t>
      </w:r>
    </w:p>
    <w:p>
      <w:pPr>
        <w:adjustRightInd w:val="0"/>
        <w:snapToGrid w:val="0"/>
        <w:spacing w:before="120" w:beforeLines="50" w:after="120" w:afterLines="50" w:line="460" w:lineRule="exact"/>
        <w:ind w:firstLine="641" w:firstLineChars="213"/>
        <w:rPr>
          <w:rFonts w:ascii="仿宋" w:hAnsi="仿宋" w:eastAsia="仿宋"/>
          <w:b/>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kern w:val="0"/>
          <w:sz w:val="30"/>
          <w:szCs w:val="30"/>
          <w14:textFill>
            <w14:solidFill>
              <w14:schemeClr w14:val="tx1"/>
            </w14:solidFill>
          </w14:textFill>
        </w:rPr>
        <w:t>九、税费</w:t>
      </w:r>
    </w:p>
    <w:p>
      <w:pPr>
        <w:adjustRightInd w:val="0"/>
        <w:snapToGrid w:val="0"/>
        <w:spacing w:before="120" w:beforeLines="50" w:after="120"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本合同执行中相关的一切税费均由乙方负担。</w:t>
      </w:r>
    </w:p>
    <w:p>
      <w:pPr>
        <w:pStyle w:val="32"/>
        <w:adjustRightInd w:val="0"/>
        <w:snapToGrid w:val="0"/>
        <w:spacing w:before="120" w:after="120" w:line="460" w:lineRule="exact"/>
        <w:ind w:firstLine="596" w:firstLineChars="198"/>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十、质量保证及售后服务</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十一、调试和验收</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十二、货物包装</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十三、违约责任</w:t>
      </w:r>
    </w:p>
    <w:p>
      <w:pPr>
        <w:pStyle w:val="32"/>
        <w:adjustRightInd w:val="0"/>
        <w:snapToGrid w:val="0"/>
        <w:spacing w:before="120" w:after="120"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1.甲方无正当理由拒收验收项目的，甲方向乙方偿付拒收合同总价的百分之五违约金。</w:t>
      </w:r>
    </w:p>
    <w:p>
      <w:pPr>
        <w:pStyle w:val="32"/>
        <w:adjustRightInd w:val="0"/>
        <w:snapToGrid w:val="0"/>
        <w:spacing w:before="120" w:after="120" w:line="460" w:lineRule="exact"/>
        <w:ind w:left="1"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2. 甲方收到乙方提供的发票，结合验收情况，验收合格的，在15日内将采购资金支付到乙方约定账户。</w:t>
      </w:r>
    </w:p>
    <w:p>
      <w:pPr>
        <w:pStyle w:val="32"/>
        <w:adjustRightInd w:val="0"/>
        <w:snapToGrid w:val="0"/>
        <w:spacing w:before="120" w:after="120"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甲方无故逾期验收和办理合同款项支付手续的,甲方应按逾期付款总额每日万分之五向乙方支付违约金。</w:t>
      </w:r>
    </w:p>
    <w:p>
      <w:pPr>
        <w:pStyle w:val="32"/>
        <w:adjustRightInd w:val="0"/>
        <w:snapToGrid w:val="0"/>
        <w:spacing w:before="120" w:after="120"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32"/>
        <w:adjustRightInd w:val="0"/>
        <w:snapToGrid w:val="0"/>
        <w:spacing w:before="120" w:after="120"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2"/>
        <w:adjustRightInd w:val="0"/>
        <w:snapToGrid w:val="0"/>
        <w:spacing w:before="120" w:after="120"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5.解除合同应按《浙江省政府采购合同暂行办法》向财政备案。</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十四、不可抗力事件处理</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2.不可抗力事件发生后，应立即通知对方，并寄送有关权威机构出具的证明。</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3.不可抗力事件延续120天以上，双方应通过友好协商，确定是否继续履行合同。</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十五、诉讼</w:t>
      </w:r>
    </w:p>
    <w:p>
      <w:pPr>
        <w:pStyle w:val="32"/>
        <w:adjustRightInd w:val="0"/>
        <w:snapToGrid w:val="0"/>
        <w:spacing w:before="120" w:after="120" w:line="460" w:lineRule="exact"/>
        <w:ind w:left="2"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双方在执行合同中所发生的一切争议，应通过协商解决。如协商不成，可向甲方所在地法院起诉。</w:t>
      </w:r>
    </w:p>
    <w:p>
      <w:pPr>
        <w:pStyle w:val="32"/>
        <w:adjustRightInd w:val="0"/>
        <w:snapToGrid w:val="0"/>
        <w:spacing w:before="120" w:after="120"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十六、合同生效及其它</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1.合同经甲、乙两方签名并加盖单位公章后生效。</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2.合同执行中涉及采购资金和采购内容修改或补充的，须双方经财政部门审批，并签书面补充协议，经报政府采购监督管理部门备案后，方可作为主合同不可分割的一部分。</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3.招标文件、投标文件与本合同具有同等法律效力。</w:t>
      </w:r>
    </w:p>
    <w:p>
      <w:pPr>
        <w:pStyle w:val="32"/>
        <w:adjustRightInd w:val="0"/>
        <w:snapToGrid w:val="0"/>
        <w:spacing w:before="120" w:after="120" w:line="460" w:lineRule="exact"/>
        <w:ind w:firstLine="59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2"/>
        <w:adjustRightInd w:val="0"/>
        <w:snapToGrid w:val="0"/>
        <w:spacing w:before="120" w:after="120"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5.本合同未尽事宜，遵照《中华人民共和国民法典》有关条文执行。</w:t>
      </w:r>
    </w:p>
    <w:p>
      <w:pPr>
        <w:pStyle w:val="32"/>
        <w:adjustRightInd w:val="0"/>
        <w:snapToGrid w:val="0"/>
        <w:spacing w:before="120" w:beforeLines="0" w:after="120" w:line="460" w:lineRule="exact"/>
        <w:ind w:left="2" w:leftChars="1"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6.本合同一式四份，具有同等法律效力，甲、乙两方各执二份。</w:t>
      </w:r>
    </w:p>
    <w:p>
      <w:pPr>
        <w:pStyle w:val="32"/>
        <w:adjustRightInd w:val="0"/>
        <w:snapToGrid w:val="0"/>
        <w:spacing w:before="120" w:after="120"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p>
    <w:p>
      <w:pPr>
        <w:pStyle w:val="32"/>
        <w:adjustRightInd w:val="0"/>
        <w:snapToGrid w:val="0"/>
        <w:spacing w:before="120" w:after="120"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甲方（盖章）：                                   </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法定（授权）代表人：                   </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签名日期：     年   月   日           </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乙方（盖章）：</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开户行：</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开户帐号：</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法定（授权）代表人：</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签名日期：      年   月   日</w:t>
      </w:r>
    </w:p>
    <w:p>
      <w:pPr>
        <w:pStyle w:val="32"/>
        <w:adjustRightInd w:val="0"/>
        <w:snapToGrid w:val="0"/>
        <w:spacing w:before="120" w:after="120"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pPr>
        <w:rPr>
          <w:color w:val="000000" w:themeColor="text1"/>
          <w:szCs w:val="30"/>
          <w14:textFill>
            <w14:solidFill>
              <w14:schemeClr w14:val="tx1"/>
            </w14:solidFill>
          </w14:textFill>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hint="eastAsia" w:ascii="宋体" w:hAnsi="宋体" w:eastAsia="宋体" w:cs="宋体"/>
          <w:b/>
          <w:sz w:val="32"/>
          <w:szCs w:val="32"/>
        </w:rPr>
      </w:pPr>
    </w:p>
    <w:p>
      <w:pPr>
        <w:adjustRightInd w:val="0"/>
        <w:snapToGrid w:val="0"/>
        <w:spacing w:line="288" w:lineRule="auto"/>
        <w:ind w:firstLine="618"/>
        <w:jc w:val="center"/>
        <w:outlineLvl w:val="0"/>
        <w:rPr>
          <w:rFonts w:ascii="宋体" w:hAnsi="宋体" w:eastAsia="宋体" w:cs="宋体"/>
          <w:b/>
          <w:bCs/>
          <w:spacing w:val="-6"/>
          <w:sz w:val="32"/>
          <w:szCs w:val="32"/>
        </w:rPr>
      </w:pPr>
      <w:r>
        <w:rPr>
          <w:rFonts w:hint="eastAsia" w:ascii="宋体" w:hAnsi="宋体" w:eastAsia="宋体" w:cs="宋体"/>
          <w:b/>
          <w:sz w:val="32"/>
          <w:szCs w:val="32"/>
        </w:rPr>
        <w:t>拟签订的合同文本</w:t>
      </w:r>
    </w:p>
    <w:p>
      <w:pPr>
        <w:pStyle w:val="32"/>
        <w:adjustRightInd w:val="0"/>
        <w:snapToGrid w:val="0"/>
        <w:spacing w:before="156" w:after="156" w:line="360" w:lineRule="auto"/>
        <w:jc w:val="center"/>
        <w:rPr>
          <w:rFonts w:hint="eastAsia" w:ascii="宋体" w:hAnsi="宋体" w:eastAsia="宋体" w:cs="宋体"/>
          <w:b/>
          <w:sz w:val="21"/>
          <w:szCs w:val="21"/>
        </w:rPr>
      </w:pPr>
      <w:r>
        <w:rPr>
          <w:rFonts w:hint="eastAsia" w:ascii="宋体" w:hAnsi="宋体" w:eastAsia="宋体" w:cs="宋体"/>
          <w:b/>
          <w:sz w:val="21"/>
          <w:szCs w:val="21"/>
        </w:rPr>
        <w:t>（本合同为合同样稿</w:t>
      </w:r>
      <w:r>
        <w:rPr>
          <w:rFonts w:hint="eastAsia" w:ascii="宋体" w:hAnsi="宋体" w:eastAsia="宋体" w:cs="宋体"/>
          <w:b/>
          <w:sz w:val="21"/>
          <w:szCs w:val="21"/>
          <w:lang w:val="en-US" w:eastAsia="zh-CN"/>
        </w:rPr>
        <w:t>格式</w:t>
      </w:r>
      <w:r>
        <w:rPr>
          <w:rFonts w:hint="eastAsia" w:ascii="宋体" w:hAnsi="宋体" w:eastAsia="宋体" w:cs="宋体"/>
          <w:b/>
          <w:sz w:val="21"/>
          <w:szCs w:val="21"/>
        </w:rPr>
        <w:t>，最终稿由双方协商后确定）</w:t>
      </w:r>
    </w:p>
    <w:p>
      <w:pPr>
        <w:pStyle w:val="32"/>
        <w:adjustRightInd w:val="0"/>
        <w:snapToGrid w:val="0"/>
        <w:spacing w:before="156" w:after="156" w:line="240" w:lineRule="auto"/>
        <w:jc w:val="center"/>
        <w:rPr>
          <w:rFonts w:hint="eastAsia" w:ascii="宋体" w:hAnsi="宋体" w:eastAsia="宋体" w:cs="宋体"/>
          <w:sz w:val="21"/>
          <w:szCs w:val="21"/>
        </w:rPr>
      </w:pPr>
      <w:r>
        <w:rPr>
          <w:rFonts w:hint="eastAsia" w:ascii="宋体" w:hAnsi="宋体" w:eastAsia="宋体" w:cs="宋体"/>
          <w:b/>
          <w:sz w:val="21"/>
          <w:szCs w:val="21"/>
          <w:lang w:val="en-US" w:eastAsia="zh-CN"/>
        </w:rPr>
        <w:t xml:space="preserve">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合同编号：</w:t>
      </w:r>
    </w:p>
    <w:p>
      <w:pPr>
        <w:pStyle w:val="32"/>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确认书号：</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__________________（以下简称投保人）与____________________（以下简称保险人）经过双方协商一致，签订本合同。</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210" w:firstLineChars="1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一、投保人就以下项目投保航空器相关险种：</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项目名称：</w:t>
      </w:r>
      <w:r>
        <w:rPr>
          <w:rFonts w:hint="eastAsia" w:ascii="宋体" w:hAnsi="宋体" w:eastAsia="宋体" w:cs="宋体"/>
          <w:snapToGrid w:val="0"/>
          <w:kern w:val="0"/>
          <w:sz w:val="21"/>
          <w:szCs w:val="21"/>
          <w:u w:val="single"/>
        </w:rPr>
        <w:t xml:space="preserve">                             </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投保险种：机身及零备件一切险</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          第三者责任险</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          乘客责任险</w:t>
      </w:r>
      <w:r>
        <w:rPr>
          <w:rFonts w:hint="eastAsia" w:ascii="宋体" w:hAnsi="宋体" w:eastAsia="宋体" w:cs="宋体"/>
          <w:sz w:val="21"/>
          <w:szCs w:val="21"/>
        </w:rPr>
        <w:t>(包括飞行员及机组人员)</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          航空机身战争及相关风险保险</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          飞行员、机组及机务人员意外伤害保险（附加意外伤害医疗保险及相关扩展保障）</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          无人机机身及零备件一切险</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          无人机第三者责任险</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二、下列文件均为本合同的组成部分：</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1、航空器保险单（AVN1C、AVN52E等）</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2、航空机身“战争及相关风险”保险单（LSW555D）</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3、飞行员、机组及机务人员意外伤害保险（附加意外伤害医疗保险及相关扩展保障）保险单</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4、无人机保险条款</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735" w:firstLineChars="3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5、扩展条款内容</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left="420" w:leftChars="150" w:hanging="105" w:hangingChars="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三、保险公司同意按照本合同的规定，承保本合同专用条件中议定范围内的航空器综合一切险业务。</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四、投保人同意按照本合同规定的期限、方式、币种、额度向保险人支付酬金。</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五、本合同期限自     年     月    日开始，至      年     月   日终结。</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六、本合同一式肆份，具有同等法律效力，双方各执两份。</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  保  人：（盖章）             承  保  人：（盖章）</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法定代表人：（签字）             法定代表人：（签字）</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委托代理人：（签字）             委托代理人：（签字）</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地址：                           地址：</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开户银行：                       开户银行：</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帐号：                           帐号：</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邮政编码：                       邮政编码：</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电话：                           电话：</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传真：                           传真：</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电子信箱：                       电子信箱：</w:t>
      </w:r>
    </w:p>
    <w:p>
      <w:pPr>
        <w:keepNext w:val="0"/>
        <w:keepLines w:val="0"/>
        <w:pageBreakBefore w:val="0"/>
        <w:widowControl w:val="0"/>
        <w:tabs>
          <w:tab w:val="left" w:pos="5688"/>
        </w:tabs>
        <w:kinsoku/>
        <w:wordWrap/>
        <w:overflowPunct/>
        <w:topLinePunct w:val="0"/>
        <w:autoSpaceDE/>
        <w:autoSpaceDN/>
        <w:bidi w:val="0"/>
        <w:adjustRightInd w:val="0"/>
        <w:snapToGrid w:val="0"/>
        <w:spacing w:line="288" w:lineRule="auto"/>
        <w:ind w:firstLine="315" w:firstLineChars="15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年  月  日                       年   月   日</w:t>
      </w:r>
    </w:p>
    <w:p>
      <w:pPr>
        <w:adjustRightInd w:val="0"/>
        <w:snapToGrid w:val="0"/>
        <w:spacing w:line="360" w:lineRule="auto"/>
        <w:ind w:hanging="8"/>
        <w:textAlignment w:val="top"/>
        <w:rPr>
          <w:rFonts w:hint="eastAsia" w:ascii="宋体" w:hAnsi="宋体" w:eastAsia="宋体" w:cs="宋体"/>
          <w:b/>
          <w:w w:val="90"/>
          <w:sz w:val="21"/>
          <w:szCs w:val="21"/>
          <w:u w:val="single"/>
        </w:rPr>
      </w:pPr>
      <w:r>
        <w:rPr>
          <w:rFonts w:hint="eastAsia" w:ascii="宋体" w:hAnsi="宋体" w:eastAsia="宋体" w:cs="宋体"/>
          <w:b/>
          <w:w w:val="90"/>
          <w:sz w:val="21"/>
          <w:szCs w:val="21"/>
          <w:u w:val="single"/>
        </w:rPr>
        <w:br w:type="page"/>
      </w:r>
      <w:r>
        <w:rPr>
          <w:rFonts w:hint="eastAsia" w:ascii="宋体" w:hAnsi="宋体" w:eastAsia="宋体" w:cs="宋体"/>
          <w:b/>
          <w:w w:val="90"/>
          <w:sz w:val="21"/>
          <w:szCs w:val="21"/>
          <w:u w:val="single"/>
        </w:rPr>
        <w:t>英文条款仅供参考，投标单位应提供相应的中文条款，签订合同以中文条款为准。</w:t>
      </w:r>
    </w:p>
    <w:p>
      <w:pPr>
        <w:adjustRightInd w:val="0"/>
        <w:snapToGrid w:val="0"/>
        <w:spacing w:line="360" w:lineRule="auto"/>
        <w:jc w:val="center"/>
        <w:rPr>
          <w:rFonts w:hint="eastAsia" w:ascii="宋体" w:hAnsi="宋体" w:eastAsia="宋体" w:cs="宋体"/>
          <w:b/>
          <w:w w:val="90"/>
          <w:sz w:val="21"/>
          <w:szCs w:val="21"/>
        </w:rPr>
      </w:pPr>
      <w:r>
        <w:rPr>
          <w:rFonts w:hint="eastAsia" w:ascii="宋体" w:hAnsi="宋体" w:eastAsia="宋体" w:cs="宋体"/>
          <w:b/>
          <w:w w:val="90"/>
          <w:sz w:val="21"/>
          <w:szCs w:val="21"/>
        </w:rPr>
        <w:t>AVN1C合同条款</w:t>
      </w:r>
    </w:p>
    <w:p>
      <w:pPr>
        <w:autoSpaceDE w:val="0"/>
        <w:autoSpaceDN w:val="0"/>
        <w:adjustRightInd w:val="0"/>
        <w:spacing w:line="533"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LONDON AIRCRAFT INSURANCE POLICY </w:t>
      </w:r>
    </w:p>
    <w:p>
      <w:pPr>
        <w:autoSpaceDE w:val="0"/>
        <w:autoSpaceDN w:val="0"/>
        <w:adjustRightInd w:val="0"/>
        <w:spacing w:line="400"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Headings and marginal captions are inserted for the purpose of convenient reference only and are not to be deemed part of this Policy. </w:t>
      </w:r>
    </w:p>
    <w:p>
      <w:pPr>
        <w:autoSpaceDE w:val="0"/>
        <w:autoSpaceDN w:val="0"/>
        <w:adjustRightInd w:val="0"/>
        <w:spacing w:line="386"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Certain words and phrases used in this Policy have special meanings which can be found in Section IV(D) Definitions. </w:t>
      </w:r>
    </w:p>
    <w:p>
      <w:pPr>
        <w:autoSpaceDE w:val="0"/>
        <w:autoSpaceDN w:val="0"/>
        <w:adjustRightInd w:val="0"/>
        <w:spacing w:line="386" w:lineRule="exact"/>
        <w:jc w:val="left"/>
        <w:rPr>
          <w:rFonts w:hint="eastAsia" w:ascii="宋体" w:hAnsi="宋体" w:eastAsia="宋体" w:cs="宋体"/>
          <w:kern w:val="0"/>
          <w:sz w:val="21"/>
          <w:szCs w:val="21"/>
        </w:rPr>
      </w:pPr>
    </w:p>
    <w:p>
      <w:pPr>
        <w:autoSpaceDE w:val="0"/>
        <w:autoSpaceDN w:val="0"/>
        <w:adjustRightInd w:val="0"/>
        <w:spacing w:line="373"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The Insurers agree to insure against loss, damage or liability, arising out of an Accident occurring during the Period of Insurance to the extent and in the manner provided in this Policy. </w:t>
      </w:r>
    </w:p>
    <w:p>
      <w:pPr>
        <w:autoSpaceDE w:val="0"/>
        <w:autoSpaceDN w:val="0"/>
        <w:adjustRightInd w:val="0"/>
        <w:spacing w:line="373" w:lineRule="exact"/>
        <w:rPr>
          <w:rFonts w:hint="eastAsia" w:ascii="宋体" w:hAnsi="宋体" w:eastAsia="宋体" w:cs="宋体"/>
          <w:kern w:val="0"/>
          <w:sz w:val="21"/>
          <w:szCs w:val="21"/>
        </w:rPr>
      </w:pPr>
    </w:p>
    <w:p>
      <w:pPr>
        <w:autoSpaceDE w:val="0"/>
        <w:autoSpaceDN w:val="0"/>
        <w:adjustRightInd w:val="0"/>
        <w:spacing w:line="333"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SECTION I LOSS OF OR DAMAGE TO AIRCRAFT </w:t>
      </w:r>
    </w:p>
    <w:p>
      <w:pPr>
        <w:autoSpaceDE w:val="0"/>
        <w:autoSpaceDN w:val="0"/>
        <w:adjustRightInd w:val="0"/>
        <w:spacing w:line="213" w:lineRule="exact"/>
        <w:jc w:val="left"/>
        <w:rPr>
          <w:rFonts w:hint="eastAsia" w:ascii="宋体" w:hAnsi="宋体" w:eastAsia="宋体" w:cs="宋体"/>
          <w:kern w:val="0"/>
          <w:sz w:val="21"/>
          <w:szCs w:val="21"/>
        </w:rPr>
      </w:pPr>
    </w:p>
    <w:p>
      <w:pPr>
        <w:tabs>
          <w:tab w:val="left" w:pos="600"/>
        </w:tabs>
        <w:autoSpaceDE w:val="0"/>
        <w:autoSpaceDN w:val="0"/>
        <w:adjustRightInd w:val="0"/>
        <w:spacing w:line="333"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1. Coverage</w:t>
      </w:r>
    </w:p>
    <w:p>
      <w:pPr>
        <w:numPr>
          <w:ilvl w:val="0"/>
          <w:numId w:val="32"/>
        </w:numPr>
        <w:autoSpaceDE w:val="0"/>
        <w:autoSpaceDN w:val="0"/>
        <w:adjustRightInd w:val="0"/>
        <w:spacing w:line="373" w:lineRule="exact"/>
        <w:ind w:left="357" w:hanging="357"/>
        <w:rPr>
          <w:rFonts w:hint="eastAsia" w:ascii="宋体" w:hAnsi="宋体" w:eastAsia="宋体" w:cs="宋体"/>
          <w:kern w:val="0"/>
          <w:sz w:val="21"/>
          <w:szCs w:val="21"/>
        </w:rPr>
      </w:pPr>
      <w:r>
        <w:rPr>
          <w:rFonts w:hint="eastAsia" w:ascii="宋体" w:hAnsi="宋体" w:eastAsia="宋体" w:cs="宋体"/>
          <w:kern w:val="0"/>
          <w:sz w:val="21"/>
          <w:szCs w:val="21"/>
        </w:rPr>
        <w:t xml:space="preserve">The Insurers will at their option pay for, replace or repair, accidental loss of or damage to the Aircraft described in the Schedule arising from the risks covered, including disappearance if the Aircraft is unreported for sixty days after the commencement of Flight, but not exceeding the Amount Insured as specified in Part 2(5) of the Schedule and subject to the amounts to be deducted specified in Condition 3(c). </w:t>
      </w:r>
    </w:p>
    <w:p>
      <w:pPr>
        <w:numPr>
          <w:ilvl w:val="0"/>
          <w:numId w:val="32"/>
        </w:numPr>
        <w:autoSpaceDE w:val="0"/>
        <w:autoSpaceDN w:val="0"/>
        <w:adjustRightInd w:val="0"/>
        <w:spacing w:line="373" w:lineRule="exact"/>
        <w:ind w:left="357" w:hanging="357"/>
        <w:rPr>
          <w:rFonts w:hint="eastAsia" w:ascii="宋体" w:hAnsi="宋体" w:eastAsia="宋体" w:cs="宋体"/>
          <w:kern w:val="0"/>
          <w:sz w:val="21"/>
          <w:szCs w:val="21"/>
        </w:rPr>
      </w:pPr>
      <w:r>
        <w:rPr>
          <w:rFonts w:hint="eastAsia" w:ascii="宋体" w:hAnsi="宋体" w:eastAsia="宋体" w:cs="宋体"/>
          <w:kern w:val="0"/>
          <w:sz w:val="21"/>
          <w:szCs w:val="21"/>
        </w:rPr>
        <w:t xml:space="preserve">If the Aircraft is insured hereby for the risks of Flight, the Insurers will, in addition, pay reasonable emergency expenses necessarily incurred by the Insured for the immediate safety of the Aircraft consequent upon damage or forced landing, up to 10 per cent of the Amount Insured as specified in Part 2(5) of the Schedule. </w:t>
      </w:r>
    </w:p>
    <w:p>
      <w:pPr>
        <w:autoSpaceDE w:val="0"/>
        <w:autoSpaceDN w:val="0"/>
        <w:adjustRightInd w:val="0"/>
        <w:spacing w:line="213" w:lineRule="exact"/>
        <w:jc w:val="left"/>
        <w:rPr>
          <w:rFonts w:hint="eastAsia" w:ascii="宋体" w:hAnsi="宋体" w:eastAsia="宋体" w:cs="宋体"/>
          <w:kern w:val="0"/>
          <w:sz w:val="21"/>
          <w:szCs w:val="21"/>
        </w:rPr>
      </w:pPr>
    </w:p>
    <w:p>
      <w:pPr>
        <w:tabs>
          <w:tab w:val="left" w:pos="600"/>
        </w:tabs>
        <w:autoSpaceDE w:val="0"/>
        <w:autoSpaceDN w:val="0"/>
        <w:adjustRightInd w:val="0"/>
        <w:spacing w:line="333"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2.Exclusions applicable to this Section only </w:t>
      </w:r>
    </w:p>
    <w:p>
      <w:pPr>
        <w:autoSpaceDE w:val="0"/>
        <w:autoSpaceDN w:val="0"/>
        <w:adjustRightInd w:val="0"/>
        <w:spacing w:line="373" w:lineRule="exact"/>
        <w:rPr>
          <w:rFonts w:hint="eastAsia" w:ascii="宋体" w:hAnsi="宋体" w:eastAsia="宋体" w:cs="宋体"/>
          <w:kern w:val="0"/>
          <w:sz w:val="21"/>
          <w:szCs w:val="21"/>
        </w:rPr>
      </w:pPr>
      <w:r>
        <w:rPr>
          <w:rFonts w:hint="eastAsia" w:ascii="宋体" w:hAnsi="宋体" w:eastAsia="宋体" w:cs="宋体"/>
          <w:kern w:val="0"/>
          <w:sz w:val="21"/>
          <w:szCs w:val="21"/>
        </w:rPr>
        <w:t>The Insurers shall not be liable for Wear and Tear,</w:t>
      </w:r>
    </w:p>
    <w:p>
      <w:pPr>
        <w:numPr>
          <w:ilvl w:val="0"/>
          <w:numId w:val="33"/>
        </w:numPr>
        <w:autoSpaceDE w:val="0"/>
        <w:autoSpaceDN w:val="0"/>
        <w:adjustRightInd w:val="0"/>
        <w:spacing w:line="373"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wear and tear, deterioration, breakdown, defect or failure Breakdown caused in any Unit of the Aircraft and the consequences thereof within such Unit; </w:t>
      </w:r>
    </w:p>
    <w:p>
      <w:pPr>
        <w:numPr>
          <w:ilvl w:val="0"/>
          <w:numId w:val="33"/>
        </w:numPr>
        <w:autoSpaceDE w:val="0"/>
        <w:autoSpaceDN w:val="0"/>
        <w:adjustRightInd w:val="0"/>
        <w:spacing w:line="373" w:lineRule="exact"/>
        <w:ind w:left="357" w:hanging="357"/>
        <w:rPr>
          <w:rFonts w:hint="eastAsia" w:ascii="宋体" w:hAnsi="宋体" w:eastAsia="宋体" w:cs="宋体"/>
          <w:kern w:val="0"/>
          <w:sz w:val="21"/>
          <w:szCs w:val="21"/>
        </w:rPr>
      </w:pPr>
      <w:r>
        <w:rPr>
          <w:rFonts w:hint="eastAsia" w:ascii="宋体" w:hAnsi="宋体" w:eastAsia="宋体" w:cs="宋体"/>
          <w:kern w:val="0"/>
          <w:sz w:val="21"/>
          <w:szCs w:val="21"/>
        </w:rPr>
        <w:t>damage to any Unit by anything which has a progressive or cumulative effect but damage attributable to a single recorded incident is covered under paragraph1(a) above. Howsoever HOWEVER accidental loss of or damage to the Aircraft consequent upon 2(a) or (b) above is covered under paragraph 1(a) above</w:t>
      </w:r>
    </w:p>
    <w:p>
      <w:pPr>
        <w:tabs>
          <w:tab w:val="left" w:pos="600"/>
        </w:tabs>
        <w:autoSpaceDE w:val="0"/>
        <w:autoSpaceDN w:val="0"/>
        <w:adjustRightInd w:val="0"/>
        <w:spacing w:line="346" w:lineRule="exact"/>
        <w:jc w:val="left"/>
        <w:rPr>
          <w:rFonts w:hint="eastAsia" w:ascii="宋体" w:hAnsi="宋体" w:eastAsia="宋体" w:cs="宋体"/>
          <w:b/>
          <w:bCs/>
          <w:kern w:val="0"/>
          <w:sz w:val="21"/>
          <w:szCs w:val="21"/>
        </w:rPr>
      </w:pP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3.Conditions applicable to this Section only</w:t>
      </w:r>
    </w:p>
    <w:p>
      <w:pPr>
        <w:tabs>
          <w:tab w:val="left" w:pos="600"/>
        </w:tabs>
        <w:autoSpaceDE w:val="0"/>
        <w:autoSpaceDN w:val="0"/>
        <w:adjustRightInd w:val="0"/>
        <w:spacing w:line="373"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Dismantling          (a)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If the Aircraft is damaged </w:t>
      </w:r>
    </w:p>
    <w:p>
      <w:pPr>
        <w:rPr>
          <w:rFonts w:hint="eastAsia" w:ascii="宋体" w:hAnsi="宋体" w:eastAsia="宋体" w:cs="宋体"/>
          <w:kern w:val="0"/>
          <w:sz w:val="21"/>
          <w:szCs w:val="21"/>
        </w:rPr>
      </w:pPr>
      <w:r>
        <w:rPr>
          <w:rFonts w:hint="eastAsia" w:ascii="宋体" w:hAnsi="宋体" w:eastAsia="宋体" w:cs="宋体"/>
          <w:kern w:val="0"/>
          <w:sz w:val="21"/>
          <w:szCs w:val="21"/>
        </w:rPr>
        <w:t xml:space="preserve">Transport and            (i)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no dismantling or repairs shall be commenced without the </w:t>
      </w:r>
    </w:p>
    <w:p>
      <w:pPr>
        <w:autoSpaceDE w:val="0"/>
        <w:autoSpaceDN w:val="0"/>
        <w:adjustRightInd w:val="0"/>
        <w:spacing w:line="280" w:lineRule="exact"/>
        <w:ind w:left="2520" w:hanging="2940" w:hangingChars="1400"/>
        <w:jc w:val="left"/>
        <w:rPr>
          <w:rFonts w:hint="eastAsia" w:ascii="宋体" w:hAnsi="宋体" w:eastAsia="宋体" w:cs="宋体"/>
          <w:kern w:val="0"/>
          <w:sz w:val="21"/>
          <w:szCs w:val="21"/>
        </w:rPr>
      </w:pPr>
      <w:r>
        <w:rPr>
          <w:rFonts w:hint="eastAsia" w:ascii="宋体" w:hAnsi="宋体" w:eastAsia="宋体" w:cs="宋体"/>
          <w:kern w:val="0"/>
          <w:sz w:val="21"/>
          <w:szCs w:val="21"/>
        </w:rPr>
        <w:t>Repairs</w:t>
      </w:r>
      <w:r>
        <w:rPr>
          <w:rFonts w:hint="eastAsia" w:ascii="宋体" w:hAnsi="宋体" w:eastAsia="宋体" w:cs="宋体"/>
          <w:sz w:val="21"/>
          <w:szCs w:val="21"/>
        </w:rPr>
        <w:t xml:space="preserve">                   </w:t>
      </w:r>
      <w:r>
        <w:rPr>
          <w:rFonts w:hint="eastAsia" w:ascii="宋体" w:hAnsi="宋体" w:eastAsia="宋体" w:cs="宋体"/>
          <w:kern w:val="0"/>
          <w:sz w:val="21"/>
          <w:szCs w:val="21"/>
        </w:rPr>
        <w:t>consent of the Insurers except whatever is necessary in the interests of safety, or to prevent further damage, or to comply with orders issued by the appropriate authority;</w:t>
      </w:r>
    </w:p>
    <w:p>
      <w:pPr>
        <w:tabs>
          <w:tab w:val="left" w:pos="1160"/>
        </w:tabs>
        <w:autoSpaceDE w:val="0"/>
        <w:autoSpaceDN w:val="0"/>
        <w:adjustRightInd w:val="0"/>
        <w:spacing w:line="386" w:lineRule="exact"/>
        <w:ind w:left="2491" w:leftChars="286" w:hanging="1890" w:hangingChars="900"/>
        <w:jc w:val="left"/>
        <w:rPr>
          <w:rFonts w:hint="eastAsia" w:ascii="宋体" w:hAnsi="宋体" w:eastAsia="宋体" w:cs="宋体"/>
          <w:kern w:val="0"/>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(ii) </w:t>
      </w:r>
      <w:r>
        <w:rPr>
          <w:rFonts w:hint="eastAsia" w:ascii="宋体" w:hAnsi="宋体" w:eastAsia="宋体" w:cs="宋体"/>
          <w:kern w:val="0"/>
          <w:sz w:val="21"/>
          <w:szCs w:val="21"/>
        </w:rPr>
        <w:tab/>
      </w:r>
      <w:r>
        <w:rPr>
          <w:rFonts w:hint="eastAsia" w:ascii="宋体" w:hAnsi="宋体" w:eastAsia="宋体" w:cs="宋体"/>
          <w:kern w:val="0"/>
          <w:sz w:val="21"/>
          <w:szCs w:val="21"/>
        </w:rPr>
        <w:t>the Insurers will pay only for repairs and transport of labour and materials by the most economical method unless the Insurers agree otherwise with the Insured.</w:t>
      </w:r>
    </w:p>
    <w:p>
      <w:pPr>
        <w:tabs>
          <w:tab w:val="left" w:pos="116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Payment or           (b) </w:t>
      </w:r>
      <w:r>
        <w:rPr>
          <w:rFonts w:hint="eastAsia" w:ascii="宋体" w:hAnsi="宋体" w:eastAsia="宋体" w:cs="宋体"/>
          <w:kern w:val="0"/>
          <w:sz w:val="21"/>
          <w:szCs w:val="21"/>
        </w:rPr>
        <w:tab/>
      </w:r>
      <w:r>
        <w:rPr>
          <w:rFonts w:hint="eastAsia" w:ascii="宋体" w:hAnsi="宋体" w:eastAsia="宋体" w:cs="宋体"/>
          <w:kern w:val="0"/>
          <w:sz w:val="21"/>
          <w:szCs w:val="21"/>
        </w:rPr>
        <w:t>If the Insurers exercise their option to pay for or replace the Aircraft</w:t>
      </w:r>
    </w:p>
    <w:p>
      <w:pPr>
        <w:tabs>
          <w:tab w:val="left" w:pos="1440"/>
          <w:tab w:val="left" w:pos="2520"/>
          <w:tab w:val="left" w:pos="3060"/>
        </w:tabs>
        <w:autoSpaceDE w:val="0"/>
        <w:autoSpaceDN w:val="0"/>
        <w:adjustRightInd w:val="0"/>
        <w:spacing w:line="400" w:lineRule="exact"/>
        <w:ind w:left="2970" w:hanging="3465" w:hangingChars="16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Replacement                 (i)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the Insurers may take the Aircraft (together with all documents of record, registration and title thereto) as salvage; </w:t>
      </w:r>
    </w:p>
    <w:p>
      <w:pPr>
        <w:numPr>
          <w:ilvl w:val="0"/>
          <w:numId w:val="34"/>
        </w:numPr>
        <w:tabs>
          <w:tab w:val="left" w:pos="1160"/>
        </w:tabs>
        <w:autoSpaceDE w:val="0"/>
        <w:autoSpaceDN w:val="0"/>
        <w:adjustRightInd w:val="0"/>
        <w:spacing w:line="400" w:lineRule="exact"/>
        <w:ind w:hanging="184"/>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the cover afforded by this Section is terminated in respect of the  </w:t>
      </w:r>
    </w:p>
    <w:p>
      <w:pPr>
        <w:tabs>
          <w:tab w:val="left" w:pos="1160"/>
        </w:tabs>
        <w:autoSpaceDE w:val="0"/>
        <w:autoSpaceDN w:val="0"/>
        <w:adjustRightInd w:val="0"/>
        <w:spacing w:line="400" w:lineRule="exact"/>
        <w:ind w:left="3022" w:leftChars="1439"/>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Aircraft even if the Aircraft is retained by the Insured for valuable consideration or otherwise; </w:t>
      </w:r>
    </w:p>
    <w:p>
      <w:pPr>
        <w:numPr>
          <w:ilvl w:val="0"/>
          <w:numId w:val="34"/>
        </w:numPr>
        <w:autoSpaceDE w:val="0"/>
        <w:autoSpaceDN w:val="0"/>
        <w:adjustRightInd w:val="0"/>
        <w:spacing w:line="386" w:lineRule="exact"/>
        <w:ind w:hanging="184"/>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 replacement aircraft shall be of the same make and   </w:t>
      </w:r>
    </w:p>
    <w:p>
      <w:pPr>
        <w:autoSpaceDE w:val="0"/>
        <w:autoSpaceDN w:val="0"/>
        <w:adjustRightInd w:val="0"/>
        <w:spacing w:line="386" w:lineRule="exact"/>
        <w:ind w:left="2999" w:leftChars="1428"/>
        <w:jc w:val="left"/>
        <w:rPr>
          <w:rFonts w:hint="eastAsia" w:ascii="宋体" w:hAnsi="宋体" w:eastAsia="宋体" w:cs="宋体"/>
          <w:kern w:val="0"/>
          <w:sz w:val="21"/>
          <w:szCs w:val="21"/>
        </w:rPr>
      </w:pPr>
      <w:r>
        <w:rPr>
          <w:rFonts w:hint="eastAsia" w:ascii="宋体" w:hAnsi="宋体" w:eastAsia="宋体" w:cs="宋体"/>
          <w:kern w:val="0"/>
          <w:sz w:val="21"/>
          <w:szCs w:val="21"/>
        </w:rPr>
        <w:t>type and in reasonably like condition unless otherwise agreed with the Insured.</w:t>
      </w:r>
    </w:p>
    <w:p>
      <w:pPr>
        <w:tabs>
          <w:tab w:val="left" w:pos="600"/>
        </w:tabs>
        <w:autoSpaceDE w:val="0"/>
        <w:autoSpaceDN w:val="0"/>
        <w:adjustRightInd w:val="0"/>
        <w:spacing w:line="333" w:lineRule="exact"/>
        <w:ind w:left="2520" w:hanging="2940" w:hangingChars="14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Amounts to be        (c) </w:t>
      </w:r>
      <w:r>
        <w:rPr>
          <w:rFonts w:hint="eastAsia" w:ascii="宋体" w:hAnsi="宋体" w:eastAsia="宋体" w:cs="宋体"/>
          <w:kern w:val="0"/>
          <w:sz w:val="21"/>
          <w:szCs w:val="21"/>
        </w:rPr>
        <w:tab/>
      </w:r>
      <w:r>
        <w:rPr>
          <w:rFonts w:hint="eastAsia" w:ascii="宋体" w:hAnsi="宋体" w:eastAsia="宋体" w:cs="宋体"/>
          <w:kern w:val="0"/>
          <w:sz w:val="21"/>
          <w:szCs w:val="21"/>
        </w:rPr>
        <w:t>Except where the Insurers exercise their option to pay for or</w:t>
      </w:r>
    </w:p>
    <w:p>
      <w:pPr>
        <w:autoSpaceDE w:val="0"/>
        <w:autoSpaceDN w:val="0"/>
        <w:adjustRightInd w:val="0"/>
        <w:spacing w:line="26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Deducted from             replace the Aircraft, there shall be deducted from the the Claim </w:t>
      </w:r>
    </w:p>
    <w:p>
      <w:pPr>
        <w:autoSpaceDE w:val="0"/>
        <w:autoSpaceDN w:val="0"/>
        <w:adjustRightInd w:val="0"/>
        <w:spacing w:line="26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claim under paragraph 1(a) of this Section </w:t>
      </w:r>
    </w:p>
    <w:p>
      <w:pPr>
        <w:numPr>
          <w:ilvl w:val="0"/>
          <w:numId w:val="35"/>
        </w:numPr>
        <w:tabs>
          <w:tab w:val="left" w:pos="288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the amount specified in Part 6(B) of the Schedule and</w:t>
      </w:r>
    </w:p>
    <w:p>
      <w:pPr>
        <w:numPr>
          <w:ilvl w:val="0"/>
          <w:numId w:val="35"/>
        </w:numPr>
        <w:tabs>
          <w:tab w:val="left" w:pos="1160"/>
          <w:tab w:val="left" w:pos="2880"/>
        </w:tabs>
        <w:autoSpaceDE w:val="0"/>
        <w:autoSpaceDN w:val="0"/>
        <w:adjustRightInd w:val="0"/>
        <w:spacing w:line="400" w:lineRule="exact"/>
        <w:ind w:left="3060" w:hanging="540"/>
        <w:jc w:val="left"/>
        <w:rPr>
          <w:rFonts w:hint="eastAsia" w:ascii="宋体" w:hAnsi="宋体" w:eastAsia="宋体" w:cs="宋体"/>
          <w:kern w:val="0"/>
          <w:sz w:val="21"/>
          <w:szCs w:val="21"/>
        </w:rPr>
      </w:pPr>
      <w:r>
        <w:rPr>
          <w:rFonts w:hint="eastAsia" w:ascii="宋体" w:hAnsi="宋体" w:eastAsia="宋体" w:cs="宋体"/>
          <w:kern w:val="0"/>
          <w:sz w:val="21"/>
          <w:szCs w:val="21"/>
        </w:rPr>
        <w:t>such proportion of the Overhaul Cost of any Unit repaired or replaced as the used time bears to the Overhaul Life of the Unit.</w:t>
      </w:r>
    </w:p>
    <w:p>
      <w:pPr>
        <w:tabs>
          <w:tab w:val="left" w:pos="600"/>
        </w:tabs>
        <w:autoSpaceDE w:val="0"/>
        <w:autoSpaceDN w:val="0"/>
        <w:adjustRightInd w:val="0"/>
        <w:spacing w:line="320" w:lineRule="exact"/>
        <w:ind w:left="2340" w:hanging="2730" w:hangingChars="13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No                  (d)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Unless the Insurers elect to take the Aircraft as salvage the </w:t>
      </w:r>
    </w:p>
    <w:p>
      <w:pPr>
        <w:autoSpaceDE w:val="0"/>
        <w:autoSpaceDN w:val="0"/>
        <w:adjustRightInd w:val="0"/>
        <w:spacing w:line="280" w:lineRule="exact"/>
        <w:ind w:left="2610" w:hanging="3045" w:hangingChars="1450"/>
        <w:jc w:val="left"/>
        <w:rPr>
          <w:rFonts w:hint="eastAsia" w:ascii="宋体" w:hAnsi="宋体" w:eastAsia="宋体" w:cs="宋体"/>
          <w:kern w:val="0"/>
          <w:sz w:val="21"/>
          <w:szCs w:val="21"/>
        </w:rPr>
      </w:pPr>
      <w:r>
        <w:rPr>
          <w:rFonts w:hint="eastAsia" w:ascii="宋体" w:hAnsi="宋体" w:eastAsia="宋体" w:cs="宋体"/>
          <w:kern w:val="0"/>
          <w:sz w:val="21"/>
          <w:szCs w:val="21"/>
        </w:rPr>
        <w:t>Abandonment             Aircraft shall at all times remain the property of the Insured who shall have no right of abandonment to the Insurers.</w:t>
      </w:r>
    </w:p>
    <w:p>
      <w:pPr>
        <w:tabs>
          <w:tab w:val="left" w:pos="600"/>
        </w:tabs>
        <w:autoSpaceDE w:val="0"/>
        <w:autoSpaceDN w:val="0"/>
        <w:adjustRightInd w:val="0"/>
        <w:spacing w:line="333" w:lineRule="exact"/>
        <w:ind w:left="90" w:hanging="105" w:hangingChars="50"/>
        <w:jc w:val="left"/>
        <w:rPr>
          <w:rFonts w:hint="eastAsia" w:ascii="宋体" w:hAnsi="宋体" w:eastAsia="宋体" w:cs="宋体"/>
          <w:b/>
          <w:bCs/>
          <w:kern w:val="0"/>
          <w:sz w:val="21"/>
          <w:szCs w:val="21"/>
        </w:rPr>
      </w:pPr>
      <w:r>
        <w:rPr>
          <w:rFonts w:hint="eastAsia" w:ascii="宋体" w:hAnsi="宋体" w:eastAsia="宋体" w:cs="宋体"/>
          <w:kern w:val="0"/>
          <w:sz w:val="21"/>
          <w:szCs w:val="21"/>
        </w:rPr>
        <w:t>Other                (e)</w:t>
      </w:r>
      <w:r>
        <w:rPr>
          <w:rFonts w:hint="eastAsia" w:ascii="宋体" w:hAnsi="宋体" w:eastAsia="宋体" w:cs="宋体"/>
          <w:kern w:val="0"/>
          <w:sz w:val="21"/>
          <w:szCs w:val="21"/>
        </w:rPr>
        <w:tab/>
      </w:r>
      <w:r>
        <w:rPr>
          <w:rFonts w:hint="eastAsia" w:ascii="宋体" w:hAnsi="宋体" w:eastAsia="宋体" w:cs="宋体"/>
          <w:b/>
          <w:bCs/>
          <w:kern w:val="0"/>
          <w:sz w:val="21"/>
          <w:szCs w:val="21"/>
        </w:rPr>
        <w:t xml:space="preserve">No claim shall be payable unde r this Section if other </w:t>
      </w:r>
    </w:p>
    <w:p>
      <w:pPr>
        <w:autoSpaceDE w:val="0"/>
        <w:autoSpaceDN w:val="0"/>
        <w:adjustRightInd w:val="0"/>
        <w:spacing w:line="293" w:lineRule="exact"/>
        <w:ind w:left="2520" w:hanging="2940" w:hangingChars="1400"/>
        <w:jc w:val="left"/>
        <w:rPr>
          <w:rFonts w:hint="eastAsia" w:ascii="宋体" w:hAnsi="宋体" w:eastAsia="宋体" w:cs="宋体"/>
          <w:kern w:val="0"/>
          <w:sz w:val="21"/>
          <w:szCs w:val="21"/>
        </w:rPr>
      </w:pPr>
      <w:r>
        <w:rPr>
          <w:rFonts w:hint="eastAsia" w:ascii="宋体" w:hAnsi="宋体" w:eastAsia="宋体" w:cs="宋体"/>
          <w:kern w:val="0"/>
          <w:sz w:val="21"/>
          <w:szCs w:val="21"/>
        </w:rPr>
        <w:t>Insurance</w:t>
      </w:r>
      <w:r>
        <w:rPr>
          <w:rFonts w:hint="eastAsia" w:ascii="宋体" w:hAnsi="宋体" w:eastAsia="宋体" w:cs="宋体"/>
          <w:b/>
          <w:bCs/>
          <w:kern w:val="0"/>
          <w:sz w:val="21"/>
          <w:szCs w:val="21"/>
        </w:rPr>
        <w:t xml:space="preserve">               insurance which is payable in consequence of loss or damage covered under this Section</w:t>
      </w:r>
      <w:r>
        <w:rPr>
          <w:rFonts w:hint="eastAsia" w:ascii="宋体" w:hAnsi="宋体" w:eastAsia="宋体" w:cs="宋体"/>
          <w:kern w:val="0"/>
          <w:sz w:val="21"/>
          <w:szCs w:val="21"/>
        </w:rPr>
        <w:t xml:space="preserve"> </w:t>
      </w:r>
      <w:r>
        <w:rPr>
          <w:rFonts w:hint="eastAsia" w:ascii="宋体" w:hAnsi="宋体" w:eastAsia="宋体" w:cs="宋体"/>
          <w:b/>
          <w:bCs/>
          <w:kern w:val="0"/>
          <w:sz w:val="21"/>
          <w:szCs w:val="21"/>
        </w:rPr>
        <w:t>has been or shall be effected by or on behalf of the Insured without the knowledge or consent of the Insurers.</w:t>
      </w:r>
    </w:p>
    <w:p>
      <w:pPr>
        <w:autoSpaceDE w:val="0"/>
        <w:autoSpaceDN w:val="0"/>
        <w:adjustRightInd w:val="0"/>
        <w:spacing w:line="200" w:lineRule="exact"/>
        <w:jc w:val="left"/>
        <w:rPr>
          <w:rFonts w:hint="eastAsia" w:ascii="宋体" w:hAnsi="宋体" w:eastAsia="宋体" w:cs="宋体"/>
          <w:kern w:val="0"/>
          <w:sz w:val="21"/>
          <w:szCs w:val="21"/>
        </w:rPr>
      </w:pPr>
    </w:p>
    <w:p>
      <w:pPr>
        <w:tabs>
          <w:tab w:val="left" w:pos="1160"/>
        </w:tabs>
        <w:autoSpaceDE w:val="0"/>
        <w:autoSpaceDN w:val="0"/>
        <w:adjustRightInd w:val="0"/>
        <w:spacing w:line="40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See also Section IV</w:t>
      </w:r>
    </w:p>
    <w:p>
      <w:pPr>
        <w:autoSpaceDE w:val="0"/>
        <w:autoSpaceDN w:val="0"/>
        <w:adjustRightInd w:val="0"/>
        <w:spacing w:line="346" w:lineRule="exact"/>
        <w:jc w:val="left"/>
        <w:rPr>
          <w:rFonts w:hint="eastAsia" w:ascii="宋体" w:hAnsi="宋体" w:eastAsia="宋体" w:cs="宋体"/>
          <w:b/>
          <w:bCs/>
          <w:kern w:val="0"/>
          <w:sz w:val="21"/>
          <w:szCs w:val="21"/>
        </w:rPr>
      </w:pPr>
    </w:p>
    <w:p>
      <w:pPr>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SECTION II LEGAL LIABILITY TO THIRD PARTIES  </w:t>
      </w:r>
    </w:p>
    <w:p>
      <w:pPr>
        <w:autoSpaceDE w:val="0"/>
        <w:autoSpaceDN w:val="0"/>
        <w:adjustRightInd w:val="0"/>
        <w:spacing w:line="293"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(OTHER THAN PASSENGERS) </w:t>
      </w:r>
    </w:p>
    <w:p>
      <w:pPr>
        <w:tabs>
          <w:tab w:val="left" w:pos="600"/>
        </w:tabs>
        <w:autoSpaceDE w:val="0"/>
        <w:autoSpaceDN w:val="0"/>
        <w:adjustRightInd w:val="0"/>
        <w:spacing w:line="413"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1. Coverage</w:t>
      </w:r>
    </w:p>
    <w:p>
      <w:pPr>
        <w:autoSpaceDE w:val="0"/>
        <w:autoSpaceDN w:val="0"/>
        <w:adjustRightInd w:val="0"/>
        <w:spacing w:line="320"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 Insurers will indemnify the Insured for all sums which the Insured shall become legally liable to pay, and shall pay, as compensatory damages (including costs awarded against the Insured) in respect of accidental bodily injury (fatal or otherwise) and accidental damage to property caused by the Aircraft or by any person or object falling therefrom. </w:t>
      </w:r>
    </w:p>
    <w:p>
      <w:pPr>
        <w:autoSpaceDE w:val="0"/>
        <w:autoSpaceDN w:val="0"/>
        <w:adjustRightInd w:val="0"/>
        <w:spacing w:line="213" w:lineRule="exact"/>
        <w:jc w:val="left"/>
        <w:rPr>
          <w:rFonts w:hint="eastAsia" w:ascii="宋体" w:hAnsi="宋体" w:eastAsia="宋体" w:cs="宋体"/>
          <w:kern w:val="0"/>
          <w:sz w:val="21"/>
          <w:szCs w:val="21"/>
        </w:rPr>
      </w:pP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2. Exclusions applicable to this Section only</w:t>
      </w:r>
    </w:p>
    <w:p>
      <w:pPr>
        <w:autoSpaceDE w:val="0"/>
        <w:autoSpaceDN w:val="0"/>
        <w:adjustRightInd w:val="0"/>
        <w:spacing w:line="213" w:lineRule="exact"/>
        <w:ind w:left="600"/>
        <w:jc w:val="left"/>
        <w:rPr>
          <w:rFonts w:hint="eastAsia" w:ascii="宋体" w:hAnsi="宋体" w:eastAsia="宋体" w:cs="宋体"/>
          <w:kern w:val="0"/>
          <w:sz w:val="21"/>
          <w:szCs w:val="21"/>
        </w:rPr>
      </w:pPr>
    </w:p>
    <w:p>
      <w:pPr>
        <w:autoSpaceDE w:val="0"/>
        <w:autoSpaceDN w:val="0"/>
        <w:adjustRightInd w:val="0"/>
        <w:spacing w:line="30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 Insurers shall not be liable for </w:t>
      </w:r>
    </w:p>
    <w:p>
      <w:pPr>
        <w:autoSpaceDE w:val="0"/>
        <w:autoSpaceDN w:val="0"/>
        <w:adjustRightInd w:val="0"/>
        <w:spacing w:line="26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Employees             (a) injury (fatal or otherwise) or loss sustained by any director </w:t>
      </w:r>
    </w:p>
    <w:p>
      <w:pPr>
        <w:autoSpaceDE w:val="0"/>
        <w:autoSpaceDN w:val="0"/>
        <w:adjustRightInd w:val="0"/>
        <w:spacing w:line="26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and Others                 or employee of the Insured or partner in the Insured's business whilst acting</w:t>
      </w:r>
    </w:p>
    <w:p>
      <w:pPr>
        <w:autoSpaceDE w:val="0"/>
        <w:autoSpaceDN w:val="0"/>
        <w:adjustRightInd w:val="0"/>
        <w:spacing w:line="26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in the course of his employment with or duties for the Insured;</w:t>
      </w:r>
    </w:p>
    <w:p>
      <w:pPr>
        <w:autoSpaceDE w:val="0"/>
        <w:autoSpaceDN w:val="0"/>
        <w:adjustRightInd w:val="0"/>
        <w:spacing w:line="26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Operational              (b) injury (fatal or otherwise) or loss sustained by any member of the</w:t>
      </w:r>
    </w:p>
    <w:p>
      <w:pPr>
        <w:autoSpaceDE w:val="0"/>
        <w:autoSpaceDN w:val="0"/>
        <w:adjustRightInd w:val="0"/>
        <w:spacing w:line="26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Crew                   flight, cabin or other crew whilst engaged in the operation of the Aircraft;</w:t>
      </w:r>
    </w:p>
    <w:p>
      <w:pPr>
        <w:tabs>
          <w:tab w:val="left" w:pos="600"/>
        </w:tabs>
        <w:autoSpaceDE w:val="0"/>
        <w:autoSpaceDN w:val="0"/>
        <w:adjustRightInd w:val="0"/>
        <w:spacing w:line="386" w:lineRule="exact"/>
        <w:ind w:left="2610" w:hanging="3045" w:hangingChars="1450"/>
        <w:jc w:val="left"/>
        <w:rPr>
          <w:rFonts w:hint="eastAsia" w:ascii="宋体" w:hAnsi="宋体" w:eastAsia="宋体" w:cs="宋体"/>
          <w:kern w:val="0"/>
          <w:sz w:val="21"/>
          <w:szCs w:val="21"/>
        </w:rPr>
      </w:pPr>
      <w:r>
        <w:rPr>
          <w:rFonts w:hint="eastAsia" w:ascii="宋体" w:hAnsi="宋体" w:eastAsia="宋体" w:cs="宋体"/>
          <w:kern w:val="0"/>
          <w:sz w:val="21"/>
          <w:szCs w:val="21"/>
        </w:rPr>
        <w:t>Passengers               (c) injury (fatal or otherwise) or loss sustained by any passenger whilst entering, on board, or alighting from the Aircraft;</w:t>
      </w:r>
    </w:p>
    <w:p>
      <w:pPr>
        <w:tabs>
          <w:tab w:val="left" w:pos="600"/>
        </w:tabs>
        <w:autoSpaceDE w:val="0"/>
        <w:autoSpaceDN w:val="0"/>
        <w:adjustRightInd w:val="0"/>
        <w:spacing w:line="386" w:lineRule="exact"/>
        <w:ind w:left="2520" w:hanging="2940" w:hangingChars="1400"/>
        <w:jc w:val="left"/>
        <w:rPr>
          <w:rFonts w:hint="eastAsia" w:ascii="宋体" w:hAnsi="宋体" w:eastAsia="宋体" w:cs="宋体"/>
          <w:kern w:val="0"/>
          <w:sz w:val="21"/>
          <w:szCs w:val="21"/>
        </w:rPr>
      </w:pPr>
      <w:r>
        <w:rPr>
          <w:rFonts w:hint="eastAsia" w:ascii="宋体" w:hAnsi="宋体" w:eastAsia="宋体" w:cs="宋体"/>
          <w:kern w:val="0"/>
          <w:sz w:val="21"/>
          <w:szCs w:val="21"/>
        </w:rPr>
        <w:t>Property                 (d) loss of or damage to any property belonging to or in the care, custody or control of the Insured;</w:t>
      </w:r>
    </w:p>
    <w:p>
      <w:pPr>
        <w:tabs>
          <w:tab w:val="left" w:pos="600"/>
        </w:tabs>
        <w:autoSpaceDE w:val="0"/>
        <w:autoSpaceDN w:val="0"/>
        <w:adjustRightInd w:val="0"/>
        <w:spacing w:line="386" w:lineRule="exact"/>
        <w:ind w:left="2160" w:hanging="2520" w:hangingChars="1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Noise and                (e) claims excluded by the attached Noise and Pollution and Other </w:t>
      </w:r>
    </w:p>
    <w:p>
      <w:pPr>
        <w:tabs>
          <w:tab w:val="left" w:pos="600"/>
        </w:tabs>
        <w:autoSpaceDE w:val="0"/>
        <w:autoSpaceDN w:val="0"/>
        <w:adjustRightInd w:val="0"/>
        <w:spacing w:line="386" w:lineRule="exact"/>
        <w:ind w:left="2160" w:hanging="2520" w:hangingChars="1200"/>
        <w:jc w:val="left"/>
        <w:rPr>
          <w:rFonts w:hint="eastAsia" w:ascii="宋体" w:hAnsi="宋体" w:eastAsia="宋体" w:cs="宋体"/>
          <w:kern w:val="0"/>
          <w:sz w:val="21"/>
          <w:szCs w:val="21"/>
        </w:rPr>
      </w:pPr>
      <w:r>
        <w:rPr>
          <w:rFonts w:hint="eastAsia" w:ascii="宋体" w:hAnsi="宋体" w:eastAsia="宋体" w:cs="宋体"/>
          <w:kern w:val="0"/>
          <w:sz w:val="21"/>
          <w:szCs w:val="21"/>
        </w:rPr>
        <w:t>Pollution and              Perils Exclusion Clause.</w:t>
      </w:r>
    </w:p>
    <w:p>
      <w:pPr>
        <w:tabs>
          <w:tab w:val="left" w:pos="600"/>
        </w:tabs>
        <w:autoSpaceDE w:val="0"/>
        <w:autoSpaceDN w:val="0"/>
        <w:adjustRightInd w:val="0"/>
        <w:spacing w:line="386" w:lineRule="exact"/>
        <w:ind w:left="2160" w:hanging="2520" w:hangingChars="1200"/>
        <w:jc w:val="left"/>
        <w:rPr>
          <w:rFonts w:hint="eastAsia" w:ascii="宋体" w:hAnsi="宋体" w:eastAsia="宋体" w:cs="宋体"/>
          <w:kern w:val="0"/>
          <w:sz w:val="21"/>
          <w:szCs w:val="21"/>
        </w:rPr>
      </w:pPr>
      <w:r>
        <w:rPr>
          <w:rFonts w:hint="eastAsia" w:ascii="宋体" w:hAnsi="宋体" w:eastAsia="宋体" w:cs="宋体"/>
          <w:kern w:val="0"/>
          <w:sz w:val="21"/>
          <w:szCs w:val="21"/>
        </w:rPr>
        <w:t>Other Perils</w:t>
      </w:r>
    </w:p>
    <w:p>
      <w:pPr>
        <w:tabs>
          <w:tab w:val="left" w:pos="600"/>
        </w:tabs>
        <w:autoSpaceDE w:val="0"/>
        <w:autoSpaceDN w:val="0"/>
        <w:adjustRightInd w:val="0"/>
        <w:spacing w:line="346" w:lineRule="exact"/>
        <w:jc w:val="left"/>
        <w:rPr>
          <w:rFonts w:hint="eastAsia" w:ascii="宋体" w:hAnsi="宋体" w:eastAsia="宋体" w:cs="宋体"/>
          <w:b/>
          <w:bCs/>
          <w:kern w:val="0"/>
          <w:sz w:val="21"/>
          <w:szCs w:val="21"/>
        </w:rPr>
      </w:pP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3.Limit of Indemnity applicable to this Section</w:t>
      </w:r>
    </w:p>
    <w:p>
      <w:pPr>
        <w:autoSpaceDE w:val="0"/>
        <w:autoSpaceDN w:val="0"/>
        <w:adjustRightInd w:val="0"/>
        <w:spacing w:line="320"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 liability of the Insurers under this Section shall not exceed the amount stated in Part 6(C) of the Schedule, less any amounts under Part 6(B). The Insurers will defray in addition any legal costs and expenses incurred with their written consent in defending any action which may be brought against the Insured in respect of any claim for compensatory damages covered by this Section, but should the amount paid or awarded in settlement of such claim exceed the Limit of Indemnity then the liability of the Insurers in respect of such legal costs and expenses shall be limited to such proportion of the said legal costs and expenses as the Limit of Indemnity bears to the amount paid for compensatory damages.  </w:t>
      </w:r>
    </w:p>
    <w:p>
      <w:pPr>
        <w:autoSpaceDE w:val="0"/>
        <w:autoSpaceDN w:val="0"/>
        <w:adjustRightInd w:val="0"/>
        <w:spacing w:line="400" w:lineRule="exact"/>
        <w:ind w:left="2893"/>
        <w:jc w:val="left"/>
        <w:rPr>
          <w:rFonts w:hint="eastAsia" w:ascii="宋体" w:hAnsi="宋体" w:eastAsia="宋体" w:cs="宋体"/>
          <w:b/>
          <w:bCs/>
          <w:kern w:val="0"/>
          <w:sz w:val="21"/>
          <w:szCs w:val="21"/>
        </w:rPr>
      </w:pPr>
    </w:p>
    <w:p>
      <w:pPr>
        <w:autoSpaceDE w:val="0"/>
        <w:autoSpaceDN w:val="0"/>
        <w:adjustRightInd w:val="0"/>
        <w:spacing w:line="400" w:lineRule="exact"/>
        <w:ind w:left="2893"/>
        <w:jc w:val="left"/>
        <w:rPr>
          <w:rFonts w:hint="eastAsia" w:ascii="宋体" w:hAnsi="宋体" w:eastAsia="宋体" w:cs="宋体"/>
          <w:kern w:val="0"/>
          <w:sz w:val="21"/>
          <w:szCs w:val="21"/>
        </w:rPr>
      </w:pPr>
      <w:r>
        <w:rPr>
          <w:rFonts w:hint="eastAsia" w:ascii="宋体" w:hAnsi="宋体" w:eastAsia="宋体" w:cs="宋体"/>
          <w:b/>
          <w:bCs/>
          <w:kern w:val="0"/>
          <w:sz w:val="21"/>
          <w:szCs w:val="21"/>
        </w:rPr>
        <w:t>See also Section IV</w:t>
      </w:r>
    </w:p>
    <w:p>
      <w:pPr>
        <w:autoSpaceDE w:val="0"/>
        <w:autoSpaceDN w:val="0"/>
        <w:adjustRightInd w:val="0"/>
        <w:spacing w:line="213" w:lineRule="exact"/>
        <w:jc w:val="left"/>
        <w:rPr>
          <w:rFonts w:hint="eastAsia" w:ascii="宋体" w:hAnsi="宋体" w:eastAsia="宋体" w:cs="宋体"/>
          <w:kern w:val="0"/>
          <w:sz w:val="21"/>
          <w:szCs w:val="21"/>
        </w:rPr>
      </w:pPr>
    </w:p>
    <w:p>
      <w:pPr>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SECTION III LEGAL LIABILITY TO PASSENGERS </w:t>
      </w:r>
    </w:p>
    <w:p>
      <w:pPr>
        <w:autoSpaceDE w:val="0"/>
        <w:autoSpaceDN w:val="0"/>
        <w:adjustRightInd w:val="0"/>
        <w:spacing w:line="213" w:lineRule="exact"/>
        <w:jc w:val="left"/>
        <w:rPr>
          <w:rFonts w:hint="eastAsia" w:ascii="宋体" w:hAnsi="宋体" w:eastAsia="宋体" w:cs="宋体"/>
          <w:kern w:val="0"/>
          <w:sz w:val="21"/>
          <w:szCs w:val="21"/>
        </w:rPr>
      </w:pPr>
    </w:p>
    <w:p>
      <w:pPr>
        <w:tabs>
          <w:tab w:val="left" w:pos="600"/>
        </w:tabs>
        <w:autoSpaceDE w:val="0"/>
        <w:autoSpaceDN w:val="0"/>
        <w:adjustRightInd w:val="0"/>
        <w:spacing w:line="373"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1.Coverage </w:t>
      </w:r>
    </w:p>
    <w:p>
      <w:pPr>
        <w:autoSpaceDE w:val="0"/>
        <w:autoSpaceDN w:val="0"/>
        <w:adjustRightInd w:val="0"/>
        <w:spacing w:line="373"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 Insurers will indemnify the Insured in respect of all sums which the Insured shall become legally liable to pay, and shall pay, as compensatory damages (including costs awarded against the Insured) in respect of </w:t>
      </w:r>
    </w:p>
    <w:p>
      <w:pPr>
        <w:numPr>
          <w:ilvl w:val="0"/>
          <w:numId w:val="36"/>
        </w:numPr>
        <w:autoSpaceDE w:val="0"/>
        <w:autoSpaceDN w:val="0"/>
        <w:adjustRightInd w:val="0"/>
        <w:spacing w:line="373" w:lineRule="exact"/>
        <w:rPr>
          <w:rFonts w:hint="eastAsia" w:ascii="宋体" w:hAnsi="宋体" w:eastAsia="宋体" w:cs="宋体"/>
          <w:kern w:val="0"/>
          <w:sz w:val="21"/>
          <w:szCs w:val="21"/>
        </w:rPr>
      </w:pPr>
      <w:r>
        <w:rPr>
          <w:rFonts w:hint="eastAsia" w:ascii="宋体" w:hAnsi="宋体" w:eastAsia="宋体" w:cs="宋体"/>
          <w:kern w:val="0"/>
          <w:sz w:val="21"/>
          <w:szCs w:val="21"/>
        </w:rPr>
        <w:tab/>
      </w:r>
      <w:r>
        <w:rPr>
          <w:rFonts w:hint="eastAsia" w:ascii="宋体" w:hAnsi="宋体" w:eastAsia="宋体" w:cs="宋体"/>
          <w:kern w:val="0"/>
          <w:sz w:val="21"/>
          <w:szCs w:val="21"/>
        </w:rPr>
        <w:t xml:space="preserve">accidental bodily injury (fatal or otherwise) to passengers whilst entering, on board, or alighting from the Aircraft and </w:t>
      </w:r>
    </w:p>
    <w:p>
      <w:pPr>
        <w:numPr>
          <w:ilvl w:val="0"/>
          <w:numId w:val="36"/>
        </w:numPr>
        <w:autoSpaceDE w:val="0"/>
        <w:autoSpaceDN w:val="0"/>
        <w:adjustRightInd w:val="0"/>
        <w:spacing w:line="373" w:lineRule="exact"/>
        <w:rPr>
          <w:rFonts w:hint="eastAsia" w:ascii="宋体" w:hAnsi="宋体" w:eastAsia="宋体" w:cs="宋体"/>
          <w:kern w:val="0"/>
          <w:sz w:val="21"/>
          <w:szCs w:val="21"/>
        </w:rPr>
      </w:pPr>
      <w:r>
        <w:rPr>
          <w:rFonts w:hint="eastAsia" w:ascii="宋体" w:hAnsi="宋体" w:eastAsia="宋体" w:cs="宋体"/>
          <w:kern w:val="0"/>
          <w:sz w:val="21"/>
          <w:szCs w:val="21"/>
        </w:rPr>
        <w:tab/>
      </w:r>
      <w:r>
        <w:rPr>
          <w:rFonts w:hint="eastAsia" w:ascii="宋体" w:hAnsi="宋体" w:eastAsia="宋体" w:cs="宋体"/>
          <w:kern w:val="0"/>
          <w:sz w:val="21"/>
          <w:szCs w:val="21"/>
        </w:rPr>
        <w:t xml:space="preserve">loss of or damage to baggage and personal articles of passengers arising out of an Accident to the Aircraft. </w:t>
      </w:r>
    </w:p>
    <w:p>
      <w:pPr>
        <w:autoSpaceDE w:val="0"/>
        <w:autoSpaceDN w:val="0"/>
        <w:adjustRightInd w:val="0"/>
        <w:spacing w:line="373" w:lineRule="exact"/>
        <w:ind w:left="360"/>
        <w:rPr>
          <w:rFonts w:hint="eastAsia" w:ascii="宋体" w:hAnsi="宋体" w:eastAsia="宋体" w:cs="宋体"/>
          <w:kern w:val="0"/>
          <w:sz w:val="21"/>
          <w:szCs w:val="21"/>
        </w:rPr>
      </w:pPr>
    </w:p>
    <w:p>
      <w:pPr>
        <w:autoSpaceDE w:val="0"/>
        <w:autoSpaceDN w:val="0"/>
        <w:adjustRightInd w:val="0"/>
        <w:spacing w:line="413"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Provided always that </w:t>
      </w:r>
    </w:p>
    <w:p>
      <w:pPr>
        <w:autoSpaceDE w:val="0"/>
        <w:autoSpaceDN w:val="0"/>
        <w:adjustRightInd w:val="0"/>
        <w:spacing w:line="413" w:lineRule="exact"/>
        <w:ind w:left="600"/>
        <w:jc w:val="left"/>
        <w:rPr>
          <w:rFonts w:hint="eastAsia" w:ascii="宋体" w:hAnsi="宋体" w:eastAsia="宋体" w:cs="宋体"/>
          <w:kern w:val="0"/>
          <w:sz w:val="21"/>
          <w:szCs w:val="21"/>
        </w:rPr>
      </w:pPr>
    </w:p>
    <w:p>
      <w:pPr>
        <w:tabs>
          <w:tab w:val="left" w:pos="600"/>
        </w:tabs>
        <w:autoSpaceDE w:val="0"/>
        <w:autoSpaceDN w:val="0"/>
        <w:adjustRightInd w:val="0"/>
        <w:spacing w:line="386" w:lineRule="exact"/>
        <w:ind w:left="2160" w:hanging="2520" w:hangingChars="1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Documentary                 (i)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before a passenger boards the Aircraft the Insured shall </w:t>
      </w:r>
    </w:p>
    <w:p>
      <w:pPr>
        <w:autoSpaceDE w:val="0"/>
        <w:autoSpaceDN w:val="0"/>
        <w:adjustRightInd w:val="0"/>
        <w:spacing w:line="266" w:lineRule="exact"/>
        <w:ind w:left="2970" w:hanging="3465" w:hangingChars="16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Precautions                  take such measures as are necessary to exclude or limit liability for claims under (a) and (b) above to the extent permitted by law;  </w:t>
      </w:r>
    </w:p>
    <w:p>
      <w:pPr>
        <w:numPr>
          <w:ilvl w:val="0"/>
          <w:numId w:val="37"/>
        </w:numPr>
        <w:tabs>
          <w:tab w:val="left" w:pos="116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if the measures referred to in proviso (i) above include the issue of a passenger ticket/baggage check, the same shall be delivered correctly completed to the passenger a reasonable time before the passenger boards the Aircraft.</w:t>
      </w:r>
    </w:p>
    <w:p>
      <w:pPr>
        <w:autoSpaceDE w:val="0"/>
        <w:autoSpaceDN w:val="0"/>
        <w:adjustRightInd w:val="0"/>
        <w:spacing w:line="266" w:lineRule="exact"/>
        <w:jc w:val="left"/>
        <w:rPr>
          <w:rFonts w:hint="eastAsia" w:ascii="宋体" w:hAnsi="宋体" w:eastAsia="宋体" w:cs="宋体"/>
          <w:b/>
          <w:bCs/>
          <w:kern w:val="0"/>
          <w:sz w:val="21"/>
          <w:szCs w:val="21"/>
        </w:rPr>
      </w:pPr>
      <w:r>
        <w:rPr>
          <w:rFonts w:hint="eastAsia" w:ascii="宋体" w:hAnsi="宋体" w:eastAsia="宋体" w:cs="宋体"/>
          <w:kern w:val="0"/>
          <w:sz w:val="21"/>
          <w:szCs w:val="21"/>
        </w:rPr>
        <w:t xml:space="preserve">Effect of                     </w:t>
      </w:r>
      <w:r>
        <w:rPr>
          <w:rFonts w:hint="eastAsia" w:ascii="宋体" w:hAnsi="宋体" w:eastAsia="宋体" w:cs="宋体"/>
          <w:b/>
          <w:bCs/>
          <w:kern w:val="0"/>
          <w:sz w:val="21"/>
          <w:szCs w:val="21"/>
        </w:rPr>
        <w:t xml:space="preserve">In the event of failure to comply with proviso (i) or (ii) the </w:t>
      </w:r>
    </w:p>
    <w:p>
      <w:pPr>
        <w:autoSpaceDE w:val="0"/>
        <w:autoSpaceDN w:val="0"/>
        <w:adjustRightInd w:val="0"/>
        <w:spacing w:line="266" w:lineRule="exact"/>
        <w:jc w:val="left"/>
        <w:rPr>
          <w:rFonts w:hint="eastAsia" w:ascii="宋体" w:hAnsi="宋体" w:eastAsia="宋体" w:cs="宋体"/>
          <w:b/>
          <w:bCs/>
          <w:kern w:val="0"/>
          <w:sz w:val="21"/>
          <w:szCs w:val="21"/>
        </w:rPr>
      </w:pPr>
      <w:r>
        <w:rPr>
          <w:rFonts w:hint="eastAsia" w:ascii="宋体" w:hAnsi="宋体" w:eastAsia="宋体" w:cs="宋体"/>
          <w:kern w:val="0"/>
          <w:sz w:val="21"/>
          <w:szCs w:val="21"/>
        </w:rPr>
        <w:t>Non-Compliance</w:t>
      </w:r>
      <w:r>
        <w:rPr>
          <w:rFonts w:hint="eastAsia" w:ascii="宋体" w:hAnsi="宋体" w:eastAsia="宋体" w:cs="宋体"/>
          <w:b/>
          <w:bCs/>
          <w:kern w:val="0"/>
          <w:sz w:val="21"/>
          <w:szCs w:val="21"/>
        </w:rPr>
        <w:t xml:space="preserve">            liability of the Insurers under this Section shall not      </w:t>
      </w:r>
    </w:p>
    <w:p>
      <w:pPr>
        <w:autoSpaceDE w:val="0"/>
        <w:autoSpaceDN w:val="0"/>
        <w:adjustRightInd w:val="0"/>
        <w:spacing w:line="266" w:lineRule="exact"/>
        <w:ind w:left="2558" w:leftChars="1218"/>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exceed the amount of the legal</w:t>
      </w:r>
      <w:r>
        <w:rPr>
          <w:rFonts w:hint="eastAsia" w:ascii="宋体" w:hAnsi="宋体" w:eastAsia="宋体" w:cs="宋体"/>
          <w:kern w:val="0"/>
          <w:sz w:val="21"/>
          <w:szCs w:val="21"/>
        </w:rPr>
        <w:t xml:space="preserve"> </w:t>
      </w:r>
      <w:r>
        <w:rPr>
          <w:rFonts w:hint="eastAsia" w:ascii="宋体" w:hAnsi="宋体" w:eastAsia="宋体" w:cs="宋体"/>
          <w:b/>
          <w:bCs/>
          <w:kern w:val="0"/>
          <w:sz w:val="21"/>
          <w:szCs w:val="21"/>
        </w:rPr>
        <w:t>liability, if any, that would have existed had the proviso been complied</w:t>
      </w:r>
      <w:r>
        <w:rPr>
          <w:rFonts w:hint="eastAsia" w:ascii="宋体" w:hAnsi="宋体" w:eastAsia="宋体" w:cs="宋体"/>
          <w:kern w:val="0"/>
          <w:sz w:val="21"/>
          <w:szCs w:val="21"/>
        </w:rPr>
        <w:t xml:space="preserve"> </w:t>
      </w:r>
      <w:r>
        <w:rPr>
          <w:rFonts w:hint="eastAsia" w:ascii="宋体" w:hAnsi="宋体" w:eastAsia="宋体" w:cs="宋体"/>
          <w:b/>
          <w:bCs/>
          <w:kern w:val="0"/>
          <w:sz w:val="21"/>
          <w:szCs w:val="21"/>
        </w:rPr>
        <w:t>with.</w:t>
      </w:r>
    </w:p>
    <w:p>
      <w:pPr>
        <w:autoSpaceDE w:val="0"/>
        <w:autoSpaceDN w:val="0"/>
        <w:adjustRightInd w:val="0"/>
        <w:spacing w:line="266" w:lineRule="exact"/>
        <w:jc w:val="left"/>
        <w:rPr>
          <w:rFonts w:hint="eastAsia" w:ascii="宋体" w:hAnsi="宋体" w:eastAsia="宋体" w:cs="宋体"/>
          <w:b/>
          <w:bCs/>
          <w:kern w:val="0"/>
          <w:sz w:val="21"/>
          <w:szCs w:val="21"/>
        </w:rPr>
      </w:pPr>
    </w:p>
    <w:p>
      <w:pPr>
        <w:tabs>
          <w:tab w:val="left" w:pos="600"/>
        </w:tabs>
        <w:autoSpaceDE w:val="0"/>
        <w:autoSpaceDN w:val="0"/>
        <w:adjustRightInd w:val="0"/>
        <w:spacing w:line="400"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2．Exclusions applicable to this Section only</w:t>
      </w:r>
    </w:p>
    <w:p>
      <w:pPr>
        <w:autoSpaceDE w:val="0"/>
        <w:autoSpaceDN w:val="0"/>
        <w:adjustRightInd w:val="0"/>
        <w:spacing w:line="213" w:lineRule="exact"/>
        <w:ind w:left="600"/>
        <w:jc w:val="left"/>
        <w:rPr>
          <w:rFonts w:hint="eastAsia" w:ascii="宋体" w:hAnsi="宋体" w:eastAsia="宋体" w:cs="宋体"/>
          <w:kern w:val="0"/>
          <w:sz w:val="21"/>
          <w:szCs w:val="21"/>
        </w:rPr>
      </w:pPr>
    </w:p>
    <w:p>
      <w:pPr>
        <w:autoSpaceDE w:val="0"/>
        <w:autoSpaceDN w:val="0"/>
        <w:adjustRightIn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The Insurers shall not be liable for</w:t>
      </w:r>
    </w:p>
    <w:p>
      <w:pPr>
        <w:tabs>
          <w:tab w:val="left" w:pos="600"/>
        </w:tabs>
        <w:autoSpaceDE w:val="0"/>
        <w:autoSpaceDN w:val="0"/>
        <w:adjustRightInd w:val="0"/>
        <w:spacing w:line="333"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Employees            (a)  director or employee of the Insured or partner in the Insured's </w:t>
      </w:r>
    </w:p>
    <w:p>
      <w:pPr>
        <w:tabs>
          <w:tab w:val="left" w:pos="600"/>
        </w:tabs>
        <w:autoSpaceDE w:val="0"/>
        <w:autoSpaceDN w:val="0"/>
        <w:adjustRightInd w:val="0"/>
        <w:spacing w:line="333"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Others                business whilst acting in the course of his employment with or           </w:t>
      </w:r>
    </w:p>
    <w:p>
      <w:pPr>
        <w:tabs>
          <w:tab w:val="left" w:pos="600"/>
        </w:tabs>
        <w:autoSpaceDE w:val="0"/>
        <w:autoSpaceDN w:val="0"/>
        <w:adjustRightInd w:val="0"/>
        <w:spacing w:line="333" w:lineRule="exact"/>
        <w:ind w:firstLine="2310" w:firstLineChars="1100"/>
        <w:jc w:val="left"/>
        <w:rPr>
          <w:rFonts w:hint="eastAsia" w:ascii="宋体" w:hAnsi="宋体" w:eastAsia="宋体" w:cs="宋体"/>
          <w:kern w:val="0"/>
          <w:sz w:val="21"/>
          <w:szCs w:val="21"/>
        </w:rPr>
      </w:pPr>
      <w:r>
        <w:rPr>
          <w:rFonts w:hint="eastAsia" w:ascii="宋体" w:hAnsi="宋体" w:eastAsia="宋体" w:cs="宋体"/>
          <w:kern w:val="0"/>
          <w:sz w:val="21"/>
          <w:szCs w:val="21"/>
        </w:rPr>
        <w:t>duties for the Insured;</w:t>
      </w:r>
    </w:p>
    <w:p>
      <w:pPr>
        <w:tabs>
          <w:tab w:val="left" w:pos="600"/>
        </w:tabs>
        <w:autoSpaceDE w:val="0"/>
        <w:autoSpaceDN w:val="0"/>
        <w:adjustRightInd w:val="0"/>
        <w:spacing w:line="333" w:lineRule="exact"/>
        <w:ind w:left="90" w:hanging="105" w:hangingChars="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Operational            ( b)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member of the flight, cabin or other crew whilst engaged in the </w:t>
      </w:r>
    </w:p>
    <w:p>
      <w:pPr>
        <w:tabs>
          <w:tab w:val="left" w:pos="600"/>
        </w:tabs>
        <w:autoSpaceDE w:val="0"/>
        <w:autoSpaceDN w:val="0"/>
        <w:adjustRightInd w:val="0"/>
        <w:spacing w:line="333" w:lineRule="exact"/>
        <w:ind w:left="90" w:hanging="105" w:hangingChars="50"/>
        <w:jc w:val="left"/>
        <w:rPr>
          <w:rFonts w:hint="eastAsia" w:ascii="宋体" w:hAnsi="宋体" w:eastAsia="宋体" w:cs="宋体"/>
          <w:kern w:val="0"/>
          <w:sz w:val="21"/>
          <w:szCs w:val="21"/>
        </w:rPr>
      </w:pPr>
      <w:r>
        <w:rPr>
          <w:rFonts w:hint="eastAsia" w:ascii="宋体" w:hAnsi="宋体" w:eastAsia="宋体" w:cs="宋体"/>
          <w:kern w:val="0"/>
          <w:sz w:val="21"/>
          <w:szCs w:val="21"/>
        </w:rPr>
        <w:t>Crew                  operation of the Aircraft.</w:t>
      </w:r>
    </w:p>
    <w:p>
      <w:pPr>
        <w:autoSpaceDE w:val="0"/>
        <w:autoSpaceDN w:val="0"/>
        <w:adjustRightIn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3.Limits of Indemnity applicable to this Section</w:t>
      </w:r>
    </w:p>
    <w:p>
      <w:pPr>
        <w:autoSpaceDE w:val="0"/>
        <w:autoSpaceDN w:val="0"/>
        <w:adjustRightInd w:val="0"/>
        <w:spacing w:line="373"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 liability of the Insurers under this Section shall not exceed the amounts stated in Part 6(C) of the Schedule, less any amounts under Part 6(B). The Insurers will defray in addition any legal costs and expenses incurred with their written consent in defending any action which may be brought against the Insured in respect of any claim for compensatory damages covered by this Section, but should the amount paid or awarded in settlement of such claim exceed the Limit of Indemnity then the liability of the Insurers in respect of such legal costs and expenses shall be limited to such proportion of the said legal costs and expenses as the Limit of Indemnity bears to the amount paid for compensatory damages. </w:t>
      </w:r>
    </w:p>
    <w:p>
      <w:pPr>
        <w:autoSpaceDE w:val="0"/>
        <w:autoSpaceDN w:val="0"/>
        <w:adjustRightInd w:val="0"/>
        <w:spacing w:line="413" w:lineRule="exact"/>
        <w:ind w:left="2893"/>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See also Section IV </w:t>
      </w:r>
    </w:p>
    <w:p>
      <w:pPr>
        <w:autoSpaceDE w:val="0"/>
        <w:autoSpaceDN w:val="0"/>
        <w:adjustRightInd w:val="0"/>
        <w:spacing w:line="213" w:lineRule="exact"/>
        <w:jc w:val="left"/>
        <w:rPr>
          <w:rFonts w:hint="eastAsia" w:ascii="宋体" w:hAnsi="宋体" w:eastAsia="宋体" w:cs="宋体"/>
          <w:kern w:val="0"/>
          <w:sz w:val="21"/>
          <w:szCs w:val="21"/>
        </w:rPr>
      </w:pPr>
    </w:p>
    <w:p>
      <w:pPr>
        <w:autoSpaceDE w:val="0"/>
        <w:autoSpaceDN w:val="0"/>
        <w:adjustRightInd w:val="0"/>
        <w:spacing w:line="333"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SECTION IV </w:t>
      </w:r>
    </w:p>
    <w:p>
      <w:pPr>
        <w:autoSpaceDE w:val="0"/>
        <w:autoSpaceDN w:val="0"/>
        <w:adjustRightInd w:val="0"/>
        <w:spacing w:line="213" w:lineRule="exact"/>
        <w:jc w:val="left"/>
        <w:rPr>
          <w:rFonts w:hint="eastAsia" w:ascii="宋体" w:hAnsi="宋体" w:eastAsia="宋体" w:cs="宋体"/>
          <w:kern w:val="0"/>
          <w:sz w:val="21"/>
          <w:szCs w:val="21"/>
        </w:rPr>
      </w:pPr>
    </w:p>
    <w:p>
      <w:pPr>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(A)GENERAL EXCLUSIONS APPLICABLE TO ALL SECTIONS </w:t>
      </w:r>
    </w:p>
    <w:p>
      <w:pPr>
        <w:autoSpaceDE w:val="0"/>
        <w:autoSpaceDN w:val="0"/>
        <w:adjustRightInd w:val="0"/>
        <w:spacing w:line="213" w:lineRule="exact"/>
        <w:ind w:left="600"/>
        <w:jc w:val="left"/>
        <w:rPr>
          <w:rFonts w:hint="eastAsia" w:ascii="宋体" w:hAnsi="宋体" w:eastAsia="宋体" w:cs="宋体"/>
          <w:kern w:val="0"/>
          <w:sz w:val="21"/>
          <w:szCs w:val="21"/>
        </w:rPr>
      </w:pPr>
    </w:p>
    <w:p>
      <w:pPr>
        <w:autoSpaceDE w:val="0"/>
        <w:autoSpaceDN w:val="0"/>
        <w:adjustRightIn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This Policy does not apply</w:t>
      </w:r>
    </w:p>
    <w:p>
      <w:pPr>
        <w:autoSpaceDE w:val="0"/>
        <w:autoSpaceDN w:val="0"/>
        <w:adjustRightInd w:val="0"/>
        <w:spacing w:line="320" w:lineRule="exact"/>
        <w:jc w:val="left"/>
        <w:rPr>
          <w:rFonts w:hint="eastAsia" w:ascii="宋体" w:hAnsi="宋体" w:eastAsia="宋体" w:cs="宋体"/>
          <w:kern w:val="0"/>
          <w:sz w:val="21"/>
          <w:szCs w:val="21"/>
        </w:rPr>
      </w:pPr>
    </w:p>
    <w:p>
      <w:pPr>
        <w:autoSpaceDE w:val="0"/>
        <w:autoSpaceDN w:val="0"/>
        <w:adjustRightIn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Illegal Uses               1. </w:t>
      </w:r>
      <w:r>
        <w:rPr>
          <w:rFonts w:hint="eastAsia" w:ascii="宋体" w:hAnsi="宋体" w:eastAsia="宋体" w:cs="宋体"/>
          <w:kern w:val="0"/>
          <w:sz w:val="21"/>
          <w:szCs w:val="21"/>
        </w:rPr>
        <w:tab/>
      </w:r>
      <w:r>
        <w:rPr>
          <w:rFonts w:hint="eastAsia" w:ascii="宋体" w:hAnsi="宋体" w:eastAsia="宋体" w:cs="宋体"/>
          <w:kern w:val="0"/>
          <w:sz w:val="21"/>
          <w:szCs w:val="21"/>
        </w:rPr>
        <w:t>Whilst the Aircraft is being used for any illegal purpose or for any purpose other</w:t>
      </w:r>
    </w:p>
    <w:p>
      <w:pPr>
        <w:autoSpaceDE w:val="0"/>
        <w:autoSpaceDN w:val="0"/>
        <w:adjustRightIn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than those stated in Part 3 of the Schedule and as defined in the Definitions. </w:t>
      </w:r>
    </w:p>
    <w:p>
      <w:pPr>
        <w:numPr>
          <w:ilvl w:val="0"/>
          <w:numId w:val="38"/>
        </w:num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Whilst the Aircraft is outside the geographical limits</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Geographical              stated in Part 5 of the Schedule unless due to force majeure.</w:t>
      </w:r>
    </w:p>
    <w:p>
      <w:pPr>
        <w:tabs>
          <w:tab w:val="left" w:pos="600"/>
        </w:tabs>
        <w:autoSpaceDE w:val="0"/>
        <w:autoSpaceDN w:val="0"/>
        <w:adjustRightInd w:val="0"/>
        <w:spacing w:line="386" w:lineRule="exact"/>
        <w:ind w:left="2880" w:hanging="3360" w:hangingChars="1600"/>
        <w:jc w:val="left"/>
        <w:rPr>
          <w:rFonts w:hint="eastAsia" w:ascii="宋体" w:hAnsi="宋体" w:eastAsia="宋体" w:cs="宋体"/>
          <w:kern w:val="0"/>
          <w:sz w:val="21"/>
          <w:szCs w:val="21"/>
        </w:rPr>
      </w:pPr>
      <w:r>
        <w:rPr>
          <w:rFonts w:hint="eastAsia" w:ascii="宋体" w:hAnsi="宋体" w:eastAsia="宋体" w:cs="宋体"/>
          <w:kern w:val="0"/>
          <w:sz w:val="21"/>
          <w:szCs w:val="21"/>
        </w:rPr>
        <w:t>Limits                    3.  Whilst the Aircraft is being piloted by any person other than as stated in Part 4 of the Schedule except that the Aircraft may be operated on the ground by any person competent for that purpose.</w:t>
      </w:r>
    </w:p>
    <w:p>
      <w:pPr>
        <w:numPr>
          <w:ilvl w:val="0"/>
          <w:numId w:val="39"/>
        </w:num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Whilst the Aircraft is being transported by any means of </w:t>
      </w:r>
    </w:p>
    <w:p>
      <w:pPr>
        <w:tabs>
          <w:tab w:val="left" w:pos="600"/>
        </w:tabs>
        <w:autoSpaceDE w:val="0"/>
        <w:autoSpaceDN w:val="0"/>
        <w:adjustRightInd w:val="0"/>
        <w:spacing w:line="386" w:lineRule="exact"/>
        <w:ind w:left="3720" w:hanging="3255" w:hangingChars="15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conveyance except as the result of an Accident giving rise to </w:t>
      </w:r>
    </w:p>
    <w:p>
      <w:pPr>
        <w:tabs>
          <w:tab w:val="left" w:pos="600"/>
        </w:tabs>
        <w:autoSpaceDE w:val="0"/>
        <w:autoSpaceDN w:val="0"/>
        <w:adjustRightInd w:val="0"/>
        <w:spacing w:line="386" w:lineRule="exact"/>
        <w:ind w:left="2790" w:hanging="3255" w:hangingChars="1550"/>
        <w:jc w:val="left"/>
        <w:rPr>
          <w:rFonts w:hint="eastAsia" w:ascii="宋体" w:hAnsi="宋体" w:eastAsia="宋体" w:cs="宋体"/>
          <w:kern w:val="0"/>
          <w:sz w:val="21"/>
          <w:szCs w:val="21"/>
        </w:rPr>
      </w:pPr>
      <w:r>
        <w:rPr>
          <w:rFonts w:hint="eastAsia" w:ascii="宋体" w:hAnsi="宋体" w:eastAsia="宋体" w:cs="宋体"/>
          <w:kern w:val="0"/>
          <w:sz w:val="21"/>
          <w:szCs w:val="21"/>
        </w:rPr>
        <w:t>Transportation by             a claim under Section I of this Policy.</w:t>
      </w:r>
    </w:p>
    <w:p>
      <w:pPr>
        <w:tabs>
          <w:tab w:val="left" w:pos="600"/>
        </w:tabs>
        <w:autoSpaceDE w:val="0"/>
        <w:autoSpaceDN w:val="0"/>
        <w:adjustRightInd w:val="0"/>
        <w:spacing w:line="413" w:lineRule="exact"/>
        <w:ind w:left="2700" w:hanging="3150" w:hangingChars="15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other Conveyance           5.  Whilst the Aircraft is landing on or taking off or attempting to do so from a place which does not comply with the recommendations laid down by the manufacturer of the </w:t>
      </w:r>
    </w:p>
    <w:p>
      <w:pPr>
        <w:tabs>
          <w:tab w:val="left" w:pos="600"/>
        </w:tabs>
        <w:autoSpaceDE w:val="0"/>
        <w:autoSpaceDN w:val="0"/>
        <w:adjustRightInd w:val="0"/>
        <w:spacing w:line="413" w:lineRule="exact"/>
        <w:ind w:left="2700" w:hanging="3150" w:hangingChars="1500"/>
        <w:jc w:val="left"/>
        <w:rPr>
          <w:rFonts w:hint="eastAsia" w:ascii="宋体" w:hAnsi="宋体" w:eastAsia="宋体" w:cs="宋体"/>
          <w:kern w:val="0"/>
          <w:sz w:val="21"/>
          <w:szCs w:val="21"/>
        </w:rPr>
      </w:pPr>
      <w:r>
        <w:rPr>
          <w:rFonts w:hint="eastAsia" w:ascii="宋体" w:hAnsi="宋体" w:eastAsia="宋体" w:cs="宋体"/>
          <w:kern w:val="0"/>
          <w:sz w:val="21"/>
          <w:szCs w:val="21"/>
        </w:rPr>
        <w:t>Landing and                Aircraft except as a result of force majeure.</w:t>
      </w:r>
    </w:p>
    <w:p>
      <w:pPr>
        <w:tabs>
          <w:tab w:val="left" w:pos="600"/>
        </w:tabs>
        <w:autoSpaceDE w:val="0"/>
        <w:autoSpaceDN w:val="0"/>
        <w:adjustRightInd w:val="0"/>
        <w:spacing w:line="386" w:lineRule="exact"/>
        <w:ind w:left="2700" w:hanging="3150" w:hangingChars="15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Take-off Areas              6.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To liability assumed or rights waived by the Insured under any agreement (other than a passenger ticket/baggage check issued under Section III hereof) except to the extent that </w:t>
      </w:r>
    </w:p>
    <w:p>
      <w:pPr>
        <w:tabs>
          <w:tab w:val="left" w:pos="600"/>
        </w:tabs>
        <w:autoSpaceDE w:val="0"/>
        <w:autoSpaceDN w:val="0"/>
        <w:adjustRightInd w:val="0"/>
        <w:spacing w:line="386" w:lineRule="exact"/>
        <w:ind w:left="2700" w:hanging="3150" w:hangingChars="1500"/>
        <w:jc w:val="left"/>
        <w:rPr>
          <w:rFonts w:hint="eastAsia" w:ascii="宋体" w:hAnsi="宋体" w:eastAsia="宋体" w:cs="宋体"/>
          <w:kern w:val="0"/>
          <w:sz w:val="21"/>
          <w:szCs w:val="21"/>
        </w:rPr>
      </w:pPr>
      <w:r>
        <w:rPr>
          <w:rFonts w:hint="eastAsia" w:ascii="宋体" w:hAnsi="宋体" w:eastAsia="宋体" w:cs="宋体"/>
          <w:kern w:val="0"/>
          <w:sz w:val="21"/>
          <w:szCs w:val="21"/>
        </w:rPr>
        <w:t>Contractual                 such liability would have attached to the Insured in the absence</w:t>
      </w:r>
    </w:p>
    <w:p>
      <w:pPr>
        <w:tabs>
          <w:tab w:val="left" w:pos="600"/>
        </w:tabs>
        <w:autoSpaceDE w:val="0"/>
        <w:autoSpaceDN w:val="0"/>
        <w:adjustRightInd w:val="0"/>
        <w:spacing w:line="413" w:lineRule="exact"/>
        <w:jc w:val="left"/>
        <w:rPr>
          <w:rFonts w:hint="eastAsia" w:ascii="宋体" w:hAnsi="宋体" w:eastAsia="宋体" w:cs="宋体"/>
          <w:kern w:val="0"/>
          <w:sz w:val="21"/>
          <w:szCs w:val="21"/>
        </w:rPr>
      </w:pPr>
      <w:r>
        <w:rPr>
          <w:rFonts w:hint="eastAsia" w:ascii="宋体" w:hAnsi="宋体" w:eastAsia="宋体" w:cs="宋体"/>
          <w:kern w:val="0"/>
          <w:sz w:val="21"/>
          <w:szCs w:val="21"/>
        </w:rPr>
        <w:t>Liability                  of such agreement.</w:t>
      </w:r>
    </w:p>
    <w:p>
      <w:pPr>
        <w:tabs>
          <w:tab w:val="left" w:pos="600"/>
        </w:tabs>
        <w:autoSpaceDE w:val="0"/>
        <w:autoSpaceDN w:val="0"/>
        <w:adjustRightInd w:val="0"/>
        <w:spacing w:line="386" w:lineRule="exact"/>
        <w:ind w:left="1620" w:hanging="1890" w:hangingChars="9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Number of                  7. Whilst the total number of passengers being carried in </w:t>
      </w:r>
    </w:p>
    <w:p>
      <w:pPr>
        <w:tabs>
          <w:tab w:val="left" w:pos="600"/>
        </w:tabs>
        <w:autoSpaceDE w:val="0"/>
        <w:autoSpaceDN w:val="0"/>
        <w:adjustRightInd w:val="0"/>
        <w:spacing w:line="386" w:lineRule="exact"/>
        <w:ind w:left="2800" w:hanging="3675" w:hangingChars="1750"/>
        <w:jc w:val="left"/>
        <w:rPr>
          <w:rFonts w:hint="eastAsia" w:ascii="宋体" w:hAnsi="宋体" w:eastAsia="宋体" w:cs="宋体"/>
          <w:kern w:val="0"/>
          <w:sz w:val="21"/>
          <w:szCs w:val="21"/>
        </w:rPr>
      </w:pPr>
      <w:r>
        <w:rPr>
          <w:rFonts w:hint="eastAsia" w:ascii="宋体" w:hAnsi="宋体" w:eastAsia="宋体" w:cs="宋体"/>
          <w:kern w:val="0"/>
          <w:sz w:val="21"/>
          <w:szCs w:val="21"/>
        </w:rPr>
        <w:t>Passengers                         the Aircraft exceeds the declared maximum number of passengers stated in Part 2(4) of the Schedule.</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Non-                      8.  To claims which are payable under any other policy or Contribution                policies except in respect of any excess beyond the amount               </w:t>
      </w:r>
    </w:p>
    <w:p>
      <w:pPr>
        <w:tabs>
          <w:tab w:val="left" w:pos="600"/>
        </w:tabs>
        <w:autoSpaceDE w:val="0"/>
        <w:autoSpaceDN w:val="0"/>
        <w:adjustRightInd w:val="0"/>
        <w:spacing w:line="386" w:lineRule="exact"/>
        <w:ind w:left="2753" w:leftChars="1311"/>
        <w:jc w:val="left"/>
        <w:rPr>
          <w:rFonts w:hint="eastAsia" w:ascii="宋体" w:hAnsi="宋体" w:eastAsia="宋体" w:cs="宋体"/>
          <w:kern w:val="0"/>
          <w:sz w:val="21"/>
          <w:szCs w:val="21"/>
        </w:rPr>
      </w:pPr>
      <w:r>
        <w:rPr>
          <w:rFonts w:hint="eastAsia" w:ascii="宋体" w:hAnsi="宋体" w:eastAsia="宋体" w:cs="宋体"/>
          <w:kern w:val="0"/>
          <w:sz w:val="21"/>
          <w:szCs w:val="21"/>
        </w:rPr>
        <w:t>which would have been payable under such other policy or policies had this Policy not been effected.</w:t>
      </w:r>
    </w:p>
    <w:p>
      <w:pPr>
        <w:tabs>
          <w:tab w:val="left" w:pos="600"/>
        </w:tabs>
        <w:autoSpaceDE w:val="0"/>
        <w:autoSpaceDN w:val="0"/>
        <w:adjustRightInd w:val="0"/>
        <w:spacing w:line="386" w:lineRule="exact"/>
        <w:ind w:left="2790" w:hanging="3255" w:hangingChars="1550"/>
        <w:jc w:val="left"/>
        <w:rPr>
          <w:rFonts w:hint="eastAsia" w:ascii="宋体" w:hAnsi="宋体" w:eastAsia="宋体" w:cs="宋体"/>
          <w:kern w:val="0"/>
          <w:sz w:val="21"/>
          <w:szCs w:val="21"/>
        </w:rPr>
      </w:pPr>
      <w:r>
        <w:rPr>
          <w:rFonts w:hint="eastAsia" w:ascii="宋体" w:hAnsi="宋体" w:eastAsia="宋体" w:cs="宋体"/>
          <w:kern w:val="0"/>
          <w:sz w:val="21"/>
          <w:szCs w:val="21"/>
        </w:rPr>
        <w:t>Nuclear Risks               9.  To claims excluded by the attached Nuclear Risks Exclusion Clause.</w:t>
      </w:r>
    </w:p>
    <w:p>
      <w:pPr>
        <w:tabs>
          <w:tab w:val="left" w:pos="600"/>
        </w:tabs>
        <w:autoSpaceDE w:val="0"/>
        <w:autoSpaceDN w:val="0"/>
        <w:adjustRightInd w:val="0"/>
        <w:spacing w:line="386" w:lineRule="exact"/>
        <w:ind w:left="2790" w:hanging="3255" w:hangingChars="15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War,                      10. </w:t>
      </w:r>
      <w:r>
        <w:rPr>
          <w:rFonts w:hint="eastAsia" w:ascii="宋体" w:hAnsi="宋体" w:eastAsia="宋体" w:cs="宋体"/>
          <w:kern w:val="0"/>
          <w:sz w:val="21"/>
          <w:szCs w:val="21"/>
        </w:rPr>
        <w:tab/>
      </w:r>
      <w:r>
        <w:rPr>
          <w:rFonts w:hint="eastAsia" w:ascii="宋体" w:hAnsi="宋体" w:eastAsia="宋体" w:cs="宋体"/>
          <w:kern w:val="0"/>
          <w:sz w:val="21"/>
          <w:szCs w:val="21"/>
        </w:rPr>
        <w:t>To claims caused by</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Hi-jacking,                 (a) </w:t>
      </w:r>
      <w:r>
        <w:rPr>
          <w:rFonts w:hint="eastAsia" w:ascii="宋体" w:hAnsi="宋体" w:eastAsia="宋体" w:cs="宋体"/>
          <w:kern w:val="0"/>
          <w:sz w:val="21"/>
          <w:szCs w:val="21"/>
        </w:rPr>
        <w:tab/>
      </w:r>
      <w:r>
        <w:rPr>
          <w:rFonts w:hint="eastAsia" w:ascii="宋体" w:hAnsi="宋体" w:eastAsia="宋体" w:cs="宋体"/>
          <w:kern w:val="0"/>
          <w:sz w:val="21"/>
          <w:szCs w:val="21"/>
        </w:rPr>
        <w:t>War, invasion, acts of foreign enemies, hostilities</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and Other                   (whether war be declared or not), civil war, rebellion,               </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Perils                        revolution, insurrection, martial law, military or usurped </w:t>
      </w:r>
    </w:p>
    <w:p>
      <w:pPr>
        <w:autoSpaceDE w:val="0"/>
        <w:autoSpaceDN w:val="0"/>
        <w:adjustRightInd w:val="0"/>
        <w:spacing w:line="266" w:lineRule="exact"/>
        <w:ind w:left="601" w:leftChars="286" w:firstLine="2310" w:firstLineChars="11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power or attempts at usurpation of power. </w:t>
      </w:r>
    </w:p>
    <w:p>
      <w:pPr>
        <w:tabs>
          <w:tab w:val="left" w:pos="600"/>
        </w:tabs>
        <w:autoSpaceDE w:val="0"/>
        <w:autoSpaceDN w:val="0"/>
        <w:adjustRightInd w:val="0"/>
        <w:spacing w:line="386" w:lineRule="exact"/>
        <w:ind w:left="2814" w:leftChars="1140" w:hanging="420" w:hanging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(b)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Any hostile detonation of any weapon of war employing atomic or nuclear fission and/or fusion or other like reaction or radioactive force or matter. </w:t>
      </w:r>
    </w:p>
    <w:p>
      <w:pPr>
        <w:tabs>
          <w:tab w:val="left" w:pos="600"/>
        </w:tabs>
        <w:autoSpaceDE w:val="0"/>
        <w:autoSpaceDN w:val="0"/>
        <w:adjustRightInd w:val="0"/>
        <w:spacing w:line="400" w:lineRule="exact"/>
        <w:ind w:firstLine="2100" w:firstLineChars="10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(c)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Strikes, riots, civil commotions or labour disturbances. </w:t>
      </w:r>
    </w:p>
    <w:p>
      <w:pPr>
        <w:tabs>
          <w:tab w:val="left" w:pos="600"/>
        </w:tabs>
        <w:autoSpaceDE w:val="0"/>
        <w:autoSpaceDN w:val="0"/>
        <w:adjustRightInd w:val="0"/>
        <w:spacing w:line="386" w:lineRule="exact"/>
        <w:ind w:left="2814" w:leftChars="1140" w:hanging="420" w:hanging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(d)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Any act of one or more persons, whether or not agents of a sovereign Power, for political or terrorist purposes and whether the loss or damage resulting therefrom is accidental or intentional. </w:t>
      </w:r>
    </w:p>
    <w:p>
      <w:pPr>
        <w:tabs>
          <w:tab w:val="left" w:pos="600"/>
        </w:tabs>
        <w:autoSpaceDE w:val="0"/>
        <w:autoSpaceDN w:val="0"/>
        <w:adjustRightInd w:val="0"/>
        <w:spacing w:line="400" w:lineRule="exact"/>
        <w:ind w:firstLine="2100" w:firstLineChars="10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(e)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Any malicious act or act of sabotage. </w:t>
      </w:r>
    </w:p>
    <w:p>
      <w:pPr>
        <w:tabs>
          <w:tab w:val="left" w:pos="600"/>
        </w:tabs>
        <w:autoSpaceDE w:val="0"/>
        <w:autoSpaceDN w:val="0"/>
        <w:adjustRightInd w:val="0"/>
        <w:spacing w:line="386" w:lineRule="exact"/>
        <w:ind w:left="2709" w:leftChars="1140" w:hanging="315" w:hangingChars="1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(f)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Confiscation, nationalisation, seizure, restraint, detention, appropriation, requisition for title or use by or under the order of any Government (whether civil military or de facto) or public or local authority. </w:t>
      </w:r>
    </w:p>
    <w:p>
      <w:pPr>
        <w:tabs>
          <w:tab w:val="left" w:pos="600"/>
        </w:tabs>
        <w:autoSpaceDE w:val="0"/>
        <w:autoSpaceDN w:val="0"/>
        <w:adjustRightInd w:val="0"/>
        <w:spacing w:line="400" w:lineRule="exact"/>
        <w:ind w:left="2814" w:leftChars="1140" w:hanging="420" w:hanging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(g)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Hi-jacking or any unlawful seizure or wrongful exercise of control of the Aircraft or crew in Flight (including any attempt at such seizure or control) made by any person or persons on board the Aircraft acting without the consent of the Insured. </w:t>
      </w:r>
    </w:p>
    <w:p>
      <w:pPr>
        <w:autoSpaceDE w:val="0"/>
        <w:autoSpaceDN w:val="0"/>
        <w:adjustRightInd w:val="0"/>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Furthermore this Policy does not cover claims arising whilst the Aircraft is outside the control of the Insured by reason of any of the above perils. The Aircraft shall be deemed to have been restored to the control of the Insured on the safe return of the Aircraft to the Insured at an airfield not excluded by the geographical limits of this Policy, and entirely suitable for the operation of the Aircraft (such safe return shall require that the Aircraft be parked with engines shut down and under no duress).</w:t>
      </w:r>
    </w:p>
    <w:p>
      <w:pPr>
        <w:autoSpaceDE w:val="0"/>
        <w:autoSpaceDN w:val="0"/>
        <w:adjustRightInd w:val="0"/>
        <w:spacing w:line="360" w:lineRule="exact"/>
        <w:jc w:val="left"/>
        <w:rPr>
          <w:rFonts w:hint="eastAsia" w:ascii="宋体" w:hAnsi="宋体" w:eastAsia="宋体" w:cs="宋体"/>
          <w:b/>
          <w:bCs/>
          <w:kern w:val="0"/>
          <w:sz w:val="21"/>
          <w:szCs w:val="21"/>
        </w:rPr>
      </w:pPr>
    </w:p>
    <w:p>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(B)  CONDITIONS PRECEDENT APPLICABLE TO ALL SECTIONS </w:t>
      </w:r>
    </w:p>
    <w:p>
      <w:pPr>
        <w:autoSpaceDE w:val="0"/>
        <w:autoSpaceDN w:val="0"/>
        <w:adjustRightInd w:val="0"/>
        <w:spacing w:line="213" w:lineRule="exact"/>
        <w:ind w:left="600"/>
        <w:jc w:val="left"/>
        <w:rPr>
          <w:rFonts w:hint="eastAsia" w:ascii="宋体" w:hAnsi="宋体" w:eastAsia="宋体" w:cs="宋体"/>
          <w:kern w:val="0"/>
          <w:sz w:val="21"/>
          <w:szCs w:val="21"/>
        </w:rPr>
      </w:pPr>
    </w:p>
    <w:p>
      <w:pPr>
        <w:autoSpaceDE w:val="0"/>
        <w:autoSpaceDN w:val="0"/>
        <w:adjustRightInd w:val="0"/>
        <w:spacing w:line="333" w:lineRule="exact"/>
        <w:ind w:left="600"/>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It is necessary that the Insured observes and fulfils the following </w:t>
      </w:r>
    </w:p>
    <w:p>
      <w:pPr>
        <w:autoSpaceDE w:val="0"/>
        <w:autoSpaceDN w:val="0"/>
        <w:adjustRightInd w:val="0"/>
        <w:spacing w:line="280" w:lineRule="exact"/>
        <w:ind w:left="600"/>
        <w:jc w:val="left"/>
        <w:rPr>
          <w:rFonts w:hint="eastAsia" w:ascii="宋体" w:hAnsi="宋体" w:eastAsia="宋体" w:cs="宋体"/>
          <w:kern w:val="0"/>
          <w:sz w:val="21"/>
          <w:szCs w:val="21"/>
        </w:rPr>
      </w:pPr>
      <w:r>
        <w:rPr>
          <w:rFonts w:hint="eastAsia" w:ascii="宋体" w:hAnsi="宋体" w:eastAsia="宋体" w:cs="宋体"/>
          <w:b/>
          <w:bCs/>
          <w:kern w:val="0"/>
          <w:sz w:val="21"/>
          <w:szCs w:val="21"/>
        </w:rPr>
        <w:t>Conditions before the Insurers have any liability to make any payment</w:t>
      </w:r>
    </w:p>
    <w:p>
      <w:pPr>
        <w:autoSpaceDE w:val="0"/>
        <w:autoSpaceDN w:val="0"/>
        <w:adjustRightInd w:val="0"/>
        <w:spacing w:line="266" w:lineRule="exact"/>
        <w:ind w:firstLine="517" w:firstLineChars="245"/>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under this Policy.</w:t>
      </w:r>
    </w:p>
    <w:p>
      <w:pPr>
        <w:autoSpaceDE w:val="0"/>
        <w:autoSpaceDN w:val="0"/>
        <w:adjustRightInd w:val="0"/>
        <w:spacing w:line="266" w:lineRule="exact"/>
        <w:jc w:val="left"/>
        <w:rPr>
          <w:rFonts w:hint="eastAsia" w:ascii="宋体" w:hAnsi="宋体" w:eastAsia="宋体" w:cs="宋体"/>
          <w:b/>
          <w:bCs/>
          <w:kern w:val="0"/>
          <w:sz w:val="21"/>
          <w:szCs w:val="21"/>
        </w:rPr>
      </w:pPr>
    </w:p>
    <w:p>
      <w:pPr>
        <w:tabs>
          <w:tab w:val="left" w:pos="600"/>
        </w:tabs>
        <w:autoSpaceDE w:val="0"/>
        <w:autoSpaceDN w:val="0"/>
        <w:adjustRightInd w:val="0"/>
        <w:spacing w:line="306" w:lineRule="exact"/>
        <w:ind w:left="2800" w:hanging="3675" w:hangingChars="17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Due Diligence                   1. </w:t>
      </w:r>
      <w:r>
        <w:rPr>
          <w:rFonts w:hint="eastAsia" w:ascii="宋体" w:hAnsi="宋体" w:eastAsia="宋体" w:cs="宋体"/>
          <w:kern w:val="0"/>
          <w:sz w:val="21"/>
          <w:szCs w:val="21"/>
        </w:rPr>
        <w:tab/>
      </w:r>
      <w:r>
        <w:rPr>
          <w:rFonts w:hint="eastAsia" w:ascii="宋体" w:hAnsi="宋体" w:eastAsia="宋体" w:cs="宋体"/>
          <w:kern w:val="0"/>
          <w:sz w:val="21"/>
          <w:szCs w:val="21"/>
        </w:rPr>
        <w:t>The Insured shall at all times use due diligence and do and concur in doing everything reasonably practicable to avoid accidents and to avoid or diminish any loss hereon.</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Compliance                  2.  The Insured shall comply with all air navigation and </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with Air                   airworthiness orders and requirements issued by any</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Navigation,                       competent authority affecting the safe operation of</w:t>
      </w:r>
    </w:p>
    <w:p>
      <w:pPr>
        <w:tabs>
          <w:tab w:val="left" w:pos="600"/>
        </w:tabs>
        <w:autoSpaceDE w:val="0"/>
        <w:autoSpaceDN w:val="0"/>
        <w:adjustRightInd w:val="0"/>
        <w:spacing w:line="306" w:lineRule="exact"/>
        <w:ind w:left="3150" w:hanging="3675" w:hangingChars="1750"/>
        <w:jc w:val="left"/>
        <w:rPr>
          <w:rFonts w:hint="eastAsia" w:ascii="宋体" w:hAnsi="宋体" w:eastAsia="宋体" w:cs="宋体"/>
          <w:kern w:val="0"/>
          <w:sz w:val="21"/>
          <w:szCs w:val="21"/>
        </w:rPr>
      </w:pPr>
      <w:r>
        <w:rPr>
          <w:rFonts w:hint="eastAsia" w:ascii="宋体" w:hAnsi="宋体" w:eastAsia="宋体" w:cs="宋体"/>
          <w:kern w:val="0"/>
          <w:sz w:val="21"/>
          <w:szCs w:val="21"/>
        </w:rPr>
        <w:t>Orders etc.                        the Aircraft and shall ensure that</w:t>
      </w:r>
    </w:p>
    <w:p>
      <w:pPr>
        <w:tabs>
          <w:tab w:val="left" w:pos="600"/>
        </w:tabs>
        <w:autoSpaceDE w:val="0"/>
        <w:autoSpaceDN w:val="0"/>
        <w:adjustRightInd w:val="0"/>
        <w:spacing w:line="400" w:lineRule="exact"/>
        <w:ind w:left="2880" w:hanging="2520" w:hangingChars="1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(a)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the Aircraft is airworthy at the commencement of each Flight; </w:t>
      </w:r>
    </w:p>
    <w:p>
      <w:pPr>
        <w:tabs>
          <w:tab w:val="left" w:pos="600"/>
        </w:tabs>
        <w:autoSpaceDE w:val="0"/>
        <w:autoSpaceDN w:val="0"/>
        <w:adjustRightInd w:val="0"/>
        <w:spacing w:line="373" w:lineRule="exact"/>
        <w:ind w:left="2814" w:leftChars="1140" w:hanging="420" w:hanging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(b)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all Log Books and other records in connection with the Aircraft which are required by any official regulations in force from time to time shall be kept up to date and shall be produced to the Insurers or their Agents on request; </w:t>
      </w:r>
    </w:p>
    <w:p>
      <w:pPr>
        <w:tabs>
          <w:tab w:val="left" w:pos="600"/>
        </w:tabs>
        <w:autoSpaceDE w:val="0"/>
        <w:autoSpaceDN w:val="0"/>
        <w:adjustRightInd w:val="0"/>
        <w:spacing w:line="386" w:lineRule="exact"/>
        <w:ind w:left="2575" w:leftChars="1026" w:hanging="420" w:hanging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(c) </w:t>
      </w:r>
      <w:r>
        <w:rPr>
          <w:rFonts w:hint="eastAsia" w:ascii="宋体" w:hAnsi="宋体" w:eastAsia="宋体" w:cs="宋体"/>
          <w:kern w:val="0"/>
          <w:sz w:val="21"/>
          <w:szCs w:val="21"/>
        </w:rPr>
        <w:tab/>
      </w:r>
      <w:r>
        <w:rPr>
          <w:rFonts w:hint="eastAsia" w:ascii="宋体" w:hAnsi="宋体" w:eastAsia="宋体" w:cs="宋体"/>
          <w:kern w:val="0"/>
          <w:sz w:val="21"/>
          <w:szCs w:val="21"/>
        </w:rPr>
        <w:t>the employees and agents of the Insured comply with such orders and requirements.</w:t>
      </w:r>
    </w:p>
    <w:p>
      <w:pPr>
        <w:tabs>
          <w:tab w:val="left" w:pos="600"/>
        </w:tabs>
        <w:autoSpaceDE w:val="0"/>
        <w:autoSpaceDN w:val="0"/>
        <w:adjustRightInd w:val="0"/>
        <w:spacing w:line="333" w:lineRule="exact"/>
        <w:ind w:left="2700" w:hanging="3150" w:hangingChars="15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Claims                   3.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Immediate notice of any event likely to give rise to a claim </w:t>
      </w:r>
    </w:p>
    <w:p>
      <w:pPr>
        <w:tabs>
          <w:tab w:val="left" w:pos="600"/>
        </w:tabs>
        <w:autoSpaceDE w:val="0"/>
        <w:autoSpaceDN w:val="0"/>
        <w:adjustRightInd w:val="0"/>
        <w:spacing w:line="333" w:lineRule="exact"/>
        <w:ind w:left="2700" w:hanging="3150" w:hangingChars="1500"/>
        <w:jc w:val="left"/>
        <w:rPr>
          <w:rFonts w:hint="eastAsia" w:ascii="宋体" w:hAnsi="宋体" w:eastAsia="宋体" w:cs="宋体"/>
          <w:kern w:val="0"/>
          <w:sz w:val="21"/>
          <w:szCs w:val="21"/>
        </w:rPr>
      </w:pPr>
      <w:r>
        <w:rPr>
          <w:rFonts w:hint="eastAsia" w:ascii="宋体" w:hAnsi="宋体" w:eastAsia="宋体" w:cs="宋体"/>
          <w:kern w:val="0"/>
          <w:sz w:val="21"/>
          <w:szCs w:val="21"/>
        </w:rPr>
        <w:t>Procedure                  under this Policy shall be given as stated in Part 8 of the Schedule.  In all cases the Insured shall</w:t>
      </w:r>
    </w:p>
    <w:p>
      <w:pPr>
        <w:tabs>
          <w:tab w:val="left" w:pos="600"/>
        </w:tabs>
        <w:autoSpaceDE w:val="0"/>
        <w:autoSpaceDN w:val="0"/>
        <w:adjustRightInd w:val="0"/>
        <w:spacing w:line="386" w:lineRule="exact"/>
        <w:ind w:left="2750" w:hanging="2625" w:hangingChars="12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(a)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furnish full particulars in writing of such event and forward immediately notice of any claim with any letters or documents relating thereto; </w:t>
      </w:r>
    </w:p>
    <w:p>
      <w:pPr>
        <w:tabs>
          <w:tab w:val="left" w:pos="600"/>
        </w:tabs>
        <w:autoSpaceDE w:val="0"/>
        <w:autoSpaceDN w:val="0"/>
        <w:adjustRightInd w:val="0"/>
        <w:spacing w:line="386" w:lineRule="exact"/>
        <w:ind w:firstLine="1890" w:firstLineChars="9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(b)  give notice of any impending prosecution; </w:t>
      </w:r>
    </w:p>
    <w:p>
      <w:pPr>
        <w:tabs>
          <w:tab w:val="left" w:pos="600"/>
        </w:tabs>
        <w:autoSpaceDE w:val="0"/>
        <w:autoSpaceDN w:val="0"/>
        <w:adjustRightInd w:val="0"/>
        <w:spacing w:line="386" w:lineRule="exact"/>
        <w:ind w:left="2575" w:leftChars="1026" w:hanging="420" w:hanging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(c)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render such further information and assistance as the Insurers may reasonably require; </w:t>
      </w:r>
    </w:p>
    <w:p>
      <w:pPr>
        <w:tabs>
          <w:tab w:val="left" w:pos="600"/>
        </w:tabs>
        <w:autoSpaceDE w:val="0"/>
        <w:autoSpaceDN w:val="0"/>
        <w:adjustRightInd w:val="0"/>
        <w:spacing w:line="400" w:lineRule="exact"/>
        <w:ind w:left="2575" w:leftChars="1026" w:hanging="420" w:hanging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(d)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not act in any way to the detriment or prejudice of the interest of the Insurers. </w:t>
      </w:r>
    </w:p>
    <w:p>
      <w:pPr>
        <w:autoSpaceDE w:val="0"/>
        <w:autoSpaceDN w:val="0"/>
        <w:adjustRightInd w:val="0"/>
        <w:spacing w:line="213" w:lineRule="exact"/>
        <w:ind w:left="600"/>
        <w:jc w:val="left"/>
        <w:rPr>
          <w:rFonts w:hint="eastAsia" w:ascii="宋体" w:hAnsi="宋体" w:eastAsia="宋体" w:cs="宋体"/>
          <w:kern w:val="0"/>
          <w:sz w:val="21"/>
          <w:szCs w:val="21"/>
        </w:rPr>
      </w:pPr>
    </w:p>
    <w:p>
      <w:pPr>
        <w:autoSpaceDE w:val="0"/>
        <w:autoSpaceDN w:val="0"/>
        <w:adjustRightInd w:val="0"/>
        <w:spacing w:line="333" w:lineRule="exact"/>
        <w:ind w:left="600"/>
        <w:jc w:val="left"/>
        <w:rPr>
          <w:rFonts w:hint="eastAsia" w:ascii="宋体" w:hAnsi="宋体" w:eastAsia="宋体" w:cs="宋体"/>
          <w:kern w:val="0"/>
          <w:sz w:val="21"/>
          <w:szCs w:val="21"/>
        </w:rPr>
      </w:pPr>
      <w:r>
        <w:rPr>
          <w:rFonts w:hint="eastAsia" w:ascii="宋体" w:hAnsi="宋体" w:eastAsia="宋体" w:cs="宋体"/>
          <w:b/>
          <w:bCs/>
          <w:kern w:val="0"/>
          <w:sz w:val="21"/>
          <w:szCs w:val="21"/>
        </w:rPr>
        <w:t>The Ins ured shall not make any admission of liability or payment or offer</w:t>
      </w:r>
    </w:p>
    <w:p>
      <w:pPr>
        <w:autoSpaceDE w:val="0"/>
        <w:autoSpaceDN w:val="0"/>
        <w:adjustRightInd w:val="0"/>
        <w:spacing w:line="266" w:lineRule="exact"/>
        <w:ind w:left="6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or promise of payment without the written consent of the Insurers.</w:t>
      </w:r>
    </w:p>
    <w:p>
      <w:pPr>
        <w:autoSpaceDE w:val="0"/>
        <w:autoSpaceDN w:val="0"/>
        <w:adjustRightInd w:val="0"/>
        <w:spacing w:line="266" w:lineRule="exact"/>
        <w:ind w:left="600"/>
        <w:jc w:val="left"/>
        <w:rPr>
          <w:rFonts w:hint="eastAsia" w:ascii="宋体" w:hAnsi="宋体" w:eastAsia="宋体" w:cs="宋体"/>
          <w:b/>
          <w:bCs/>
          <w:kern w:val="0"/>
          <w:sz w:val="21"/>
          <w:szCs w:val="21"/>
        </w:rPr>
      </w:pPr>
    </w:p>
    <w:p>
      <w:pPr>
        <w:autoSpaceDE w:val="0"/>
        <w:autoSpaceDN w:val="0"/>
        <w:adjustRightInd w:val="0"/>
        <w:spacing w:line="266" w:lineRule="exact"/>
        <w:ind w:left="6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(C) GENERAL CONDITIONS APPLICABLE TO ALL SECTIONS</w:t>
      </w:r>
    </w:p>
    <w:p>
      <w:pPr>
        <w:tabs>
          <w:tab w:val="left" w:pos="600"/>
        </w:tabs>
        <w:autoSpaceDE w:val="0"/>
        <w:autoSpaceDN w:val="0"/>
        <w:adjustRightInd w:val="0"/>
        <w:spacing w:line="360" w:lineRule="exact"/>
        <w:ind w:left="2430" w:hanging="2835" w:hangingChars="13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Claims Control           1. </w:t>
      </w:r>
      <w:r>
        <w:rPr>
          <w:rFonts w:hint="eastAsia" w:ascii="宋体" w:hAnsi="宋体" w:eastAsia="宋体" w:cs="宋体"/>
          <w:kern w:val="0"/>
          <w:sz w:val="21"/>
          <w:szCs w:val="21"/>
        </w:rPr>
        <w:tab/>
      </w:r>
      <w:r>
        <w:rPr>
          <w:rFonts w:hint="eastAsia" w:ascii="宋体" w:hAnsi="宋体" w:eastAsia="宋体" w:cs="宋体"/>
          <w:kern w:val="0"/>
          <w:sz w:val="21"/>
          <w:szCs w:val="21"/>
        </w:rPr>
        <w:t>The Insurers shall be entitled (if they so elect) at any time and for so long as they desire to take absolute control of all negotiations and proceedings and in the name of the Insured to settle, defend or pursue any claim.</w:t>
      </w:r>
    </w:p>
    <w:p>
      <w:pPr>
        <w:tabs>
          <w:tab w:val="left" w:pos="600"/>
        </w:tabs>
        <w:autoSpaceDE w:val="0"/>
        <w:autoSpaceDN w:val="0"/>
        <w:adjustRightInd w:val="0"/>
        <w:spacing w:line="400" w:lineRule="exact"/>
        <w:ind w:left="2520" w:hanging="2940" w:hangingChars="14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Subrogation              2.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Upon an indemnity being given or a payment being made by the Insurers under this Policy, they shall be subrogated to the rights and remedies of the Insured who shall co-operate with and do all things necessary to assist the Insurers to exercise such rights and remedies. </w:t>
      </w:r>
    </w:p>
    <w:p>
      <w:pPr>
        <w:tabs>
          <w:tab w:val="left" w:pos="600"/>
        </w:tabs>
        <w:autoSpaceDE w:val="0"/>
        <w:autoSpaceDN w:val="0"/>
        <w:adjustRightInd w:val="0"/>
        <w:spacing w:line="400" w:lineRule="exact"/>
        <w:ind w:firstLine="1785" w:firstLineChars="8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3. </w:t>
      </w:r>
      <w:r>
        <w:rPr>
          <w:rFonts w:hint="eastAsia" w:ascii="宋体" w:hAnsi="宋体" w:eastAsia="宋体" w:cs="宋体"/>
          <w:kern w:val="0"/>
          <w:sz w:val="21"/>
          <w:szCs w:val="21"/>
        </w:rPr>
        <w:tab/>
      </w:r>
      <w:r>
        <w:rPr>
          <w:rFonts w:hint="eastAsia" w:ascii="宋体" w:hAnsi="宋体" w:eastAsia="宋体" w:cs="宋体"/>
          <w:kern w:val="0"/>
          <w:sz w:val="21"/>
          <w:szCs w:val="21"/>
        </w:rPr>
        <w:t>Should there be any change in the circumstances or nature</w:t>
      </w:r>
    </w:p>
    <w:p>
      <w:pPr>
        <w:tabs>
          <w:tab w:val="left" w:pos="600"/>
        </w:tabs>
        <w:autoSpaceDE w:val="0"/>
        <w:autoSpaceDN w:val="0"/>
        <w:adjustRightInd w:val="0"/>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Variation in             of the risks which are the basis of this contract the Insured shall </w:t>
      </w:r>
    </w:p>
    <w:p>
      <w:pPr>
        <w:tabs>
          <w:tab w:val="left" w:pos="600"/>
        </w:tabs>
        <w:autoSpaceDE w:val="0"/>
        <w:autoSpaceDN w:val="0"/>
        <w:adjustRightInd w:val="0"/>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Risk                   give immediate notice thereof to the Insurers and no claim arising </w:t>
      </w:r>
    </w:p>
    <w:p>
      <w:pPr>
        <w:tabs>
          <w:tab w:val="left" w:pos="600"/>
        </w:tabs>
        <w:autoSpaceDE w:val="0"/>
        <w:autoSpaceDN w:val="0"/>
        <w:adjustRightInd w:val="0"/>
        <w:spacing w:line="400" w:lineRule="exact"/>
        <w:ind w:left="2413" w:leftChars="1149"/>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subsequent to such change shall be recoverable hereunder unless such change has been accepted by the Insurers. </w:t>
      </w:r>
    </w:p>
    <w:p>
      <w:pPr>
        <w:numPr>
          <w:ilvl w:val="0"/>
          <w:numId w:val="38"/>
        </w:numPr>
        <w:tabs>
          <w:tab w:val="left" w:pos="600"/>
        </w:tabs>
        <w:autoSpaceDE w:val="0"/>
        <w:autoSpaceDN w:val="0"/>
        <w:adjustRightInd w:val="0"/>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This Policy may be cancelled by either the Insurers or the </w:t>
      </w:r>
    </w:p>
    <w:p>
      <w:pPr>
        <w:tabs>
          <w:tab w:val="left" w:pos="600"/>
        </w:tabs>
        <w:autoSpaceDE w:val="0"/>
        <w:autoSpaceDN w:val="0"/>
        <w:adjustRightInd w:val="0"/>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Cancellation              Insured giving 10 days notice in writing of such cancellation.             </w:t>
      </w:r>
    </w:p>
    <w:p>
      <w:pPr>
        <w:tabs>
          <w:tab w:val="left" w:pos="600"/>
        </w:tabs>
        <w:autoSpaceDE w:val="0"/>
        <w:autoSpaceDN w:val="0"/>
        <w:adjustRightInd w:val="0"/>
        <w:spacing w:line="400" w:lineRule="exact"/>
        <w:ind w:left="2302" w:leftChars="1096"/>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If cancelled by the Insurers they will return a pro rata portion of the premium in respect of the unexpired period of the Policy.  If cancelled by the Insured a return of premium shall be at the discretion of the Insurers.  There will be no return of premium in respect of any Aircraft on which a loss is paid or is payable under this Policy. </w:t>
      </w:r>
    </w:p>
    <w:p>
      <w:pPr>
        <w:numPr>
          <w:ilvl w:val="0"/>
          <w:numId w:val="38"/>
        </w:num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This Policy shall not be assigned in whole or in part except </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Assignment            with the consent of the Insurers verified by endorsement hereon.</w:t>
      </w:r>
    </w:p>
    <w:p>
      <w:pPr>
        <w:tabs>
          <w:tab w:val="left" w:pos="600"/>
        </w:tabs>
        <w:autoSpaceDE w:val="0"/>
        <w:autoSpaceDN w:val="0"/>
        <w:adjustRightInd w:val="0"/>
        <w:spacing w:line="360" w:lineRule="exact"/>
        <w:ind w:left="3240" w:hanging="2835" w:hangingChars="1350"/>
        <w:jc w:val="left"/>
        <w:rPr>
          <w:rFonts w:hint="eastAsia" w:ascii="宋体" w:hAnsi="宋体" w:eastAsia="宋体" w:cs="宋体"/>
          <w:kern w:val="0"/>
          <w:sz w:val="21"/>
          <w:szCs w:val="21"/>
        </w:rPr>
      </w:pPr>
    </w:p>
    <w:p>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Not Marine           6.   This Policy is not and the parties hereto expressly agree that </w:t>
      </w:r>
    </w:p>
    <w:p>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Insurance             it shall not be construed as a policy of marine insurance. </w:t>
      </w:r>
    </w:p>
    <w:p>
      <w:pPr>
        <w:tabs>
          <w:tab w:val="left" w:pos="600"/>
        </w:tabs>
        <w:autoSpaceDE w:val="0"/>
        <w:autoSpaceDN w:val="0"/>
        <w:adjustRightInd w:val="0"/>
        <w:spacing w:line="386" w:lineRule="exact"/>
        <w:ind w:left="2250" w:hanging="2625" w:hangingChars="12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Arbitration        7.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This Policy shall be construed in accordance with English Law and any dispute or difference between the Insured and the  Insurers shall be submitted to arbitration in London in accordance with the Statutory provision for arbitration for the time being in force. </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Two or More       8.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When two or more Aircraft are insured hereunder the terms of this       </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Aircraft              Policy apply separately to each. </w:t>
      </w:r>
    </w:p>
    <w:p>
      <w:pPr>
        <w:tabs>
          <w:tab w:val="left" w:pos="600"/>
        </w:tabs>
        <w:autoSpaceDE w:val="0"/>
        <w:autoSpaceDN w:val="0"/>
        <w:adjustRightInd w:val="0"/>
        <w:spacing w:line="386" w:lineRule="exact"/>
        <w:ind w:firstLine="1575" w:firstLineChars="7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9.  Notwithstanding the inclusion herein of more than one   </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Limit(s) of            Insured, whether by endorsement or otherwise, the total liability of </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Indemnity              the Insurers in respect of any or all Insureds shall not exceed the                  </w:t>
      </w:r>
    </w:p>
    <w:p>
      <w:pPr>
        <w:tabs>
          <w:tab w:val="left" w:pos="600"/>
        </w:tabs>
        <w:autoSpaceDE w:val="0"/>
        <w:autoSpaceDN w:val="0"/>
        <w:adjustRightInd w:val="0"/>
        <w:spacing w:line="386" w:lineRule="exact"/>
        <w:ind w:firstLine="2205" w:firstLineChars="10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Limit(s) of Indemnity stated in this Policy. </w:t>
      </w:r>
    </w:p>
    <w:p>
      <w:pPr>
        <w:tabs>
          <w:tab w:val="left" w:pos="600"/>
          <w:tab w:val="left" w:pos="2340"/>
        </w:tabs>
        <w:autoSpaceDE w:val="0"/>
        <w:autoSpaceDN w:val="0"/>
        <w:adjustRightInd w:val="0"/>
        <w:spacing w:line="386" w:lineRule="exact"/>
        <w:ind w:firstLine="1470" w:firstLineChars="7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10.  If the Insured shall make any claim knowing the same to be </w:t>
      </w:r>
    </w:p>
    <w:p>
      <w:pPr>
        <w:tabs>
          <w:tab w:val="left" w:pos="600"/>
          <w:tab w:val="left" w:pos="234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False and            false or fraudulent as regards amount or otherwise this Policy </w:t>
      </w:r>
    </w:p>
    <w:p>
      <w:pPr>
        <w:tabs>
          <w:tab w:val="left" w:pos="600"/>
          <w:tab w:val="left" w:pos="234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Fraudulent           shall become void and all claims hereunder shall be forfeited.</w:t>
      </w:r>
    </w:p>
    <w:p>
      <w:pPr>
        <w:tabs>
          <w:tab w:val="left" w:pos="600"/>
        </w:tabs>
        <w:autoSpaceDE w:val="0"/>
        <w:autoSpaceDN w:val="0"/>
        <w:adjustRightInd w:val="0"/>
        <w:spacing w:line="333" w:lineRule="exact"/>
        <w:ind w:left="2700" w:hanging="3150" w:hangingChars="1500"/>
        <w:jc w:val="left"/>
        <w:rPr>
          <w:rFonts w:hint="eastAsia" w:ascii="宋体" w:hAnsi="宋体" w:eastAsia="宋体" w:cs="宋体"/>
          <w:kern w:val="0"/>
          <w:sz w:val="21"/>
          <w:szCs w:val="21"/>
        </w:rPr>
      </w:pPr>
      <w:r>
        <w:rPr>
          <w:rFonts w:hint="eastAsia" w:ascii="宋体" w:hAnsi="宋体" w:eastAsia="宋体" w:cs="宋体"/>
          <w:kern w:val="0"/>
          <w:sz w:val="21"/>
          <w:szCs w:val="21"/>
        </w:rPr>
        <w:t>Claims</w:t>
      </w:r>
    </w:p>
    <w:p>
      <w:pPr>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b/>
          <w:bCs/>
          <w:kern w:val="0"/>
          <w:sz w:val="21"/>
          <w:szCs w:val="21"/>
        </w:rPr>
        <w:t xml:space="preserve">(D)DEFINITIONS </w:t>
      </w:r>
    </w:p>
    <w:p>
      <w:pPr>
        <w:autoSpaceDE w:val="0"/>
        <w:autoSpaceDN w:val="0"/>
        <w:adjustRightInd w:val="0"/>
        <w:spacing w:line="213" w:lineRule="exact"/>
        <w:jc w:val="left"/>
        <w:rPr>
          <w:rFonts w:hint="eastAsia" w:ascii="宋体" w:hAnsi="宋体" w:eastAsia="宋体" w:cs="宋体"/>
          <w:kern w:val="0"/>
          <w:sz w:val="21"/>
          <w:szCs w:val="21"/>
        </w:rPr>
      </w:pPr>
    </w:p>
    <w:p>
      <w:pPr>
        <w:tabs>
          <w:tab w:val="left" w:pos="600"/>
        </w:tabs>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"ACCIDENT" means any one accident or series of accidents arising out of one event. </w:t>
      </w: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rPr>
        <w:tab/>
      </w:r>
      <w:r>
        <w:rPr>
          <w:rFonts w:hint="eastAsia" w:ascii="宋体" w:hAnsi="宋体" w:eastAsia="宋体" w:cs="宋体"/>
          <w:kern w:val="0"/>
          <w:sz w:val="21"/>
          <w:szCs w:val="21"/>
        </w:rPr>
        <w:t>"UNIT" means a part or an assembly of parts (including any sub-assemblies) of</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 Aircraft which has been assigned an Overhaul Life as a part or an </w:t>
      </w:r>
    </w:p>
    <w:p>
      <w:pPr>
        <w:autoSpaceDE w:val="0"/>
        <w:autoSpaceDN w:val="0"/>
        <w:adjustRightInd w:val="0"/>
        <w:spacing w:line="280"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assembly. Nevertheless, an engine complete with all parts normally attached</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when removed for the purpose of overhaul or replacement shall together </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constitute a single Unit. </w:t>
      </w: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3. </w:t>
      </w:r>
      <w:r>
        <w:rPr>
          <w:rFonts w:hint="eastAsia" w:ascii="宋体" w:hAnsi="宋体" w:eastAsia="宋体" w:cs="宋体"/>
          <w:kern w:val="0"/>
          <w:sz w:val="21"/>
          <w:szCs w:val="21"/>
        </w:rPr>
        <w:tab/>
      </w:r>
      <w:r>
        <w:rPr>
          <w:rFonts w:hint="eastAsia" w:ascii="宋体" w:hAnsi="宋体" w:eastAsia="宋体" w:cs="宋体"/>
          <w:kern w:val="0"/>
          <w:sz w:val="21"/>
          <w:szCs w:val="21"/>
        </w:rPr>
        <w:t>"OVERHAUL LIFE" means the amount of use, or operational and/or calendar</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time which, according to the Airworthiness Authority, determines when overhaul</w:t>
      </w:r>
    </w:p>
    <w:p>
      <w:pPr>
        <w:autoSpaceDE w:val="0"/>
        <w:autoSpaceDN w:val="0"/>
        <w:adjustRightInd w:val="0"/>
        <w:spacing w:line="280"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or replacement of a Unit is required. </w:t>
      </w:r>
    </w:p>
    <w:p>
      <w:pPr>
        <w:tabs>
          <w:tab w:val="left" w:pos="600"/>
        </w:tabs>
        <w:autoSpaceDE w:val="0"/>
        <w:autoSpaceDN w:val="0"/>
        <w:adjustRightInd w:val="0"/>
        <w:spacing w:line="333"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4. </w:t>
      </w:r>
      <w:r>
        <w:rPr>
          <w:rFonts w:hint="eastAsia" w:ascii="宋体" w:hAnsi="宋体" w:eastAsia="宋体" w:cs="宋体"/>
          <w:kern w:val="0"/>
          <w:sz w:val="21"/>
          <w:szCs w:val="21"/>
        </w:rPr>
        <w:tab/>
      </w:r>
      <w:r>
        <w:rPr>
          <w:rFonts w:hint="eastAsia" w:ascii="宋体" w:hAnsi="宋体" w:eastAsia="宋体" w:cs="宋体"/>
          <w:kern w:val="0"/>
          <w:sz w:val="21"/>
          <w:szCs w:val="21"/>
        </w:rPr>
        <w:t>"OVERHAUL COST" means the costs of labour and materials which are or</w:t>
      </w:r>
    </w:p>
    <w:p>
      <w:pPr>
        <w:autoSpaceDE w:val="0"/>
        <w:autoSpaceDN w:val="0"/>
        <w:adjustRightInd w:val="0"/>
        <w:spacing w:line="280"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would be incurred in overhaul or replacement (whichever is necessary) at the</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end of the Overhaul Life of the damaged or a similar Unit. </w:t>
      </w: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5. </w:t>
      </w:r>
      <w:r>
        <w:rPr>
          <w:rFonts w:hint="eastAsia" w:ascii="宋体" w:hAnsi="宋体" w:eastAsia="宋体" w:cs="宋体"/>
          <w:kern w:val="0"/>
          <w:sz w:val="21"/>
          <w:szCs w:val="21"/>
        </w:rPr>
        <w:tab/>
      </w:r>
      <w:r>
        <w:rPr>
          <w:rFonts w:hint="eastAsia" w:ascii="宋体" w:hAnsi="宋体" w:eastAsia="宋体" w:cs="宋体"/>
          <w:kern w:val="0"/>
          <w:sz w:val="21"/>
          <w:szCs w:val="21"/>
        </w:rPr>
        <w:t>"PRIVATE PLEASURE" means use for private and pleasure purposes but</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NOT use for any business or profession nor for hire or reward. </w:t>
      </w: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6. </w:t>
      </w:r>
      <w:r>
        <w:rPr>
          <w:rFonts w:hint="eastAsia" w:ascii="宋体" w:hAnsi="宋体" w:eastAsia="宋体" w:cs="宋体"/>
          <w:kern w:val="0"/>
          <w:sz w:val="21"/>
          <w:szCs w:val="21"/>
        </w:rPr>
        <w:tab/>
      </w:r>
      <w:r>
        <w:rPr>
          <w:rFonts w:hint="eastAsia" w:ascii="宋体" w:hAnsi="宋体" w:eastAsia="宋体" w:cs="宋体"/>
          <w:kern w:val="0"/>
          <w:sz w:val="21"/>
          <w:szCs w:val="21"/>
        </w:rPr>
        <w:t>"BUSINESS" means the uses stated in Private Pleasure and use for business or</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professional purposes but NOT use for hire or reward. </w:t>
      </w:r>
    </w:p>
    <w:p>
      <w:pPr>
        <w:tabs>
          <w:tab w:val="left" w:pos="600"/>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7. </w:t>
      </w:r>
      <w:r>
        <w:rPr>
          <w:rFonts w:hint="eastAsia" w:ascii="宋体" w:hAnsi="宋体" w:eastAsia="宋体" w:cs="宋体"/>
          <w:kern w:val="0"/>
          <w:sz w:val="21"/>
          <w:szCs w:val="21"/>
        </w:rPr>
        <w:tab/>
      </w:r>
      <w:r>
        <w:rPr>
          <w:rFonts w:hint="eastAsia" w:ascii="宋体" w:hAnsi="宋体" w:eastAsia="宋体" w:cs="宋体"/>
          <w:kern w:val="0"/>
          <w:sz w:val="21"/>
          <w:szCs w:val="21"/>
        </w:rPr>
        <w:t>"COMMERCIAL" means the uses stated in Private Pleasure and Business and</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use for the carriage by the Insured of passengers, baggage accompanying </w:t>
      </w:r>
    </w:p>
    <w:p>
      <w:pPr>
        <w:autoSpaceDE w:val="0"/>
        <w:autoSpaceDN w:val="0"/>
        <w:adjustRightInd w:val="0"/>
        <w:spacing w:line="280"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passengers and cargo for hire or reward. </w:t>
      </w:r>
    </w:p>
    <w:p>
      <w:pPr>
        <w:tabs>
          <w:tab w:val="left" w:pos="600"/>
        </w:tabs>
        <w:autoSpaceDE w:val="0"/>
        <w:autoSpaceDN w:val="0"/>
        <w:adjustRightInd w:val="0"/>
        <w:spacing w:line="38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8. </w:t>
      </w:r>
      <w:r>
        <w:rPr>
          <w:rFonts w:hint="eastAsia" w:ascii="宋体" w:hAnsi="宋体" w:eastAsia="宋体" w:cs="宋体"/>
          <w:kern w:val="0"/>
          <w:sz w:val="21"/>
          <w:szCs w:val="21"/>
        </w:rPr>
        <w:tab/>
      </w:r>
      <w:r>
        <w:rPr>
          <w:rFonts w:hint="eastAsia" w:ascii="宋体" w:hAnsi="宋体" w:eastAsia="宋体" w:cs="宋体"/>
          <w:kern w:val="0"/>
          <w:sz w:val="21"/>
          <w:szCs w:val="21"/>
        </w:rPr>
        <w:t>"RENTAL" means rental, lease, charter or hire by the Insured to any person,</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company or organisation for Private Pleasure and Business uses only, where the</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operation of the Aircraft is not under the control of the Insured.  Rental for any</w:t>
      </w:r>
    </w:p>
    <w:p>
      <w:pPr>
        <w:autoSpaceDE w:val="0"/>
        <w:autoSpaceDN w:val="0"/>
        <w:adjustRightInd w:val="0"/>
        <w:spacing w:line="280"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other purpose is NOT insured under this Policy unless specifically declared to</w:t>
      </w:r>
    </w:p>
    <w:p>
      <w:pPr>
        <w:autoSpaceDE w:val="0"/>
        <w:autoSpaceDN w:val="0"/>
        <w:adjustRightInd w:val="0"/>
        <w:spacing w:line="266" w:lineRule="exact"/>
        <w:ind w:left="600"/>
        <w:jc w:val="left"/>
        <w:rPr>
          <w:rFonts w:hint="eastAsia" w:ascii="宋体" w:hAnsi="宋体" w:eastAsia="宋体" w:cs="宋体"/>
          <w:kern w:val="0"/>
          <w:sz w:val="21"/>
          <w:szCs w:val="21"/>
        </w:rPr>
      </w:pPr>
      <w:r>
        <w:rPr>
          <w:rFonts w:hint="eastAsia" w:ascii="宋体" w:hAnsi="宋体" w:eastAsia="宋体" w:cs="宋体"/>
          <w:kern w:val="0"/>
          <w:sz w:val="21"/>
          <w:szCs w:val="21"/>
        </w:rPr>
        <w:t>Insurers and the detail of such use(s) stated in Part 3 of the Schedule under</w:t>
      </w:r>
    </w:p>
    <w:p>
      <w:pPr>
        <w:autoSpaceDE w:val="0"/>
        <w:autoSpaceDN w:val="0"/>
        <w:adjustRightInd w:val="0"/>
        <w:spacing w:line="400" w:lineRule="exact"/>
        <w:ind w:firstLine="525" w:firstLineChars="2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SPECIAL RENTAL USES. </w:t>
      </w:r>
    </w:p>
    <w:p>
      <w:pPr>
        <w:autoSpaceDE w:val="0"/>
        <w:autoSpaceDN w:val="0"/>
        <w:adjustRightInd w:val="0"/>
        <w:spacing w:line="400" w:lineRule="exact"/>
        <w:jc w:val="left"/>
        <w:rPr>
          <w:rFonts w:hint="eastAsia" w:ascii="宋体" w:hAnsi="宋体" w:eastAsia="宋体" w:cs="宋体"/>
          <w:kern w:val="0"/>
          <w:sz w:val="21"/>
          <w:szCs w:val="21"/>
        </w:rPr>
      </w:pPr>
    </w:p>
    <w:p>
      <w:pPr>
        <w:autoSpaceDE w:val="0"/>
        <w:autoSpaceDN w:val="0"/>
        <w:adjustRightInd w:val="0"/>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Definitions 5, 6, 7 and 8 constitute Standard Uses and  </w:t>
      </w:r>
      <w:r>
        <w:rPr>
          <w:rFonts w:hint="eastAsia" w:ascii="宋体" w:hAnsi="宋体" w:eastAsia="宋体" w:cs="宋体"/>
          <w:b/>
          <w:bCs/>
          <w:kern w:val="0"/>
          <w:sz w:val="21"/>
          <w:szCs w:val="21"/>
        </w:rPr>
        <w:t>do not include</w:t>
      </w:r>
      <w:r>
        <w:rPr>
          <w:rFonts w:hint="eastAsia" w:ascii="宋体" w:hAnsi="宋体" w:eastAsia="宋体" w:cs="宋体"/>
          <w:kern w:val="0"/>
          <w:sz w:val="21"/>
          <w:szCs w:val="21"/>
        </w:rPr>
        <w:t xml:space="preserve"> instruction, aerobatics, hunting, patrol, fire-fighting, the intentional dropping, spraying or release of anything, any form of experimental or competitive flying, and any other use involving abnormal hazard, but when cover is provided details of such use(s) are stated in Part 3 of the Schedule under SPECIAL USES. </w:t>
      </w:r>
    </w:p>
    <w:p>
      <w:pPr>
        <w:autoSpaceDE w:val="0"/>
        <w:autoSpaceDN w:val="0"/>
        <w:adjustRightInd w:val="0"/>
        <w:spacing w:line="400" w:lineRule="exact"/>
        <w:jc w:val="left"/>
        <w:rPr>
          <w:rFonts w:hint="eastAsia" w:ascii="宋体" w:hAnsi="宋体" w:eastAsia="宋体" w:cs="宋体"/>
          <w:kern w:val="0"/>
          <w:sz w:val="21"/>
          <w:szCs w:val="21"/>
        </w:rPr>
      </w:pPr>
    </w:p>
    <w:p>
      <w:pPr>
        <w:tabs>
          <w:tab w:val="left" w:pos="3013"/>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9. "FLIGHT" means from the time the Aircraft moves forward in taking off or</w:t>
      </w:r>
    </w:p>
    <w:p>
      <w:pPr>
        <w:autoSpaceDE w:val="0"/>
        <w:autoSpaceDN w:val="0"/>
        <w:adjustRightInd w:val="0"/>
        <w:spacing w:line="280" w:lineRule="exact"/>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attempting to take off, whilst in the air, and until the Aircraft completes its</w:t>
      </w:r>
    </w:p>
    <w:p>
      <w:pPr>
        <w:autoSpaceDE w:val="0"/>
        <w:autoSpaceDN w:val="0"/>
        <w:adjustRightInd w:val="0"/>
        <w:spacing w:line="266" w:lineRule="exact"/>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landing run. A rotary-wing aircraft shall be deemed to be in Flight when the</w:t>
      </w:r>
    </w:p>
    <w:p>
      <w:pPr>
        <w:autoSpaceDE w:val="0"/>
        <w:autoSpaceDN w:val="0"/>
        <w:adjustRightInd w:val="0"/>
        <w:spacing w:line="266" w:lineRule="exact"/>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rotors are in motion as a result of engine power, the momentum generated </w:t>
      </w:r>
    </w:p>
    <w:p>
      <w:pPr>
        <w:autoSpaceDE w:val="0"/>
        <w:autoSpaceDN w:val="0"/>
        <w:adjustRightInd w:val="0"/>
        <w:spacing w:line="266" w:lineRule="exact"/>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therefrom, or autorotation. </w:t>
      </w:r>
    </w:p>
    <w:p>
      <w:pPr>
        <w:tabs>
          <w:tab w:val="left" w:pos="3013"/>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10."TAXIING" means movement of the Aircraft under its own power other than in</w:t>
      </w:r>
    </w:p>
    <w:p>
      <w:pPr>
        <w:autoSpaceDE w:val="0"/>
        <w:autoSpaceDN w:val="0"/>
        <w:adjustRightInd w:val="0"/>
        <w:spacing w:line="266" w:lineRule="exact"/>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Flight as defined above.  Taxiing shall not be deemed to cease merely by reason</w:t>
      </w:r>
    </w:p>
    <w:p>
      <w:pPr>
        <w:autoSpaceDE w:val="0"/>
        <w:autoSpaceDN w:val="0"/>
        <w:adjustRightInd w:val="0"/>
        <w:spacing w:line="280" w:lineRule="exact"/>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of a temporary halting of the Aircraft. </w:t>
      </w:r>
    </w:p>
    <w:p>
      <w:pPr>
        <w:tabs>
          <w:tab w:val="left" w:pos="3013"/>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11. "MOORED" means, in the case of aircraft designed to land on water, whilst the</w:t>
      </w:r>
    </w:p>
    <w:p>
      <w:pPr>
        <w:autoSpaceDE w:val="0"/>
        <w:autoSpaceDN w:val="0"/>
        <w:adjustRightInd w:val="0"/>
        <w:spacing w:line="266" w:lineRule="exact"/>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Aircraft is afloat and is not in Flight or Taxiing as defined above, and includes</w:t>
      </w:r>
    </w:p>
    <w:p>
      <w:pPr>
        <w:autoSpaceDE w:val="0"/>
        <w:autoSpaceDN w:val="0"/>
        <w:adjustRightInd w:val="0"/>
        <w:spacing w:line="266" w:lineRule="exact"/>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the risks of launching and hauling up. </w:t>
      </w:r>
    </w:p>
    <w:p>
      <w:pPr>
        <w:tabs>
          <w:tab w:val="left" w:pos="2535"/>
        </w:tabs>
        <w:autoSpaceDE w:val="0"/>
        <w:autoSpaceDN w:val="0"/>
        <w:adjustRightInd w:val="0"/>
        <w:spacing w:line="346"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12. "GROUND" means whilst the Aircraft is not in Flight or Taxiing or Moored as</w:t>
      </w:r>
    </w:p>
    <w:p>
      <w:pPr>
        <w:autoSpaceDE w:val="0"/>
        <w:autoSpaceDN w:val="0"/>
        <w:adjustRightInd w:val="0"/>
        <w:snapToGrid w:val="0"/>
        <w:spacing w:line="288" w:lineRule="auto"/>
        <w:ind w:firstLine="456"/>
        <w:jc w:val="left"/>
        <w:rPr>
          <w:rFonts w:hint="eastAsia" w:ascii="宋体" w:hAnsi="宋体" w:eastAsia="宋体" w:cs="宋体"/>
          <w:kern w:val="0"/>
          <w:sz w:val="21"/>
          <w:szCs w:val="21"/>
        </w:rPr>
      </w:pPr>
      <w:r>
        <w:rPr>
          <w:rFonts w:hint="eastAsia" w:ascii="宋体" w:hAnsi="宋体" w:eastAsia="宋体" w:cs="宋体"/>
          <w:kern w:val="0"/>
          <w:sz w:val="21"/>
          <w:szCs w:val="21"/>
        </w:rPr>
        <w:t>defined above</w:t>
      </w:r>
    </w:p>
    <w:p>
      <w:pPr>
        <w:pStyle w:val="32"/>
        <w:spacing w:before="120" w:after="120" w:line="360" w:lineRule="auto"/>
        <w:jc w:val="center"/>
        <w:outlineLvl w:val="0"/>
        <w:rPr>
          <w:rFonts w:hAnsi="宋体"/>
          <w:b/>
          <w:color w:val="000000" w:themeColor="text1"/>
          <w:sz w:val="36"/>
          <w:szCs w:val="36"/>
          <w14:textFill>
            <w14:solidFill>
              <w14:schemeClr w14:val="tx1"/>
            </w14:solidFill>
          </w14:textFill>
        </w:rPr>
      </w:pPr>
      <w:r>
        <w:rPr>
          <w:rFonts w:hint="eastAsia" w:ascii="仿宋_GB2312" w:eastAsia="仿宋_GB2312"/>
          <w:snapToGrid w:val="0"/>
          <w:color w:val="000000" w:themeColor="text1"/>
          <w:kern w:val="0"/>
          <w:sz w:val="30"/>
          <w:szCs w:val="30"/>
          <w14:textFill>
            <w14:solidFill>
              <w14:schemeClr w14:val="tx1"/>
            </w14:solidFill>
          </w14:textFill>
        </w:rPr>
        <w:br w:type="page"/>
      </w:r>
      <w:bookmarkStart w:id="33" w:name="_Toc22013"/>
      <w:r>
        <w:rPr>
          <w:rFonts w:hint="eastAsia" w:hAnsi="宋体"/>
          <w:b/>
          <w:color w:val="000000" w:themeColor="text1"/>
          <w:sz w:val="36"/>
          <w:szCs w:val="36"/>
          <w14:textFill>
            <w14:solidFill>
              <w14:schemeClr w14:val="tx1"/>
            </w14:solidFill>
          </w14:textFill>
        </w:rPr>
        <w:t>第六章投标文件格式附件</w:t>
      </w:r>
      <w:bookmarkEnd w:id="33"/>
    </w:p>
    <w:p>
      <w:pPr>
        <w:pStyle w:val="32"/>
        <w:spacing w:before="120" w:after="120" w:line="360" w:lineRule="auto"/>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pStyle w:val="32"/>
        <w:adjustRightInd w:val="0"/>
        <w:snapToGrid w:val="0"/>
        <w:spacing w:before="120" w:after="120"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pPr>
        <w:snapToGrid w:val="0"/>
        <w:spacing w:before="120"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bookmarkStart w:id="34" w:name="PO_1000000445_PM002_2"/>
      <w:r>
        <w:rPr>
          <w:rFonts w:hint="eastAsia" w:ascii="仿宋" w:hAnsi="仿宋" w:eastAsia="仿宋"/>
          <w:b/>
          <w:color w:val="000000" w:themeColor="text1"/>
          <w:spacing w:val="40"/>
          <w:sz w:val="52"/>
          <w:szCs w:val="52"/>
          <w14:textFill>
            <w14:solidFill>
              <w14:schemeClr w14:val="tx1"/>
            </w14:solidFill>
          </w14:textFill>
        </w:rPr>
        <w:t>省公安警务航空队2024-2025年直升机航空保险项目</w:t>
      </w:r>
      <w:bookmarkEnd w:id="34"/>
    </w:p>
    <w:p>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35" w:name="PO_15528_PM001_2"/>
      <w:r>
        <w:rPr>
          <w:rFonts w:hint="eastAsia" w:ascii="仿宋" w:hAnsi="仿宋" w:eastAsia="仿宋"/>
          <w:color w:val="000000" w:themeColor="text1"/>
          <w:sz w:val="36"/>
          <w:szCs w:val="36"/>
          <w14:textFill>
            <w14:solidFill>
              <w14:schemeClr w14:val="tx1"/>
            </w14:solidFill>
          </w14:textFill>
        </w:rPr>
        <w:t>ZZCG2024P-GK-108</w:t>
      </w:r>
      <w:bookmarkEnd w:id="35"/>
      <w:r>
        <w:rPr>
          <w:rFonts w:hint="eastAsia" w:ascii="仿宋" w:hAnsi="仿宋" w:eastAsia="仿宋"/>
          <w:color w:val="000000" w:themeColor="text1"/>
          <w:sz w:val="36"/>
          <w:szCs w:val="36"/>
          <w14:textFill>
            <w14:solidFill>
              <w14:schemeClr w14:val="tx1"/>
            </w14:solidFill>
          </w14:textFill>
        </w:rPr>
        <w:t>（标项  ）</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bCs/>
          <w:sz w:val="36"/>
          <w:szCs w:val="36"/>
        </w:rPr>
        <w:t>资格文件目录</w:t>
      </w:r>
    </w:p>
    <w:p>
      <w:pPr>
        <w:snapToGrid w:val="0"/>
        <w:spacing w:before="50" w:after="50"/>
        <w:rPr>
          <w:rFonts w:ascii="仿宋" w:hAnsi="仿宋" w:eastAsia="仿宋"/>
          <w:sz w:val="30"/>
          <w:szCs w:val="30"/>
        </w:rPr>
      </w:pP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（6）提供采购公告中符合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pPr>
        <w:pStyle w:val="35"/>
        <w:snapToGrid w:val="0"/>
        <w:spacing w:after="120" w:line="460" w:lineRule="exact"/>
        <w:ind w:left="5250" w:firstLine="600" w:firstLineChars="200"/>
        <w:rPr>
          <w:rFonts w:ascii="仿宋" w:hAnsi="仿宋" w:eastAsia="仿宋"/>
          <w:sz w:val="30"/>
          <w:szCs w:val="30"/>
        </w:rPr>
      </w:pPr>
    </w:p>
    <w:p>
      <w:pPr>
        <w:snapToGrid w:val="0"/>
        <w:spacing w:line="460" w:lineRule="exact"/>
        <w:ind w:firstLine="588" w:firstLineChars="196"/>
        <w:jc w:val="left"/>
        <w:rPr>
          <w:rFonts w:ascii="仿宋" w:hAnsi="仿宋" w:eastAsia="仿宋"/>
          <w:sz w:val="30"/>
          <w:szCs w:val="30"/>
        </w:rPr>
      </w:pPr>
    </w:p>
    <w:p>
      <w:pPr>
        <w:widowControl/>
        <w:jc w:val="left"/>
        <w:rPr>
          <w:rFonts w:ascii="仿宋" w:hAnsi="仿宋" w:eastAsia="仿宋"/>
          <w:bCs/>
          <w:sz w:val="28"/>
          <w:szCs w:val="28"/>
        </w:rPr>
      </w:pPr>
      <w:r>
        <w:rPr>
          <w:rFonts w:ascii="仿宋" w:hAnsi="仿宋" w:eastAsia="仿宋"/>
          <w:bCs/>
          <w:sz w:val="28"/>
          <w:szCs w:val="28"/>
        </w:rPr>
        <w:br w:type="page"/>
      </w:r>
    </w:p>
    <w:p>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pPr>
        <w:pStyle w:val="32"/>
        <w:snapToGrid w:val="0"/>
        <w:spacing w:before="120" w:after="120" w:line="240" w:lineRule="auto"/>
        <w:rPr>
          <w:rFonts w:ascii="仿宋" w:hAnsi="仿宋" w:eastAsia="仿宋"/>
          <w:sz w:val="30"/>
          <w:szCs w:val="30"/>
        </w:rPr>
      </w:pPr>
    </w:p>
    <w:p>
      <w:pPr>
        <w:pStyle w:val="32"/>
        <w:snapToGrid w:val="0"/>
        <w:spacing w:before="120" w:after="120" w:line="240" w:lineRule="auto"/>
        <w:rPr>
          <w:rFonts w:ascii="仿宋" w:hAnsi="仿宋" w:eastAsia="仿宋"/>
          <w:sz w:val="30"/>
          <w:szCs w:val="30"/>
        </w:rPr>
      </w:pPr>
    </w:p>
    <w:p>
      <w:pPr>
        <w:snapToGrid w:val="0"/>
        <w:spacing w:before="50" w:after="120"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36" w:name="PO_3000002632_PM002"/>
      <w:r>
        <w:rPr>
          <w:rFonts w:hint="eastAsia" w:ascii="仿宋" w:hAnsi="仿宋" w:eastAsia="仿宋"/>
          <w:b/>
          <w:sz w:val="30"/>
          <w:szCs w:val="30"/>
          <w:u w:val="single"/>
        </w:rPr>
        <w:t>省公安警务航空队2024-2025年直升机航空保险项目</w:t>
      </w:r>
      <w:bookmarkEnd w:id="36"/>
      <w:r>
        <w:rPr>
          <w:rFonts w:hint="eastAsia" w:ascii="仿宋" w:hAnsi="仿宋" w:eastAsia="仿宋"/>
          <w:sz w:val="30"/>
          <w:szCs w:val="30"/>
          <w:u w:val="single"/>
        </w:rPr>
        <w:t>（编号为</w:t>
      </w:r>
      <w:bookmarkStart w:id="37" w:name="PO_15528_PM001_3"/>
      <w:r>
        <w:rPr>
          <w:rFonts w:hint="eastAsia" w:ascii="仿宋" w:hAnsi="仿宋" w:eastAsia="仿宋"/>
          <w:sz w:val="30"/>
          <w:szCs w:val="30"/>
          <w:u w:val="single"/>
        </w:rPr>
        <w:t>ZZCG2024P-GK-108</w:t>
      </w:r>
      <w:bookmarkEnd w:id="37"/>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7.我方通过“信用中国”网站（www.creditchina.gov.cn）、中国政府采购网（www.ccgp.gov.cn）查询，未被列入失信被执行人、重大税收违法案件当事人名单、政府采购严重违法失信行为记录名单。</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pPr>
        <w:snapToGrid w:val="0"/>
        <w:spacing w:before="120"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pPr>
        <w:snapToGrid w:val="0"/>
        <w:spacing w:before="120" w:beforeLines="50" w:after="50" w:line="460" w:lineRule="exact"/>
        <w:ind w:right="600" w:firstLine="150" w:firstLineChars="50"/>
        <w:rPr>
          <w:rFonts w:ascii="仿宋" w:hAnsi="仿宋" w:eastAsia="仿宋"/>
          <w:sz w:val="30"/>
          <w:szCs w:val="30"/>
        </w:rPr>
      </w:pPr>
    </w:p>
    <w:p>
      <w:pPr>
        <w:snapToGrid w:val="0"/>
        <w:spacing w:before="120" w:beforeLines="50" w:after="50" w:line="460" w:lineRule="exact"/>
        <w:ind w:right="600" w:firstLine="150" w:firstLineChars="50"/>
        <w:rPr>
          <w:rFonts w:ascii="仿宋" w:hAnsi="仿宋" w:eastAsia="仿宋"/>
          <w:sz w:val="30"/>
          <w:szCs w:val="30"/>
        </w:rPr>
      </w:pPr>
    </w:p>
    <w:p>
      <w:pPr>
        <w:snapToGrid w:val="0"/>
        <w:spacing w:before="120"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pPr>
        <w:snapToGrid w:val="0"/>
        <w:spacing w:before="120"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pPr>
        <w:snapToGrid w:val="0"/>
        <w:spacing w:before="120" w:beforeLines="50" w:after="50"/>
        <w:jc w:val="center"/>
        <w:rPr>
          <w:rFonts w:ascii="仿宋" w:hAnsi="仿宋" w:eastAsia="仿宋"/>
          <w:b/>
          <w:sz w:val="30"/>
          <w:szCs w:val="30"/>
        </w:rPr>
      </w:pPr>
    </w:p>
    <w:p>
      <w:pPr>
        <w:snapToGrid w:val="0"/>
        <w:spacing w:before="120"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pPr>
        <w:snapToGrid w:val="0"/>
        <w:spacing w:before="120"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38" w:name="PO_3000002632_PM002_1"/>
      <w:r>
        <w:rPr>
          <w:rFonts w:hint="eastAsia" w:ascii="仿宋" w:hAnsi="仿宋" w:eastAsia="仿宋"/>
          <w:b/>
          <w:sz w:val="30"/>
          <w:szCs w:val="30"/>
          <w:u w:val="single"/>
        </w:rPr>
        <w:t>省公安警务航空队2024-2025年直升机航空保险项目</w:t>
      </w:r>
      <w:bookmarkEnd w:id="38"/>
      <w:r>
        <w:rPr>
          <w:rFonts w:hint="eastAsia" w:ascii="仿宋" w:hAnsi="仿宋" w:eastAsia="仿宋"/>
          <w:sz w:val="30"/>
          <w:szCs w:val="30"/>
        </w:rPr>
        <w:t xml:space="preserve"> 项目编号：</w:t>
      </w:r>
      <w:bookmarkStart w:id="39" w:name="PO_3000002632_PM001"/>
      <w:r>
        <w:rPr>
          <w:rFonts w:hint="eastAsia" w:ascii="仿宋" w:hAnsi="仿宋" w:eastAsia="仿宋"/>
          <w:b/>
          <w:sz w:val="30"/>
          <w:szCs w:val="30"/>
          <w:u w:val="single"/>
        </w:rPr>
        <w:t>ZZCG2024P-GK-108</w:t>
      </w:r>
      <w:bookmarkEnd w:id="39"/>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pPr>
        <w:snapToGrid w:val="0"/>
        <w:spacing w:before="120"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pPr>
        <w:snapToGrid w:val="0"/>
        <w:spacing w:before="120"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pPr>
        <w:snapToGrid w:val="0"/>
        <w:spacing w:before="120" w:beforeLines="50" w:after="50" w:line="460" w:lineRule="exact"/>
        <w:ind w:firstLine="480"/>
        <w:rPr>
          <w:rFonts w:ascii="仿宋" w:hAnsi="仿宋" w:eastAsia="仿宋"/>
          <w:sz w:val="30"/>
          <w:szCs w:val="30"/>
        </w:rPr>
      </w:pP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pPr>
        <w:snapToGrid w:val="0"/>
        <w:spacing w:before="120" w:beforeLines="50" w:after="50" w:line="460" w:lineRule="exact"/>
        <w:ind w:firstLine="6150" w:firstLineChars="2050"/>
        <w:rPr>
          <w:rFonts w:ascii="仿宋" w:hAnsi="仿宋" w:eastAsia="仿宋"/>
          <w:sz w:val="30"/>
          <w:szCs w:val="30"/>
        </w:rPr>
      </w:pP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widowControl/>
        <w:jc w:val="left"/>
        <w:rPr>
          <w:rFonts w:ascii="仿宋" w:hAnsi="仿宋" w:eastAsia="仿宋"/>
          <w:sz w:val="30"/>
          <w:szCs w:val="30"/>
        </w:rPr>
      </w:pPr>
    </w:p>
    <w:p>
      <w:pPr>
        <w:snapToGrid w:val="0"/>
        <w:spacing w:before="120" w:beforeLines="50" w:after="50" w:line="460" w:lineRule="exact"/>
        <w:rPr>
          <w:rFonts w:hint="eastAsia" w:ascii="仿宋" w:hAnsi="仿宋" w:eastAsia="仿宋"/>
          <w:sz w:val="30"/>
          <w:szCs w:val="30"/>
        </w:rPr>
      </w:pPr>
    </w:p>
    <w:p>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正面：</w:t>
      </w: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反面：</w:t>
      </w:r>
    </w:p>
    <w:p>
      <w:pPr>
        <w:widowControl/>
        <w:jc w:val="left"/>
        <w:rPr>
          <w:rFonts w:hAnsi="宋体" w:cs="宋体"/>
          <w:bCs/>
          <w:sz w:val="24"/>
        </w:rPr>
      </w:pPr>
    </w:p>
    <w:p>
      <w:pPr>
        <w:widowControl/>
        <w:jc w:val="left"/>
        <w:rPr>
          <w:rFonts w:hAnsi="宋体" w:cs="宋体"/>
          <w:bCs/>
          <w:sz w:val="24"/>
        </w:rPr>
      </w:pPr>
    </w:p>
    <w:p>
      <w:pPr>
        <w:widowControl/>
        <w:jc w:val="left"/>
        <w:rPr>
          <w:rFonts w:hAnsi="宋体" w:cs="宋体"/>
          <w:bCs/>
          <w:sz w:val="24"/>
        </w:rPr>
      </w:pPr>
    </w:p>
    <w:p>
      <w:pPr>
        <w:snapToGrid w:val="0"/>
        <w:spacing w:before="120" w:beforeLines="50" w:after="50"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rPr>
      </w:pPr>
    </w:p>
    <w:p>
      <w:pPr>
        <w:widowControl/>
        <w:jc w:val="left"/>
        <w:rPr>
          <w:rFonts w:hAnsi="宋体" w:cs="宋体"/>
          <w:bCs/>
          <w:sz w:val="24"/>
        </w:rPr>
      </w:pPr>
    </w:p>
    <w:p>
      <w:pPr>
        <w:widowControl/>
        <w:jc w:val="left"/>
        <w:rPr>
          <w:rFonts w:hAnsi="宋体" w:cs="宋体"/>
          <w:bCs/>
          <w:sz w:val="24"/>
        </w:rPr>
      </w:pPr>
    </w:p>
    <w:p>
      <w:pPr>
        <w:widowControl/>
        <w:jc w:val="left"/>
        <w:rPr>
          <w:rFonts w:hAnsi="宋体" w:cs="宋体"/>
          <w:bCs/>
          <w:sz w:val="24"/>
        </w:rPr>
      </w:pPr>
    </w:p>
    <w:p>
      <w:pPr>
        <w:widowControl/>
        <w:jc w:val="left"/>
        <w:rPr>
          <w:rFonts w:hAnsi="宋体" w:cs="宋体"/>
          <w:bCs/>
          <w:sz w:val="24"/>
        </w:rPr>
      </w:pP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widowControl/>
        <w:jc w:val="left"/>
        <w:rPr>
          <w:rFonts w:hAnsi="宋体" w:cs="宋体"/>
          <w:bCs/>
          <w:sz w:val="24"/>
        </w:rPr>
      </w:pP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pPr>
        <w:tabs>
          <w:tab w:val="left" w:pos="606"/>
        </w:tabs>
        <w:spacing w:line="360" w:lineRule="exact"/>
        <w:rPr>
          <w:rFonts w:hint="eastAsia" w:ascii="仿宋" w:hAnsi="仿宋" w:eastAsia="仿宋"/>
          <w:sz w:val="30"/>
          <w:szCs w:val="30"/>
        </w:rPr>
      </w:pPr>
    </w:p>
    <w:p>
      <w:pPr>
        <w:tabs>
          <w:tab w:val="left" w:pos="606"/>
        </w:tabs>
        <w:spacing w:line="360" w:lineRule="exact"/>
        <w:rPr>
          <w:rFonts w:hint="eastAsia" w:ascii="仿宋" w:hAnsi="仿宋" w:eastAsia="仿宋"/>
          <w:sz w:val="30"/>
          <w:szCs w:val="30"/>
        </w:rPr>
      </w:pPr>
    </w:p>
    <w:p>
      <w:pPr>
        <w:tabs>
          <w:tab w:val="left" w:pos="606"/>
        </w:tabs>
        <w:spacing w:line="360" w:lineRule="exact"/>
        <w:rPr>
          <w:rFonts w:hint="eastAsia" w:ascii="仿宋" w:hAnsi="仿宋" w:eastAsia="仿宋"/>
          <w:sz w:val="30"/>
          <w:szCs w:val="30"/>
        </w:rPr>
      </w:pPr>
    </w:p>
    <w:p>
      <w:pPr>
        <w:tabs>
          <w:tab w:val="left" w:pos="606"/>
        </w:tabs>
        <w:spacing w:line="360" w:lineRule="exact"/>
        <w:rPr>
          <w:rFonts w:hint="eastAsia" w:ascii="仿宋" w:hAnsi="仿宋" w:eastAsia="仿宋"/>
          <w:sz w:val="30"/>
          <w:szCs w:val="30"/>
        </w:rPr>
      </w:pPr>
    </w:p>
    <w:p>
      <w:pPr>
        <w:tabs>
          <w:tab w:val="left" w:pos="606"/>
        </w:tabs>
        <w:spacing w:line="360" w:lineRule="exact"/>
        <w:rPr>
          <w:rFonts w:hint="eastAsia" w:ascii="仿宋" w:hAnsi="仿宋" w:eastAsia="仿宋"/>
          <w:sz w:val="30"/>
          <w:szCs w:val="30"/>
        </w:rPr>
      </w:pPr>
    </w:p>
    <w:p>
      <w:pPr>
        <w:tabs>
          <w:tab w:val="left" w:pos="606"/>
        </w:tabs>
        <w:spacing w:line="360" w:lineRule="exact"/>
        <w:rPr>
          <w:rFonts w:ascii="仿宋" w:hAnsi="仿宋" w:eastAsia="仿宋"/>
          <w:spacing w:val="20"/>
          <w:sz w:val="30"/>
          <w:szCs w:val="30"/>
        </w:rPr>
      </w:pPr>
      <w:bookmarkStart w:id="45" w:name="_GoBack"/>
      <w:bookmarkEnd w:id="45"/>
      <w:r>
        <w:rPr>
          <w:rFonts w:hint="eastAsia" w:ascii="仿宋" w:hAnsi="仿宋" w:eastAsia="仿宋"/>
          <w:sz w:val="30"/>
          <w:szCs w:val="30"/>
        </w:rPr>
        <w:t>附件4：</w:t>
      </w:r>
    </w:p>
    <w:p>
      <w:pPr>
        <w:pStyle w:val="8"/>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40" w:name="PO_3000002632_PM001_1"/>
      <w:r>
        <w:rPr>
          <w:rFonts w:hint="eastAsia" w:ascii="仿宋" w:hAnsi="仿宋" w:eastAsia="仿宋"/>
          <w:b/>
          <w:sz w:val="30"/>
          <w:szCs w:val="30"/>
          <w:u w:val="single"/>
        </w:rPr>
        <w:t>ZZCG2024P-GK-108</w:t>
      </w:r>
      <w:bookmarkEnd w:id="40"/>
      <w:r>
        <w:rPr>
          <w:rFonts w:hint="eastAsia" w:ascii="仿宋" w:hAnsi="仿宋" w:eastAsia="仿宋"/>
          <w:sz w:val="30"/>
          <w:szCs w:val="30"/>
        </w:rPr>
        <w:t>的招标活动联合进行投标之事宜，达成如下协议：</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pPr>
        <w:pStyle w:val="8"/>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pPr>
        <w:pStyle w:val="8"/>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pPr>
        <w:pStyle w:val="8"/>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pPr>
        <w:pStyle w:val="8"/>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tblPrEx>
          <w:tblCellMar>
            <w:top w:w="0" w:type="dxa"/>
            <w:left w:w="108" w:type="dxa"/>
            <w:bottom w:w="0" w:type="dxa"/>
            <w:right w:w="108" w:type="dxa"/>
          </w:tblCellMar>
        </w:tblPrEx>
        <w:trPr>
          <w:jc w:val="center"/>
        </w:trPr>
        <w:tc>
          <w:tcPr>
            <w:tcW w:w="4264" w:type="dxa"/>
          </w:tcPr>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pPr>
        <w:pStyle w:val="8"/>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pPr>
        <w:pStyle w:val="8"/>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pPr>
        <w:pStyle w:val="8"/>
        <w:overflowPunct w:val="0"/>
        <w:spacing w:line="460" w:lineRule="exact"/>
        <w:rPr>
          <w:rFonts w:ascii="仿宋" w:hAnsi="仿宋" w:eastAsia="仿宋"/>
          <w:sz w:val="30"/>
          <w:szCs w:val="30"/>
        </w:rPr>
      </w:pPr>
    </w:p>
    <w:p>
      <w:pPr>
        <w:pStyle w:val="8"/>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pPr>
        <w:snapToGrid w:val="0"/>
        <w:spacing w:before="120"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pPr>
        <w:snapToGrid w:val="0"/>
        <w:spacing w:before="120"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pPr>
        <w:pStyle w:val="8"/>
        <w:overflowPunct w:val="0"/>
        <w:spacing w:line="460" w:lineRule="exact"/>
        <w:rPr>
          <w:rFonts w:ascii="仿宋" w:hAnsi="仿宋" w:eastAsia="仿宋"/>
          <w:sz w:val="30"/>
          <w:szCs w:val="30"/>
        </w:rPr>
      </w:pP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pPr>
        <w:tabs>
          <w:tab w:val="left" w:pos="606"/>
        </w:tabs>
        <w:spacing w:line="460" w:lineRule="exact"/>
        <w:rPr>
          <w:rFonts w:ascii="仿宋" w:hAnsi="仿宋" w:eastAsia="仿宋"/>
          <w:spacing w:val="20"/>
          <w:sz w:val="30"/>
          <w:szCs w:val="30"/>
        </w:rPr>
      </w:pPr>
    </w:p>
    <w:p>
      <w:pPr>
        <w:tabs>
          <w:tab w:val="left" w:pos="606"/>
        </w:tabs>
        <w:spacing w:line="460" w:lineRule="exact"/>
        <w:rPr>
          <w:rFonts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tblPrEx>
          <w:tblCellMar>
            <w:top w:w="0" w:type="dxa"/>
            <w:left w:w="108" w:type="dxa"/>
            <w:bottom w:w="0" w:type="dxa"/>
            <w:right w:w="108" w:type="dxa"/>
          </w:tblCellMar>
        </w:tblPrEx>
        <w:trPr>
          <w:jc w:val="center"/>
        </w:trPr>
        <w:tc>
          <w:tcPr>
            <w:tcW w:w="4264" w:type="dxa"/>
          </w:tcPr>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p>
          <w:p>
            <w:pPr>
              <w:pStyle w:val="8"/>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pPr>
        <w:pStyle w:val="58"/>
        <w:spacing w:before="156" w:after="156" w:line="400" w:lineRule="exact"/>
      </w:pP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一、分包内容在采购文件分包要求的范围内，并符合相关法律规定等</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五、价款或者报酬</w:t>
      </w:r>
    </w:p>
    <w:p>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六、违约责任</w:t>
      </w:r>
    </w:p>
    <w:p>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七、争议解决的办法 </w:t>
      </w:r>
    </w:p>
    <w:p>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八、其他</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附件7</w:t>
      </w:r>
      <w:r>
        <w:rPr>
          <w:rFonts w:hint="eastAsia" w:ascii="仿宋" w:hAnsi="仿宋" w:eastAsia="仿宋"/>
          <w:b/>
          <w:color w:val="000000" w:themeColor="text1"/>
          <w:sz w:val="30"/>
          <w:szCs w:val="30"/>
          <w14:textFill>
            <w14:solidFill>
              <w14:schemeClr w14:val="tx1"/>
            </w14:solidFill>
          </w14:textFill>
        </w:rPr>
        <w:t xml:space="preserve">：                                     </w:t>
      </w:r>
    </w:p>
    <w:p>
      <w:pPr>
        <w:spacing w:before="240" w:beforeLines="100" w:line="240" w:lineRule="atLeast"/>
        <w:jc w:val="center"/>
        <w:rPr>
          <w:rFonts w:ascii="仿宋" w:hAnsi="仿宋" w:eastAsia="仿宋"/>
          <w:b/>
          <w:color w:val="000000" w:themeColor="text1"/>
          <w:spacing w:val="40"/>
          <w:sz w:val="52"/>
          <w:szCs w:val="52"/>
          <w14:textFill>
            <w14:solidFill>
              <w14:schemeClr w14:val="tx1"/>
            </w14:solidFill>
          </w14:textFill>
        </w:rPr>
      </w:pPr>
      <w:bookmarkStart w:id="41" w:name="PO_1000000445_PM002"/>
      <w:r>
        <w:rPr>
          <w:rFonts w:hint="eastAsia" w:ascii="仿宋" w:hAnsi="仿宋" w:eastAsia="仿宋"/>
          <w:b/>
          <w:color w:val="000000" w:themeColor="text1"/>
          <w:spacing w:val="40"/>
          <w:sz w:val="52"/>
          <w:szCs w:val="52"/>
          <w14:textFill>
            <w14:solidFill>
              <w14:schemeClr w14:val="tx1"/>
            </w14:solidFill>
          </w14:textFill>
        </w:rPr>
        <w:t>省公安警务航空队2024-2025年直升机航空保险项目</w:t>
      </w:r>
      <w:bookmarkEnd w:id="41"/>
    </w:p>
    <w:p>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42" w:name="PO_15528_PM001_4"/>
      <w:r>
        <w:rPr>
          <w:rFonts w:hint="eastAsia" w:ascii="仿宋" w:hAnsi="仿宋" w:eastAsia="仿宋"/>
          <w:color w:val="000000" w:themeColor="text1"/>
          <w:sz w:val="36"/>
          <w:szCs w:val="36"/>
          <w14:textFill>
            <w14:solidFill>
              <w14:schemeClr w14:val="tx1"/>
            </w14:solidFill>
          </w14:textFill>
        </w:rPr>
        <w:t>ZZCG2024P-GK-108</w:t>
      </w:r>
      <w:bookmarkEnd w:id="42"/>
      <w:r>
        <w:rPr>
          <w:rFonts w:hint="eastAsia" w:ascii="仿宋" w:hAnsi="仿宋" w:eastAsia="仿宋"/>
          <w:color w:val="000000" w:themeColor="text1"/>
          <w:sz w:val="36"/>
          <w:szCs w:val="36"/>
          <w14:textFill>
            <w14:solidFill>
              <w14:schemeClr w14:val="tx1"/>
            </w14:solidFill>
          </w14:textFill>
        </w:rPr>
        <w:t>（标项  ）</w:t>
      </w:r>
    </w:p>
    <w:p>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pPr>
        <w:snapToGrid w:val="0"/>
        <w:spacing w:before="50" w:after="50"/>
        <w:rPr>
          <w:rFonts w:ascii="仿宋" w:hAnsi="仿宋" w:eastAsia="仿宋"/>
          <w:color w:val="000000" w:themeColor="text1"/>
          <w:sz w:val="30"/>
          <w:szCs w:val="30"/>
          <w14:textFill>
            <w14:solidFill>
              <w14:schemeClr w14:val="tx1"/>
            </w14:solidFill>
          </w14:textFill>
        </w:rPr>
      </w:pPr>
    </w:p>
    <w:p>
      <w:pPr>
        <w:snapToGrid w:val="0"/>
        <w:spacing w:before="50" w:after="50"/>
        <w:rPr>
          <w:rFonts w:ascii="仿宋" w:hAnsi="仿宋" w:eastAsia="仿宋"/>
          <w:color w:val="000000" w:themeColor="text1"/>
          <w:sz w:val="30"/>
          <w:szCs w:val="30"/>
          <w14:textFill>
            <w14:solidFill>
              <w14:schemeClr w14:val="tx1"/>
            </w14:solidFill>
          </w14:textFill>
        </w:rPr>
      </w:pPr>
    </w:p>
    <w:p>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b/>
          <w:bCs/>
          <w:color w:val="000000" w:themeColor="text1"/>
          <w:sz w:val="36"/>
          <w:szCs w:val="36"/>
          <w14:textFill>
            <w14:solidFill>
              <w14:schemeClr w14:val="tx1"/>
            </w14:solidFill>
          </w14:textFill>
        </w:rPr>
        <w:t>技术及商务文件目录</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附件8：</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pPr>
        <w:snapToGrid w:val="0"/>
        <w:spacing w:before="50"/>
        <w:jc w:val="center"/>
        <w:rPr>
          <w:rFonts w:ascii="仿宋" w:hAnsi="仿宋" w:eastAsia="仿宋"/>
          <w:b/>
          <w:color w:val="000000" w:themeColor="text1"/>
          <w:sz w:val="32"/>
          <w:szCs w:val="32"/>
          <w14:textFill>
            <w14:solidFill>
              <w14:schemeClr w14:val="tx1"/>
            </w14:solidFill>
          </w14:textFill>
        </w:rPr>
      </w:pPr>
    </w:p>
    <w:p>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bl>
    <w:p>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附件9：</w:t>
      </w:r>
    </w:p>
    <w:p>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pPr>
        <w:pStyle w:val="20"/>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pPr>
        <w:pStyle w:val="20"/>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pPr>
        <w:snapToGrid w:val="0"/>
        <w:spacing w:before="120" w:beforeLines="50"/>
        <w:rPr>
          <w:rFonts w:ascii="仿宋" w:hAnsi="仿宋" w:eastAsia="仿宋"/>
          <w:color w:val="000000" w:themeColor="text1"/>
          <w:sz w:val="30"/>
          <w:szCs w:val="30"/>
          <w14:textFill>
            <w14:solidFill>
              <w14:schemeClr w14:val="tx1"/>
            </w14:solidFill>
          </w14:textFill>
        </w:rPr>
      </w:pPr>
    </w:p>
    <w:p>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pPr>
        <w:snapToGrid w:val="0"/>
        <w:spacing w:before="50" w:after="50"/>
        <w:rPr>
          <w:rFonts w:ascii="仿宋" w:hAnsi="仿宋" w:eastAsia="仿宋"/>
          <w:color w:val="000000" w:themeColor="text1"/>
          <w:spacing w:val="20"/>
          <w:sz w:val="30"/>
          <w:szCs w:val="30"/>
          <w14:textFill>
            <w14:solidFill>
              <w14:schemeClr w14:val="tx1"/>
            </w14:solidFill>
          </w14:textFill>
        </w:rPr>
      </w:pPr>
    </w:p>
    <w:p>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pPr>
        <w:snapToGrid w:val="0"/>
        <w:spacing w:before="50" w:after="120" w:afterLines="50"/>
        <w:rPr>
          <w:rFonts w:ascii="仿宋" w:hAnsi="仿宋" w:eastAsia="仿宋"/>
          <w:b/>
          <w:color w:val="000000" w:themeColor="text1"/>
          <w:sz w:val="32"/>
          <w:szCs w:val="32"/>
          <w14:textFill>
            <w14:solidFill>
              <w14:schemeClr w14:val="tx1"/>
            </w14:solidFill>
          </w14:textFill>
        </w:rPr>
      </w:pPr>
    </w:p>
    <w:p>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pPr>
              <w:snapToGrid w:val="0"/>
              <w:spacing w:before="50" w:after="120" w:after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pPr>
        <w:pStyle w:val="25"/>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pPr>
        <w:snapToGrid w:val="0"/>
        <w:spacing w:before="50" w:after="50"/>
        <w:rPr>
          <w:rFonts w:ascii="仿宋" w:hAnsi="仿宋" w:eastAsia="仿宋"/>
          <w:color w:val="000000" w:themeColor="text1"/>
          <w:spacing w:val="20"/>
          <w:sz w:val="30"/>
          <w:szCs w:val="30"/>
          <w14:textFill>
            <w14:solidFill>
              <w14:schemeClr w14:val="tx1"/>
            </w14:solidFill>
          </w14:textFill>
        </w:rPr>
      </w:pPr>
    </w:p>
    <w:p>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附件11：</w:t>
      </w:r>
    </w:p>
    <w:p>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pPr>
        <w:snapToGrid w:val="0"/>
        <w:spacing w:before="120" w:beforeLines="50" w:after="50"/>
        <w:rPr>
          <w:rFonts w:ascii="仿宋" w:hAnsi="仿宋" w:eastAsia="仿宋"/>
          <w:b/>
          <w:color w:val="000000" w:themeColor="text1"/>
          <w:sz w:val="30"/>
          <w:szCs w:val="30"/>
          <w14:textFill>
            <w14:solidFill>
              <w14:schemeClr w14:val="tx1"/>
            </w14:solidFill>
          </w14:textFill>
        </w:rPr>
      </w:pPr>
    </w:p>
    <w:p>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pStyle w:val="35"/>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pPr>
        <w:pStyle w:val="32"/>
        <w:snapToGrid w:val="0"/>
        <w:spacing w:before="120" w:after="120" w:line="460" w:lineRule="exact"/>
        <w:rPr>
          <w:rFonts w:ascii="仿宋" w:hAnsi="仿宋" w:eastAsia="仿宋"/>
          <w:color w:val="000000" w:themeColor="text1"/>
          <w:sz w:val="30"/>
          <w:szCs w:val="30"/>
          <w14:textFill>
            <w14:solidFill>
              <w14:schemeClr w14:val="tx1"/>
            </w14:solidFill>
          </w14:textFill>
        </w:rPr>
      </w:pPr>
    </w:p>
    <w:p>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附件12：</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pPr>
        <w:snapToGrid w:val="0"/>
        <w:spacing w:before="50"/>
        <w:jc w:val="center"/>
        <w:rPr>
          <w:rFonts w:ascii="仿宋" w:hAnsi="仿宋" w:eastAsia="仿宋"/>
          <w:b/>
          <w:color w:val="000000" w:themeColor="text1"/>
          <w:sz w:val="32"/>
          <w:szCs w:val="32"/>
          <w14:textFill>
            <w14:solidFill>
              <w14:schemeClr w14:val="tx1"/>
            </w14:solidFill>
          </w14:textFill>
        </w:rPr>
      </w:pPr>
    </w:p>
    <w:p>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jc w:val="lef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b/>
                <w:bCs/>
                <w:color w:val="000000" w:themeColor="text1"/>
                <w:sz w:val="30"/>
                <w:szCs w:val="30"/>
                <w14:textFill>
                  <w14:solidFill>
                    <w14:schemeClr w14:val="tx1"/>
                  </w14:solidFill>
                </w14:textFill>
              </w:rPr>
            </w:pPr>
          </w:p>
        </w:tc>
      </w:tr>
    </w:tbl>
    <w:p>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pPr>
        <w:widowControl/>
        <w:jc w:val="left"/>
        <w:rPr>
          <w:rFonts w:ascii="仿宋" w:hAnsi="仿宋" w:eastAsia="仿宋"/>
          <w:color w:val="000000" w:themeColor="text1"/>
          <w:kern w:val="0"/>
          <w:sz w:val="30"/>
          <w:szCs w:val="30"/>
          <w14:textFill>
            <w14:solidFill>
              <w14:schemeClr w14:val="tx1"/>
            </w14:solidFill>
          </w14:textFill>
        </w:rPr>
        <w:sectPr>
          <w:footerReference r:id="rId3" w:type="default"/>
          <w:pgSz w:w="11906" w:h="16838"/>
          <w:pgMar w:top="1474" w:right="1797" w:bottom="1247" w:left="1797" w:header="851" w:footer="851" w:gutter="0"/>
          <w:pgBorders>
            <w:top w:val="none" w:sz="0" w:space="0"/>
            <w:left w:val="none" w:sz="0" w:space="0"/>
            <w:bottom w:val="none" w:sz="0" w:space="0"/>
            <w:right w:val="none" w:sz="0" w:space="0"/>
          </w:pgBorders>
          <w:cols w:space="720" w:num="1"/>
        </w:sectPr>
      </w:pP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附件13：</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themeColor="text1"/>
                <w:sz w:val="30"/>
                <w:szCs w:val="30"/>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pPr>
        <w:pStyle w:val="20"/>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pgBorders>
            <w:top w:val="none" w:sz="0" w:space="0"/>
            <w:left w:val="none" w:sz="0" w:space="0"/>
            <w:bottom w:val="none" w:sz="0" w:space="0"/>
            <w:right w:val="none" w:sz="0" w:space="0"/>
          </w:pgBorders>
          <w:cols w:space="720" w:num="1"/>
        </w:sectPr>
      </w:pPr>
    </w:p>
    <w:p>
      <w:pPr>
        <w:snapToGrid w:val="0"/>
        <w:spacing w:before="156"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附件14</w:t>
      </w:r>
      <w:r>
        <w:rPr>
          <w:rFonts w:hint="eastAsia" w:ascii="仿宋" w:hAnsi="仿宋" w:eastAsia="仿宋"/>
          <w:b/>
          <w:color w:val="000000" w:themeColor="text1"/>
          <w:sz w:val="30"/>
          <w:szCs w:val="30"/>
          <w14:textFill>
            <w14:solidFill>
              <w14:schemeClr w14:val="tx1"/>
            </w14:solidFill>
          </w14:textFill>
        </w:rPr>
        <w:t xml:space="preserve">：                                    </w:t>
      </w:r>
    </w:p>
    <w:p>
      <w:pPr>
        <w:spacing w:before="312" w:beforeLines="100" w:line="240" w:lineRule="atLeast"/>
        <w:jc w:val="center"/>
        <w:rPr>
          <w:rFonts w:ascii="仿宋" w:hAnsi="仿宋" w:eastAsia="仿宋"/>
          <w:b/>
          <w:color w:val="000000" w:themeColor="text1"/>
          <w:spacing w:val="40"/>
          <w:sz w:val="52"/>
          <w:szCs w:val="52"/>
          <w14:textFill>
            <w14:solidFill>
              <w14:schemeClr w14:val="tx1"/>
            </w14:solidFill>
          </w14:textFill>
        </w:rPr>
      </w:pPr>
      <w:bookmarkStart w:id="43" w:name="PO_1000000445_PM002_1"/>
      <w:r>
        <w:rPr>
          <w:rFonts w:hint="eastAsia" w:ascii="仿宋" w:hAnsi="仿宋" w:eastAsia="仿宋"/>
          <w:b/>
          <w:color w:val="000000" w:themeColor="text1"/>
          <w:spacing w:val="40"/>
          <w:sz w:val="52"/>
          <w:szCs w:val="52"/>
          <w14:textFill>
            <w14:solidFill>
              <w14:schemeClr w14:val="tx1"/>
            </w14:solidFill>
          </w14:textFill>
        </w:rPr>
        <w:t>省公安警务航空队2024-2025年直升机航空保险项目</w:t>
      </w:r>
      <w:bookmarkEnd w:id="43"/>
    </w:p>
    <w:p>
      <w:pPr>
        <w:spacing w:before="312"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44" w:name="PO_1000000445_PM001"/>
      <w:r>
        <w:rPr>
          <w:rFonts w:hint="eastAsia" w:ascii="仿宋" w:hAnsi="仿宋" w:eastAsia="仿宋"/>
          <w:b/>
          <w:color w:val="000000" w:themeColor="text1"/>
          <w:sz w:val="36"/>
          <w:szCs w:val="36"/>
          <w14:textFill>
            <w14:solidFill>
              <w14:schemeClr w14:val="tx1"/>
            </w14:solidFill>
          </w14:textFill>
        </w:rPr>
        <w:t>ZZCG2024P-GK-108</w:t>
      </w:r>
      <w:bookmarkEnd w:id="44"/>
      <w:r>
        <w:rPr>
          <w:rFonts w:hint="eastAsia" w:ascii="仿宋" w:hAnsi="仿宋" w:eastAsia="仿宋"/>
          <w:color w:val="000000" w:themeColor="text1"/>
          <w:sz w:val="36"/>
          <w:szCs w:val="36"/>
          <w14:textFill>
            <w14:solidFill>
              <w14:schemeClr w14:val="tx1"/>
            </w14:solidFill>
          </w14:textFill>
        </w:rPr>
        <w:t>（标项  ）</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pPr>
        <w:spacing w:line="500" w:lineRule="exact"/>
        <w:ind w:right="532"/>
        <w:jc w:val="center"/>
        <w:rPr>
          <w:rFonts w:ascii="仿宋" w:hAnsi="仿宋" w:eastAsia="仿宋"/>
          <w:color w:val="000000" w:themeColor="text1"/>
          <w:sz w:val="36"/>
          <w:szCs w:val="36"/>
          <w14:textFill>
            <w14:solidFill>
              <w14:schemeClr w14:val="tx1"/>
            </w14:solidFill>
          </w14:textFill>
        </w:rPr>
      </w:pPr>
    </w:p>
    <w:p>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pPr>
        <w:snapToGrid w:val="0"/>
        <w:spacing w:before="50" w:after="50"/>
        <w:rPr>
          <w:rFonts w:ascii="仿宋" w:hAnsi="仿宋" w:eastAsia="仿宋"/>
          <w:color w:val="000000" w:themeColor="text1"/>
          <w:sz w:val="30"/>
          <w:szCs w:val="30"/>
          <w14:textFill>
            <w14:solidFill>
              <w14:schemeClr w14:val="tx1"/>
            </w14:solidFill>
          </w14:textFill>
        </w:rPr>
      </w:pPr>
    </w:p>
    <w:p>
      <w:pPr>
        <w:pStyle w:val="35"/>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b/>
          <w:color w:val="000000" w:themeColor="text1"/>
          <w:sz w:val="36"/>
          <w:szCs w:val="36"/>
          <w14:textFill>
            <w14:solidFill>
              <w14:schemeClr w14:val="tx1"/>
            </w14:solidFill>
          </w14:textFill>
        </w:rPr>
        <w:t>报价文件目录</w:t>
      </w:r>
    </w:p>
    <w:p>
      <w:pPr>
        <w:rPr>
          <w:rFonts w:ascii="仿宋" w:hAnsi="仿宋" w:eastAsia="仿宋"/>
          <w:color w:val="000000" w:themeColor="text1"/>
          <w14:textFill>
            <w14:solidFill>
              <w14:schemeClr w14:val="tx1"/>
            </w14:solidFill>
          </w14:textFill>
        </w:rPr>
      </w:pPr>
    </w:p>
    <w:p>
      <w:pPr>
        <w:pStyle w:val="35"/>
        <w:numPr>
          <w:ilvl w:val="0"/>
          <w:numId w:val="40"/>
        </w:numPr>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开标一览表（见附件15）；</w:t>
      </w:r>
    </w:p>
    <w:p>
      <w:pPr>
        <w:snapToGrid w:val="0"/>
        <w:spacing w:line="460" w:lineRule="exact"/>
        <w:jc w:val="left"/>
        <w:rPr>
          <w:rFonts w:ascii="仿宋" w:hAnsi="仿宋" w:eastAsia="仿宋"/>
        </w:rPr>
      </w:pPr>
      <w:r>
        <w:rPr>
          <w:rFonts w:hint="eastAsia" w:ascii="仿宋" w:hAnsi="仿宋" w:eastAsia="仿宋"/>
          <w:sz w:val="30"/>
          <w:szCs w:val="30"/>
        </w:rPr>
        <w:t>（2）中小企业声明函（若需要，格式见附件16）；</w:t>
      </w:r>
    </w:p>
    <w:p>
      <w:pPr>
        <w:snapToGrid w:val="0"/>
        <w:spacing w:line="460" w:lineRule="exact"/>
        <w:jc w:val="left"/>
        <w:rPr>
          <w:rFonts w:ascii="仿宋" w:hAnsi="仿宋" w:eastAsia="仿宋"/>
          <w:sz w:val="30"/>
          <w:szCs w:val="30"/>
        </w:rPr>
      </w:pPr>
      <w:r>
        <w:rPr>
          <w:rFonts w:hint="eastAsia" w:ascii="仿宋" w:hAnsi="仿宋" w:eastAsia="仿宋"/>
          <w:sz w:val="30"/>
          <w:szCs w:val="30"/>
        </w:rPr>
        <w:t>（3）残疾人福利企业声明函（若需要，格式见附件17）；</w:t>
      </w:r>
    </w:p>
    <w:p>
      <w:pPr>
        <w:snapToGrid w:val="0"/>
        <w:spacing w:line="460" w:lineRule="exact"/>
        <w:jc w:val="left"/>
      </w:pPr>
      <w:r>
        <w:rPr>
          <w:rFonts w:hint="eastAsia" w:ascii="仿宋" w:hAnsi="仿宋" w:eastAsia="仿宋"/>
          <w:sz w:val="30"/>
          <w:szCs w:val="30"/>
        </w:rPr>
        <w:t>（4）</w:t>
      </w:r>
      <w:r>
        <w:rPr>
          <w:rFonts w:hint="eastAsia" w:ascii="仿宋" w:hAnsi="仿宋" w:eastAsia="仿宋"/>
          <w:bCs/>
          <w:sz w:val="30"/>
          <w:szCs w:val="30"/>
        </w:rPr>
        <w:t>监狱企业证明文件</w:t>
      </w:r>
      <w:r>
        <w:rPr>
          <w:rFonts w:hint="eastAsia" w:ascii="仿宋" w:hAnsi="仿宋" w:eastAsia="仿宋"/>
          <w:sz w:val="30"/>
          <w:szCs w:val="30"/>
        </w:rPr>
        <w:t>（若需要）；</w:t>
      </w:r>
    </w:p>
    <w:p>
      <w:pPr>
        <w:pStyle w:val="35"/>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（5）投标人针对报价需要说明的其他文件和说明（格式自拟）；</w:t>
      </w:r>
    </w:p>
    <w:p>
      <w:pPr>
        <w:pStyle w:val="32"/>
        <w:snapToGrid w:val="0"/>
        <w:spacing w:before="156" w:after="156"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附件15：</w:t>
      </w:r>
    </w:p>
    <w:p>
      <w:pPr>
        <w:pStyle w:val="32"/>
        <w:snapToGrid w:val="0"/>
        <w:spacing w:before="156" w:after="156"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pPr>
        <w:pStyle w:val="32"/>
        <w:snapToGrid w:val="0"/>
        <w:spacing w:before="156" w:after="156"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pPr>
        <w:snapToGrid w:val="0"/>
        <w:rPr>
          <w:rFonts w:ascii="仿宋" w:hAnsi="仿宋" w:eastAsia="仿宋"/>
          <w:color w:val="000000" w:themeColor="text1"/>
          <w:sz w:val="28"/>
          <w:szCs w:val="28"/>
          <w14:textFill>
            <w14:solidFill>
              <w14:schemeClr w14:val="tx1"/>
            </w14:solidFill>
          </w14:textFill>
        </w:rPr>
      </w:pPr>
    </w:p>
    <w:p>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pPr>
        <w:snapToGrid w:val="0"/>
        <w:rPr>
          <w:rFonts w:ascii="仿宋" w:hAnsi="仿宋" w:eastAsia="仿宋"/>
          <w:b/>
          <w:color w:val="000000" w:themeColor="text1"/>
          <w:sz w:val="24"/>
          <w:szCs w:val="24"/>
          <w:u w:val="single"/>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672"/>
        <w:gridCol w:w="852"/>
        <w:gridCol w:w="1029"/>
        <w:gridCol w:w="957"/>
        <w:gridCol w:w="852"/>
        <w:gridCol w:w="891"/>
        <w:gridCol w:w="989"/>
        <w:gridCol w:w="708"/>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w:t>
            </w:r>
          </w:p>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名称</w:t>
            </w:r>
          </w:p>
        </w:tc>
        <w:tc>
          <w:tcPr>
            <w:tcW w:w="672"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品牌</w:t>
            </w:r>
          </w:p>
        </w:tc>
        <w:tc>
          <w:tcPr>
            <w:tcW w:w="852"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产地</w:t>
            </w:r>
          </w:p>
        </w:tc>
        <w:tc>
          <w:tcPr>
            <w:tcW w:w="1029"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规格</w:t>
            </w:r>
          </w:p>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型号</w:t>
            </w:r>
          </w:p>
        </w:tc>
        <w:tc>
          <w:tcPr>
            <w:tcW w:w="957"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数量</w:t>
            </w:r>
          </w:p>
        </w:tc>
        <w:tc>
          <w:tcPr>
            <w:tcW w:w="852"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891"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c>
          <w:tcPr>
            <w:tcW w:w="283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制造商情况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672"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852"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1029"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957"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852"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891"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989"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是否中小企业</w:t>
            </w:r>
          </w:p>
        </w:tc>
        <w:tc>
          <w:tcPr>
            <w:tcW w:w="708"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企业全称</w:t>
            </w:r>
          </w:p>
        </w:tc>
        <w:tc>
          <w:tcPr>
            <w:tcW w:w="1134"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中小企业商号或注册商标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6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10"/>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pPr>
        <w:snapToGrid w:val="0"/>
        <w:spacing w:line="400" w:lineRule="exact"/>
        <w:jc w:val="left"/>
        <w:rPr>
          <w:rFonts w:ascii="仿宋" w:hAnsi="仿宋" w:eastAsia="仿宋"/>
          <w:color w:val="000000" w:themeColor="text1"/>
          <w:sz w:val="24"/>
          <w:szCs w:val="24"/>
          <w14:textFill>
            <w14:solidFill>
              <w14:schemeClr w14:val="tx1"/>
            </w14:solidFill>
          </w14:textFill>
        </w:rPr>
      </w:pPr>
    </w:p>
    <w:p>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pPr>
        <w:pStyle w:val="32"/>
        <w:snapToGrid w:val="0"/>
        <w:spacing w:before="156" w:after="156"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pPr>
        <w:pStyle w:val="32"/>
        <w:snapToGrid w:val="0"/>
        <w:spacing w:before="156" w:after="156"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pPr>
        <w:snapToGrid w:val="0"/>
        <w:rPr>
          <w:rFonts w:ascii="仿宋" w:hAnsi="仿宋" w:eastAsia="仿宋"/>
          <w:color w:val="000000" w:themeColor="text1"/>
          <w:sz w:val="28"/>
          <w:szCs w:val="28"/>
          <w14:textFill>
            <w14:solidFill>
              <w14:schemeClr w14:val="tx1"/>
            </w14:solidFill>
          </w14:textFill>
        </w:rPr>
      </w:pPr>
    </w:p>
    <w:p>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957"/>
        <w:gridCol w:w="852"/>
        <w:gridCol w:w="891"/>
        <w:gridCol w:w="989"/>
        <w:gridCol w:w="708"/>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9"/>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服务人员数量</w:t>
            </w:r>
          </w:p>
        </w:tc>
        <w:tc>
          <w:tcPr>
            <w:tcW w:w="957"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工作量</w:t>
            </w:r>
          </w:p>
        </w:tc>
        <w:tc>
          <w:tcPr>
            <w:tcW w:w="852"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891" w:type="dxa"/>
            <w:vMerge w:val="restart"/>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c>
          <w:tcPr>
            <w:tcW w:w="283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承接服务的企业情况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782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1845"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957"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852"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891"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b/>
                <w:color w:val="000000" w:themeColor="text1"/>
                <w:sz w:val="24"/>
                <w:szCs w:val="24"/>
                <w14:textFill>
                  <w14:solidFill>
                    <w14:schemeClr w14:val="tx1"/>
                  </w14:solidFill>
                </w14:textFill>
              </w:rPr>
            </w:pPr>
          </w:p>
        </w:tc>
        <w:tc>
          <w:tcPr>
            <w:tcW w:w="989"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是否中小企业承接</w:t>
            </w:r>
          </w:p>
        </w:tc>
        <w:tc>
          <w:tcPr>
            <w:tcW w:w="708"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企业全称</w:t>
            </w:r>
          </w:p>
        </w:tc>
        <w:tc>
          <w:tcPr>
            <w:tcW w:w="1134"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color w:val="000000" w:themeColor="text1"/>
                <w:sz w:val="13"/>
                <w:szCs w:val="13"/>
                <w14:textFill>
                  <w14:solidFill>
                    <w14:schemeClr w14:val="tx1"/>
                  </w14:solidFill>
                </w14:textFill>
              </w:rPr>
            </w:pPr>
            <w:r>
              <w:rPr>
                <w:rFonts w:hint="eastAsia" w:ascii="仿宋" w:hAnsi="仿宋" w:eastAsia="仿宋"/>
                <w:b/>
                <w:color w:val="000000" w:themeColor="text1"/>
                <w:sz w:val="13"/>
                <w:szCs w:val="13"/>
                <w14:textFill>
                  <w14:solidFill>
                    <w14:schemeClr w14:val="tx1"/>
                  </w14:solidFill>
                </w14:textFill>
              </w:rPr>
              <w:t>服务人员是否依照《中华人民共和国劳动合同法》订立劳动合同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9"/>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pPr>
        <w:snapToGrid w:val="0"/>
        <w:spacing w:line="360" w:lineRule="auto"/>
        <w:rPr>
          <w:rFonts w:ascii="仿宋" w:hAnsi="仿宋" w:eastAsia="仿宋"/>
          <w:color w:val="000000" w:themeColor="text1"/>
          <w:sz w:val="30"/>
          <w:szCs w:val="30"/>
          <w14:textFill>
            <w14:solidFill>
              <w14:schemeClr w14:val="tx1"/>
            </w14:solidFill>
          </w14:textFill>
        </w:rPr>
      </w:pPr>
    </w:p>
    <w:p>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pPr>
        <w:snapToGrid w:val="0"/>
        <w:spacing w:line="360" w:lineRule="auto"/>
        <w:rPr>
          <w:color w:val="000000" w:themeColor="text1"/>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pPr>
        <w:rPr>
          <w:color w:val="000000" w:themeColor="text1"/>
          <w14:textFill>
            <w14:solidFill>
              <w14:schemeClr w14:val="tx1"/>
            </w14:solidFill>
          </w14:textFill>
        </w:rPr>
      </w:pPr>
    </w:p>
    <w:p>
      <w:pPr>
        <w:snapToGrid w:val="0"/>
        <w:spacing w:before="50" w:after="50"/>
        <w:jc w:val="left"/>
        <w:rPr>
          <w:rFonts w:ascii="仿宋" w:hAnsi="仿宋" w:eastAsia="仿宋"/>
          <w:sz w:val="30"/>
          <w:szCs w:val="30"/>
        </w:rPr>
      </w:pPr>
      <w:r>
        <w:rPr>
          <w:rFonts w:hint="eastAsia" w:ascii="仿宋" w:hAnsi="仿宋" w:eastAsia="仿宋"/>
          <w:sz w:val="30"/>
          <w:szCs w:val="30"/>
        </w:rPr>
        <w:t>附件16：</w:t>
      </w:r>
    </w:p>
    <w:p>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中小企业声明函（货物）</w:t>
      </w:r>
    </w:p>
    <w:p>
      <w:pPr>
        <w:snapToGrid w:val="0"/>
        <w:spacing w:line="360" w:lineRule="auto"/>
        <w:rPr>
          <w:rFonts w:ascii="仿宋" w:hAnsi="仿宋" w:eastAsia="仿宋"/>
          <w:sz w:val="28"/>
          <w:szCs w:val="28"/>
        </w:rPr>
      </w:pP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pPr>
        <w:pStyle w:val="32"/>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pPr>
        <w:snapToGrid w:val="0"/>
        <w:spacing w:line="360" w:lineRule="auto"/>
        <w:jc w:val="right"/>
        <w:rPr>
          <w:rFonts w:ascii="仿宋" w:hAnsi="仿宋" w:eastAsia="仿宋"/>
          <w:sz w:val="28"/>
          <w:szCs w:val="28"/>
        </w:rPr>
      </w:pPr>
    </w:p>
    <w:p>
      <w:pPr>
        <w:widowControl/>
        <w:jc w:val="left"/>
        <w:rPr>
          <w:rFonts w:ascii="仿宋" w:hAnsi="仿宋" w:eastAsia="仿宋"/>
          <w:b/>
          <w:sz w:val="36"/>
          <w:szCs w:val="36"/>
        </w:rPr>
      </w:pPr>
      <w:r>
        <w:rPr>
          <w:rFonts w:hint="eastAsia" w:ascii="仿宋" w:hAnsi="仿宋" w:eastAsia="仿宋"/>
          <w:b/>
          <w:kern w:val="0"/>
          <w:sz w:val="36"/>
          <w:szCs w:val="36"/>
        </w:rPr>
        <w:br w:type="page"/>
      </w:r>
    </w:p>
    <w:p>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pPr>
        <w:snapToGrid w:val="0"/>
        <w:spacing w:line="312" w:lineRule="auto"/>
        <w:ind w:firstLine="560" w:firstLineChars="200"/>
        <w:rPr>
          <w:rFonts w:ascii="仿宋" w:hAnsi="仿宋" w:eastAsia="仿宋"/>
          <w:sz w:val="28"/>
          <w:szCs w:val="28"/>
        </w:rPr>
      </w:pP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pPr>
        <w:pStyle w:val="32"/>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pPr>
        <w:widowControl/>
        <w:jc w:val="left"/>
        <w:rPr>
          <w:rFonts w:ascii="仿宋" w:hAnsi="仿宋" w:eastAsia="仿宋"/>
          <w:sz w:val="28"/>
          <w:szCs w:val="28"/>
        </w:rPr>
      </w:pPr>
      <w:r>
        <w:rPr>
          <w:rFonts w:ascii="仿宋" w:hAnsi="仿宋" w:eastAsia="仿宋"/>
          <w:sz w:val="28"/>
          <w:szCs w:val="28"/>
        </w:rPr>
        <w:br w:type="page"/>
      </w:r>
    </w:p>
    <w:p>
      <w:pPr>
        <w:widowControl/>
        <w:jc w:val="left"/>
        <w:rPr>
          <w:rFonts w:ascii="仿宋" w:hAnsi="仿宋"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ascii="仿宋" w:hAnsi="仿宋" w:eastAsia="仿宋"/>
        </w:rPr>
      </w:pPr>
      <w:r>
        <w:rPr>
          <w:rFonts w:hint="eastAsia" w:ascii="仿宋" w:hAnsi="仿宋" w:eastAsia="仿宋"/>
          <w:sz w:val="30"/>
          <w:szCs w:val="30"/>
        </w:rPr>
        <w:t>附件17：</w:t>
      </w:r>
    </w:p>
    <w:p>
      <w:pPr>
        <w:rPr>
          <w:rFonts w:ascii="仿宋" w:hAnsi="仿宋" w:eastAsia="仿宋"/>
        </w:rPr>
      </w:pP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pPr>
        <w:spacing w:line="588" w:lineRule="exact"/>
        <w:rPr>
          <w:rFonts w:ascii="仿宋_GB2312" w:eastAsia="仿宋_GB2312"/>
          <w:b/>
          <w:spacing w:val="6"/>
          <w:sz w:val="30"/>
          <w:szCs w:val="30"/>
        </w:rPr>
      </w:pPr>
    </w:p>
    <w:p>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pPr>
        <w:snapToGrid w:val="0"/>
        <w:spacing w:line="360" w:lineRule="auto"/>
        <w:ind w:firstLine="560" w:firstLineChars="200"/>
        <w:rPr>
          <w:rFonts w:ascii="仿宋" w:hAnsi="仿宋" w:eastAsia="仿宋"/>
          <w:sz w:val="28"/>
          <w:szCs w:val="28"/>
        </w:rPr>
      </w:pPr>
    </w:p>
    <w:p>
      <w:pPr>
        <w:spacing w:line="588" w:lineRule="exact"/>
        <w:ind w:firstLine="624" w:firstLineChars="200"/>
        <w:rPr>
          <w:rFonts w:ascii="仿宋_GB2312" w:eastAsia="仿宋_GB2312"/>
          <w:spacing w:val="6"/>
          <w:sz w:val="30"/>
          <w:szCs w:val="30"/>
        </w:rPr>
      </w:pPr>
    </w:p>
    <w:p>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pPr>
        <w:wordWrap w:val="0"/>
        <w:snapToGrid w:val="0"/>
        <w:spacing w:line="360" w:lineRule="auto"/>
        <w:ind w:firstLine="560" w:firstLineChars="200"/>
        <w:jc w:val="right"/>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altName w:val="Century"/>
    <w:panose1 w:val="02040604050505020304"/>
    <w:charset w:val="00"/>
    <w:family w:val="roma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UI Semilight"/>
    <w:panose1 w:val="020004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Microsoft YaHei UI">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65</w:t>
    </w:r>
    <w:r>
      <w:rPr>
        <w:rFonts w:ascii="宋体" w:hAnsi="宋体"/>
        <w:sz w:val="28"/>
        <w:szCs w:val="28"/>
      </w:rPr>
      <w:fldChar w:fldCharType="end"/>
    </w:r>
    <w:r>
      <w:rPr>
        <w:rStyle w:val="66"/>
        <w:rFonts w:hint="eastAsia" w:ascii="宋体" w:hAnsi="宋体"/>
        <w:sz w:val="28"/>
        <w:szCs w:val="28"/>
      </w:rPr>
      <w:t xml:space="preserve"> —</w:t>
    </w:r>
  </w:p>
  <w:p>
    <w:pPr>
      <w:pStyle w:val="39"/>
      <w:ind w:right="720" w:firstLine="180" w:firstLineChars="100"/>
      <w:jc w:val="cente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outside" w:y="1"/>
      <w:rPr>
        <w:rStyle w:val="66"/>
      </w:rPr>
    </w:pPr>
    <w:r>
      <w:fldChar w:fldCharType="begin"/>
    </w:r>
    <w:r>
      <w:rPr>
        <w:rStyle w:val="66"/>
      </w:rPr>
      <w:instrText xml:space="preserve">PAGE  </w:instrText>
    </w:r>
    <w:r>
      <w:fldChar w:fldCharType="end"/>
    </w:r>
  </w:p>
  <w:p>
    <w:pPr>
      <w:pStyle w:val="39"/>
      <w:ind w:right="360" w:firstLine="360"/>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2"/>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6062509"/>
    <w:multiLevelType w:val="multilevel"/>
    <w:tmpl w:val="16062509"/>
    <w:lvl w:ilvl="0" w:tentative="0">
      <w:start w:val="1"/>
      <w:numFmt w:val="lowerRoman"/>
      <w:lvlText w:val="(%1)"/>
      <w:lvlJc w:val="left"/>
      <w:pPr>
        <w:tabs>
          <w:tab w:val="left" w:pos="3240"/>
        </w:tabs>
        <w:ind w:left="3240" w:hanging="720"/>
      </w:pPr>
      <w:rPr>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1">
    <w:nsid w:val="1B8739C8"/>
    <w:multiLevelType w:val="multilevel"/>
    <w:tmpl w:val="1B8739C8"/>
    <w:lvl w:ilvl="0" w:tentative="0">
      <w:start w:val="1"/>
      <w:numFmt w:val="bullet"/>
      <w:lvlText w:val=""/>
      <w:lvlJc w:val="left"/>
      <w:pPr>
        <w:ind w:left="1109" w:hanging="420"/>
      </w:pPr>
      <w:rPr>
        <w:rFonts w:hint="default" w:ascii="Wingdings" w:hAnsi="Wingdings"/>
      </w:rPr>
    </w:lvl>
    <w:lvl w:ilvl="1" w:tentative="0">
      <w:start w:val="1"/>
      <w:numFmt w:val="bullet"/>
      <w:lvlText w:val=""/>
      <w:lvlJc w:val="left"/>
      <w:pPr>
        <w:ind w:left="1529" w:hanging="420"/>
      </w:pPr>
      <w:rPr>
        <w:rFonts w:hint="default" w:ascii="Wingdings" w:hAnsi="Wingdings"/>
      </w:rPr>
    </w:lvl>
    <w:lvl w:ilvl="2" w:tentative="0">
      <w:start w:val="1"/>
      <w:numFmt w:val="bullet"/>
      <w:lvlText w:val=""/>
      <w:lvlJc w:val="left"/>
      <w:pPr>
        <w:ind w:left="1949" w:hanging="420"/>
      </w:pPr>
      <w:rPr>
        <w:rFonts w:hint="default" w:ascii="Wingdings" w:hAnsi="Wingdings"/>
      </w:rPr>
    </w:lvl>
    <w:lvl w:ilvl="3" w:tentative="0">
      <w:start w:val="1"/>
      <w:numFmt w:val="bullet"/>
      <w:lvlText w:val=""/>
      <w:lvlJc w:val="left"/>
      <w:pPr>
        <w:ind w:left="2369" w:hanging="420"/>
      </w:pPr>
      <w:rPr>
        <w:rFonts w:hint="default" w:ascii="Wingdings" w:hAnsi="Wingdings"/>
      </w:rPr>
    </w:lvl>
    <w:lvl w:ilvl="4" w:tentative="0">
      <w:start w:val="1"/>
      <w:numFmt w:val="bullet"/>
      <w:lvlText w:val=""/>
      <w:lvlJc w:val="left"/>
      <w:pPr>
        <w:ind w:left="2789" w:hanging="420"/>
      </w:pPr>
      <w:rPr>
        <w:rFonts w:hint="default" w:ascii="Wingdings" w:hAnsi="Wingdings"/>
      </w:rPr>
    </w:lvl>
    <w:lvl w:ilvl="5" w:tentative="0">
      <w:start w:val="1"/>
      <w:numFmt w:val="bullet"/>
      <w:lvlText w:val=""/>
      <w:lvlJc w:val="left"/>
      <w:pPr>
        <w:ind w:left="3209" w:hanging="420"/>
      </w:pPr>
      <w:rPr>
        <w:rFonts w:hint="default" w:ascii="Wingdings" w:hAnsi="Wingdings"/>
      </w:rPr>
    </w:lvl>
    <w:lvl w:ilvl="6" w:tentative="0">
      <w:start w:val="1"/>
      <w:numFmt w:val="bullet"/>
      <w:lvlText w:val=""/>
      <w:lvlJc w:val="left"/>
      <w:pPr>
        <w:ind w:left="3629" w:hanging="420"/>
      </w:pPr>
      <w:rPr>
        <w:rFonts w:hint="default" w:ascii="Wingdings" w:hAnsi="Wingdings"/>
      </w:rPr>
    </w:lvl>
    <w:lvl w:ilvl="7" w:tentative="0">
      <w:start w:val="1"/>
      <w:numFmt w:val="bullet"/>
      <w:lvlText w:val=""/>
      <w:lvlJc w:val="left"/>
      <w:pPr>
        <w:ind w:left="4049" w:hanging="420"/>
      </w:pPr>
      <w:rPr>
        <w:rFonts w:hint="default" w:ascii="Wingdings" w:hAnsi="Wingdings"/>
      </w:rPr>
    </w:lvl>
    <w:lvl w:ilvl="8" w:tentative="0">
      <w:start w:val="1"/>
      <w:numFmt w:val="bullet"/>
      <w:lvlText w:val=""/>
      <w:lvlJc w:val="left"/>
      <w:pPr>
        <w:ind w:left="4469" w:hanging="420"/>
      </w:pPr>
      <w:rPr>
        <w:rFonts w:hint="default" w:ascii="Wingdings" w:hAnsi="Wingdings"/>
      </w:rPr>
    </w:lvl>
  </w:abstractNum>
  <w:abstractNum w:abstractNumId="12">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F925406"/>
    <w:multiLevelType w:val="multilevel"/>
    <w:tmpl w:val="1F925406"/>
    <w:lvl w:ilvl="0" w:tentative="0">
      <w:start w:val="2"/>
      <w:numFmt w:val="lowerRoman"/>
      <w:lvlText w:val="(%1)"/>
      <w:lvlJc w:val="left"/>
      <w:pPr>
        <w:tabs>
          <w:tab w:val="left" w:pos="2704"/>
        </w:tabs>
        <w:ind w:left="2704" w:hanging="720"/>
      </w:pPr>
      <w:rPr>
        <w:sz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088486B"/>
    <w:multiLevelType w:val="multilevel"/>
    <w:tmpl w:val="2088486B"/>
    <w:lvl w:ilvl="0" w:tentative="0">
      <w:start w:val="2"/>
      <w:numFmt w:val="lowerRoman"/>
      <w:lvlText w:val="(%1)"/>
      <w:lvlJc w:val="left"/>
      <w:pPr>
        <w:tabs>
          <w:tab w:val="left" w:pos="3240"/>
        </w:tabs>
        <w:ind w:left="3240" w:hanging="7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213619F"/>
    <w:multiLevelType w:val="multilevel"/>
    <w:tmpl w:val="2213619F"/>
    <w:lvl w:ilvl="0" w:tentative="0">
      <w:start w:val="1"/>
      <w:numFmt w:val="decimal"/>
      <w:pStyle w:val="17"/>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7">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D317197"/>
    <w:multiLevelType w:val="multilevel"/>
    <w:tmpl w:val="2D317197"/>
    <w:lvl w:ilvl="0" w:tentative="0">
      <w:start w:val="2"/>
      <w:numFmt w:val="decimal"/>
      <w:lvlText w:val="%1."/>
      <w:lvlJc w:val="left"/>
      <w:pPr>
        <w:tabs>
          <w:tab w:val="left" w:pos="2640"/>
        </w:tabs>
        <w:ind w:left="26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8EBB5B6"/>
    <w:multiLevelType w:val="singleLevel"/>
    <w:tmpl w:val="38EBB5B6"/>
    <w:lvl w:ilvl="0" w:tentative="0">
      <w:start w:val="1"/>
      <w:numFmt w:val="decimal"/>
      <w:suff w:val="nothing"/>
      <w:lvlText w:val="（%1）"/>
      <w:lvlJc w:val="left"/>
    </w:lvl>
  </w:abstractNum>
  <w:abstractNum w:abstractNumId="22">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4">
    <w:nsid w:val="3D400958"/>
    <w:multiLevelType w:val="multilevel"/>
    <w:tmpl w:val="3D400958"/>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6">
    <w:nsid w:val="427E2C02"/>
    <w:multiLevelType w:val="multilevel"/>
    <w:tmpl w:val="427E2C02"/>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8">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30">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1">
    <w:nsid w:val="543A78E0"/>
    <w:multiLevelType w:val="multilevel"/>
    <w:tmpl w:val="543A78E0"/>
    <w:lvl w:ilvl="0" w:tentative="0">
      <w:start w:val="4"/>
      <w:numFmt w:val="decimal"/>
      <w:lvlText w:val="%1."/>
      <w:lvlJc w:val="left"/>
      <w:pPr>
        <w:tabs>
          <w:tab w:val="left" w:pos="2640"/>
        </w:tabs>
        <w:ind w:left="26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3">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5B7D018B"/>
    <w:multiLevelType w:val="multilevel"/>
    <w:tmpl w:val="5B7D018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36">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8">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9">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6"/>
  </w:num>
  <w:num w:numId="2">
    <w:abstractNumId w:val="2"/>
  </w:num>
  <w:num w:numId="3">
    <w:abstractNumId w:val="0"/>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9"/>
  </w:num>
  <w:num w:numId="8">
    <w:abstractNumId w:val="29"/>
  </w:num>
  <w:num w:numId="9">
    <w:abstractNumId w:val="36"/>
    <w:lvlOverride w:ilvl="0">
      <w:startOverride w:val="1"/>
    </w:lvlOverride>
  </w:num>
  <w:num w:numId="10">
    <w:abstractNumId w:val="8"/>
  </w:num>
  <w:num w:numId="11">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2"/>
  </w:num>
  <w:num w:numId="14">
    <w:abstractNumId w:val="33"/>
  </w:num>
  <w:num w:numId="15">
    <w:abstractNumId w:val="25"/>
  </w:num>
  <w:num w:numId="16">
    <w:abstractNumId w:val="20"/>
  </w:num>
  <w:num w:numId="17">
    <w:abstractNumId w:val="4"/>
  </w:num>
  <w:num w:numId="18">
    <w:abstractNumId w:val="30"/>
  </w:num>
  <w:num w:numId="19">
    <w:abstractNumId w:val="6"/>
  </w:num>
  <w:num w:numId="20">
    <w:abstractNumId w:val="17"/>
  </w:num>
  <w:num w:numId="21">
    <w:abstractNumId w:val="15"/>
  </w:num>
  <w:num w:numId="22">
    <w:abstractNumId w:val="27"/>
  </w:num>
  <w:num w:numId="23">
    <w:abstractNumId w:val="7"/>
  </w:num>
  <w:num w:numId="24">
    <w:abstractNumId w:val="38"/>
  </w:num>
  <w:num w:numId="25">
    <w:abstractNumId w:val="3"/>
  </w:num>
  <w:num w:numId="26">
    <w:abstractNumId w:val="35"/>
  </w:num>
  <w:num w:numId="27">
    <w:abstractNumId w:val="28"/>
  </w:num>
  <w:num w:numId="28">
    <w:abstractNumId w:val="12"/>
  </w:num>
  <w:num w:numId="29">
    <w:abstractNumId w:val="32"/>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4"/>
  </w:num>
  <w:num w:numId="33">
    <w:abstractNumId w:val="24"/>
  </w:num>
  <w:num w:numId="3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4"/>
  </w:num>
  <w:num w:numId="3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NjJjYTBmMTY5MDIzNGMzM2Y4Y2IxMmViODhiNTgifQ=="/>
  </w:docVars>
  <w:rsids>
    <w:rsidRoot w:val="00172A27"/>
    <w:rsid w:val="000318FF"/>
    <w:rsid w:val="00041346"/>
    <w:rsid w:val="00082311"/>
    <w:rsid w:val="000869A0"/>
    <w:rsid w:val="00097B32"/>
    <w:rsid w:val="000A0C44"/>
    <w:rsid w:val="000C308D"/>
    <w:rsid w:val="000F7EE7"/>
    <w:rsid w:val="00120088"/>
    <w:rsid w:val="0012017A"/>
    <w:rsid w:val="0012623F"/>
    <w:rsid w:val="0012693E"/>
    <w:rsid w:val="00141058"/>
    <w:rsid w:val="00162FF4"/>
    <w:rsid w:val="00176C4B"/>
    <w:rsid w:val="00177CFB"/>
    <w:rsid w:val="00180C7E"/>
    <w:rsid w:val="0019365D"/>
    <w:rsid w:val="001A46E4"/>
    <w:rsid w:val="001B0607"/>
    <w:rsid w:val="001B3980"/>
    <w:rsid w:val="001C3F15"/>
    <w:rsid w:val="001D0E9A"/>
    <w:rsid w:val="00235EE7"/>
    <w:rsid w:val="00236A94"/>
    <w:rsid w:val="002641A2"/>
    <w:rsid w:val="002B1C05"/>
    <w:rsid w:val="00302CDB"/>
    <w:rsid w:val="00306740"/>
    <w:rsid w:val="00323828"/>
    <w:rsid w:val="003325FB"/>
    <w:rsid w:val="00355ED8"/>
    <w:rsid w:val="00360F0E"/>
    <w:rsid w:val="0036152B"/>
    <w:rsid w:val="003D1384"/>
    <w:rsid w:val="003E2398"/>
    <w:rsid w:val="00411BA0"/>
    <w:rsid w:val="00473394"/>
    <w:rsid w:val="004825F5"/>
    <w:rsid w:val="00482F1D"/>
    <w:rsid w:val="004861D8"/>
    <w:rsid w:val="0049675C"/>
    <w:rsid w:val="004A1AD2"/>
    <w:rsid w:val="004A290E"/>
    <w:rsid w:val="004A76BE"/>
    <w:rsid w:val="004B659A"/>
    <w:rsid w:val="004C0111"/>
    <w:rsid w:val="005855C1"/>
    <w:rsid w:val="005C254C"/>
    <w:rsid w:val="005E17E9"/>
    <w:rsid w:val="005F25FA"/>
    <w:rsid w:val="005F2CDD"/>
    <w:rsid w:val="005F639D"/>
    <w:rsid w:val="006069FA"/>
    <w:rsid w:val="006111E0"/>
    <w:rsid w:val="00625695"/>
    <w:rsid w:val="0065516D"/>
    <w:rsid w:val="00656842"/>
    <w:rsid w:val="00677E2A"/>
    <w:rsid w:val="006859BE"/>
    <w:rsid w:val="006A6D14"/>
    <w:rsid w:val="006A75FB"/>
    <w:rsid w:val="006B7A31"/>
    <w:rsid w:val="006D0D98"/>
    <w:rsid w:val="006E1042"/>
    <w:rsid w:val="006F3E5C"/>
    <w:rsid w:val="007143EC"/>
    <w:rsid w:val="00737F13"/>
    <w:rsid w:val="00741CB1"/>
    <w:rsid w:val="007456F9"/>
    <w:rsid w:val="00747A7E"/>
    <w:rsid w:val="00751F9F"/>
    <w:rsid w:val="00757C30"/>
    <w:rsid w:val="0079512C"/>
    <w:rsid w:val="007A502C"/>
    <w:rsid w:val="007B33D8"/>
    <w:rsid w:val="007B39CD"/>
    <w:rsid w:val="007D22BC"/>
    <w:rsid w:val="008010EC"/>
    <w:rsid w:val="008139C8"/>
    <w:rsid w:val="00831259"/>
    <w:rsid w:val="0084546F"/>
    <w:rsid w:val="008605A1"/>
    <w:rsid w:val="00870A50"/>
    <w:rsid w:val="0088574B"/>
    <w:rsid w:val="00896002"/>
    <w:rsid w:val="00901CAF"/>
    <w:rsid w:val="009214E4"/>
    <w:rsid w:val="00935B2B"/>
    <w:rsid w:val="009866E7"/>
    <w:rsid w:val="00993FC4"/>
    <w:rsid w:val="009A098E"/>
    <w:rsid w:val="009A1F91"/>
    <w:rsid w:val="009F00A7"/>
    <w:rsid w:val="00A212B7"/>
    <w:rsid w:val="00A45A96"/>
    <w:rsid w:val="00A64081"/>
    <w:rsid w:val="00A64C61"/>
    <w:rsid w:val="00A71531"/>
    <w:rsid w:val="00A9015D"/>
    <w:rsid w:val="00AD2CC9"/>
    <w:rsid w:val="00AD31D5"/>
    <w:rsid w:val="00AE108B"/>
    <w:rsid w:val="00AE1438"/>
    <w:rsid w:val="00AE7939"/>
    <w:rsid w:val="00AF0810"/>
    <w:rsid w:val="00B06CDB"/>
    <w:rsid w:val="00B222BF"/>
    <w:rsid w:val="00B32EBF"/>
    <w:rsid w:val="00B4671F"/>
    <w:rsid w:val="00B81671"/>
    <w:rsid w:val="00B82274"/>
    <w:rsid w:val="00BA1EB5"/>
    <w:rsid w:val="00BC2D38"/>
    <w:rsid w:val="00BE183A"/>
    <w:rsid w:val="00BE3542"/>
    <w:rsid w:val="00BF76D9"/>
    <w:rsid w:val="00C21114"/>
    <w:rsid w:val="00C22B7F"/>
    <w:rsid w:val="00C3214C"/>
    <w:rsid w:val="00C42BF5"/>
    <w:rsid w:val="00C50CB8"/>
    <w:rsid w:val="00C8441C"/>
    <w:rsid w:val="00C86786"/>
    <w:rsid w:val="00CE0BC9"/>
    <w:rsid w:val="00D06379"/>
    <w:rsid w:val="00D17B1A"/>
    <w:rsid w:val="00D3112C"/>
    <w:rsid w:val="00D34D4C"/>
    <w:rsid w:val="00D45DE5"/>
    <w:rsid w:val="00D67996"/>
    <w:rsid w:val="00DA0AD7"/>
    <w:rsid w:val="00DA235D"/>
    <w:rsid w:val="00DB219B"/>
    <w:rsid w:val="00E05EDB"/>
    <w:rsid w:val="00E201D7"/>
    <w:rsid w:val="00E215FE"/>
    <w:rsid w:val="00E3161A"/>
    <w:rsid w:val="00EA5DBE"/>
    <w:rsid w:val="00EA67ED"/>
    <w:rsid w:val="00EB53B8"/>
    <w:rsid w:val="00ED4653"/>
    <w:rsid w:val="00EF085D"/>
    <w:rsid w:val="00F13CC3"/>
    <w:rsid w:val="00F244C4"/>
    <w:rsid w:val="00F65755"/>
    <w:rsid w:val="00F8145A"/>
    <w:rsid w:val="00F85AFB"/>
    <w:rsid w:val="00F966F6"/>
    <w:rsid w:val="00FA6108"/>
    <w:rsid w:val="00FC29AB"/>
    <w:rsid w:val="00FD3EEC"/>
    <w:rsid w:val="00FD7356"/>
    <w:rsid w:val="00FF602C"/>
    <w:rsid w:val="010B781A"/>
    <w:rsid w:val="03A067ED"/>
    <w:rsid w:val="065F525D"/>
    <w:rsid w:val="0766435B"/>
    <w:rsid w:val="08201C07"/>
    <w:rsid w:val="0A6B2C46"/>
    <w:rsid w:val="0FBF9EA1"/>
    <w:rsid w:val="148230C0"/>
    <w:rsid w:val="15394E40"/>
    <w:rsid w:val="16B52E36"/>
    <w:rsid w:val="17200324"/>
    <w:rsid w:val="178F3B49"/>
    <w:rsid w:val="17D327A9"/>
    <w:rsid w:val="186D68B1"/>
    <w:rsid w:val="1A4A7E24"/>
    <w:rsid w:val="1C0F24A7"/>
    <w:rsid w:val="1C782C2C"/>
    <w:rsid w:val="1D222537"/>
    <w:rsid w:val="1D813BCE"/>
    <w:rsid w:val="20A7794A"/>
    <w:rsid w:val="20BF5062"/>
    <w:rsid w:val="215D2974"/>
    <w:rsid w:val="216A5560"/>
    <w:rsid w:val="22B527E8"/>
    <w:rsid w:val="22DA2E83"/>
    <w:rsid w:val="23CD2673"/>
    <w:rsid w:val="24EA1A2D"/>
    <w:rsid w:val="26107847"/>
    <w:rsid w:val="26B72BA9"/>
    <w:rsid w:val="26D414D0"/>
    <w:rsid w:val="295E03D0"/>
    <w:rsid w:val="2BF21890"/>
    <w:rsid w:val="2D8F0D68"/>
    <w:rsid w:val="2EFA0AB3"/>
    <w:rsid w:val="2F7375CF"/>
    <w:rsid w:val="322E253D"/>
    <w:rsid w:val="34380FED"/>
    <w:rsid w:val="34E8176B"/>
    <w:rsid w:val="35724D85"/>
    <w:rsid w:val="361D63F7"/>
    <w:rsid w:val="36E656ED"/>
    <w:rsid w:val="37FD9185"/>
    <w:rsid w:val="381C5211"/>
    <w:rsid w:val="398C000C"/>
    <w:rsid w:val="3A2E7444"/>
    <w:rsid w:val="3A8E3939"/>
    <w:rsid w:val="3AD879C2"/>
    <w:rsid w:val="3EEAE65B"/>
    <w:rsid w:val="40820BCE"/>
    <w:rsid w:val="436E04E6"/>
    <w:rsid w:val="44580936"/>
    <w:rsid w:val="45A703C4"/>
    <w:rsid w:val="482E10BF"/>
    <w:rsid w:val="4BBE0DDB"/>
    <w:rsid w:val="4DAC24B0"/>
    <w:rsid w:val="4ED6647D"/>
    <w:rsid w:val="509143C5"/>
    <w:rsid w:val="52513B6A"/>
    <w:rsid w:val="52985842"/>
    <w:rsid w:val="53354E9E"/>
    <w:rsid w:val="539B765C"/>
    <w:rsid w:val="559D251C"/>
    <w:rsid w:val="56C76164"/>
    <w:rsid w:val="57BD996C"/>
    <w:rsid w:val="582E3138"/>
    <w:rsid w:val="58FB72F6"/>
    <w:rsid w:val="5BE91241"/>
    <w:rsid w:val="5E5D3D40"/>
    <w:rsid w:val="5EBF23CB"/>
    <w:rsid w:val="5F38064C"/>
    <w:rsid w:val="62C329AC"/>
    <w:rsid w:val="631A499F"/>
    <w:rsid w:val="64164478"/>
    <w:rsid w:val="64487041"/>
    <w:rsid w:val="662C4588"/>
    <w:rsid w:val="66C0501E"/>
    <w:rsid w:val="67295D75"/>
    <w:rsid w:val="67420F67"/>
    <w:rsid w:val="69D40AFA"/>
    <w:rsid w:val="69DD2B70"/>
    <w:rsid w:val="6A6F4FCE"/>
    <w:rsid w:val="6E1F8BA5"/>
    <w:rsid w:val="6EFC2204"/>
    <w:rsid w:val="6F75CA84"/>
    <w:rsid w:val="70915796"/>
    <w:rsid w:val="71426FD0"/>
    <w:rsid w:val="717E2164"/>
    <w:rsid w:val="719617DB"/>
    <w:rsid w:val="7212746C"/>
    <w:rsid w:val="72C5077A"/>
    <w:rsid w:val="72D02C1E"/>
    <w:rsid w:val="734B3AC5"/>
    <w:rsid w:val="7367613B"/>
    <w:rsid w:val="736F02EE"/>
    <w:rsid w:val="73922031"/>
    <w:rsid w:val="753E280B"/>
    <w:rsid w:val="7609160F"/>
    <w:rsid w:val="767796B7"/>
    <w:rsid w:val="76BE04B2"/>
    <w:rsid w:val="77780D1E"/>
    <w:rsid w:val="78550741"/>
    <w:rsid w:val="79DD0222"/>
    <w:rsid w:val="7A241272"/>
    <w:rsid w:val="7AC70FB4"/>
    <w:rsid w:val="7CE32E91"/>
    <w:rsid w:val="7DF747E3"/>
    <w:rsid w:val="7F5744D3"/>
    <w:rsid w:val="7F7779DF"/>
    <w:rsid w:val="7FCA238C"/>
    <w:rsid w:val="7FDF14B2"/>
    <w:rsid w:val="9FFF1D4E"/>
    <w:rsid w:val="A9FE99E0"/>
    <w:rsid w:val="ABEF9E91"/>
    <w:rsid w:val="BDF76FB0"/>
    <w:rsid w:val="BDF80514"/>
    <w:rsid w:val="BFB304A0"/>
    <w:rsid w:val="BFE7E388"/>
    <w:rsid w:val="BFE9AC50"/>
    <w:rsid w:val="C3CBDD0C"/>
    <w:rsid w:val="C9FF8AFF"/>
    <w:rsid w:val="D1F7C841"/>
    <w:rsid w:val="D6F94446"/>
    <w:rsid w:val="D6FD182F"/>
    <w:rsid w:val="DE7FB206"/>
    <w:rsid w:val="DFE10C70"/>
    <w:rsid w:val="DFFD8E99"/>
    <w:rsid w:val="DFFF6E7D"/>
    <w:rsid w:val="E3BB3600"/>
    <w:rsid w:val="ECFED555"/>
    <w:rsid w:val="EF5FB2B3"/>
    <w:rsid w:val="EFDE8A73"/>
    <w:rsid w:val="EFF611FA"/>
    <w:rsid w:val="F65F8A20"/>
    <w:rsid w:val="F8EE816C"/>
    <w:rsid w:val="FCB74883"/>
    <w:rsid w:val="FEFFE42D"/>
    <w:rsid w:val="FFDDED75"/>
    <w:rsid w:val="FFE7135A"/>
    <w:rsid w:val="FFE8B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2"/>
    <w:qFormat/>
    <w:uiPriority w:val="0"/>
    <w:pPr>
      <w:autoSpaceDE w:val="0"/>
      <w:autoSpaceDN w:val="0"/>
      <w:adjustRightInd w:val="0"/>
      <w:spacing w:line="360" w:lineRule="auto"/>
      <w:jc w:val="center"/>
      <w:outlineLvl w:val="0"/>
    </w:pPr>
    <w:rPr>
      <w:rFonts w:eastAsia="隶书"/>
      <w:b/>
      <w:bCs/>
      <w:kern w:val="0"/>
      <w:sz w:val="36"/>
      <w:szCs w:val="36"/>
    </w:rPr>
  </w:style>
  <w:style w:type="paragraph" w:styleId="5">
    <w:name w:val="heading 2"/>
    <w:basedOn w:val="1"/>
    <w:next w:val="1"/>
    <w:link w:val="229"/>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74"/>
    <w:autoRedefine/>
    <w:qFormat/>
    <w:uiPriority w:val="0"/>
    <w:pPr>
      <w:keepNext/>
      <w:keepLines/>
      <w:spacing w:before="260" w:after="260" w:line="416" w:lineRule="auto"/>
      <w:outlineLvl w:val="2"/>
    </w:pPr>
    <w:rPr>
      <w:b/>
      <w:bCs/>
      <w:sz w:val="32"/>
      <w:szCs w:val="32"/>
    </w:rPr>
  </w:style>
  <w:style w:type="paragraph" w:styleId="7">
    <w:name w:val="heading 4"/>
    <w:basedOn w:val="6"/>
    <w:next w:val="8"/>
    <w:link w:val="75"/>
    <w:autoRedefine/>
    <w:qFormat/>
    <w:uiPriority w:val="0"/>
    <w:pPr>
      <w:keepNext/>
      <w:keepLines/>
      <w:spacing w:before="280" w:after="290" w:line="376" w:lineRule="auto"/>
      <w:outlineLvl w:val="3"/>
    </w:pPr>
    <w:rPr>
      <w:rFonts w:ascii="Arial" w:hAnsi="Arial" w:eastAsia="黑体"/>
      <w:sz w:val="28"/>
      <w:szCs w:val="28"/>
    </w:rPr>
  </w:style>
  <w:style w:type="paragraph" w:styleId="9">
    <w:name w:val="heading 5"/>
    <w:basedOn w:val="1"/>
    <w:next w:val="1"/>
    <w:link w:val="76"/>
    <w:autoRedefine/>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10">
    <w:name w:val="heading 6"/>
    <w:basedOn w:val="1"/>
    <w:next w:val="1"/>
    <w:link w:val="77"/>
    <w:autoRedefine/>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link w:val="78"/>
    <w:autoRedefine/>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12">
    <w:name w:val="heading 8"/>
    <w:basedOn w:val="1"/>
    <w:next w:val="1"/>
    <w:link w:val="79"/>
    <w:autoRedefine/>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3">
    <w:name w:val="heading 9"/>
    <w:basedOn w:val="1"/>
    <w:next w:val="1"/>
    <w:link w:val="80"/>
    <w:autoRedefine/>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autoRedefine/>
    <w:uiPriority w:val="0"/>
  </w:style>
  <w:style w:type="table" w:default="1" w:styleId="5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link w:val="85"/>
    <w:autoRedefine/>
    <w:uiPriority w:val="0"/>
    <w:pPr>
      <w:spacing w:after="120"/>
    </w:pPr>
    <w:rPr>
      <w:sz w:val="28"/>
      <w:szCs w:val="24"/>
    </w:rPr>
  </w:style>
  <w:style w:type="paragraph" w:styleId="3">
    <w:name w:val="Body Text 2"/>
    <w:basedOn w:val="1"/>
    <w:link w:val="97"/>
    <w:autoRedefine/>
    <w:qFormat/>
    <w:uiPriority w:val="0"/>
    <w:pPr>
      <w:widowControl/>
      <w:snapToGrid w:val="0"/>
      <w:spacing w:before="50" w:afterLines="50" w:line="400" w:lineRule="exact"/>
      <w:jc w:val="left"/>
    </w:pPr>
    <w:rPr>
      <w:rFonts w:ascii="宋体" w:hAnsi="宋体"/>
      <w:color w:val="000000"/>
      <w:sz w:val="24"/>
      <w:szCs w:val="24"/>
    </w:rPr>
  </w:style>
  <w:style w:type="paragraph" w:styleId="8">
    <w:name w:val="Normal Indent"/>
    <w:basedOn w:val="1"/>
    <w:link w:val="372"/>
    <w:autoRedefine/>
    <w:qFormat/>
    <w:uiPriority w:val="0"/>
    <w:pPr>
      <w:ind w:firstLine="420"/>
    </w:pPr>
    <w:rPr>
      <w:szCs w:val="20"/>
    </w:rPr>
  </w:style>
  <w:style w:type="paragraph" w:styleId="14">
    <w:name w:val="List 3"/>
    <w:basedOn w:val="1"/>
    <w:autoRedefine/>
    <w:qFormat/>
    <w:uiPriority w:val="0"/>
    <w:pPr>
      <w:ind w:left="100" w:leftChars="400" w:hanging="200" w:hangingChars="200"/>
    </w:pPr>
    <w:rPr>
      <w:rFonts w:ascii="Times New Roman" w:hAnsi="Times New Roman"/>
      <w:szCs w:val="20"/>
    </w:rPr>
  </w:style>
  <w:style w:type="paragraph" w:styleId="15">
    <w:name w:val="toc 7"/>
    <w:basedOn w:val="1"/>
    <w:next w:val="1"/>
    <w:autoRedefine/>
    <w:qFormat/>
    <w:uiPriority w:val="0"/>
    <w:pPr>
      <w:ind w:left="1260"/>
      <w:jc w:val="left"/>
    </w:pPr>
    <w:rPr>
      <w:rFonts w:ascii="Times New Roman" w:hAnsi="Times New Roman"/>
      <w:sz w:val="18"/>
      <w:szCs w:val="18"/>
    </w:rPr>
  </w:style>
  <w:style w:type="paragraph" w:styleId="16">
    <w:name w:val="List Number 2"/>
    <w:basedOn w:val="1"/>
    <w:autoRedefine/>
    <w:qFormat/>
    <w:uiPriority w:val="0"/>
    <w:pPr>
      <w:tabs>
        <w:tab w:val="left" w:pos="432"/>
        <w:tab w:val="left" w:pos="567"/>
      </w:tabs>
      <w:ind w:left="432" w:hanging="432"/>
    </w:pPr>
    <w:rPr>
      <w:rFonts w:ascii="Times New Roman" w:hAnsi="Times New Roman"/>
      <w:sz w:val="28"/>
      <w:szCs w:val="20"/>
    </w:rPr>
  </w:style>
  <w:style w:type="paragraph" w:styleId="17">
    <w:name w:val="table of authorities"/>
    <w:basedOn w:val="1"/>
    <w:next w:val="1"/>
    <w:autoRedefine/>
    <w:qFormat/>
    <w:uiPriority w:val="0"/>
    <w:pPr>
      <w:numPr>
        <w:ilvl w:val="0"/>
        <w:numId w:val="1"/>
      </w:numPr>
      <w:ind w:left="200" w:leftChars="200"/>
    </w:pPr>
    <w:rPr>
      <w:rFonts w:ascii="Times New Roman" w:hAnsi="Times New Roman"/>
      <w:sz w:val="18"/>
      <w:szCs w:val="24"/>
    </w:rPr>
  </w:style>
  <w:style w:type="paragraph" w:styleId="18">
    <w:name w:val="List Bullet 4"/>
    <w:basedOn w:val="1"/>
    <w:autoRedefine/>
    <w:qFormat/>
    <w:uiPriority w:val="0"/>
    <w:pPr>
      <w:numPr>
        <w:ilvl w:val="0"/>
        <w:numId w:val="2"/>
      </w:numPr>
    </w:pPr>
    <w:rPr>
      <w:rFonts w:ascii="Times New Roman" w:hAnsi="Times New Roman"/>
      <w:szCs w:val="24"/>
    </w:rPr>
  </w:style>
  <w:style w:type="paragraph" w:styleId="19">
    <w:name w:val="List Number"/>
    <w:basedOn w:val="1"/>
    <w:autoRedefine/>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20">
    <w:name w:val="caption"/>
    <w:basedOn w:val="1"/>
    <w:link w:val="107"/>
    <w:autoRedefine/>
    <w:qFormat/>
    <w:uiPriority w:val="0"/>
    <w:pPr>
      <w:spacing w:before="152" w:after="160"/>
    </w:pPr>
    <w:rPr>
      <w:rFonts w:ascii="Arial" w:hAnsi="Arial" w:eastAsia="黑体"/>
      <w:sz w:val="20"/>
      <w:szCs w:val="20"/>
    </w:rPr>
  </w:style>
  <w:style w:type="paragraph" w:styleId="21">
    <w:name w:val="List Bullet"/>
    <w:basedOn w:val="1"/>
    <w:autoRedefine/>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2">
    <w:name w:val="Document Map"/>
    <w:basedOn w:val="1"/>
    <w:link w:val="81"/>
    <w:autoRedefine/>
    <w:qFormat/>
    <w:uiPriority w:val="0"/>
    <w:rPr>
      <w:rFonts w:ascii="宋体"/>
      <w:sz w:val="18"/>
      <w:szCs w:val="18"/>
    </w:rPr>
  </w:style>
  <w:style w:type="paragraph" w:styleId="23">
    <w:name w:val="annotation text"/>
    <w:basedOn w:val="1"/>
    <w:link w:val="969"/>
    <w:autoRedefine/>
    <w:qFormat/>
    <w:uiPriority w:val="0"/>
    <w:pPr>
      <w:jc w:val="left"/>
    </w:pPr>
  </w:style>
  <w:style w:type="paragraph" w:styleId="24">
    <w:name w:val="Salutation"/>
    <w:basedOn w:val="1"/>
    <w:next w:val="1"/>
    <w:link w:val="83"/>
    <w:autoRedefine/>
    <w:qFormat/>
    <w:uiPriority w:val="0"/>
    <w:rPr>
      <w:rFonts w:ascii="宋体" w:hAnsi="Times New Roman"/>
      <w:b/>
      <w:sz w:val="28"/>
      <w:szCs w:val="20"/>
    </w:rPr>
  </w:style>
  <w:style w:type="paragraph" w:styleId="25">
    <w:name w:val="Body Text 3"/>
    <w:basedOn w:val="1"/>
    <w:link w:val="84"/>
    <w:autoRedefine/>
    <w:qFormat/>
    <w:uiPriority w:val="0"/>
    <w:pPr>
      <w:snapToGrid w:val="0"/>
      <w:spacing w:before="50" w:after="50"/>
    </w:pPr>
    <w:rPr>
      <w:rFonts w:ascii="Times New Roman" w:hAnsi="宋体" w:eastAsia="仿宋_GB2312"/>
      <w:b/>
      <w:bCs/>
      <w:sz w:val="24"/>
      <w:szCs w:val="20"/>
    </w:rPr>
  </w:style>
  <w:style w:type="paragraph" w:styleId="26">
    <w:name w:val="Body Text Indent"/>
    <w:basedOn w:val="1"/>
    <w:next w:val="1"/>
    <w:link w:val="86"/>
    <w:autoRedefine/>
    <w:qFormat/>
    <w:uiPriority w:val="0"/>
    <w:pPr>
      <w:spacing w:line="200" w:lineRule="exact"/>
      <w:ind w:firstLine="301"/>
    </w:pPr>
    <w:rPr>
      <w:rFonts w:ascii="宋体" w:hAnsi="Courier New"/>
      <w:spacing w:val="-4"/>
      <w:sz w:val="18"/>
      <w:szCs w:val="20"/>
    </w:rPr>
  </w:style>
  <w:style w:type="paragraph" w:styleId="27">
    <w:name w:val="List Number 3"/>
    <w:basedOn w:val="1"/>
    <w:autoRedefine/>
    <w:qFormat/>
    <w:uiPriority w:val="0"/>
    <w:pPr>
      <w:numPr>
        <w:ilvl w:val="0"/>
        <w:numId w:val="3"/>
      </w:numPr>
    </w:pPr>
    <w:rPr>
      <w:rFonts w:ascii="Times New Roman" w:hAnsi="Times New Roman"/>
      <w:szCs w:val="24"/>
    </w:rPr>
  </w:style>
  <w:style w:type="paragraph" w:styleId="28">
    <w:name w:val="List 2"/>
    <w:basedOn w:val="1"/>
    <w:autoRedefine/>
    <w:qFormat/>
    <w:uiPriority w:val="0"/>
    <w:pPr>
      <w:ind w:left="100" w:leftChars="200" w:hanging="200" w:hangingChars="200"/>
    </w:pPr>
    <w:rPr>
      <w:rFonts w:ascii="Times New Roman" w:hAnsi="Times New Roman"/>
      <w:sz w:val="28"/>
      <w:szCs w:val="24"/>
    </w:rPr>
  </w:style>
  <w:style w:type="paragraph" w:styleId="29">
    <w:name w:val="List Bullet 2"/>
    <w:basedOn w:val="1"/>
    <w:autoRedefine/>
    <w:qFormat/>
    <w:uiPriority w:val="0"/>
    <w:pPr>
      <w:tabs>
        <w:tab w:val="left" w:pos="780"/>
      </w:tabs>
      <w:ind w:left="780" w:leftChars="200" w:hanging="360" w:hangingChars="200"/>
    </w:pPr>
    <w:rPr>
      <w:rFonts w:ascii="Times New Roman" w:hAnsi="Times New Roman"/>
      <w:szCs w:val="24"/>
    </w:rPr>
  </w:style>
  <w:style w:type="paragraph" w:styleId="30">
    <w:name w:val="toc 5"/>
    <w:basedOn w:val="1"/>
    <w:next w:val="1"/>
    <w:autoRedefine/>
    <w:qFormat/>
    <w:uiPriority w:val="0"/>
    <w:pPr>
      <w:spacing w:afterLines="50"/>
      <w:ind w:left="840"/>
      <w:jc w:val="left"/>
    </w:pPr>
    <w:rPr>
      <w:rFonts w:ascii="Times New Roman" w:hAnsi="Times New Roman"/>
      <w:snapToGrid w:val="0"/>
      <w:kern w:val="0"/>
      <w:sz w:val="18"/>
      <w:szCs w:val="18"/>
    </w:rPr>
  </w:style>
  <w:style w:type="paragraph" w:styleId="31">
    <w:name w:val="toc 3"/>
    <w:basedOn w:val="1"/>
    <w:next w:val="1"/>
    <w:autoRedefine/>
    <w:qFormat/>
    <w:uiPriority w:val="0"/>
    <w:pPr>
      <w:ind w:left="840" w:leftChars="400"/>
    </w:pPr>
  </w:style>
  <w:style w:type="paragraph" w:styleId="32">
    <w:name w:val="Plain Text"/>
    <w:basedOn w:val="1"/>
    <w:link w:val="87"/>
    <w:autoRedefine/>
    <w:qFormat/>
    <w:uiPriority w:val="0"/>
    <w:pPr>
      <w:spacing w:beforeLines="50" w:afterLines="50" w:line="400" w:lineRule="exact"/>
    </w:pPr>
    <w:rPr>
      <w:rFonts w:ascii="宋体" w:hAnsi="Courier New"/>
      <w:sz w:val="24"/>
      <w:szCs w:val="24"/>
    </w:rPr>
  </w:style>
  <w:style w:type="paragraph" w:styleId="33">
    <w:name w:val="List Bullet 5"/>
    <w:basedOn w:val="1"/>
    <w:autoRedefine/>
    <w:qFormat/>
    <w:uiPriority w:val="0"/>
    <w:pPr>
      <w:numPr>
        <w:ilvl w:val="0"/>
        <w:numId w:val="4"/>
      </w:numPr>
    </w:pPr>
    <w:rPr>
      <w:rFonts w:ascii="Times New Roman" w:hAnsi="Times New Roman"/>
      <w:szCs w:val="24"/>
    </w:rPr>
  </w:style>
  <w:style w:type="paragraph" w:styleId="34">
    <w:name w:val="toc 8"/>
    <w:basedOn w:val="1"/>
    <w:next w:val="1"/>
    <w:autoRedefine/>
    <w:qFormat/>
    <w:uiPriority w:val="0"/>
    <w:pPr>
      <w:spacing w:afterLines="50"/>
      <w:ind w:left="1470"/>
      <w:jc w:val="left"/>
    </w:pPr>
    <w:rPr>
      <w:rFonts w:ascii="Times New Roman" w:hAnsi="Times New Roman"/>
      <w:snapToGrid w:val="0"/>
      <w:kern w:val="0"/>
      <w:sz w:val="18"/>
      <w:szCs w:val="18"/>
    </w:rPr>
  </w:style>
  <w:style w:type="paragraph" w:styleId="35">
    <w:name w:val="Date"/>
    <w:basedOn w:val="1"/>
    <w:next w:val="1"/>
    <w:link w:val="88"/>
    <w:autoRedefine/>
    <w:qFormat/>
    <w:uiPriority w:val="0"/>
    <w:pPr>
      <w:ind w:left="2500" w:leftChars="2500"/>
    </w:pPr>
    <w:rPr>
      <w:rFonts w:eastAsia="楷体_GB2312"/>
      <w:sz w:val="32"/>
      <w:szCs w:val="20"/>
    </w:rPr>
  </w:style>
  <w:style w:type="paragraph" w:styleId="36">
    <w:name w:val="Body Text Indent 2"/>
    <w:basedOn w:val="1"/>
    <w:link w:val="89"/>
    <w:autoRedefine/>
    <w:qFormat/>
    <w:uiPriority w:val="0"/>
    <w:pPr>
      <w:snapToGrid w:val="0"/>
      <w:ind w:firstLine="542" w:firstLineChars="225"/>
    </w:pPr>
    <w:rPr>
      <w:rFonts w:ascii="仿宋_GB2312" w:hAnsi="宋体"/>
      <w:b/>
      <w:bCs/>
      <w:color w:val="000000"/>
      <w:sz w:val="24"/>
      <w:szCs w:val="24"/>
    </w:rPr>
  </w:style>
  <w:style w:type="paragraph" w:styleId="37">
    <w:name w:val="endnote text"/>
    <w:basedOn w:val="1"/>
    <w:link w:val="90"/>
    <w:autoRedefine/>
    <w:qFormat/>
    <w:uiPriority w:val="0"/>
    <w:pPr>
      <w:numPr>
        <w:ilvl w:val="0"/>
        <w:numId w:val="5"/>
      </w:numPr>
      <w:snapToGrid w:val="0"/>
      <w:spacing w:afterLines="50"/>
      <w:jc w:val="left"/>
    </w:pPr>
    <w:rPr>
      <w:rFonts w:ascii="宋体"/>
      <w:snapToGrid w:val="0"/>
      <w:kern w:val="0"/>
      <w:szCs w:val="20"/>
    </w:rPr>
  </w:style>
  <w:style w:type="paragraph" w:styleId="38">
    <w:name w:val="Balloon Text"/>
    <w:basedOn w:val="1"/>
    <w:link w:val="91"/>
    <w:autoRedefine/>
    <w:qFormat/>
    <w:uiPriority w:val="0"/>
    <w:rPr>
      <w:sz w:val="18"/>
      <w:szCs w:val="18"/>
    </w:rPr>
  </w:style>
  <w:style w:type="paragraph" w:styleId="39">
    <w:name w:val="footer"/>
    <w:basedOn w:val="1"/>
    <w:link w:val="819"/>
    <w:autoRedefine/>
    <w:qFormat/>
    <w:uiPriority w:val="99"/>
    <w:pPr>
      <w:tabs>
        <w:tab w:val="center" w:pos="4153"/>
        <w:tab w:val="right" w:pos="8306"/>
      </w:tabs>
      <w:snapToGrid w:val="0"/>
      <w:jc w:val="left"/>
    </w:pPr>
    <w:rPr>
      <w:sz w:val="18"/>
      <w:szCs w:val="18"/>
    </w:rPr>
  </w:style>
  <w:style w:type="paragraph" w:styleId="40">
    <w:name w:val="header"/>
    <w:basedOn w:val="1"/>
    <w:link w:val="379"/>
    <w:autoRedefine/>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autoRedefine/>
    <w:qFormat/>
    <w:uiPriority w:val="0"/>
    <w:pPr>
      <w:spacing w:before="240" w:after="240"/>
    </w:pPr>
    <w:rPr>
      <w:rFonts w:ascii="Times New Roman" w:hAnsi="Times New Roman" w:eastAsia="仿宋"/>
      <w:sz w:val="36"/>
      <w:szCs w:val="24"/>
    </w:rPr>
  </w:style>
  <w:style w:type="paragraph" w:styleId="42">
    <w:name w:val="toc 4"/>
    <w:basedOn w:val="1"/>
    <w:next w:val="1"/>
    <w:autoRedefine/>
    <w:qFormat/>
    <w:uiPriority w:val="0"/>
    <w:pPr>
      <w:ind w:left="1260" w:leftChars="600"/>
    </w:pPr>
  </w:style>
  <w:style w:type="paragraph" w:styleId="43">
    <w:name w:val="Subtitle"/>
    <w:basedOn w:val="1"/>
    <w:link w:val="94"/>
    <w:autoRedefine/>
    <w:qFormat/>
    <w:uiPriority w:val="0"/>
    <w:pPr>
      <w:spacing w:afterLines="50"/>
      <w:jc w:val="center"/>
    </w:pPr>
    <w:rPr>
      <w:rFonts w:ascii="Times New Roman" w:hAnsi="Times New Roman" w:eastAsia="Times New Roman"/>
      <w:sz w:val="18"/>
      <w:szCs w:val="18"/>
    </w:rPr>
  </w:style>
  <w:style w:type="paragraph" w:styleId="44">
    <w:name w:val="List"/>
    <w:basedOn w:val="2"/>
    <w:autoRedefine/>
    <w:qFormat/>
    <w:uiPriority w:val="0"/>
    <w:pPr>
      <w:ind w:left="200" w:hanging="200" w:hangingChars="200"/>
    </w:pPr>
    <w:rPr>
      <w:rFonts w:ascii="Times New Roman" w:hAnsi="Times New Roman"/>
      <w:sz w:val="28"/>
      <w:szCs w:val="24"/>
    </w:rPr>
  </w:style>
  <w:style w:type="paragraph" w:styleId="45">
    <w:name w:val="footnote text"/>
    <w:basedOn w:val="1"/>
    <w:link w:val="95"/>
    <w:autoRedefine/>
    <w:qFormat/>
    <w:uiPriority w:val="0"/>
    <w:pPr>
      <w:snapToGrid w:val="0"/>
      <w:jc w:val="left"/>
    </w:pPr>
    <w:rPr>
      <w:sz w:val="18"/>
      <w:szCs w:val="18"/>
    </w:rPr>
  </w:style>
  <w:style w:type="paragraph" w:styleId="46">
    <w:name w:val="toc 6"/>
    <w:basedOn w:val="1"/>
    <w:next w:val="1"/>
    <w:autoRedefine/>
    <w:qFormat/>
    <w:uiPriority w:val="0"/>
    <w:pPr>
      <w:ind w:left="1050"/>
      <w:jc w:val="left"/>
    </w:pPr>
    <w:rPr>
      <w:rFonts w:ascii="Times New Roman" w:hAnsi="Times New Roman"/>
      <w:sz w:val="18"/>
      <w:szCs w:val="18"/>
    </w:rPr>
  </w:style>
  <w:style w:type="paragraph" w:styleId="47">
    <w:name w:val="Body Text Indent 3"/>
    <w:basedOn w:val="1"/>
    <w:link w:val="96"/>
    <w:autoRedefine/>
    <w:qFormat/>
    <w:uiPriority w:val="0"/>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autoRedefine/>
    <w:qFormat/>
    <w:uiPriority w:val="0"/>
    <w:pPr>
      <w:tabs>
        <w:tab w:val="left" w:pos="1270"/>
      </w:tabs>
      <w:spacing w:line="360" w:lineRule="auto"/>
      <w:ind w:left="1270" w:hanging="420"/>
      <w:jc w:val="left"/>
    </w:pPr>
    <w:rPr>
      <w:rFonts w:ascii="Times New Roman" w:hAnsi="Times New Roman"/>
      <w:smallCaps/>
      <w:sz w:val="20"/>
      <w:szCs w:val="20"/>
    </w:rPr>
  </w:style>
  <w:style w:type="paragraph" w:styleId="49">
    <w:name w:val="toc 2"/>
    <w:basedOn w:val="1"/>
    <w:next w:val="1"/>
    <w:autoRedefine/>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0">
    <w:name w:val="toc 9"/>
    <w:basedOn w:val="1"/>
    <w:next w:val="1"/>
    <w:autoRedefine/>
    <w:qFormat/>
    <w:uiPriority w:val="0"/>
    <w:pPr>
      <w:ind w:left="1680"/>
      <w:jc w:val="left"/>
    </w:pPr>
    <w:rPr>
      <w:rFonts w:ascii="Times New Roman" w:hAnsi="Times New Roman"/>
      <w:sz w:val="18"/>
      <w:szCs w:val="18"/>
    </w:rPr>
  </w:style>
  <w:style w:type="paragraph" w:styleId="51">
    <w:name w:val="List Continue 2"/>
    <w:basedOn w:val="1"/>
    <w:autoRedefine/>
    <w:qFormat/>
    <w:uiPriority w:val="0"/>
    <w:pPr>
      <w:widowControl/>
      <w:spacing w:after="120"/>
      <w:ind w:left="840" w:leftChars="400"/>
      <w:jc w:val="left"/>
    </w:pPr>
    <w:rPr>
      <w:rFonts w:ascii="Times New Roman" w:hAnsi="Times New Roman" w:cs="宋体"/>
      <w:kern w:val="0"/>
      <w:sz w:val="24"/>
      <w:szCs w:val="24"/>
    </w:rPr>
  </w:style>
  <w:style w:type="paragraph" w:styleId="52">
    <w:name w:val="HTML Preformatted"/>
    <w:basedOn w:val="1"/>
    <w:link w:val="98"/>
    <w:autoRedefine/>
    <w:qFormat/>
    <w:uiPriority w:val="0"/>
    <w:rPr>
      <w:rFonts w:ascii="Courier New" w:hAnsi="Courier New"/>
      <w:sz w:val="20"/>
      <w:szCs w:val="20"/>
    </w:rPr>
  </w:style>
  <w:style w:type="paragraph" w:styleId="53">
    <w:name w:val="Normal (Web)"/>
    <w:basedOn w:val="1"/>
    <w:link w:val="992"/>
    <w:autoRedefine/>
    <w:qFormat/>
    <w:uiPriority w:val="0"/>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autoRedefine/>
    <w:qFormat/>
    <w:uiPriority w:val="0"/>
    <w:rPr>
      <w:rFonts w:ascii="Times New Roman" w:hAnsi="Times New Roman"/>
      <w:szCs w:val="20"/>
    </w:rPr>
  </w:style>
  <w:style w:type="paragraph" w:styleId="55">
    <w:name w:val="Title"/>
    <w:basedOn w:val="1"/>
    <w:link w:val="99"/>
    <w:autoRedefine/>
    <w:qFormat/>
    <w:uiPriority w:val="0"/>
    <w:pPr>
      <w:spacing w:before="240" w:after="60"/>
      <w:jc w:val="center"/>
      <w:outlineLvl w:val="0"/>
    </w:pPr>
    <w:rPr>
      <w:rFonts w:ascii="Arial" w:hAnsi="Arial"/>
      <w:b/>
      <w:bCs/>
      <w:sz w:val="32"/>
      <w:szCs w:val="32"/>
    </w:rPr>
  </w:style>
  <w:style w:type="paragraph" w:styleId="56">
    <w:name w:val="annotation subject"/>
    <w:basedOn w:val="23"/>
    <w:next w:val="23"/>
    <w:link w:val="963"/>
    <w:autoRedefine/>
    <w:qFormat/>
    <w:uiPriority w:val="0"/>
    <w:rPr>
      <w:b/>
      <w:bCs/>
    </w:rPr>
  </w:style>
  <w:style w:type="paragraph" w:styleId="57">
    <w:name w:val="Body Text First Indent"/>
    <w:basedOn w:val="2"/>
    <w:link w:val="102"/>
    <w:autoRedefine/>
    <w:qFormat/>
    <w:uiPriority w:val="0"/>
    <w:pPr>
      <w:ind w:firstLine="420" w:firstLineChars="100"/>
    </w:pPr>
    <w:rPr>
      <w:sz w:val="21"/>
      <w:szCs w:val="22"/>
    </w:rPr>
  </w:style>
  <w:style w:type="paragraph" w:styleId="58">
    <w:name w:val="Body Text First Indent 2"/>
    <w:basedOn w:val="26"/>
    <w:next w:val="1"/>
    <w:link w:val="964"/>
    <w:autoRedefine/>
    <w:qFormat/>
    <w:uiPriority w:val="0"/>
    <w:pPr>
      <w:spacing w:after="120" w:line="240" w:lineRule="auto"/>
      <w:ind w:left="420" w:leftChars="200" w:firstLine="420" w:firstLineChars="200"/>
    </w:pPr>
    <w:rPr>
      <w:rFonts w:ascii="Times New Roman" w:hAnsi="Times New Roman"/>
      <w:spacing w:val="0"/>
      <w:sz w:val="21"/>
    </w:rPr>
  </w:style>
  <w:style w:type="table" w:styleId="60">
    <w:name w:val="Table Grid"/>
    <w:basedOn w:val="59"/>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autoRedefine/>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autoRedefine/>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autoRedefine/>
    <w:qFormat/>
    <w:uiPriority w:val="61"/>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autoRedefine/>
    <w:qFormat/>
    <w:uiPriority w:val="0"/>
    <w:rPr>
      <w:b/>
      <w:bCs/>
    </w:rPr>
  </w:style>
  <w:style w:type="character" w:styleId="66">
    <w:name w:val="page number"/>
    <w:basedOn w:val="64"/>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color w:val="CC0033"/>
    </w:rPr>
  </w:style>
  <w:style w:type="character" w:styleId="69">
    <w:name w:val="Hyperlink"/>
    <w:autoRedefine/>
    <w:qFormat/>
    <w:uiPriority w:val="0"/>
    <w:rPr>
      <w:color w:val="0000FF"/>
      <w:u w:val="single"/>
    </w:rPr>
  </w:style>
  <w:style w:type="character" w:styleId="70">
    <w:name w:val="annotation reference"/>
    <w:autoRedefine/>
    <w:qFormat/>
    <w:uiPriority w:val="0"/>
    <w:rPr>
      <w:sz w:val="21"/>
      <w:szCs w:val="21"/>
    </w:rPr>
  </w:style>
  <w:style w:type="character" w:styleId="71">
    <w:name w:val="footnote reference"/>
    <w:uiPriority w:val="0"/>
    <w:rPr>
      <w:vertAlign w:val="superscript"/>
    </w:rPr>
  </w:style>
  <w:style w:type="character" w:customStyle="1" w:styleId="72">
    <w:name w:val="标题 1 字符"/>
    <w:basedOn w:val="64"/>
    <w:link w:val="4"/>
    <w:autoRedefine/>
    <w:qFormat/>
    <w:uiPriority w:val="0"/>
    <w:rPr>
      <w:rFonts w:ascii="Calibri" w:hAnsi="Calibri" w:eastAsia="隶书" w:cs="Times New Roman"/>
      <w:b/>
      <w:bCs/>
      <w:kern w:val="0"/>
      <w:sz w:val="36"/>
      <w:szCs w:val="36"/>
    </w:rPr>
  </w:style>
  <w:style w:type="character" w:customStyle="1" w:styleId="73">
    <w:name w:val="标题 2 Char"/>
    <w:basedOn w:val="64"/>
    <w:autoRedefine/>
    <w:qFormat/>
    <w:uiPriority w:val="0"/>
    <w:rPr>
      <w:rFonts w:asciiTheme="majorHAnsi" w:hAnsiTheme="majorHAnsi" w:eastAsiaTheme="majorEastAsia" w:cstheme="majorBidi"/>
      <w:b/>
      <w:bCs/>
      <w:sz w:val="32"/>
      <w:szCs w:val="32"/>
    </w:rPr>
  </w:style>
  <w:style w:type="character" w:customStyle="1" w:styleId="74">
    <w:name w:val="标题 3 字符"/>
    <w:basedOn w:val="64"/>
    <w:link w:val="6"/>
    <w:autoRedefine/>
    <w:qFormat/>
    <w:uiPriority w:val="9"/>
    <w:rPr>
      <w:rFonts w:ascii="Calibri" w:hAnsi="Calibri" w:eastAsia="宋体" w:cs="Times New Roman"/>
      <w:b/>
      <w:bCs/>
      <w:sz w:val="32"/>
      <w:szCs w:val="32"/>
    </w:rPr>
  </w:style>
  <w:style w:type="character" w:customStyle="1" w:styleId="75">
    <w:name w:val="标题 4 字符"/>
    <w:basedOn w:val="64"/>
    <w:link w:val="7"/>
    <w:autoRedefine/>
    <w:qFormat/>
    <w:uiPriority w:val="0"/>
    <w:rPr>
      <w:rFonts w:ascii="Arial" w:hAnsi="Arial" w:eastAsia="黑体" w:cs="Times New Roman"/>
      <w:b/>
      <w:bCs/>
      <w:sz w:val="28"/>
      <w:szCs w:val="28"/>
    </w:rPr>
  </w:style>
  <w:style w:type="character" w:customStyle="1" w:styleId="76">
    <w:name w:val="标题 5 字符"/>
    <w:basedOn w:val="64"/>
    <w:link w:val="9"/>
    <w:autoRedefine/>
    <w:qFormat/>
    <w:uiPriority w:val="0"/>
    <w:rPr>
      <w:rFonts w:ascii="Calibri" w:hAnsi="Calibri" w:eastAsia="宋体" w:cs="Times New Roman"/>
      <w:b/>
      <w:bCs/>
      <w:sz w:val="28"/>
      <w:szCs w:val="28"/>
    </w:rPr>
  </w:style>
  <w:style w:type="character" w:customStyle="1" w:styleId="77">
    <w:name w:val="标题 6 字符"/>
    <w:basedOn w:val="64"/>
    <w:link w:val="10"/>
    <w:autoRedefine/>
    <w:qFormat/>
    <w:uiPriority w:val="0"/>
    <w:rPr>
      <w:rFonts w:ascii="Arial" w:hAnsi="Arial" w:eastAsia="黑体" w:cs="Times New Roman"/>
      <w:b/>
      <w:bCs/>
      <w:sz w:val="24"/>
      <w:szCs w:val="24"/>
    </w:rPr>
  </w:style>
  <w:style w:type="character" w:customStyle="1" w:styleId="78">
    <w:name w:val="标题 7 字符"/>
    <w:basedOn w:val="64"/>
    <w:link w:val="11"/>
    <w:autoRedefine/>
    <w:qFormat/>
    <w:uiPriority w:val="99"/>
    <w:rPr>
      <w:rFonts w:ascii="Calibri" w:hAnsi="Calibri" w:eastAsia="宋体" w:cs="Times New Roman"/>
      <w:b/>
      <w:bCs/>
      <w:sz w:val="24"/>
      <w:szCs w:val="24"/>
    </w:rPr>
  </w:style>
  <w:style w:type="character" w:customStyle="1" w:styleId="79">
    <w:name w:val="标题 8 字符"/>
    <w:basedOn w:val="64"/>
    <w:link w:val="12"/>
    <w:autoRedefine/>
    <w:qFormat/>
    <w:uiPriority w:val="99"/>
    <w:rPr>
      <w:rFonts w:ascii="Cambria" w:hAnsi="Cambria" w:eastAsia="宋体" w:cs="Times New Roman"/>
      <w:sz w:val="24"/>
      <w:szCs w:val="24"/>
    </w:rPr>
  </w:style>
  <w:style w:type="character" w:customStyle="1" w:styleId="80">
    <w:name w:val="标题 9 字符"/>
    <w:basedOn w:val="64"/>
    <w:link w:val="13"/>
    <w:autoRedefine/>
    <w:qFormat/>
    <w:uiPriority w:val="99"/>
    <w:rPr>
      <w:rFonts w:ascii="Cambria" w:hAnsi="Cambria" w:eastAsia="宋体" w:cs="Times New Roman"/>
      <w:szCs w:val="21"/>
    </w:rPr>
  </w:style>
  <w:style w:type="character" w:customStyle="1" w:styleId="81">
    <w:name w:val="文档结构图 字符"/>
    <w:basedOn w:val="64"/>
    <w:link w:val="22"/>
    <w:autoRedefine/>
    <w:qFormat/>
    <w:uiPriority w:val="99"/>
    <w:rPr>
      <w:rFonts w:ascii="宋体" w:hAnsi="Calibri" w:eastAsia="宋体" w:cs="Times New Roman"/>
      <w:sz w:val="18"/>
      <w:szCs w:val="18"/>
    </w:rPr>
  </w:style>
  <w:style w:type="character" w:customStyle="1" w:styleId="82">
    <w:name w:val="批注文字 字符1"/>
    <w:basedOn w:val="64"/>
    <w:link w:val="23"/>
    <w:autoRedefine/>
    <w:qFormat/>
    <w:uiPriority w:val="99"/>
    <w:rPr>
      <w:rFonts w:ascii="Calibri" w:hAnsi="Calibri" w:eastAsia="宋体" w:cs="Times New Roman"/>
    </w:rPr>
  </w:style>
  <w:style w:type="character" w:customStyle="1" w:styleId="83">
    <w:name w:val="称呼 字符"/>
    <w:basedOn w:val="64"/>
    <w:link w:val="24"/>
    <w:autoRedefine/>
    <w:qFormat/>
    <w:uiPriority w:val="99"/>
    <w:rPr>
      <w:rFonts w:ascii="宋体" w:hAnsi="Times New Roman" w:eastAsia="宋体" w:cs="Times New Roman"/>
      <w:b/>
      <w:sz w:val="28"/>
      <w:szCs w:val="20"/>
    </w:rPr>
  </w:style>
  <w:style w:type="character" w:customStyle="1" w:styleId="84">
    <w:name w:val="正文文本 3 字符"/>
    <w:basedOn w:val="64"/>
    <w:link w:val="25"/>
    <w:autoRedefine/>
    <w:qFormat/>
    <w:uiPriority w:val="99"/>
    <w:rPr>
      <w:rFonts w:ascii="Times New Roman" w:hAnsi="宋体" w:eastAsia="仿宋_GB2312" w:cs="Times New Roman"/>
      <w:b/>
      <w:bCs/>
      <w:sz w:val="24"/>
      <w:szCs w:val="20"/>
    </w:rPr>
  </w:style>
  <w:style w:type="character" w:customStyle="1" w:styleId="85">
    <w:name w:val="正文文本 字符1"/>
    <w:basedOn w:val="64"/>
    <w:link w:val="2"/>
    <w:autoRedefine/>
    <w:qFormat/>
    <w:uiPriority w:val="99"/>
    <w:rPr>
      <w:rFonts w:ascii="Calibri" w:hAnsi="Calibri" w:eastAsia="宋体" w:cs="Times New Roman"/>
      <w:sz w:val="28"/>
      <w:szCs w:val="24"/>
    </w:rPr>
  </w:style>
  <w:style w:type="character" w:customStyle="1" w:styleId="86">
    <w:name w:val="正文文本缩进 字符1"/>
    <w:basedOn w:val="64"/>
    <w:link w:val="26"/>
    <w:autoRedefine/>
    <w:qFormat/>
    <w:uiPriority w:val="99"/>
    <w:rPr>
      <w:rFonts w:ascii="宋体" w:hAnsi="Courier New" w:eastAsia="宋体" w:cs="Times New Roman"/>
      <w:spacing w:val="-4"/>
      <w:sz w:val="18"/>
      <w:szCs w:val="20"/>
    </w:rPr>
  </w:style>
  <w:style w:type="character" w:customStyle="1" w:styleId="87">
    <w:name w:val="纯文本 字符"/>
    <w:basedOn w:val="64"/>
    <w:link w:val="32"/>
    <w:autoRedefine/>
    <w:qFormat/>
    <w:uiPriority w:val="99"/>
    <w:rPr>
      <w:rFonts w:ascii="宋体" w:hAnsi="Courier New" w:eastAsia="宋体" w:cs="Times New Roman"/>
      <w:sz w:val="24"/>
      <w:szCs w:val="24"/>
    </w:rPr>
  </w:style>
  <w:style w:type="character" w:customStyle="1" w:styleId="88">
    <w:name w:val="日期 字符"/>
    <w:basedOn w:val="64"/>
    <w:link w:val="35"/>
    <w:autoRedefine/>
    <w:qFormat/>
    <w:uiPriority w:val="0"/>
    <w:rPr>
      <w:rFonts w:ascii="Calibri" w:hAnsi="Calibri" w:eastAsia="楷体_GB2312" w:cs="Times New Roman"/>
      <w:sz w:val="32"/>
      <w:szCs w:val="20"/>
    </w:rPr>
  </w:style>
  <w:style w:type="character" w:customStyle="1" w:styleId="89">
    <w:name w:val="正文文本缩进 2 字符"/>
    <w:basedOn w:val="64"/>
    <w:link w:val="36"/>
    <w:autoRedefine/>
    <w:qFormat/>
    <w:uiPriority w:val="99"/>
    <w:rPr>
      <w:rFonts w:ascii="仿宋_GB2312" w:hAnsi="宋体" w:eastAsia="宋体" w:cs="Times New Roman"/>
      <w:b/>
      <w:bCs/>
      <w:color w:val="000000"/>
      <w:sz w:val="24"/>
      <w:szCs w:val="24"/>
    </w:rPr>
  </w:style>
  <w:style w:type="character" w:customStyle="1" w:styleId="90">
    <w:name w:val="尾注文本 字符"/>
    <w:basedOn w:val="64"/>
    <w:link w:val="37"/>
    <w:autoRedefine/>
    <w:qFormat/>
    <w:uiPriority w:val="99"/>
    <w:rPr>
      <w:rFonts w:ascii="宋体" w:hAnsi="Calibri" w:eastAsia="宋体" w:cs="Times New Roman"/>
      <w:snapToGrid w:val="0"/>
      <w:kern w:val="0"/>
      <w:szCs w:val="20"/>
    </w:rPr>
  </w:style>
  <w:style w:type="character" w:customStyle="1" w:styleId="91">
    <w:name w:val="批注框文本 字符"/>
    <w:basedOn w:val="64"/>
    <w:link w:val="38"/>
    <w:autoRedefine/>
    <w:qFormat/>
    <w:uiPriority w:val="99"/>
    <w:rPr>
      <w:rFonts w:ascii="Calibri" w:hAnsi="Calibri" w:eastAsia="宋体" w:cs="Times New Roman"/>
      <w:sz w:val="18"/>
      <w:szCs w:val="18"/>
    </w:rPr>
  </w:style>
  <w:style w:type="character" w:customStyle="1" w:styleId="92">
    <w:name w:val="页脚 Char"/>
    <w:basedOn w:val="64"/>
    <w:autoRedefine/>
    <w:qFormat/>
    <w:uiPriority w:val="0"/>
    <w:rPr>
      <w:rFonts w:ascii="Calibri" w:hAnsi="Calibri" w:eastAsia="宋体" w:cs="Times New Roman"/>
      <w:sz w:val="18"/>
      <w:szCs w:val="18"/>
    </w:rPr>
  </w:style>
  <w:style w:type="character" w:customStyle="1" w:styleId="93">
    <w:name w:val="页眉 Char"/>
    <w:basedOn w:val="64"/>
    <w:autoRedefine/>
    <w:qFormat/>
    <w:uiPriority w:val="0"/>
    <w:rPr>
      <w:rFonts w:ascii="Calibri" w:hAnsi="Calibri" w:eastAsia="宋体" w:cs="Times New Roman"/>
      <w:sz w:val="18"/>
      <w:szCs w:val="18"/>
    </w:rPr>
  </w:style>
  <w:style w:type="character" w:customStyle="1" w:styleId="94">
    <w:name w:val="副标题 字符"/>
    <w:basedOn w:val="64"/>
    <w:link w:val="43"/>
    <w:qFormat/>
    <w:uiPriority w:val="11"/>
    <w:rPr>
      <w:rFonts w:ascii="Times New Roman" w:hAnsi="Times New Roman" w:eastAsia="Times New Roman" w:cs="Times New Roman"/>
      <w:sz w:val="18"/>
      <w:szCs w:val="18"/>
    </w:rPr>
  </w:style>
  <w:style w:type="character" w:customStyle="1" w:styleId="95">
    <w:name w:val="脚注文本 字符"/>
    <w:basedOn w:val="64"/>
    <w:link w:val="45"/>
    <w:autoRedefine/>
    <w:qFormat/>
    <w:uiPriority w:val="99"/>
    <w:rPr>
      <w:rFonts w:ascii="Calibri" w:hAnsi="Calibri" w:eastAsia="宋体" w:cs="Times New Roman"/>
      <w:sz w:val="18"/>
      <w:szCs w:val="18"/>
    </w:rPr>
  </w:style>
  <w:style w:type="character" w:customStyle="1" w:styleId="96">
    <w:name w:val="正文文本缩进 3 字符"/>
    <w:basedOn w:val="64"/>
    <w:link w:val="47"/>
    <w:autoRedefine/>
    <w:qFormat/>
    <w:uiPriority w:val="99"/>
    <w:rPr>
      <w:rFonts w:ascii="仿宋_GB2312" w:hAnsi="宋体" w:eastAsia="仿宋_GB2312" w:cs="Times New Roman"/>
      <w:color w:val="000000"/>
      <w:sz w:val="24"/>
      <w:szCs w:val="24"/>
    </w:rPr>
  </w:style>
  <w:style w:type="character" w:customStyle="1" w:styleId="97">
    <w:name w:val="正文文本 2 字符"/>
    <w:basedOn w:val="64"/>
    <w:link w:val="3"/>
    <w:autoRedefine/>
    <w:qFormat/>
    <w:uiPriority w:val="0"/>
    <w:rPr>
      <w:rFonts w:ascii="宋体" w:hAnsi="宋体" w:eastAsia="宋体" w:cs="Times New Roman"/>
      <w:color w:val="000000"/>
      <w:sz w:val="24"/>
      <w:szCs w:val="24"/>
    </w:rPr>
  </w:style>
  <w:style w:type="character" w:customStyle="1" w:styleId="98">
    <w:name w:val="HTML 预设格式 字符"/>
    <w:basedOn w:val="64"/>
    <w:link w:val="52"/>
    <w:autoRedefine/>
    <w:qFormat/>
    <w:uiPriority w:val="99"/>
    <w:rPr>
      <w:rFonts w:ascii="Courier New" w:hAnsi="Courier New" w:eastAsia="宋体" w:cs="Times New Roman"/>
      <w:sz w:val="20"/>
      <w:szCs w:val="20"/>
    </w:rPr>
  </w:style>
  <w:style w:type="character" w:customStyle="1" w:styleId="99">
    <w:name w:val="标题 字符"/>
    <w:basedOn w:val="64"/>
    <w:link w:val="55"/>
    <w:autoRedefine/>
    <w:qFormat/>
    <w:uiPriority w:val="99"/>
    <w:rPr>
      <w:rFonts w:ascii="Arial" w:hAnsi="Arial" w:eastAsia="宋体" w:cs="Times New Roman"/>
      <w:b/>
      <w:bCs/>
      <w:sz w:val="32"/>
      <w:szCs w:val="32"/>
    </w:rPr>
  </w:style>
  <w:style w:type="character" w:customStyle="1" w:styleId="100">
    <w:name w:val="批注主题 Char"/>
    <w:basedOn w:val="82"/>
    <w:link w:val="101"/>
    <w:autoRedefine/>
    <w:qFormat/>
    <w:uiPriority w:val="99"/>
    <w:rPr>
      <w:rFonts w:ascii="Calibri" w:hAnsi="Calibri" w:eastAsia="宋体" w:cs="Times New Roman"/>
      <w:b/>
      <w:bCs/>
    </w:rPr>
  </w:style>
  <w:style w:type="paragraph" w:customStyle="1" w:styleId="101">
    <w:name w:val="批注主题1"/>
    <w:basedOn w:val="23"/>
    <w:next w:val="23"/>
    <w:link w:val="100"/>
    <w:autoRedefine/>
    <w:qFormat/>
    <w:uiPriority w:val="99"/>
    <w:rPr>
      <w:b/>
      <w:bCs/>
    </w:rPr>
  </w:style>
  <w:style w:type="character" w:customStyle="1" w:styleId="102">
    <w:name w:val="正文首行缩进 字符"/>
    <w:basedOn w:val="85"/>
    <w:link w:val="57"/>
    <w:autoRedefine/>
    <w:qFormat/>
    <w:uiPriority w:val="99"/>
    <w:rPr>
      <w:rFonts w:ascii="Calibri" w:hAnsi="Calibri" w:eastAsia="宋体" w:cs="Times New Roman"/>
      <w:sz w:val="28"/>
      <w:szCs w:val="24"/>
    </w:rPr>
  </w:style>
  <w:style w:type="character" w:customStyle="1" w:styleId="103">
    <w:name w:val="正文首行缩进 2 Char"/>
    <w:basedOn w:val="86"/>
    <w:link w:val="104"/>
    <w:autoRedefine/>
    <w:qFormat/>
    <w:uiPriority w:val="0"/>
    <w:rPr>
      <w:rFonts w:ascii="宋体" w:hAnsi="Courier New" w:eastAsia="宋体" w:cs="Times New Roman"/>
      <w:spacing w:val="-4"/>
      <w:sz w:val="18"/>
      <w:szCs w:val="20"/>
    </w:rPr>
  </w:style>
  <w:style w:type="paragraph" w:customStyle="1" w:styleId="104">
    <w:name w:val="正文首行缩进 22"/>
    <w:basedOn w:val="105"/>
    <w:link w:val="103"/>
    <w:autoRedefine/>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autoRedefine/>
    <w:qFormat/>
    <w:uiPriority w:val="99"/>
    <w:pPr>
      <w:spacing w:after="120"/>
      <w:ind w:left="420" w:leftChars="200"/>
    </w:pPr>
    <w:rPr>
      <w:rFonts w:cs="黑体"/>
    </w:rPr>
  </w:style>
  <w:style w:type="character" w:customStyle="1" w:styleId="106">
    <w:name w:val="ca-8"/>
    <w:basedOn w:val="64"/>
    <w:autoRedefine/>
    <w:qFormat/>
    <w:uiPriority w:val="0"/>
  </w:style>
  <w:style w:type="character" w:customStyle="1" w:styleId="107">
    <w:name w:val="题注 字符"/>
    <w:link w:val="20"/>
    <w:autoRedefine/>
    <w:qFormat/>
    <w:uiPriority w:val="0"/>
    <w:rPr>
      <w:rFonts w:ascii="Arial" w:hAnsi="Arial" w:eastAsia="黑体" w:cs="Times New Roman"/>
      <w:sz w:val="20"/>
      <w:szCs w:val="20"/>
    </w:rPr>
  </w:style>
  <w:style w:type="character" w:customStyle="1" w:styleId="108">
    <w:name w:val="正文2 Char Char"/>
    <w:link w:val="109"/>
    <w:autoRedefine/>
    <w:qFormat/>
    <w:uiPriority w:val="0"/>
    <w:rPr>
      <w:rFonts w:ascii="Times New Roman" w:hAnsi="Times New Roman"/>
      <w:sz w:val="24"/>
    </w:rPr>
  </w:style>
  <w:style w:type="paragraph" w:customStyle="1" w:styleId="109">
    <w:name w:val="正文2"/>
    <w:basedOn w:val="1"/>
    <w:link w:val="108"/>
    <w:autoRedefine/>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autoRedefine/>
    <w:qFormat/>
    <w:uiPriority w:val="0"/>
    <w:rPr>
      <w:rFonts w:ascii="Times New Roman" w:hAnsi="宋体"/>
      <w:sz w:val="24"/>
      <w:szCs w:val="24"/>
    </w:rPr>
  </w:style>
  <w:style w:type="paragraph" w:customStyle="1" w:styleId="111">
    <w:name w:val="新昌正文"/>
    <w:basedOn w:val="1"/>
    <w:link w:val="110"/>
    <w:autoRedefine/>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autoRedefine/>
    <w:qFormat/>
    <w:uiPriority w:val="0"/>
    <w:rPr>
      <w:rFonts w:eastAsia="宋体" w:cs="宋体"/>
      <w:kern w:val="2"/>
      <w:sz w:val="24"/>
      <w:lang w:val="en-US" w:eastAsia="zh-CN" w:bidi="ar-SA"/>
    </w:rPr>
  </w:style>
  <w:style w:type="character" w:customStyle="1" w:styleId="113">
    <w:name w:val="表正文 Char1"/>
    <w:autoRedefine/>
    <w:qFormat/>
    <w:uiPriority w:val="0"/>
    <w:rPr>
      <w:rFonts w:eastAsia="宋体"/>
      <w:kern w:val="2"/>
      <w:sz w:val="24"/>
      <w:lang w:val="en-US" w:eastAsia="zh-CN"/>
    </w:rPr>
  </w:style>
  <w:style w:type="character" w:customStyle="1" w:styleId="114">
    <w:name w:val="A C"/>
    <w:autoRedefine/>
    <w:qFormat/>
    <w:uiPriority w:val="0"/>
    <w:rPr>
      <w:rFonts w:ascii="仿宋_GB2312"/>
      <w:bCs/>
      <w:iCs/>
      <w:sz w:val="24"/>
    </w:rPr>
  </w:style>
  <w:style w:type="character" w:customStyle="1" w:styleId="115">
    <w:name w:val="大汉方案正文 Char1"/>
    <w:link w:val="116"/>
    <w:autoRedefine/>
    <w:qFormat/>
    <w:uiPriority w:val="0"/>
    <w:rPr>
      <w:rFonts w:ascii="Arial" w:hAnsi="Arial" w:eastAsia="宋体"/>
      <w:sz w:val="24"/>
      <w:szCs w:val="24"/>
    </w:rPr>
  </w:style>
  <w:style w:type="paragraph" w:customStyle="1" w:styleId="116">
    <w:name w:val="大汉方案正文"/>
    <w:basedOn w:val="1"/>
    <w:link w:val="115"/>
    <w:autoRedefine/>
    <w:qFormat/>
    <w:uiPriority w:val="0"/>
    <w:pPr>
      <w:spacing w:line="360" w:lineRule="auto"/>
      <w:ind w:firstLine="200" w:firstLineChars="200"/>
    </w:pPr>
    <w:rPr>
      <w:rFonts w:ascii="Arial" w:hAnsi="Arial" w:cstheme="minorBidi"/>
      <w:sz w:val="24"/>
      <w:szCs w:val="24"/>
    </w:rPr>
  </w:style>
  <w:style w:type="character" w:customStyle="1" w:styleId="117">
    <w:name w:val="正 文 1 Char Char"/>
    <w:autoRedefine/>
    <w:qFormat/>
    <w:uiPriority w:val="0"/>
    <w:rPr>
      <w:rFonts w:ascii="宋体" w:hAnsi="Courier New" w:eastAsia="宋体"/>
      <w:kern w:val="2"/>
      <w:sz w:val="21"/>
      <w:lang w:val="en-US" w:eastAsia="zh-CN" w:bidi="ar-SA"/>
    </w:rPr>
  </w:style>
  <w:style w:type="character" w:customStyle="1" w:styleId="118">
    <w:name w:val="Char Char6"/>
    <w:autoRedefine/>
    <w:qFormat/>
    <w:uiPriority w:val="0"/>
    <w:rPr>
      <w:rFonts w:ascii="Calibri" w:hAnsi="Calibri" w:eastAsia="宋体"/>
      <w:b/>
      <w:bCs/>
      <w:kern w:val="2"/>
      <w:sz w:val="28"/>
      <w:szCs w:val="28"/>
      <w:lang w:bidi="ar-SA"/>
    </w:rPr>
  </w:style>
  <w:style w:type="character" w:customStyle="1" w:styleId="119">
    <w:name w:val="标题 1 Char1"/>
    <w:autoRedefine/>
    <w:qFormat/>
    <w:uiPriority w:val="0"/>
    <w:rPr>
      <w:rFonts w:cs="Times New Roman"/>
      <w:b/>
      <w:bCs/>
      <w:kern w:val="44"/>
      <w:sz w:val="44"/>
      <w:szCs w:val="44"/>
    </w:rPr>
  </w:style>
  <w:style w:type="character" w:customStyle="1" w:styleId="120">
    <w:name w:val="仙居正文 Char"/>
    <w:link w:val="121"/>
    <w:autoRedefine/>
    <w:qFormat/>
    <w:uiPriority w:val="0"/>
    <w:rPr>
      <w:rFonts w:ascii="宋体" w:hAnsi="宋体"/>
      <w:sz w:val="24"/>
      <w:szCs w:val="24"/>
    </w:rPr>
  </w:style>
  <w:style w:type="paragraph" w:customStyle="1" w:styleId="121">
    <w:name w:val="仙居正文"/>
    <w:basedOn w:val="1"/>
    <w:link w:val="120"/>
    <w:autoRedefine/>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autoRedefine/>
    <w:qFormat/>
    <w:uiPriority w:val="0"/>
    <w:rPr>
      <w:rFonts w:ascii="Courier New" w:hAnsi="Courier New"/>
      <w:color w:val="008080"/>
    </w:rPr>
  </w:style>
  <w:style w:type="character" w:customStyle="1" w:styleId="123">
    <w:name w:val="unnamed1"/>
    <w:basedOn w:val="64"/>
    <w:autoRedefine/>
    <w:qFormat/>
    <w:uiPriority w:val="0"/>
  </w:style>
  <w:style w:type="character" w:customStyle="1" w:styleId="124">
    <w:name w:val="样式(-) Char"/>
    <w:link w:val="125"/>
    <w:autoRedefine/>
    <w:qFormat/>
    <w:locked/>
    <w:uiPriority w:val="0"/>
    <w:rPr>
      <w:rFonts w:ascii="Calibri" w:hAnsi="Calibri" w:eastAsia="仿宋"/>
      <w:b/>
      <w:sz w:val="28"/>
      <w:szCs w:val="21"/>
    </w:rPr>
  </w:style>
  <w:style w:type="paragraph" w:customStyle="1" w:styleId="125">
    <w:name w:val="样式(-)"/>
    <w:basedOn w:val="126"/>
    <w:link w:val="124"/>
    <w:autoRedefine/>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autoRedefine/>
    <w:qFormat/>
    <w:uiPriority w:val="0"/>
    <w:pPr>
      <w:ind w:firstLine="420" w:firstLineChars="200"/>
    </w:pPr>
    <w:rPr>
      <w:szCs w:val="24"/>
    </w:rPr>
  </w:style>
  <w:style w:type="character" w:customStyle="1" w:styleId="127">
    <w:name w:val="表正文 Char2"/>
    <w:autoRedefine/>
    <w:qFormat/>
    <w:uiPriority w:val="0"/>
    <w:rPr>
      <w:rFonts w:eastAsia="宋体"/>
      <w:kern w:val="2"/>
      <w:sz w:val="21"/>
      <w:lang w:val="en-US" w:eastAsia="zh-CN" w:bidi="ar-SA"/>
    </w:rPr>
  </w:style>
  <w:style w:type="character" w:customStyle="1" w:styleId="128">
    <w:name w:val="表格中文字 Char Char"/>
    <w:autoRedefine/>
    <w:qFormat/>
    <w:uiPriority w:val="0"/>
    <w:rPr>
      <w:rFonts w:ascii="新宋体" w:hAnsi="新宋体" w:eastAsia="新宋体"/>
      <w:sz w:val="24"/>
      <w:szCs w:val="24"/>
      <w:lang w:bidi="ar-SA"/>
    </w:rPr>
  </w:style>
  <w:style w:type="character" w:customStyle="1" w:styleId="129">
    <w:name w:val="ca-7"/>
    <w:basedOn w:val="64"/>
    <w:autoRedefine/>
    <w:qFormat/>
    <w:uiPriority w:val="0"/>
  </w:style>
  <w:style w:type="character" w:customStyle="1" w:styleId="130">
    <w:name w:val="公司一级标题"/>
    <w:autoRedefine/>
    <w:qFormat/>
    <w:uiPriority w:val="0"/>
    <w:rPr>
      <w:rFonts w:ascii="黑体" w:hAnsi="黑体" w:eastAsia="黑体"/>
      <w:color w:val="333300"/>
      <w:sz w:val="30"/>
    </w:rPr>
  </w:style>
  <w:style w:type="character" w:customStyle="1" w:styleId="131">
    <w:name w:val="a Char"/>
    <w:link w:val="132"/>
    <w:autoRedefine/>
    <w:qFormat/>
    <w:uiPriority w:val="0"/>
    <w:rPr>
      <w:rFonts w:ascii="宋体" w:hAnsi="宋体" w:eastAsia="仿宋_GB2312"/>
      <w:sz w:val="24"/>
    </w:rPr>
  </w:style>
  <w:style w:type="paragraph" w:customStyle="1" w:styleId="132">
    <w:name w:val="a"/>
    <w:basedOn w:val="1"/>
    <w:link w:val="131"/>
    <w:autoRedefine/>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autoRedefine/>
    <w:qFormat/>
    <w:uiPriority w:val="0"/>
  </w:style>
  <w:style w:type="character" w:customStyle="1" w:styleId="134">
    <w:name w:val="tw4winTerm"/>
    <w:autoRedefine/>
    <w:qFormat/>
    <w:uiPriority w:val="0"/>
    <w:rPr>
      <w:color w:val="0000FF"/>
    </w:rPr>
  </w:style>
  <w:style w:type="character" w:customStyle="1" w:styleId="135">
    <w:name w:val="正文样式_首行缩进2字符 Char"/>
    <w:link w:val="136"/>
    <w:autoRedefine/>
    <w:qFormat/>
    <w:uiPriority w:val="0"/>
    <w:rPr>
      <w:sz w:val="24"/>
      <w:szCs w:val="24"/>
    </w:rPr>
  </w:style>
  <w:style w:type="paragraph" w:customStyle="1" w:styleId="136">
    <w:name w:val="正文样式_首行缩进2字符"/>
    <w:basedOn w:val="1"/>
    <w:link w:val="135"/>
    <w:autoRedefine/>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autoRedefine/>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autoRedefine/>
    <w:qFormat/>
    <w:uiPriority w:val="0"/>
    <w:rPr>
      <w:rFonts w:ascii="Times New Roman" w:hAnsi="Times New Roman" w:eastAsia="黑体"/>
      <w:sz w:val="24"/>
      <w:szCs w:val="24"/>
    </w:rPr>
  </w:style>
  <w:style w:type="paragraph" w:customStyle="1" w:styleId="142">
    <w:name w:val="Z图表"/>
    <w:basedOn w:val="20"/>
    <w:link w:val="141"/>
    <w:autoRedefine/>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7"/>
    <w:link w:val="143"/>
    <w:autoRedefine/>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autoRedefine/>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autoRedefine/>
    <w:qFormat/>
    <w:uiPriority w:val="0"/>
    <w:rPr>
      <w:rFonts w:eastAsia="隶书"/>
      <w:b/>
      <w:bCs/>
      <w:sz w:val="36"/>
      <w:szCs w:val="36"/>
      <w:lang w:val="en-US" w:eastAsia="zh-CN" w:bidi="ar-SA"/>
    </w:rPr>
  </w:style>
  <w:style w:type="character" w:customStyle="1" w:styleId="150">
    <w:name w:val="info4"/>
    <w:basedOn w:val="64"/>
    <w:autoRedefine/>
    <w:qFormat/>
    <w:uiPriority w:val="0"/>
  </w:style>
  <w:style w:type="character" w:customStyle="1" w:styleId="151">
    <w:name w:val="content"/>
    <w:basedOn w:val="64"/>
    <w:autoRedefine/>
    <w:qFormat/>
    <w:uiPriority w:val="0"/>
  </w:style>
  <w:style w:type="character" w:customStyle="1" w:styleId="152">
    <w:name w:val="普通文字 Char Char2"/>
    <w:autoRedefine/>
    <w:qFormat/>
    <w:uiPriority w:val="0"/>
    <w:rPr>
      <w:rFonts w:ascii="宋体" w:hAnsi="Courier New" w:eastAsia="宋体"/>
      <w:sz w:val="21"/>
      <w:lang w:val="en-US" w:eastAsia="zh-CN" w:bidi="ar-SA"/>
    </w:rPr>
  </w:style>
  <w:style w:type="character" w:customStyle="1" w:styleId="153">
    <w:name w:val="列表1 Char Char"/>
    <w:link w:val="154"/>
    <w:autoRedefine/>
    <w:qFormat/>
    <w:uiPriority w:val="0"/>
    <w:rPr>
      <w:rFonts w:ascii="Century" w:hAnsi="Century"/>
      <w:szCs w:val="21"/>
    </w:rPr>
  </w:style>
  <w:style w:type="paragraph" w:customStyle="1" w:styleId="154">
    <w:name w:val="列表111"/>
    <w:basedOn w:val="1"/>
    <w:link w:val="153"/>
    <w:autoRedefine/>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autoRedefine/>
    <w:qFormat/>
    <w:uiPriority w:val="0"/>
    <w:rPr>
      <w:rFonts w:ascii="仿宋_GB2312"/>
      <w:bCs/>
      <w:iCs/>
      <w:sz w:val="24"/>
    </w:rPr>
  </w:style>
  <w:style w:type="character" w:customStyle="1" w:styleId="156">
    <w:name w:val="ZJ正文 Char"/>
    <w:link w:val="157"/>
    <w:autoRedefine/>
    <w:qFormat/>
    <w:uiPriority w:val="0"/>
    <w:rPr>
      <w:rFonts w:ascii="Times New Roman" w:hAnsi="Times New Roman"/>
      <w:sz w:val="24"/>
      <w:szCs w:val="24"/>
    </w:rPr>
  </w:style>
  <w:style w:type="paragraph" w:customStyle="1" w:styleId="157">
    <w:name w:val="ZJ正文"/>
    <w:basedOn w:val="1"/>
    <w:link w:val="156"/>
    <w:autoRedefine/>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autoRedefine/>
    <w:qFormat/>
    <w:uiPriority w:val="0"/>
  </w:style>
  <w:style w:type="character" w:customStyle="1" w:styleId="159">
    <w:name w:val="p71"/>
    <w:autoRedefine/>
    <w:qFormat/>
    <w:uiPriority w:val="0"/>
    <w:rPr>
      <w:sz w:val="21"/>
    </w:rPr>
  </w:style>
  <w:style w:type="character" w:customStyle="1" w:styleId="160">
    <w:name w:val="文档结构图 Char1"/>
    <w:autoRedefine/>
    <w:qFormat/>
    <w:uiPriority w:val="0"/>
    <w:rPr>
      <w:rFonts w:ascii="宋体" w:hAnsi="Courier New" w:eastAsia="宋体"/>
      <w:sz w:val="21"/>
      <w:lang w:val="en-US" w:eastAsia="zh-CN" w:bidi="ar-SA"/>
    </w:rPr>
  </w:style>
  <w:style w:type="character" w:customStyle="1" w:styleId="161">
    <w:name w:val="样式 小四"/>
    <w:autoRedefine/>
    <w:qFormat/>
    <w:uiPriority w:val="0"/>
    <w:rPr>
      <w:sz w:val="21"/>
    </w:rPr>
  </w:style>
  <w:style w:type="character" w:customStyle="1" w:styleId="162">
    <w:name w:val="页眉 Char Char"/>
    <w:autoRedefine/>
    <w:qFormat/>
    <w:uiPriority w:val="0"/>
    <w:rPr>
      <w:kern w:val="2"/>
      <w:sz w:val="18"/>
      <w:szCs w:val="18"/>
      <w:lang w:bidi="ar-SA"/>
    </w:rPr>
  </w:style>
  <w:style w:type="character" w:customStyle="1" w:styleId="163">
    <w:name w:val="font9_black_line14"/>
    <w:basedOn w:val="64"/>
    <w:autoRedefine/>
    <w:qFormat/>
    <w:uiPriority w:val="0"/>
  </w:style>
  <w:style w:type="character" w:customStyle="1" w:styleId="164">
    <w:name w:val="粘贴正文 Char"/>
    <w:link w:val="165"/>
    <w:autoRedefine/>
    <w:qFormat/>
    <w:uiPriority w:val="0"/>
    <w:rPr>
      <w:rFonts w:ascii="Times New Roman" w:hAnsi="Times New Roman"/>
      <w:sz w:val="24"/>
      <w:szCs w:val="21"/>
    </w:rPr>
  </w:style>
  <w:style w:type="paragraph" w:customStyle="1" w:styleId="165">
    <w:name w:val="粘贴正文"/>
    <w:link w:val="164"/>
    <w:autoRedefine/>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autoRedefine/>
    <w:qFormat/>
    <w:uiPriority w:val="0"/>
    <w:rPr>
      <w:sz w:val="20"/>
      <w:szCs w:val="20"/>
    </w:rPr>
  </w:style>
  <w:style w:type="character" w:customStyle="1" w:styleId="167">
    <w:name w:val="Char Char7"/>
    <w:autoRedefine/>
    <w:qFormat/>
    <w:uiPriority w:val="0"/>
    <w:rPr>
      <w:rFonts w:eastAsia="宋体"/>
      <w:b/>
      <w:kern w:val="2"/>
      <w:sz w:val="32"/>
      <w:lang w:bidi="ar-SA"/>
    </w:rPr>
  </w:style>
  <w:style w:type="character" w:customStyle="1" w:styleId="168">
    <w:name w:val="Heading 2 Char"/>
    <w:autoRedefine/>
    <w:qFormat/>
    <w:uiPriority w:val="0"/>
    <w:rPr>
      <w:rFonts w:ascii="Cambria" w:hAnsi="Cambria" w:eastAsia="宋体" w:cs="Cambria"/>
      <w:b/>
      <w:bCs/>
      <w:sz w:val="32"/>
      <w:szCs w:val="32"/>
      <w:lang w:val="en-US" w:eastAsia="zh-CN" w:bidi="ar-SA"/>
    </w:rPr>
  </w:style>
  <w:style w:type="character" w:customStyle="1" w:styleId="169">
    <w:name w:val="maywed421"/>
    <w:autoRedefine/>
    <w:qFormat/>
    <w:uiPriority w:val="0"/>
    <w:rPr>
      <w:color w:val="366FB6"/>
      <w:u w:val="none"/>
    </w:rPr>
  </w:style>
  <w:style w:type="character" w:customStyle="1" w:styleId="170">
    <w:name w:val="表格抬头 Char"/>
    <w:link w:val="171"/>
    <w:autoRedefine/>
    <w:qFormat/>
    <w:locked/>
    <w:uiPriority w:val="0"/>
    <w:rPr>
      <w:rFonts w:ascii="黑体" w:eastAsia="黑体"/>
      <w:b/>
    </w:rPr>
  </w:style>
  <w:style w:type="paragraph" w:customStyle="1" w:styleId="171">
    <w:name w:val="表格抬头"/>
    <w:basedOn w:val="1"/>
    <w:link w:val="170"/>
    <w:autoRedefine/>
    <w:qFormat/>
    <w:uiPriority w:val="0"/>
    <w:pPr>
      <w:jc w:val="center"/>
    </w:pPr>
    <w:rPr>
      <w:rFonts w:ascii="黑体" w:eastAsia="黑体" w:hAnsiTheme="minorHAnsi" w:cstheme="minorBidi"/>
      <w:b/>
    </w:rPr>
  </w:style>
  <w:style w:type="character" w:customStyle="1" w:styleId="172">
    <w:name w:val="greyfont1"/>
    <w:autoRedefine/>
    <w:qFormat/>
    <w:uiPriority w:val="0"/>
    <w:rPr>
      <w:b/>
      <w:bCs/>
      <w:color w:val="666666"/>
    </w:rPr>
  </w:style>
  <w:style w:type="character" w:customStyle="1" w:styleId="173">
    <w:name w:val="pt91"/>
    <w:autoRedefine/>
    <w:qFormat/>
    <w:uiPriority w:val="0"/>
    <w:rPr>
      <w:rFonts w:hint="default"/>
      <w:spacing w:val="240"/>
      <w:sz w:val="18"/>
      <w:szCs w:val="18"/>
    </w:rPr>
  </w:style>
  <w:style w:type="character" w:customStyle="1" w:styleId="174">
    <w:name w:val="title14"/>
    <w:basedOn w:val="64"/>
    <w:autoRedefine/>
    <w:qFormat/>
    <w:uiPriority w:val="0"/>
  </w:style>
  <w:style w:type="character" w:customStyle="1" w:styleId="175">
    <w:name w:val="样式41"/>
    <w:autoRedefine/>
    <w:qFormat/>
    <w:uiPriority w:val="0"/>
    <w:rPr>
      <w:color w:val="3366CC"/>
      <w:sz w:val="21"/>
      <w:szCs w:val="21"/>
    </w:rPr>
  </w:style>
  <w:style w:type="character" w:customStyle="1" w:styleId="176">
    <w:name w:val="正文s Char"/>
    <w:link w:val="177"/>
    <w:autoRedefine/>
    <w:qFormat/>
    <w:uiPriority w:val="0"/>
    <w:rPr>
      <w:rFonts w:ascii="Arial" w:hAnsi="Arial"/>
    </w:rPr>
  </w:style>
  <w:style w:type="paragraph" w:customStyle="1" w:styleId="177">
    <w:name w:val="正文s"/>
    <w:basedOn w:val="1"/>
    <w:link w:val="176"/>
    <w:autoRedefine/>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autoRedefine/>
    <w:qFormat/>
    <w:uiPriority w:val="0"/>
    <w:rPr>
      <w:rFonts w:ascii="Calibri" w:hAnsi="Calibri" w:eastAsia="宋体" w:cs="Times New Roman"/>
      <w:szCs w:val="24"/>
    </w:rPr>
  </w:style>
  <w:style w:type="character" w:customStyle="1" w:styleId="179">
    <w:name w:val="b11_01b Char"/>
    <w:link w:val="180"/>
    <w:autoRedefine/>
    <w:qFormat/>
    <w:uiPriority w:val="0"/>
    <w:rPr>
      <w:rFonts w:ascii="Verdana" w:hAnsi="Verdana" w:eastAsia="宋体"/>
      <w:b/>
      <w:bCs/>
      <w:color w:val="4A82CA"/>
      <w:sz w:val="17"/>
      <w:szCs w:val="17"/>
    </w:rPr>
  </w:style>
  <w:style w:type="paragraph" w:customStyle="1" w:styleId="180">
    <w:name w:val="b11_01b"/>
    <w:basedOn w:val="1"/>
    <w:next w:val="1"/>
    <w:link w:val="179"/>
    <w:autoRedefine/>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autoRedefine/>
    <w:qFormat/>
    <w:uiPriority w:val="0"/>
  </w:style>
  <w:style w:type="paragraph" w:styleId="182">
    <w:name w:val="List Paragraph"/>
    <w:basedOn w:val="1"/>
    <w:link w:val="181"/>
    <w:autoRedefine/>
    <w:qFormat/>
    <w:uiPriority w:val="99"/>
    <w:pPr>
      <w:ind w:firstLine="420" w:firstLineChars="200"/>
    </w:pPr>
    <w:rPr>
      <w:rFonts w:asciiTheme="minorHAnsi" w:hAnsiTheme="minorHAnsi" w:eastAsiaTheme="minorEastAsia" w:cstheme="minorBidi"/>
    </w:rPr>
  </w:style>
  <w:style w:type="character" w:customStyle="1" w:styleId="183">
    <w:name w:val="para"/>
    <w:basedOn w:val="64"/>
    <w:autoRedefine/>
    <w:qFormat/>
    <w:uiPriority w:val="0"/>
  </w:style>
  <w:style w:type="character" w:customStyle="1" w:styleId="184">
    <w:name w:val="文档正文1 Char Char"/>
    <w:autoRedefine/>
    <w:qFormat/>
    <w:uiPriority w:val="0"/>
    <w:rPr>
      <w:rFonts w:ascii="仿宋_GB2312" w:hAnsi="仿宋" w:eastAsia="仿宋_GB2312"/>
      <w:kern w:val="2"/>
      <w:sz w:val="30"/>
      <w:szCs w:val="30"/>
      <w:lang w:bidi="ar-SA"/>
    </w:rPr>
  </w:style>
  <w:style w:type="character" w:customStyle="1" w:styleId="185">
    <w:name w:val="加重文字 Char"/>
    <w:link w:val="186"/>
    <w:autoRedefine/>
    <w:qFormat/>
    <w:locked/>
    <w:uiPriority w:val="0"/>
    <w:rPr>
      <w:b/>
      <w:bCs/>
      <w:sz w:val="24"/>
      <w:szCs w:val="24"/>
      <w:u w:val="thick"/>
    </w:rPr>
  </w:style>
  <w:style w:type="paragraph" w:customStyle="1" w:styleId="186">
    <w:name w:val="加重文字"/>
    <w:basedOn w:val="187"/>
    <w:link w:val="185"/>
    <w:autoRedefine/>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autoRedefine/>
    <w:qFormat/>
    <w:uiPriority w:val="0"/>
    <w:pPr>
      <w:spacing w:line="360" w:lineRule="auto"/>
      <w:ind w:firstLine="480" w:firstLineChars="200"/>
    </w:pPr>
    <w:rPr>
      <w:sz w:val="24"/>
      <w:szCs w:val="24"/>
    </w:rPr>
  </w:style>
  <w:style w:type="character" w:customStyle="1" w:styleId="188">
    <w:name w:val="H1 Char3"/>
    <w:autoRedefine/>
    <w:qFormat/>
    <w:uiPriority w:val="0"/>
    <w:rPr>
      <w:rFonts w:eastAsia="隶书"/>
      <w:b/>
      <w:bCs/>
      <w:sz w:val="36"/>
      <w:szCs w:val="36"/>
      <w:lang w:val="en-US" w:eastAsia="zh-CN" w:bidi="ar-SA"/>
    </w:rPr>
  </w:style>
  <w:style w:type="character" w:customStyle="1" w:styleId="189">
    <w:name w:val="style181"/>
    <w:autoRedefine/>
    <w:qFormat/>
    <w:uiPriority w:val="0"/>
    <w:rPr>
      <w:rFonts w:hint="default" w:ascii="Arial" w:hAnsi="Arial" w:cs="Arial"/>
      <w:color w:val="000000"/>
      <w:sz w:val="18"/>
      <w:szCs w:val="18"/>
    </w:rPr>
  </w:style>
  <w:style w:type="character" w:customStyle="1" w:styleId="190">
    <w:name w:val="吉奥正文 Char2"/>
    <w:link w:val="191"/>
    <w:autoRedefine/>
    <w:qFormat/>
    <w:uiPriority w:val="0"/>
    <w:rPr>
      <w:rFonts w:ascii="Times New Roman" w:hAnsi="Times New Roman" w:eastAsia="仿宋_GB2312"/>
      <w:sz w:val="24"/>
    </w:rPr>
  </w:style>
  <w:style w:type="paragraph" w:customStyle="1" w:styleId="191">
    <w:name w:val="吉奥正文"/>
    <w:basedOn w:val="1"/>
    <w:link w:val="190"/>
    <w:autoRedefine/>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autoRedefine/>
    <w:qFormat/>
    <w:uiPriority w:val="0"/>
  </w:style>
  <w:style w:type="character" w:customStyle="1" w:styleId="193">
    <w:name w:val="header odd Char Char1"/>
    <w:autoRedefine/>
    <w:qFormat/>
    <w:uiPriority w:val="0"/>
    <w:rPr>
      <w:rFonts w:eastAsia="宋体"/>
      <w:kern w:val="2"/>
      <w:sz w:val="18"/>
      <w:szCs w:val="18"/>
      <w:lang w:val="en-US" w:eastAsia="zh-CN" w:bidi="ar-SA"/>
    </w:rPr>
  </w:style>
  <w:style w:type="character" w:customStyle="1" w:styleId="194">
    <w:name w:val="一级标题 Char Char"/>
    <w:autoRedefine/>
    <w:qFormat/>
    <w:uiPriority w:val="0"/>
    <w:rPr>
      <w:rFonts w:eastAsia="仿宋"/>
      <w:b/>
      <w:kern w:val="44"/>
      <w:sz w:val="28"/>
      <w:lang w:val="en-US" w:eastAsia="zh-CN" w:bidi="ar-SA"/>
    </w:rPr>
  </w:style>
  <w:style w:type="character" w:customStyle="1" w:styleId="195">
    <w:name w:val="Char Char12"/>
    <w:autoRedefine/>
    <w:qFormat/>
    <w:uiPriority w:val="0"/>
    <w:rPr>
      <w:rFonts w:ascii="宋体" w:hAnsi="Courier New" w:eastAsia="宋体" w:cs="Times New Roman"/>
      <w:spacing w:val="-4"/>
      <w:sz w:val="18"/>
      <w:szCs w:val="20"/>
    </w:rPr>
  </w:style>
  <w:style w:type="character" w:customStyle="1" w:styleId="196">
    <w:name w:val="huide001"/>
    <w:autoRedefine/>
    <w:qFormat/>
    <w:uiPriority w:val="0"/>
    <w:rPr>
      <w:rFonts w:hint="default" w:ascii="Arial" w:hAnsi="Arial" w:cs="Arial"/>
      <w:color w:val="666666"/>
      <w:sz w:val="18"/>
      <w:szCs w:val="18"/>
    </w:rPr>
  </w:style>
  <w:style w:type="character" w:customStyle="1" w:styleId="197">
    <w:name w:val="Title Char"/>
    <w:autoRedefine/>
    <w:qFormat/>
    <w:uiPriority w:val="0"/>
    <w:rPr>
      <w:rFonts w:ascii="Cambria" w:hAnsi="Cambria" w:eastAsia="宋体" w:cs="Cambria"/>
      <w:b/>
      <w:bCs/>
      <w:sz w:val="32"/>
      <w:szCs w:val="32"/>
      <w:lang w:val="en-US" w:eastAsia="zh-CN" w:bidi="ar-SA"/>
    </w:rPr>
  </w:style>
  <w:style w:type="character" w:customStyle="1" w:styleId="198">
    <w:name w:val="text_show1"/>
    <w:autoRedefine/>
    <w:qFormat/>
    <w:uiPriority w:val="0"/>
    <w:rPr>
      <w:color w:val="000000"/>
      <w:sz w:val="21"/>
      <w:szCs w:val="21"/>
      <w:u w:val="none"/>
    </w:rPr>
  </w:style>
  <w:style w:type="character" w:customStyle="1" w:styleId="199">
    <w:name w:val="标准文本 Char"/>
    <w:link w:val="187"/>
    <w:autoRedefine/>
    <w:qFormat/>
    <w:locked/>
    <w:uiPriority w:val="0"/>
    <w:rPr>
      <w:rFonts w:ascii="Calibri" w:hAnsi="Calibri" w:eastAsia="宋体" w:cs="Times New Roman"/>
      <w:sz w:val="24"/>
      <w:szCs w:val="24"/>
    </w:rPr>
  </w:style>
  <w:style w:type="character" w:customStyle="1" w:styleId="200">
    <w:name w:val="Char Char4"/>
    <w:autoRedefine/>
    <w:qFormat/>
    <w:uiPriority w:val="0"/>
    <w:rPr>
      <w:rFonts w:ascii="Calibri" w:hAnsi="Calibri" w:eastAsia="宋体"/>
      <w:sz w:val="18"/>
      <w:szCs w:val="18"/>
      <w:lang w:bidi="ar-SA"/>
    </w:rPr>
  </w:style>
  <w:style w:type="character" w:customStyle="1" w:styleId="201">
    <w:name w:val="Char Char141"/>
    <w:autoRedefine/>
    <w:qFormat/>
    <w:uiPriority w:val="0"/>
    <w:rPr>
      <w:rFonts w:ascii="楷体_GB2312" w:eastAsia="楷体_GB2312"/>
      <w:kern w:val="2"/>
      <w:sz w:val="32"/>
      <w:lang w:val="en-US" w:eastAsia="zh-CN" w:bidi="ar-SA"/>
    </w:rPr>
  </w:style>
  <w:style w:type="character" w:customStyle="1" w:styleId="202">
    <w:name w:val="Header Char"/>
    <w:autoRedefine/>
    <w:semiHidden/>
    <w:qFormat/>
    <w:locked/>
    <w:uiPriority w:val="0"/>
    <w:rPr>
      <w:rFonts w:ascii="Times New Roman" w:hAnsi="Times New Roman" w:eastAsia="宋体" w:cs="Times New Roman"/>
      <w:sz w:val="18"/>
      <w:szCs w:val="18"/>
    </w:rPr>
  </w:style>
  <w:style w:type="character" w:customStyle="1" w:styleId="203">
    <w:name w:val="p21"/>
    <w:autoRedefine/>
    <w:qFormat/>
    <w:uiPriority w:val="0"/>
    <w:rPr>
      <w:rFonts w:hint="default" w:ascii="Arial" w:hAnsi="Arial"/>
      <w:color w:val="333333"/>
      <w:sz w:val="18"/>
      <w:u w:val="none"/>
    </w:rPr>
  </w:style>
  <w:style w:type="character" w:customStyle="1" w:styleId="204">
    <w:name w:val="Footer Char"/>
    <w:autoRedefine/>
    <w:qFormat/>
    <w:locked/>
    <w:uiPriority w:val="0"/>
    <w:rPr>
      <w:rFonts w:ascii="Times New Roman" w:hAnsi="Times New Roman" w:eastAsia="宋体" w:cs="Times New Roman"/>
      <w:sz w:val="18"/>
      <w:szCs w:val="18"/>
    </w:rPr>
  </w:style>
  <w:style w:type="character" w:customStyle="1" w:styleId="205">
    <w:name w:val="Normal Indent Char Char"/>
    <w:autoRedefine/>
    <w:qFormat/>
    <w:uiPriority w:val="0"/>
    <w:rPr>
      <w:rFonts w:eastAsia="宋体"/>
      <w:kern w:val="2"/>
      <w:sz w:val="21"/>
      <w:szCs w:val="24"/>
      <w:lang w:val="en-US" w:eastAsia="zh-CN" w:bidi="ar-SA"/>
    </w:rPr>
  </w:style>
  <w:style w:type="character" w:customStyle="1" w:styleId="206">
    <w:name w:val="Char Char8"/>
    <w:autoRedefine/>
    <w:qFormat/>
    <w:uiPriority w:val="0"/>
    <w:rPr>
      <w:rFonts w:ascii="Arial" w:hAnsi="Arial" w:eastAsia="黑体"/>
      <w:b/>
      <w:bCs/>
      <w:kern w:val="2"/>
      <w:sz w:val="32"/>
      <w:szCs w:val="32"/>
      <w:lang w:val="en-US" w:eastAsia="zh-CN" w:bidi="ar-SA"/>
    </w:rPr>
  </w:style>
  <w:style w:type="character" w:customStyle="1" w:styleId="207">
    <w:name w:val="List Paragraph Char"/>
    <w:link w:val="208"/>
    <w:autoRedefine/>
    <w:qFormat/>
    <w:locked/>
    <w:uiPriority w:val="34"/>
    <w:rPr>
      <w:rFonts w:ascii="Times New Roman" w:hAnsi="Times New Roman"/>
      <w:szCs w:val="24"/>
    </w:rPr>
  </w:style>
  <w:style w:type="paragraph" w:customStyle="1" w:styleId="208">
    <w:name w:val="列出段落1"/>
    <w:basedOn w:val="1"/>
    <w:link w:val="207"/>
    <w:autoRedefine/>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autoRedefine/>
    <w:semiHidden/>
    <w:qFormat/>
    <w:locked/>
    <w:uiPriority w:val="0"/>
    <w:rPr>
      <w:rFonts w:ascii="Times New Roman" w:hAnsi="Times New Roman" w:eastAsia="宋体" w:cs="Times New Roman"/>
      <w:sz w:val="18"/>
      <w:szCs w:val="18"/>
    </w:rPr>
  </w:style>
  <w:style w:type="character" w:customStyle="1" w:styleId="210">
    <w:name w:val="书籍标题1"/>
    <w:autoRedefine/>
    <w:qFormat/>
    <w:uiPriority w:val="33"/>
    <w:rPr>
      <w:b/>
      <w:bCs/>
      <w:smallCaps/>
      <w:spacing w:val="5"/>
    </w:rPr>
  </w:style>
  <w:style w:type="character" w:customStyle="1" w:styleId="211">
    <w:name w:val="tw4winMark"/>
    <w:autoRedefine/>
    <w:qFormat/>
    <w:uiPriority w:val="0"/>
    <w:rPr>
      <w:rFonts w:ascii="Courier New" w:hAnsi="Courier New"/>
      <w:vanish/>
      <w:color w:val="800080"/>
      <w:vertAlign w:val="subscript"/>
    </w:rPr>
  </w:style>
  <w:style w:type="character" w:customStyle="1" w:styleId="212">
    <w:name w:val="Item List in Table Char Char"/>
    <w:link w:val="213"/>
    <w:autoRedefine/>
    <w:qFormat/>
    <w:locked/>
    <w:uiPriority w:val="99"/>
    <w:rPr>
      <w:rFonts w:ascii="Arial" w:hAnsi="Arial"/>
      <w:sz w:val="18"/>
      <w:szCs w:val="18"/>
    </w:rPr>
  </w:style>
  <w:style w:type="paragraph" w:customStyle="1" w:styleId="213">
    <w:name w:val="Item List in Table"/>
    <w:link w:val="212"/>
    <w:autoRedefine/>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autoRedefine/>
    <w:qFormat/>
    <w:uiPriority w:val="0"/>
    <w:rPr>
      <w:rFonts w:ascii="宋体" w:hAnsi="Courier New" w:eastAsia="宋体"/>
      <w:sz w:val="21"/>
      <w:lang w:val="en-US" w:eastAsia="zh-CN" w:bidi="ar-SA"/>
    </w:rPr>
  </w:style>
  <w:style w:type="character" w:customStyle="1" w:styleId="215">
    <w:name w:val="paragraph1 Char Char"/>
    <w:autoRedefine/>
    <w:qFormat/>
    <w:uiPriority w:val="0"/>
    <w:rPr>
      <w:rFonts w:eastAsia="楷体_GB2312"/>
      <w:kern w:val="2"/>
      <w:sz w:val="24"/>
      <w:lang w:val="en-US" w:eastAsia="zh-CN" w:bidi="ar-SA"/>
    </w:rPr>
  </w:style>
  <w:style w:type="character" w:customStyle="1" w:styleId="216">
    <w:name w:val="grame"/>
    <w:basedOn w:val="64"/>
    <w:autoRedefine/>
    <w:qFormat/>
    <w:uiPriority w:val="0"/>
  </w:style>
  <w:style w:type="character" w:customStyle="1" w:styleId="217">
    <w:name w:val="Char Char5"/>
    <w:autoRedefine/>
    <w:qFormat/>
    <w:uiPriority w:val="0"/>
    <w:rPr>
      <w:rFonts w:ascii="Calibri" w:hAnsi="Calibri" w:eastAsia="宋体"/>
      <w:sz w:val="18"/>
      <w:szCs w:val="18"/>
      <w:lang w:bidi="ar-SA"/>
    </w:rPr>
  </w:style>
  <w:style w:type="character" w:customStyle="1" w:styleId="218">
    <w:name w:val="fontdz1"/>
    <w:autoRedefine/>
    <w:qFormat/>
    <w:uiPriority w:val="0"/>
    <w:rPr>
      <w:sz w:val="18"/>
      <w:szCs w:val="18"/>
    </w:rPr>
  </w:style>
  <w:style w:type="character" w:customStyle="1" w:styleId="219">
    <w:name w:val="自定义正文 Char"/>
    <w:link w:val="220"/>
    <w:autoRedefine/>
    <w:qFormat/>
    <w:uiPriority w:val="0"/>
    <w:rPr>
      <w:rFonts w:ascii="仿宋_GB2312" w:eastAsia="仿宋_GB2312"/>
      <w:sz w:val="28"/>
      <w:szCs w:val="24"/>
    </w:rPr>
  </w:style>
  <w:style w:type="paragraph" w:customStyle="1" w:styleId="220">
    <w:name w:val="自定义正文"/>
    <w:basedOn w:val="1"/>
    <w:link w:val="219"/>
    <w:autoRedefine/>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autoRedefine/>
    <w:qFormat/>
    <w:uiPriority w:val="0"/>
    <w:rPr>
      <w:rFonts w:ascii="仿宋_GB2312" w:eastAsia="仿宋_GB2312"/>
      <w:sz w:val="24"/>
      <w:szCs w:val="24"/>
    </w:rPr>
  </w:style>
  <w:style w:type="paragraph" w:customStyle="1" w:styleId="222">
    <w:name w:val="公文正文"/>
    <w:basedOn w:val="1"/>
    <w:link w:val="221"/>
    <w:autoRedefine/>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autoRedefine/>
    <w:qFormat/>
    <w:uiPriority w:val="0"/>
    <w:rPr>
      <w:rFonts w:ascii="Calibri" w:hAnsi="Calibri" w:eastAsia="宋体" w:cs="Times New Roman"/>
      <w:b/>
      <w:bCs/>
      <w:sz w:val="28"/>
      <w:szCs w:val="28"/>
    </w:rPr>
  </w:style>
  <w:style w:type="character" w:customStyle="1" w:styleId="224">
    <w:name w:val="列表1、 Char Char"/>
    <w:autoRedefine/>
    <w:qFormat/>
    <w:uiPriority w:val="0"/>
    <w:rPr>
      <w:rFonts w:ascii="仿宋" w:hAnsi="仿宋" w:eastAsia="仿宋"/>
      <w:kern w:val="2"/>
      <w:sz w:val="28"/>
      <w:szCs w:val="21"/>
      <w:lang w:bidi="ar-SA"/>
    </w:rPr>
  </w:style>
  <w:style w:type="character" w:customStyle="1" w:styleId="225">
    <w:name w:val="表名 Char"/>
    <w:autoRedefine/>
    <w:qFormat/>
    <w:uiPriority w:val="0"/>
    <w:rPr>
      <w:rFonts w:ascii="Arial" w:hAnsi="Arial" w:eastAsia="黑体"/>
      <w:sz w:val="24"/>
      <w:szCs w:val="24"/>
    </w:rPr>
  </w:style>
  <w:style w:type="character" w:customStyle="1" w:styleId="226">
    <w:name w:val="ZJ图表 Char"/>
    <w:link w:val="227"/>
    <w:autoRedefine/>
    <w:qFormat/>
    <w:uiPriority w:val="0"/>
    <w:rPr>
      <w:rFonts w:ascii="Times New Roman" w:hAnsi="Times New Roman" w:eastAsia="黑体"/>
      <w:color w:val="000000"/>
      <w:sz w:val="24"/>
      <w:szCs w:val="24"/>
    </w:rPr>
  </w:style>
  <w:style w:type="paragraph" w:customStyle="1" w:styleId="227">
    <w:name w:val="ZJ图表"/>
    <w:basedOn w:val="11"/>
    <w:link w:val="226"/>
    <w:autoRedefine/>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autoRedefine/>
    <w:qFormat/>
    <w:uiPriority w:val="0"/>
    <w:rPr>
      <w:rFonts w:ascii="Calibri" w:hAnsi="Calibri" w:eastAsia="宋体" w:cs="Times New Roman"/>
      <w:sz w:val="18"/>
      <w:szCs w:val="18"/>
    </w:rPr>
  </w:style>
  <w:style w:type="character" w:customStyle="1" w:styleId="229">
    <w:name w:val="标题 2 字符"/>
    <w:link w:val="5"/>
    <w:autoRedefine/>
    <w:qFormat/>
    <w:uiPriority w:val="0"/>
    <w:rPr>
      <w:rFonts w:ascii="Arial" w:hAnsi="Arial" w:eastAsia="黑体" w:cs="Times New Roman"/>
      <w:b/>
      <w:bCs/>
      <w:sz w:val="32"/>
      <w:szCs w:val="32"/>
    </w:rPr>
  </w:style>
  <w:style w:type="character" w:customStyle="1" w:styleId="230">
    <w:name w:val="z-窗体底端 字符"/>
    <w:link w:val="231"/>
    <w:autoRedefine/>
    <w:qFormat/>
    <w:uiPriority w:val="0"/>
    <w:rPr>
      <w:rFonts w:ascii="Arial" w:hAnsi="Arial" w:cs="Arial"/>
      <w:vanish/>
      <w:sz w:val="16"/>
      <w:szCs w:val="16"/>
    </w:rPr>
  </w:style>
  <w:style w:type="paragraph" w:customStyle="1" w:styleId="231">
    <w:name w:val="z-窗体底端1"/>
    <w:basedOn w:val="1"/>
    <w:next w:val="1"/>
    <w:link w:val="230"/>
    <w:autoRedefine/>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autoRedefine/>
    <w:qFormat/>
    <w:uiPriority w:val="0"/>
    <w:rPr>
      <w:rFonts w:hint="default" w:ascii="Arial" w:hAnsi="Arial"/>
      <w:b/>
      <w:color w:val="16344F"/>
      <w:spacing w:val="15"/>
      <w:sz w:val="18"/>
      <w:u w:val="none"/>
    </w:rPr>
  </w:style>
  <w:style w:type="character" w:customStyle="1" w:styleId="233">
    <w:name w:val="二级标题 Char Char"/>
    <w:autoRedefine/>
    <w:qFormat/>
    <w:uiPriority w:val="0"/>
    <w:rPr>
      <w:rFonts w:eastAsia="仿宋"/>
      <w:b/>
      <w:sz w:val="28"/>
      <w:lang w:val="en-US" w:eastAsia="zh-CN" w:bidi="ar-SA"/>
    </w:rPr>
  </w:style>
  <w:style w:type="character" w:customStyle="1" w:styleId="234">
    <w:name w:val="明显参考1"/>
    <w:autoRedefine/>
    <w:qFormat/>
    <w:uiPriority w:val="0"/>
    <w:rPr>
      <w:b/>
      <w:sz w:val="24"/>
      <w:u w:val="single"/>
    </w:rPr>
  </w:style>
  <w:style w:type="character" w:customStyle="1" w:styleId="235">
    <w:name w:val="中等深浅网格 11"/>
    <w:autoRedefine/>
    <w:semiHidden/>
    <w:qFormat/>
    <w:uiPriority w:val="0"/>
    <w:rPr>
      <w:color w:val="808080"/>
    </w:rPr>
  </w:style>
  <w:style w:type="character" w:customStyle="1" w:styleId="236">
    <w:name w:val="Char Char9"/>
    <w:autoRedefine/>
    <w:qFormat/>
    <w:uiPriority w:val="0"/>
    <w:rPr>
      <w:rFonts w:eastAsia="宋体"/>
      <w:b/>
      <w:kern w:val="44"/>
      <w:sz w:val="44"/>
      <w:lang w:bidi="ar-SA"/>
    </w:rPr>
  </w:style>
  <w:style w:type="character" w:customStyle="1" w:styleId="237">
    <w:name w:val="正文文本缩进 Char1"/>
    <w:autoRedefine/>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autoRedefine/>
    <w:qFormat/>
    <w:uiPriority w:val="0"/>
    <w:rPr>
      <w:rFonts w:eastAsia="仿宋_GB2312"/>
      <w:kern w:val="2"/>
      <w:sz w:val="22"/>
      <w:szCs w:val="24"/>
      <w:lang w:val="en-US" w:eastAsia="zh-CN" w:bidi="ar-SA"/>
    </w:rPr>
  </w:style>
  <w:style w:type="character" w:customStyle="1" w:styleId="239">
    <w:name w:val="大标题 Char"/>
    <w:link w:val="240"/>
    <w:autoRedefine/>
    <w:qFormat/>
    <w:uiPriority w:val="0"/>
    <w:rPr>
      <w:b/>
      <w:sz w:val="28"/>
    </w:rPr>
  </w:style>
  <w:style w:type="paragraph" w:customStyle="1" w:styleId="240">
    <w:name w:val="大标题"/>
    <w:next w:val="1"/>
    <w:link w:val="239"/>
    <w:autoRedefine/>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autoRedefine/>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autoRedefine/>
    <w:qFormat/>
    <w:uiPriority w:val="0"/>
    <w:rPr>
      <w:szCs w:val="21"/>
    </w:rPr>
  </w:style>
  <w:style w:type="paragraph" w:customStyle="1" w:styleId="243">
    <w:name w:val="正文（首行缩进2字符）"/>
    <w:basedOn w:val="1"/>
    <w:link w:val="242"/>
    <w:autoRedefine/>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autoRedefine/>
    <w:qFormat/>
    <w:uiPriority w:val="0"/>
    <w:rPr>
      <w:rFonts w:ascii="Courier New" w:hAnsi="Courier New"/>
      <w:color w:val="008000"/>
    </w:rPr>
  </w:style>
  <w:style w:type="character" w:customStyle="1" w:styleId="245">
    <w:name w:val="页脚 字符1"/>
    <w:link w:val="39"/>
    <w:autoRedefine/>
    <w:qFormat/>
    <w:uiPriority w:val="99"/>
    <w:rPr>
      <w:rFonts w:ascii="Calibri" w:hAnsi="Calibri" w:eastAsia="宋体" w:cs="Times New Roman"/>
      <w:sz w:val="18"/>
      <w:szCs w:val="18"/>
    </w:rPr>
  </w:style>
  <w:style w:type="character" w:customStyle="1" w:styleId="246">
    <w:name w:val="浅色网格 - 强调文字颜色 3 Char"/>
    <w:autoRedefine/>
    <w:qFormat/>
    <w:locked/>
    <w:uiPriority w:val="0"/>
    <w:rPr>
      <w:rFonts w:ascii="Calibri" w:hAnsi="Calibri" w:eastAsia="宋体" w:cs="Times New Roman"/>
    </w:rPr>
  </w:style>
  <w:style w:type="character" w:customStyle="1" w:styleId="247">
    <w:name w:val="Char Char21"/>
    <w:autoRedefine/>
    <w:qFormat/>
    <w:uiPriority w:val="0"/>
    <w:rPr>
      <w:rFonts w:ascii="宋体" w:hAnsi="Courier New" w:eastAsia="宋体"/>
      <w:sz w:val="21"/>
      <w:lang w:val="en-US" w:eastAsia="zh-CN" w:bidi="ar-SA"/>
    </w:rPr>
  </w:style>
  <w:style w:type="character" w:customStyle="1" w:styleId="248">
    <w:name w:val="H2 Char3"/>
    <w:autoRedefine/>
    <w:qFormat/>
    <w:uiPriority w:val="0"/>
    <w:rPr>
      <w:rFonts w:ascii="Arial" w:hAnsi="Arial" w:eastAsia="黑体"/>
      <w:b/>
      <w:bCs/>
      <w:kern w:val="2"/>
      <w:sz w:val="32"/>
      <w:szCs w:val="32"/>
      <w:lang w:val="en-US" w:eastAsia="zh-CN" w:bidi="ar-SA"/>
    </w:rPr>
  </w:style>
  <w:style w:type="character" w:customStyle="1" w:styleId="249">
    <w:name w:val="新昌图表 Char"/>
    <w:link w:val="250"/>
    <w:autoRedefine/>
    <w:qFormat/>
    <w:uiPriority w:val="0"/>
    <w:rPr>
      <w:rFonts w:ascii="Times New Roman" w:hAnsi="Times New Roman" w:eastAsia="黑体"/>
      <w:color w:val="000000"/>
      <w:sz w:val="24"/>
      <w:szCs w:val="24"/>
    </w:rPr>
  </w:style>
  <w:style w:type="paragraph" w:customStyle="1" w:styleId="250">
    <w:name w:val="新昌图表"/>
    <w:basedOn w:val="1"/>
    <w:link w:val="249"/>
    <w:autoRedefine/>
    <w:qFormat/>
    <w:uiPriority w:val="0"/>
    <w:pPr>
      <w:jc w:val="center"/>
    </w:pPr>
    <w:rPr>
      <w:rFonts w:ascii="Times New Roman" w:hAnsi="Times New Roman" w:eastAsia="黑体" w:cstheme="minorBidi"/>
      <w:color w:val="000000"/>
      <w:sz w:val="24"/>
      <w:szCs w:val="24"/>
    </w:rPr>
  </w:style>
  <w:style w:type="character" w:customStyle="1" w:styleId="251">
    <w:name w:val="Char Char1421"/>
    <w:autoRedefine/>
    <w:qFormat/>
    <w:locked/>
    <w:uiPriority w:val="0"/>
    <w:rPr>
      <w:rFonts w:ascii="楷体_GB2312" w:eastAsia="楷体_GB2312"/>
      <w:kern w:val="2"/>
      <w:sz w:val="32"/>
      <w:lang w:val="en-US" w:eastAsia="zh-CN" w:bidi="ar-SA"/>
    </w:rPr>
  </w:style>
  <w:style w:type="character" w:customStyle="1" w:styleId="252">
    <w:name w:val="tw4winError"/>
    <w:autoRedefine/>
    <w:qFormat/>
    <w:uiPriority w:val="0"/>
    <w:rPr>
      <w:rFonts w:ascii="Courier New" w:hAnsi="Courier New"/>
      <w:color w:val="00FF00"/>
      <w:sz w:val="40"/>
    </w:rPr>
  </w:style>
  <w:style w:type="character" w:customStyle="1" w:styleId="253">
    <w:name w:val="正文4 Char"/>
    <w:link w:val="254"/>
    <w:autoRedefine/>
    <w:qFormat/>
    <w:uiPriority w:val="99"/>
    <w:rPr>
      <w:rFonts w:ascii="Calibri" w:hAnsi="Calibri"/>
      <w:sz w:val="24"/>
      <w:szCs w:val="24"/>
    </w:rPr>
  </w:style>
  <w:style w:type="paragraph" w:customStyle="1" w:styleId="254">
    <w:name w:val="正文4"/>
    <w:basedOn w:val="1"/>
    <w:link w:val="253"/>
    <w:autoRedefine/>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autoRedefine/>
    <w:qFormat/>
    <w:uiPriority w:val="0"/>
    <w:rPr>
      <w:rFonts w:ascii="Arial" w:hAnsi="Arial" w:cs="Arial"/>
      <w:vanish/>
      <w:sz w:val="16"/>
      <w:szCs w:val="16"/>
    </w:rPr>
  </w:style>
  <w:style w:type="paragraph" w:customStyle="1" w:styleId="256">
    <w:name w:val="z-窗体顶端1"/>
    <w:basedOn w:val="1"/>
    <w:next w:val="1"/>
    <w:link w:val="255"/>
    <w:autoRedefine/>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autoRedefine/>
    <w:qFormat/>
    <w:uiPriority w:val="0"/>
    <w:rPr>
      <w:rFonts w:ascii="Times New Roman" w:hAnsi="宋体"/>
      <w:sz w:val="24"/>
      <w:szCs w:val="24"/>
    </w:rPr>
  </w:style>
  <w:style w:type="paragraph" w:customStyle="1" w:styleId="258">
    <w:name w:val="衢州正文"/>
    <w:basedOn w:val="1"/>
    <w:link w:val="257"/>
    <w:autoRedefine/>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autoRedefine/>
    <w:qFormat/>
    <w:uiPriority w:val="0"/>
    <w:rPr>
      <w:rFonts w:ascii="仿宋_GB2312" w:eastAsia="仿宋_GB2312"/>
      <w:kern w:val="2"/>
      <w:sz w:val="24"/>
      <w:szCs w:val="24"/>
      <w:lang w:val="en-US" w:eastAsia="zh-CN" w:bidi="ar-SA"/>
    </w:rPr>
  </w:style>
  <w:style w:type="character" w:customStyle="1" w:styleId="260">
    <w:name w:val="css21"/>
    <w:autoRedefine/>
    <w:qFormat/>
    <w:uiPriority w:val="0"/>
    <w:rPr>
      <w:sz w:val="18"/>
    </w:rPr>
  </w:style>
  <w:style w:type="character" w:customStyle="1" w:styleId="261">
    <w:name w:val="样式(-) Char Char"/>
    <w:autoRedefine/>
    <w:qFormat/>
    <w:uiPriority w:val="0"/>
    <w:rPr>
      <w:rFonts w:ascii="Calibri" w:hAnsi="Calibri" w:eastAsia="仿宋"/>
      <w:b/>
      <w:kern w:val="2"/>
      <w:sz w:val="28"/>
      <w:szCs w:val="21"/>
      <w:lang w:bidi="ar-SA"/>
    </w:rPr>
  </w:style>
  <w:style w:type="character" w:customStyle="1" w:styleId="262">
    <w:name w:val="列表1、 Char"/>
    <w:link w:val="263"/>
    <w:autoRedefine/>
    <w:qFormat/>
    <w:locked/>
    <w:uiPriority w:val="99"/>
    <w:rPr>
      <w:rFonts w:ascii="仿宋" w:hAnsi="仿宋" w:eastAsia="仿宋"/>
      <w:sz w:val="28"/>
      <w:szCs w:val="21"/>
    </w:rPr>
  </w:style>
  <w:style w:type="paragraph" w:customStyle="1" w:styleId="263">
    <w:name w:val="列表1、"/>
    <w:basedOn w:val="126"/>
    <w:link w:val="262"/>
    <w:autoRedefine/>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autoRedefine/>
    <w:qFormat/>
    <w:uiPriority w:val="0"/>
    <w:rPr>
      <w:rFonts w:eastAsia="宋体"/>
      <w:kern w:val="2"/>
      <w:sz w:val="28"/>
      <w:szCs w:val="24"/>
      <w:lang w:val="en-US" w:eastAsia="zh-CN" w:bidi="ar-SA"/>
    </w:rPr>
  </w:style>
  <w:style w:type="character" w:customStyle="1" w:styleId="265">
    <w:name w:val="news1"/>
    <w:autoRedefine/>
    <w:qFormat/>
    <w:uiPriority w:val="0"/>
    <w:rPr>
      <w:rFonts w:hint="default" w:ascii="Times New Roman" w:hAnsi="Times New Roman" w:cs="Times New Roman"/>
      <w:sz w:val="21"/>
      <w:szCs w:val="21"/>
    </w:rPr>
  </w:style>
  <w:style w:type="character" w:customStyle="1" w:styleId="266">
    <w:name w:val="Char Char511"/>
    <w:autoRedefine/>
    <w:qFormat/>
    <w:uiPriority w:val="0"/>
    <w:rPr>
      <w:rFonts w:ascii="Calibri" w:hAnsi="Calibri" w:eastAsia="宋体"/>
      <w:sz w:val="18"/>
      <w:szCs w:val="18"/>
      <w:lang w:bidi="ar-SA"/>
    </w:rPr>
  </w:style>
  <w:style w:type="character" w:customStyle="1" w:styleId="267">
    <w:name w:val="正文文字 Char"/>
    <w:autoRedefine/>
    <w:qFormat/>
    <w:uiPriority w:val="0"/>
    <w:rPr>
      <w:rFonts w:ascii="Arial" w:hAnsi="Arial" w:eastAsia="宋体"/>
      <w:kern w:val="2"/>
      <w:sz w:val="24"/>
      <w:lang w:val="en-US" w:eastAsia="zh-CN"/>
    </w:rPr>
  </w:style>
  <w:style w:type="character" w:customStyle="1" w:styleId="268">
    <w:name w:val="大标题 Char Char"/>
    <w:autoRedefine/>
    <w:qFormat/>
    <w:uiPriority w:val="0"/>
    <w:rPr>
      <w:b/>
      <w:sz w:val="28"/>
      <w:lang w:val="en-US" w:eastAsia="zh-CN" w:bidi="ar-SA"/>
    </w:rPr>
  </w:style>
  <w:style w:type="character" w:customStyle="1" w:styleId="269">
    <w:name w:val="华电 正文 Char"/>
    <w:link w:val="270"/>
    <w:autoRedefine/>
    <w:qFormat/>
    <w:uiPriority w:val="0"/>
    <w:rPr>
      <w:rFonts w:ascii="宋体" w:hAnsi="宋体" w:eastAsia="宋体"/>
      <w:sz w:val="22"/>
    </w:rPr>
  </w:style>
  <w:style w:type="paragraph" w:customStyle="1" w:styleId="270">
    <w:name w:val="华电 正文"/>
    <w:basedOn w:val="1"/>
    <w:link w:val="269"/>
    <w:autoRedefine/>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autoRedefine/>
    <w:qFormat/>
    <w:uiPriority w:val="0"/>
    <w:rPr>
      <w:rFonts w:ascii="宋体" w:eastAsia="仿宋_GB2312" w:cs="宋体"/>
      <w:color w:val="000000"/>
      <w:sz w:val="24"/>
    </w:rPr>
  </w:style>
  <w:style w:type="paragraph" w:customStyle="1" w:styleId="272">
    <w:name w:val="标准正文格式"/>
    <w:basedOn w:val="1"/>
    <w:link w:val="271"/>
    <w:autoRedefine/>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autoRedefine/>
    <w:qFormat/>
    <w:uiPriority w:val="0"/>
    <w:rPr>
      <w:rFonts w:ascii="Calibri" w:hAnsi="Calibri" w:eastAsia="宋体"/>
      <w:b/>
      <w:bCs/>
      <w:kern w:val="2"/>
      <w:sz w:val="32"/>
      <w:szCs w:val="32"/>
      <w:lang w:val="en-US" w:eastAsia="zh-CN" w:bidi="ar-SA"/>
    </w:rPr>
  </w:style>
  <w:style w:type="character" w:customStyle="1" w:styleId="274">
    <w:name w:val="Indent Normal Char"/>
    <w:link w:val="275"/>
    <w:autoRedefine/>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autoRedefine/>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autoRedefine/>
    <w:qFormat/>
    <w:uiPriority w:val="0"/>
    <w:rPr>
      <w:color w:val="000000"/>
      <w:sz w:val="20"/>
      <w:szCs w:val="20"/>
    </w:rPr>
  </w:style>
  <w:style w:type="character" w:customStyle="1" w:styleId="279">
    <w:name w:val="模板正文 Char"/>
    <w:link w:val="280"/>
    <w:autoRedefine/>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autoRedefine/>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autoRedefine/>
    <w:qFormat/>
    <w:uiPriority w:val="0"/>
    <w:rPr>
      <w:rFonts w:ascii="Calibri" w:hAnsi="Calibri" w:eastAsia="宋体"/>
      <w:sz w:val="24"/>
    </w:rPr>
  </w:style>
  <w:style w:type="paragraph" w:customStyle="1" w:styleId="289">
    <w:name w:val="样式4"/>
    <w:basedOn w:val="1"/>
    <w:link w:val="288"/>
    <w:autoRedefine/>
    <w:qFormat/>
    <w:uiPriority w:val="0"/>
    <w:pPr>
      <w:spacing w:line="360" w:lineRule="auto"/>
    </w:pPr>
    <w:rPr>
      <w:rFonts w:cstheme="minorBidi"/>
      <w:sz w:val="24"/>
    </w:rPr>
  </w:style>
  <w:style w:type="character" w:customStyle="1" w:styleId="290">
    <w:name w:val="样式 正文缩进 + 首行缩进:  2 字符 Char"/>
    <w:link w:val="291"/>
    <w:autoRedefine/>
    <w:qFormat/>
    <w:uiPriority w:val="0"/>
    <w:rPr>
      <w:rFonts w:ascii="Times New Roman" w:hAnsi="Times New Roman"/>
      <w:sz w:val="24"/>
    </w:rPr>
  </w:style>
  <w:style w:type="paragraph" w:customStyle="1" w:styleId="291">
    <w:name w:val="样式 正文缩进 + 首行缩进:  2 字符"/>
    <w:basedOn w:val="8"/>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autoRedefine/>
    <w:qFormat/>
    <w:uiPriority w:val="0"/>
    <w:rPr>
      <w:rFonts w:hint="eastAsia" w:ascii="宋体" w:hAnsi="宋体" w:eastAsia="宋体"/>
      <w:color w:val="000000"/>
      <w:sz w:val="20"/>
      <w:szCs w:val="20"/>
    </w:rPr>
  </w:style>
  <w:style w:type="character" w:customStyle="1" w:styleId="293">
    <w:name w:val="h3 Char"/>
    <w:autoRedefine/>
    <w:qFormat/>
    <w:uiPriority w:val="0"/>
    <w:rPr>
      <w:rFonts w:ascii="Times New Roman" w:hAnsi="Times New Roman"/>
      <w:b/>
      <w:bCs/>
      <w:kern w:val="2"/>
      <w:sz w:val="32"/>
      <w:szCs w:val="32"/>
    </w:rPr>
  </w:style>
  <w:style w:type="character" w:customStyle="1" w:styleId="294">
    <w:name w:val="apple-style-span"/>
    <w:basedOn w:val="64"/>
    <w:autoRedefine/>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autoRedefine/>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autoRedefine/>
    <w:qFormat/>
    <w:uiPriority w:val="0"/>
  </w:style>
  <w:style w:type="character" w:customStyle="1" w:styleId="301">
    <w:name w:val="Char Char611"/>
    <w:autoRedefine/>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next w:val="2"/>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autoRedefine/>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autoRedefine/>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autoRedefine/>
    <w:qFormat/>
    <w:uiPriority w:val="0"/>
    <w:rPr>
      <w:rFonts w:ascii="Calibri" w:hAnsi="Calibri" w:eastAsia="仿宋_GB2312"/>
      <w:sz w:val="32"/>
      <w:szCs w:val="24"/>
    </w:rPr>
  </w:style>
  <w:style w:type="paragraph" w:customStyle="1" w:styleId="314">
    <w:name w:val="方案正文"/>
    <w:basedOn w:val="1"/>
    <w:link w:val="313"/>
    <w:autoRedefine/>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semiHidden/>
    <w:unhideWhenUsed/>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autoRedefine/>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99"/>
    <w:rPr>
      <w:rFonts w:ascii="Arial" w:hAnsi="Arial" w:eastAsia="仿宋_GB2312"/>
      <w:b/>
      <w:bCs/>
      <w:sz w:val="28"/>
      <w:szCs w:val="28"/>
    </w:rPr>
  </w:style>
  <w:style w:type="paragraph" w:customStyle="1" w:styleId="336">
    <w:name w:val="ZJGIS-四级标题"/>
    <w:basedOn w:val="7"/>
    <w:link w:val="335"/>
    <w:qFormat/>
    <w:uiPriority w:val="99"/>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autoRedefine/>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autoRedefine/>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autoRedefine/>
    <w:qFormat/>
    <w:uiPriority w:val="99"/>
    <w:rPr>
      <w:rFonts w:ascii="宋体" w:hAnsi="宋体"/>
      <w:bCs/>
      <w:color w:val="000000"/>
      <w:sz w:val="24"/>
      <w:szCs w:val="24"/>
    </w:rPr>
  </w:style>
  <w:style w:type="paragraph" w:customStyle="1" w:styleId="350">
    <w:name w:val="样式 首行缩进:  2 字符"/>
    <w:basedOn w:val="1"/>
    <w:link w:val="349"/>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autoRedefine/>
    <w:qFormat/>
    <w:uiPriority w:val="0"/>
    <w:rPr>
      <w:rFonts w:ascii="Calibri" w:hAnsi="Calibri" w:eastAsia="宋体" w:cs="Times New Roman"/>
      <w:sz w:val="18"/>
      <w:szCs w:val="18"/>
    </w:rPr>
  </w:style>
  <w:style w:type="character" w:customStyle="1" w:styleId="359">
    <w:name w:val="Char Char711"/>
    <w:autoRedefine/>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autoRedefine/>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8"/>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autoRedefine/>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40"/>
    <w:qFormat/>
    <w:uiPriority w:val="99"/>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autoRedefine/>
    <w:qFormat/>
    <w:uiPriority w:val="0"/>
    <w:rPr>
      <w:rFonts w:ascii="Calibri" w:hAnsi="Calibri" w:eastAsia="宋体" w:cs="Times New Roman"/>
      <w:sz w:val="18"/>
      <w:szCs w:val="18"/>
    </w:rPr>
  </w:style>
  <w:style w:type="character" w:customStyle="1" w:styleId="383">
    <w:name w:val="Char2 Char"/>
    <w:autoRedefine/>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99"/>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5"/>
    <w:autoRedefine/>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4">
    <w:name w:val="沈标题四"/>
    <w:basedOn w:val="7"/>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2"/>
    <w:qFormat/>
    <w:uiPriority w:val="99"/>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99"/>
    <w:pPr>
      <w:ind w:firstLine="480" w:firstLineChars="200"/>
    </w:pPr>
  </w:style>
  <w:style w:type="paragraph" w:customStyle="1" w:styleId="397">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99"/>
    <w:pPr>
      <w:ind w:firstLine="420" w:firstLineChars="200"/>
    </w:pPr>
  </w:style>
  <w:style w:type="paragraph" w:customStyle="1" w:styleId="400">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1">
    <w:name w:val="表格中序号"/>
    <w:basedOn w:val="1"/>
    <w:autoRedefine/>
    <w:qFormat/>
    <w:uiPriority w:val="99"/>
    <w:pPr>
      <w:spacing w:line="288" w:lineRule="auto"/>
      <w:jc w:val="center"/>
    </w:pPr>
    <w:rPr>
      <w:rFonts w:ascii="新宋体" w:hAnsi="Times New Roman" w:eastAsia="新宋体"/>
      <w:sz w:val="24"/>
      <w:szCs w:val="24"/>
    </w:rPr>
  </w:style>
  <w:style w:type="paragraph" w:customStyle="1" w:styleId="40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99"/>
    <w:pPr>
      <w:spacing w:line="360" w:lineRule="auto"/>
    </w:pPr>
    <w:rPr>
      <w:rFonts w:ascii="Times New Roman" w:hAnsi="Times New Roman"/>
      <w:b/>
      <w:i/>
      <w:sz w:val="24"/>
      <w:szCs w:val="24"/>
      <w:u w:val="single"/>
    </w:rPr>
  </w:style>
  <w:style w:type="paragraph" w:customStyle="1" w:styleId="40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99"/>
    <w:pPr>
      <w:spacing w:after="120"/>
    </w:pPr>
    <w:rPr>
      <w:rFonts w:ascii="Times New Roman" w:hAnsi="Times New Roman"/>
      <w:sz w:val="28"/>
      <w:szCs w:val="24"/>
    </w:rPr>
  </w:style>
  <w:style w:type="paragraph" w:customStyle="1" w:styleId="407">
    <w:name w:val="xl70"/>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09">
    <w:name w:val="tab0/2"/>
    <w:basedOn w:val="1"/>
    <w:autoRedefine/>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99"/>
    <w:pPr>
      <w:spacing w:line="360" w:lineRule="auto"/>
      <w:jc w:val="center"/>
    </w:pPr>
    <w:rPr>
      <w:rFonts w:ascii="宋体" w:hAnsi="宋体"/>
      <w:b/>
      <w:sz w:val="24"/>
      <w:szCs w:val="24"/>
    </w:rPr>
  </w:style>
  <w:style w:type="paragraph" w:customStyle="1" w:styleId="412">
    <w:name w:val="Char"/>
    <w:basedOn w:val="1"/>
    <w:qFormat/>
    <w:uiPriority w:val="99"/>
    <w:rPr>
      <w:rFonts w:ascii="仿宋_GB2312" w:hAnsi="Times New Roman" w:eastAsia="仿宋_GB2312"/>
      <w:b/>
      <w:sz w:val="32"/>
      <w:szCs w:val="32"/>
    </w:rPr>
  </w:style>
  <w:style w:type="paragraph" w:customStyle="1" w:styleId="41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99"/>
    <w:pPr>
      <w:adjustRightInd w:val="0"/>
      <w:snapToGrid w:val="0"/>
      <w:jc w:val="center"/>
    </w:pPr>
    <w:rPr>
      <w:rFonts w:ascii="宋体" w:hAnsi="宋体"/>
      <w:szCs w:val="21"/>
    </w:rPr>
  </w:style>
  <w:style w:type="paragraph" w:customStyle="1" w:styleId="416">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autoRedefine/>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99"/>
    <w:pPr>
      <w:ind w:firstLine="480" w:firstLineChars="200"/>
    </w:pPr>
  </w:style>
  <w:style w:type="paragraph" w:customStyle="1" w:styleId="420">
    <w:name w:val="样式 正文文本缩进 + 仿宋_GB2312 小四 首行缩进:  0 厘米 行距: 1.5 倍行距"/>
    <w:basedOn w:val="26"/>
    <w:qFormat/>
    <w:uiPriority w:val="99"/>
    <w:pPr>
      <w:spacing w:line="360" w:lineRule="auto"/>
      <w:ind w:firstLine="0"/>
    </w:pPr>
    <w:rPr>
      <w:rFonts w:ascii="仿宋_GB2312" w:hAnsi="Times New Roman" w:eastAsia="新宋体"/>
      <w:spacing w:val="0"/>
      <w:sz w:val="24"/>
    </w:rPr>
  </w:style>
  <w:style w:type="paragraph" w:customStyle="1" w:styleId="421">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99"/>
    <w:pPr>
      <w:ind w:firstLine="562"/>
    </w:pPr>
    <w:rPr>
      <w:rFonts w:ascii="仿宋_GB2312" w:eastAsia="仿宋_GB2312"/>
      <w:b/>
      <w:sz w:val="28"/>
      <w:szCs w:val="28"/>
    </w:rPr>
  </w:style>
  <w:style w:type="paragraph" w:customStyle="1" w:styleId="423">
    <w:name w:val="图名"/>
    <w:basedOn w:val="20"/>
    <w:qFormat/>
    <w:uiPriority w:val="99"/>
    <w:pPr>
      <w:spacing w:beforeLines="50" w:afterLines="50"/>
      <w:jc w:val="center"/>
    </w:pPr>
    <w:rPr>
      <w:rFonts w:ascii="Times New Roman" w:hAnsi="Times New Roman"/>
      <w:kern w:val="0"/>
      <w:sz w:val="24"/>
      <w:szCs w:val="24"/>
    </w:rPr>
  </w:style>
  <w:style w:type="paragraph" w:styleId="42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autoRedefine/>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20"/>
    <w:qFormat/>
    <w:uiPriority w:val="99"/>
    <w:pPr>
      <w:spacing w:beforeLines="50" w:afterLines="50"/>
      <w:jc w:val="center"/>
    </w:pPr>
    <w:rPr>
      <w:rFonts w:ascii="黑体"/>
      <w:kern w:val="0"/>
      <w:sz w:val="24"/>
      <w:szCs w:val="24"/>
    </w:rPr>
  </w:style>
  <w:style w:type="paragraph" w:customStyle="1" w:styleId="434">
    <w:name w:val="Char Char Char"/>
    <w:basedOn w:val="1"/>
    <w:qFormat/>
    <w:uiPriority w:val="99"/>
    <w:rPr>
      <w:rFonts w:ascii="Tahoma" w:hAnsi="Tahoma"/>
      <w:sz w:val="24"/>
      <w:szCs w:val="20"/>
    </w:rPr>
  </w:style>
  <w:style w:type="paragraph" w:customStyle="1" w:styleId="435">
    <w:name w:val="样式 样式 标题 4 + 段后: 0.5 行1"/>
    <w:basedOn w:val="436"/>
    <w:next w:val="37"/>
    <w:qFormat/>
    <w:uiPriority w:val="99"/>
    <w:pPr>
      <w:numPr>
        <w:ilvl w:val="1"/>
        <w:numId w:val="5"/>
      </w:numPr>
      <w:tabs>
        <w:tab w:val="left" w:pos="2040"/>
      </w:tabs>
      <w:spacing w:after="120"/>
      <w:ind w:left="0" w:firstLine="0"/>
    </w:pPr>
  </w:style>
  <w:style w:type="paragraph" w:customStyle="1" w:styleId="436">
    <w:name w:val="样式 标题 4 + 段后: 0.5 行"/>
    <w:basedOn w:val="7"/>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5"/>
    <w:next w:val="1"/>
    <w:qFormat/>
    <w:uiPriority w:val="99"/>
    <w:pPr>
      <w:tabs>
        <w:tab w:val="left" w:pos="709"/>
      </w:tabs>
      <w:spacing w:line="360" w:lineRule="auto"/>
    </w:pPr>
    <w:rPr>
      <w:rFonts w:ascii="Times New Roman" w:hAnsi="Times New Roman"/>
      <w:kern w:val="0"/>
      <w:sz w:val="28"/>
      <w:szCs w:val="28"/>
    </w:rPr>
  </w:style>
  <w:style w:type="paragraph" w:customStyle="1" w:styleId="438">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99"/>
    <w:pPr>
      <w:ind w:left="1890" w:leftChars="900"/>
    </w:pPr>
    <w:rPr>
      <w:rFonts w:ascii="Times New Roman" w:hAnsi="Times New Roman"/>
      <w:sz w:val="24"/>
      <w:szCs w:val="24"/>
    </w:rPr>
  </w:style>
  <w:style w:type="paragraph" w:customStyle="1" w:styleId="440">
    <w:name w:val="linyang-正文"/>
    <w:basedOn w:val="1"/>
    <w:autoRedefine/>
    <w:qFormat/>
    <w:uiPriority w:val="99"/>
    <w:pPr>
      <w:spacing w:before="120" w:after="120" w:line="400" w:lineRule="exact"/>
      <w:ind w:firstLine="200" w:firstLineChars="200"/>
    </w:pPr>
    <w:rPr>
      <w:rFonts w:ascii="Times New Roman" w:hAnsi="Times New Roman"/>
      <w:sz w:val="24"/>
      <w:szCs w:val="24"/>
    </w:rPr>
  </w:style>
  <w:style w:type="paragraph" w:customStyle="1" w:styleId="441">
    <w:name w:val="标题2"/>
    <w:basedOn w:val="5"/>
    <w:next w:val="6"/>
    <w:qFormat/>
    <w:uiPriority w:val="99"/>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2"/>
    <w:next w:val="1"/>
    <w:qFormat/>
    <w:uiPriority w:val="99"/>
    <w:pPr>
      <w:shd w:val="clear" w:color="auto" w:fill="000080"/>
    </w:pPr>
    <w:rPr>
      <w:rFonts w:ascii="Tahoma" w:hAnsi="Tahoma" w:cs="Tahoma"/>
      <w:kern w:val="0"/>
      <w:szCs w:val="24"/>
    </w:rPr>
  </w:style>
  <w:style w:type="paragraph" w:customStyle="1" w:styleId="44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2"/>
    <w:qFormat/>
    <w:uiPriority w:val="99"/>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autoRedefine/>
    <w:qFormat/>
    <w:uiPriority w:val="99"/>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autoRedefine/>
    <w:qFormat/>
    <w:uiPriority w:val="99"/>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99"/>
    <w:pPr>
      <w:spacing w:after="120" w:line="360" w:lineRule="auto"/>
      <w:jc w:val="center"/>
    </w:pPr>
    <w:rPr>
      <w:rFonts w:ascii="Times New Roman" w:hAnsi="Times New Roman"/>
      <w:szCs w:val="21"/>
    </w:rPr>
  </w:style>
  <w:style w:type="paragraph" w:customStyle="1" w:styleId="45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2"/>
    <w:qFormat/>
    <w:uiPriority w:val="99"/>
    <w:pPr>
      <w:spacing w:beforeLines="0" w:afterLines="0" w:line="360" w:lineRule="auto"/>
    </w:pPr>
    <w:rPr>
      <w:b/>
      <w:sz w:val="30"/>
      <w:szCs w:val="20"/>
    </w:rPr>
  </w:style>
  <w:style w:type="paragraph" w:customStyle="1" w:styleId="455">
    <w:name w:val="Normal0"/>
    <w:qFormat/>
    <w:uiPriority w:val="99"/>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99"/>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6"/>
    <w:qFormat/>
    <w:uiPriority w:val="99"/>
    <w:rPr>
      <w:rFonts w:ascii="Arial" w:hAnsi="Arial"/>
      <w:sz w:val="30"/>
    </w:rPr>
  </w:style>
  <w:style w:type="paragraph" w:customStyle="1" w:styleId="458">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autoRedefine/>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99"/>
    <w:pPr>
      <w:ind w:firstLine="420"/>
    </w:pPr>
    <w:rPr>
      <w:rFonts w:ascii="Times New Roman" w:hAnsi="Times New Roman"/>
      <w:szCs w:val="20"/>
    </w:rPr>
  </w:style>
  <w:style w:type="paragraph" w:customStyle="1" w:styleId="469">
    <w:name w:val="pa-17"/>
    <w:basedOn w:val="1"/>
    <w:qFormat/>
    <w:uiPriority w:val="99"/>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1">
    <w:name w:val="Char9"/>
    <w:basedOn w:val="1"/>
    <w:qFormat/>
    <w:uiPriority w:val="99"/>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8"/>
    <w:autoRedefine/>
    <w:qFormat/>
    <w:uiPriority w:val="99"/>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3"/>
    <w:next w:val="23"/>
    <w:qFormat/>
    <w:uiPriority w:val="99"/>
    <w:rPr>
      <w:b/>
      <w:bCs/>
      <w:kern w:val="0"/>
      <w:sz w:val="20"/>
      <w:szCs w:val="20"/>
    </w:rPr>
  </w:style>
  <w:style w:type="paragraph" w:customStyle="1" w:styleId="47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99"/>
    <w:pPr>
      <w:tabs>
        <w:tab w:val="left" w:pos="1140"/>
      </w:tabs>
      <w:spacing w:after="120"/>
    </w:pPr>
    <w:rPr>
      <w:bCs/>
    </w:rPr>
  </w:style>
  <w:style w:type="paragraph" w:customStyle="1" w:styleId="476">
    <w:name w:val="样式 标题1"/>
    <w:basedOn w:val="477"/>
    <w:next w:val="478"/>
    <w:autoRedefine/>
    <w:qFormat/>
    <w:uiPriority w:val="99"/>
    <w:pPr>
      <w:tabs>
        <w:tab w:val="left" w:pos="1140"/>
      </w:tabs>
      <w:spacing w:after="50"/>
      <w:ind w:left="1140" w:hanging="720"/>
    </w:pPr>
    <w:rPr>
      <w:bCs w:val="0"/>
      <w:sz w:val="32"/>
    </w:rPr>
  </w:style>
  <w:style w:type="paragraph" w:customStyle="1" w:styleId="477">
    <w:name w:val="样式 标题 1 + 段后: 0.5 行"/>
    <w:basedOn w:val="4"/>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99"/>
    <w:pPr>
      <w:spacing w:after="120"/>
    </w:pPr>
  </w:style>
  <w:style w:type="paragraph" w:customStyle="1" w:styleId="479">
    <w:name w:val="样式 标题 2"/>
    <w:basedOn w:val="5"/>
    <w:next w:val="480"/>
    <w:autoRedefine/>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6"/>
    <w:next w:val="482"/>
    <w:qFormat/>
    <w:uiPriority w:val="99"/>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autoRedefine/>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99"/>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99"/>
    <w:pPr>
      <w:numPr>
        <w:numId w:val="0"/>
      </w:numPr>
      <w:tabs>
        <w:tab w:val="left" w:pos="864"/>
      </w:tabs>
      <w:spacing w:after="120"/>
      <w:ind w:left="864" w:hanging="864"/>
    </w:pPr>
  </w:style>
  <w:style w:type="paragraph" w:customStyle="1" w:styleId="485">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4"/>
    <w:autoRedefine/>
    <w:qFormat/>
    <w:uiPriority w:val="99"/>
    <w:pPr>
      <w:keepNext/>
      <w:keepLines/>
      <w:autoSpaceDE/>
      <w:autoSpaceDN/>
      <w:adjustRightInd/>
      <w:spacing w:after="120"/>
      <w:jc w:val="both"/>
    </w:pPr>
    <w:rPr>
      <w:rFonts w:ascii="黑体" w:eastAsia="黑体" w:cs="宋体"/>
      <w:kern w:val="44"/>
    </w:rPr>
  </w:style>
  <w:style w:type="paragraph" w:customStyle="1" w:styleId="489">
    <w:name w:val="Paragraph1"/>
    <w:basedOn w:val="1"/>
    <w:autoRedefine/>
    <w:qFormat/>
    <w:uiPriority w:val="99"/>
    <w:pPr>
      <w:spacing w:before="80" w:afterLines="50"/>
    </w:pPr>
    <w:rPr>
      <w:rFonts w:ascii="宋体" w:hAnsi="Times New Roman"/>
      <w:snapToGrid w:val="0"/>
      <w:kern w:val="0"/>
      <w:szCs w:val="20"/>
    </w:rPr>
  </w:style>
  <w:style w:type="paragraph" w:customStyle="1" w:styleId="490">
    <w:name w:val="4"/>
    <w:basedOn w:val="1"/>
    <w:qFormat/>
    <w:uiPriority w:val="99"/>
  </w:style>
  <w:style w:type="paragraph" w:customStyle="1" w:styleId="491">
    <w:name w:val="ZJGIS-一级标题"/>
    <w:basedOn w:val="4"/>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99"/>
    <w:pPr>
      <w:tabs>
        <w:tab w:val="left" w:pos="432"/>
      </w:tabs>
      <w:ind w:left="432" w:hanging="432"/>
    </w:pPr>
    <w:rPr>
      <w:rFonts w:ascii="Times New Roman" w:hAnsi="Times New Roman"/>
      <w:sz w:val="24"/>
      <w:szCs w:val="24"/>
    </w:rPr>
  </w:style>
  <w:style w:type="paragraph" w:customStyle="1" w:styleId="50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autoRedefine/>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99"/>
    <w:pPr>
      <w:widowControl/>
      <w:spacing w:before="360" w:after="360"/>
      <w:jc w:val="center"/>
    </w:pPr>
    <w:rPr>
      <w:rFonts w:ascii="宋体" w:hAnsi="宋体" w:cs="宋体"/>
      <w:kern w:val="0"/>
      <w:sz w:val="24"/>
      <w:szCs w:val="24"/>
    </w:rPr>
  </w:style>
  <w:style w:type="paragraph" w:customStyle="1" w:styleId="506">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3">
    <w:name w:val="圆点"/>
    <w:basedOn w:val="1"/>
    <w:autoRedefine/>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autoRedefine/>
    <w:qFormat/>
    <w:uiPriority w:val="99"/>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99"/>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4"/>
    <w:autoRedefine/>
    <w:qFormat/>
    <w:uiPriority w:val="99"/>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99"/>
    <w:rPr>
      <w:rFonts w:ascii="仿宋_GB2312" w:hAnsi="Times New Roman" w:eastAsia="仿宋_GB2312"/>
      <w:b/>
      <w:sz w:val="32"/>
      <w:szCs w:val="32"/>
    </w:rPr>
  </w:style>
  <w:style w:type="paragraph" w:customStyle="1" w:styleId="51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57"/>
    <w:qFormat/>
    <w:uiPriority w:val="99"/>
    <w:pPr>
      <w:spacing w:after="60"/>
      <w:ind w:left="420" w:firstLine="200" w:firstLineChars="200"/>
    </w:pPr>
    <w:rPr>
      <w:rFonts w:ascii="Times New Roman" w:hAnsi="Times New Roman"/>
      <w:szCs w:val="24"/>
    </w:rPr>
  </w:style>
  <w:style w:type="paragraph" w:customStyle="1" w:styleId="521">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99"/>
    <w:pPr>
      <w:numPr>
        <w:ilvl w:val="0"/>
        <w:numId w:val="14"/>
      </w:numPr>
      <w:spacing w:line="400" w:lineRule="exact"/>
    </w:pPr>
    <w:rPr>
      <w:rFonts w:ascii="Arial" w:hAnsi="Arial"/>
      <w:szCs w:val="24"/>
    </w:rPr>
  </w:style>
  <w:style w:type="paragraph" w:customStyle="1" w:styleId="523">
    <w:name w:val="GP有序编号2级"/>
    <w:basedOn w:val="1"/>
    <w:autoRedefine/>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99"/>
    <w:pPr>
      <w:spacing w:after="120"/>
    </w:pPr>
  </w:style>
  <w:style w:type="paragraph" w:customStyle="1" w:styleId="526">
    <w:name w:val="标题 3Chapter X.X.X. + 段后: 0.5 行 + 段后: 0.5 行 + 段后: 0.5 行1"/>
    <w:basedOn w:val="527"/>
    <w:qFormat/>
    <w:uiPriority w:val="99"/>
  </w:style>
  <w:style w:type="paragraph" w:customStyle="1" w:styleId="527">
    <w:name w:val="样式 样式 标题 3Chapter X.X.X. + 段后: 0.5 行 + 段后: 0.5 行"/>
    <w:basedOn w:val="528"/>
    <w:autoRedefine/>
    <w:qFormat/>
    <w:uiPriority w:val="99"/>
  </w:style>
  <w:style w:type="paragraph" w:customStyle="1" w:styleId="528">
    <w:name w:val="样式 标题 3Chapter X.X.X. + 段后: 0.5 行"/>
    <w:basedOn w:val="6"/>
    <w:qFormat/>
    <w:uiPriority w:val="99"/>
    <w:pPr>
      <w:keepLines w:val="0"/>
      <w:spacing w:before="120" w:afterLines="50" w:line="240" w:lineRule="auto"/>
      <w:jc w:val="left"/>
    </w:pPr>
    <w:rPr>
      <w:rFonts w:ascii="宋体" w:cs="宋体"/>
      <w:snapToGrid w:val="0"/>
      <w:kern w:val="0"/>
      <w:sz w:val="24"/>
      <w:szCs w:val="20"/>
    </w:rPr>
  </w:style>
  <w:style w:type="paragraph" w:customStyle="1" w:styleId="529">
    <w:name w:val="xl63"/>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autoRedefine/>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99"/>
    <w:pPr>
      <w:tabs>
        <w:tab w:val="left" w:pos="720"/>
      </w:tabs>
      <w:ind w:hanging="720"/>
    </w:pPr>
  </w:style>
  <w:style w:type="paragraph" w:customStyle="1" w:styleId="53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6">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5"/>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99"/>
    <w:pPr>
      <w:tabs>
        <w:tab w:val="left" w:pos="432"/>
      </w:tabs>
      <w:ind w:left="432" w:hanging="432"/>
    </w:pPr>
    <w:rPr>
      <w:rFonts w:ascii="Tahoma" w:hAnsi="Tahoma"/>
      <w:sz w:val="24"/>
      <w:szCs w:val="20"/>
    </w:rPr>
  </w:style>
  <w:style w:type="paragraph" w:customStyle="1" w:styleId="542">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autoRedefine/>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99"/>
    <w:pPr>
      <w:spacing w:line="0" w:lineRule="atLeast"/>
    </w:pPr>
    <w:rPr>
      <w:rFonts w:ascii="Times New Roman" w:hAnsi="Times New Roman" w:eastAsia="仿宋_GB2312"/>
      <w:sz w:val="22"/>
      <w:szCs w:val="24"/>
    </w:rPr>
  </w:style>
  <w:style w:type="paragraph" w:customStyle="1" w:styleId="547">
    <w:name w:val="Char3"/>
    <w:basedOn w:val="1"/>
    <w:autoRedefine/>
    <w:qFormat/>
    <w:uiPriority w:val="99"/>
    <w:rPr>
      <w:rFonts w:ascii="仿宋_GB2312" w:hAnsi="Times New Roman" w:eastAsia="仿宋_GB2312"/>
      <w:b/>
      <w:sz w:val="32"/>
      <w:szCs w:val="20"/>
    </w:rPr>
  </w:style>
  <w:style w:type="paragraph" w:customStyle="1" w:styleId="548">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99"/>
    <w:pPr>
      <w:tabs>
        <w:tab w:val="left" w:pos="360"/>
      </w:tabs>
      <w:ind w:firstLine="420" w:firstLineChars="150"/>
    </w:pPr>
    <w:rPr>
      <w:rFonts w:ascii="Times New Roman" w:hAnsi="Times New Roman"/>
      <w:szCs w:val="20"/>
    </w:rPr>
  </w:style>
  <w:style w:type="paragraph" w:customStyle="1" w:styleId="551">
    <w:name w:val="Bullet 2"/>
    <w:basedOn w:val="2"/>
    <w:autoRedefine/>
    <w:qFormat/>
    <w:uiPriority w:val="99"/>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99"/>
    <w:pPr>
      <w:keepNext/>
      <w:widowControl/>
      <w:spacing w:before="80" w:after="80"/>
      <w:jc w:val="center"/>
    </w:pPr>
    <w:rPr>
      <w:rFonts w:ascii="Times New Roman" w:hAnsi="Times New Roman"/>
      <w:szCs w:val="20"/>
    </w:rPr>
  </w:style>
  <w:style w:type="paragraph" w:customStyle="1" w:styleId="556">
    <w:name w:val="Char Char1 Char111"/>
    <w:basedOn w:val="1"/>
    <w:qFormat/>
    <w:uiPriority w:val="99"/>
    <w:rPr>
      <w:rFonts w:ascii="仿宋_GB2312" w:hAnsi="Times New Roman" w:eastAsia="仿宋_GB2312"/>
      <w:b/>
      <w:sz w:val="32"/>
      <w:szCs w:val="32"/>
    </w:rPr>
  </w:style>
  <w:style w:type="paragraph" w:customStyle="1" w:styleId="557">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99"/>
    <w:rPr>
      <w:rFonts w:ascii="Tahoma" w:hAnsi="Tahoma"/>
      <w:sz w:val="24"/>
      <w:szCs w:val="20"/>
    </w:rPr>
  </w:style>
  <w:style w:type="paragraph" w:customStyle="1" w:styleId="55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0">
    <w:name w:val="样式2"/>
    <w:basedOn w:val="5"/>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autoRedefine/>
    <w:qFormat/>
    <w:uiPriority w:val="99"/>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99"/>
  </w:style>
  <w:style w:type="paragraph" w:customStyle="1" w:styleId="564">
    <w:name w:val="标准有序列表（L1）"/>
    <w:basedOn w:val="8"/>
    <w:autoRedefine/>
    <w:qFormat/>
    <w:uiPriority w:val="99"/>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6">
    <w:name w:val="_Style 11811"/>
    <w:basedOn w:val="1"/>
    <w:qFormat/>
    <w:uiPriority w:val="99"/>
  </w:style>
  <w:style w:type="paragraph" w:customStyle="1" w:styleId="567">
    <w:name w:val="Char Char Char Char Char Char Char Char"/>
    <w:basedOn w:val="1"/>
    <w:qFormat/>
    <w:uiPriority w:val="99"/>
    <w:pPr>
      <w:tabs>
        <w:tab w:val="left" w:pos="360"/>
      </w:tabs>
    </w:pPr>
    <w:rPr>
      <w:rFonts w:ascii="Times New Roman" w:hAnsi="Times New Roman"/>
      <w:sz w:val="24"/>
      <w:szCs w:val="24"/>
    </w:rPr>
  </w:style>
  <w:style w:type="paragraph" w:customStyle="1" w:styleId="568">
    <w:name w:val="xl66"/>
    <w:basedOn w:val="1"/>
    <w:autoRedefine/>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99"/>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99"/>
    <w:pPr>
      <w:ind w:firstLine="420" w:firstLineChars="200"/>
    </w:pPr>
    <w:rPr>
      <w:szCs w:val="24"/>
    </w:rPr>
  </w:style>
  <w:style w:type="paragraph" w:customStyle="1" w:styleId="576">
    <w:name w:val="样式 标题 2 + 五号"/>
    <w:basedOn w:val="5"/>
    <w:qFormat/>
    <w:uiPriority w:val="99"/>
    <w:pPr>
      <w:spacing w:before="0" w:after="0" w:line="240" w:lineRule="auto"/>
    </w:pPr>
    <w:rPr>
      <w:rFonts w:ascii="宋体" w:hAnsi="宋体" w:eastAsia="宋体"/>
      <w:sz w:val="21"/>
    </w:rPr>
  </w:style>
  <w:style w:type="paragraph" w:customStyle="1" w:styleId="577">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8"/>
    <w:qFormat/>
    <w:uiPriority w:val="99"/>
    <w:pPr>
      <w:spacing w:line="360" w:lineRule="auto"/>
    </w:pPr>
    <w:rPr>
      <w:sz w:val="24"/>
      <w:szCs w:val="24"/>
    </w:rPr>
  </w:style>
  <w:style w:type="paragraph" w:customStyle="1" w:styleId="579">
    <w:name w:val="Style-正文"/>
    <w:basedOn w:val="1"/>
    <w:autoRedefine/>
    <w:qFormat/>
    <w:uiPriority w:val="99"/>
    <w:pPr>
      <w:spacing w:line="360" w:lineRule="auto"/>
      <w:ind w:firstLine="420"/>
    </w:pPr>
    <w:rPr>
      <w:rFonts w:ascii="宋体" w:hAnsi="宋体"/>
      <w:sz w:val="24"/>
      <w:szCs w:val="24"/>
    </w:rPr>
  </w:style>
  <w:style w:type="paragraph" w:customStyle="1" w:styleId="580">
    <w:name w:val="金保文档标准正文 Char"/>
    <w:basedOn w:val="1"/>
    <w:autoRedefine/>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4"/>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99"/>
    <w:rPr>
      <w:rFonts w:ascii="Times New Roman" w:hAnsi="Times New Roman"/>
      <w:szCs w:val="24"/>
    </w:rPr>
  </w:style>
  <w:style w:type="paragraph" w:customStyle="1" w:styleId="583">
    <w:name w:val="样式 标题 1 + 五号"/>
    <w:basedOn w:val="4"/>
    <w:qFormat/>
    <w:uiPriority w:val="99"/>
    <w:pPr>
      <w:keepNext/>
      <w:keepLines/>
      <w:autoSpaceDE/>
      <w:autoSpaceDN/>
      <w:adjustRightInd/>
      <w:spacing w:line="240" w:lineRule="auto"/>
    </w:pPr>
    <w:rPr>
      <w:rFonts w:eastAsia="宋体"/>
      <w:kern w:val="44"/>
      <w:sz w:val="32"/>
      <w:szCs w:val="32"/>
    </w:rPr>
  </w:style>
  <w:style w:type="paragraph" w:customStyle="1" w:styleId="584">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99"/>
    <w:rPr>
      <w:rFonts w:ascii="宋体" w:hAnsi="Courier New"/>
      <w:szCs w:val="20"/>
    </w:rPr>
  </w:style>
  <w:style w:type="paragraph" w:customStyle="1" w:styleId="586">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4"/>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99"/>
    <w:rPr>
      <w:rFonts w:ascii="Tahoma" w:hAnsi="Tahoma"/>
      <w:sz w:val="24"/>
      <w:szCs w:val="20"/>
    </w:rPr>
  </w:style>
  <w:style w:type="paragraph" w:customStyle="1" w:styleId="590">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99"/>
    <w:pPr>
      <w:spacing w:after="120"/>
    </w:pPr>
  </w:style>
  <w:style w:type="paragraph" w:customStyle="1" w:styleId="592">
    <w:name w:val="样式 标题 2 + 宋体 小四 段前: 0 磅 段后: 0 磅 行距: 1.5 倍行距"/>
    <w:basedOn w:val="5"/>
    <w:qFormat/>
    <w:uiPriority w:val="99"/>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4">
    <w:name w:val="二级标题"/>
    <w:basedOn w:val="5"/>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99"/>
    <w:rPr>
      <w:rFonts w:ascii="宋体"/>
      <w:kern w:val="0"/>
      <w:sz w:val="18"/>
      <w:szCs w:val="18"/>
    </w:rPr>
  </w:style>
  <w:style w:type="paragraph" w:customStyle="1" w:styleId="59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8">
    <w:name w:val="正文文本 New New"/>
    <w:basedOn w:val="524"/>
    <w:qFormat/>
    <w:uiPriority w:val="99"/>
    <w:pPr>
      <w:spacing w:after="120"/>
    </w:pPr>
    <w:rPr>
      <w:sz w:val="28"/>
      <w:szCs w:val="24"/>
    </w:rPr>
  </w:style>
  <w:style w:type="paragraph" w:customStyle="1" w:styleId="599">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99"/>
    <w:rPr>
      <w:rFonts w:ascii="宋体" w:hAnsi="宋体" w:eastAsia="宋体" w:cs="Times New Roman"/>
      <w:kern w:val="0"/>
      <w:sz w:val="24"/>
      <w:szCs w:val="20"/>
      <w:lang w:val="zh-CN" w:eastAsia="zh-CN" w:bidi="ar-SA"/>
    </w:rPr>
  </w:style>
  <w:style w:type="paragraph" w:customStyle="1" w:styleId="603">
    <w:name w:val="SZF表"/>
    <w:basedOn w:val="604"/>
    <w:qFormat/>
    <w:uiPriority w:val="99"/>
    <w:rPr>
      <w:rFonts w:ascii="宋体" w:hAnsi="宋体"/>
      <w:bCs/>
      <w:szCs w:val="21"/>
    </w:rPr>
  </w:style>
  <w:style w:type="paragraph" w:customStyle="1" w:styleId="604">
    <w:name w:val="SZF图"/>
    <w:basedOn w:val="1"/>
    <w:qFormat/>
    <w:uiPriority w:val="99"/>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99"/>
    <w:rPr>
      <w:rFonts w:ascii="Tahoma" w:hAnsi="Tahoma"/>
      <w:sz w:val="24"/>
      <w:szCs w:val="20"/>
    </w:rPr>
  </w:style>
  <w:style w:type="paragraph" w:customStyle="1" w:styleId="608">
    <w:name w:val="文档结构图2"/>
    <w:basedOn w:val="1"/>
    <w:autoRedefine/>
    <w:qFormat/>
    <w:uiPriority w:val="99"/>
    <w:rPr>
      <w:rFonts w:ascii="宋体"/>
      <w:kern w:val="0"/>
      <w:sz w:val="18"/>
      <w:szCs w:val="18"/>
    </w:rPr>
  </w:style>
  <w:style w:type="paragraph" w:customStyle="1" w:styleId="609">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99"/>
    <w:pPr>
      <w:ind w:firstLine="480" w:firstLineChars="200"/>
    </w:pPr>
  </w:style>
  <w:style w:type="paragraph" w:customStyle="1" w:styleId="611">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2">
    <w:name w:val="Table_Medium"/>
    <w:basedOn w:val="600"/>
    <w:autoRedefine/>
    <w:qFormat/>
    <w:uiPriority w:val="99"/>
    <w:rPr>
      <w:sz w:val="18"/>
    </w:rPr>
  </w:style>
  <w:style w:type="paragraph" w:customStyle="1" w:styleId="613">
    <w:name w:val="IBM 正文"/>
    <w:basedOn w:val="1"/>
    <w:qFormat/>
    <w:uiPriority w:val="99"/>
    <w:pPr>
      <w:spacing w:line="360" w:lineRule="atLeast"/>
    </w:pPr>
    <w:rPr>
      <w:rFonts w:ascii="Times New Roman" w:hAnsi="Times New Roman"/>
      <w:sz w:val="24"/>
      <w:szCs w:val="20"/>
    </w:rPr>
  </w:style>
  <w:style w:type="paragraph" w:customStyle="1" w:styleId="614">
    <w:name w:val="Char Char1 Char1"/>
    <w:basedOn w:val="1"/>
    <w:autoRedefine/>
    <w:qFormat/>
    <w:uiPriority w:val="99"/>
    <w:rPr>
      <w:rFonts w:ascii="仿宋_GB2312" w:hAnsi="Times New Roman" w:eastAsia="仿宋_GB2312"/>
      <w:b/>
      <w:sz w:val="32"/>
      <w:szCs w:val="32"/>
    </w:rPr>
  </w:style>
  <w:style w:type="paragraph" w:customStyle="1" w:styleId="61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autoRedefine/>
    <w:qFormat/>
    <w:uiPriority w:val="99"/>
    <w:pPr>
      <w:tabs>
        <w:tab w:val="left" w:pos="432"/>
      </w:tabs>
      <w:ind w:left="432" w:hanging="432"/>
    </w:pPr>
    <w:rPr>
      <w:rFonts w:ascii="Tahoma" w:hAnsi="Tahoma"/>
      <w:sz w:val="24"/>
      <w:szCs w:val="20"/>
    </w:rPr>
  </w:style>
  <w:style w:type="paragraph" w:customStyle="1" w:styleId="617">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19">
    <w:name w:val="Tabletext"/>
    <w:basedOn w:val="1"/>
    <w:qFormat/>
    <w:uiPriority w:val="99"/>
    <w:pPr>
      <w:keepLines/>
      <w:spacing w:afterLines="50"/>
      <w:jc w:val="left"/>
    </w:pPr>
    <w:rPr>
      <w:rFonts w:ascii="宋体" w:hAnsi="Times New Roman"/>
      <w:snapToGrid w:val="0"/>
      <w:kern w:val="0"/>
      <w:szCs w:val="20"/>
    </w:rPr>
  </w:style>
  <w:style w:type="paragraph" w:customStyle="1" w:styleId="620">
    <w:name w:val="P3"/>
    <w:basedOn w:val="1"/>
    <w:autoRedefine/>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6"/>
    <w:autoRedefine/>
    <w:qFormat/>
    <w:uiPriority w:val="99"/>
    <w:pPr>
      <w:tabs>
        <w:tab w:val="left" w:pos="1050"/>
      </w:tabs>
      <w:spacing w:line="240" w:lineRule="auto"/>
      <w:ind w:left="-258" w:leftChars="-258"/>
    </w:pPr>
    <w:rPr>
      <w:rFonts w:eastAsia="仿宋_GB2312"/>
      <w:sz w:val="28"/>
    </w:rPr>
  </w:style>
  <w:style w:type="paragraph" w:customStyle="1" w:styleId="622">
    <w:name w:val="大表 mt"/>
    <w:basedOn w:val="1"/>
    <w:qFormat/>
    <w:uiPriority w:val="99"/>
    <w:pPr>
      <w:widowControl/>
      <w:jc w:val="left"/>
    </w:pPr>
    <w:rPr>
      <w:rFonts w:ascii="宋体" w:hAnsi="宋体" w:cs="宋体"/>
      <w:kern w:val="0"/>
      <w:szCs w:val="21"/>
    </w:rPr>
  </w:style>
  <w:style w:type="paragraph" w:customStyle="1" w:styleId="623">
    <w:name w:val="Char Char Char111"/>
    <w:basedOn w:val="1"/>
    <w:qFormat/>
    <w:uiPriority w:val="99"/>
  </w:style>
  <w:style w:type="paragraph" w:customStyle="1" w:styleId="624">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99"/>
    <w:pPr>
      <w:spacing w:line="360" w:lineRule="auto"/>
      <w:ind w:firstLine="0"/>
    </w:pPr>
    <w:rPr>
      <w:rFonts w:ascii="宋体" w:hAnsi="宋体" w:cs="宋体"/>
      <w:kern w:val="0"/>
    </w:rPr>
  </w:style>
  <w:style w:type="paragraph" w:customStyle="1" w:styleId="631">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6">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autoRedefine/>
    <w:qFormat/>
    <w:uiPriority w:val="99"/>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99"/>
    <w:pPr>
      <w:numPr>
        <w:numId w:val="0"/>
      </w:numPr>
      <w:tabs>
        <w:tab w:val="left" w:pos="864"/>
      </w:tabs>
      <w:ind w:left="425" w:hanging="425"/>
    </w:pPr>
    <w:rPr>
      <w:szCs w:val="21"/>
    </w:rPr>
  </w:style>
  <w:style w:type="paragraph" w:customStyle="1" w:styleId="643">
    <w:name w:val="样式 标题 4Chapter X.X.X. + 段后: 0.5 行1"/>
    <w:basedOn w:val="7"/>
    <w:next w:val="7"/>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9"/>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4"/>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autoRedefine/>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99"/>
    <w:rPr>
      <w:rFonts w:ascii="仿宋_GB2312" w:hAnsi="Times New Roman" w:eastAsia="仿宋_GB2312"/>
      <w:b/>
      <w:sz w:val="32"/>
      <w:szCs w:val="32"/>
    </w:rPr>
  </w:style>
  <w:style w:type="paragraph" w:customStyle="1" w:styleId="650">
    <w:name w:val="正文文本 21"/>
    <w:basedOn w:val="1"/>
    <w:autoRedefine/>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autoRedefine/>
    <w:qFormat/>
    <w:uiPriority w:val="99"/>
    <w:pPr>
      <w:spacing w:line="360" w:lineRule="auto"/>
      <w:ind w:firstLine="200" w:firstLineChars="200"/>
    </w:pPr>
    <w:rPr>
      <w:rFonts w:ascii="Times New Roman" w:hAnsi="Times New Roman"/>
      <w:sz w:val="24"/>
      <w:szCs w:val="24"/>
    </w:rPr>
  </w:style>
  <w:style w:type="paragraph" w:customStyle="1" w:styleId="653">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99"/>
    <w:pPr>
      <w:ind w:firstLine="420" w:firstLineChars="200"/>
    </w:pPr>
  </w:style>
  <w:style w:type="paragraph" w:customStyle="1" w:styleId="65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autoRedefine/>
    <w:qFormat/>
    <w:uiPriority w:val="99"/>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2"/>
    <w:qFormat/>
    <w:uiPriority w:val="99"/>
    <w:pPr>
      <w:suppressLineNumbers/>
      <w:suppressAutoHyphens/>
    </w:pPr>
    <w:rPr>
      <w:kern w:val="1"/>
      <w:sz w:val="21"/>
      <w:lang w:eastAsia="ar-SA"/>
    </w:rPr>
  </w:style>
  <w:style w:type="paragraph" w:customStyle="1" w:styleId="661">
    <w:name w:val="样式　标题4"/>
    <w:basedOn w:val="643"/>
    <w:next w:val="1"/>
    <w:qFormat/>
    <w:uiPriority w:val="99"/>
    <w:pPr>
      <w:numPr>
        <w:ilvl w:val="0"/>
        <w:numId w:val="0"/>
      </w:numPr>
      <w:ind w:left="425" w:hanging="425"/>
    </w:pPr>
  </w:style>
  <w:style w:type="paragraph" w:customStyle="1" w:styleId="662">
    <w:name w:val="Char2 Char Char Char"/>
    <w:basedOn w:val="1"/>
    <w:qFormat/>
    <w:uiPriority w:val="99"/>
    <w:rPr>
      <w:rFonts w:ascii="仿宋_GB2312" w:hAnsi="Times New Roman" w:eastAsia="仿宋_GB2312"/>
      <w:b/>
      <w:sz w:val="32"/>
      <w:szCs w:val="32"/>
    </w:rPr>
  </w:style>
  <w:style w:type="paragraph" w:customStyle="1" w:styleId="663">
    <w:name w:val="Paragraph4"/>
    <w:basedOn w:val="1"/>
    <w:qFormat/>
    <w:uiPriority w:val="99"/>
    <w:pPr>
      <w:spacing w:before="80" w:afterLines="50"/>
      <w:ind w:left="2250"/>
    </w:pPr>
    <w:rPr>
      <w:rFonts w:ascii="宋体" w:hAnsi="Times New Roman"/>
      <w:snapToGrid w:val="0"/>
      <w:kern w:val="0"/>
      <w:szCs w:val="20"/>
    </w:rPr>
  </w:style>
  <w:style w:type="paragraph" w:customStyle="1" w:styleId="664">
    <w:name w:val="xl8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6"/>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autoRedefine/>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autoRedefine/>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autoRedefine/>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2"/>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6"/>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autoRedefine/>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5"/>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autoRedefine/>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autoRedefine/>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autoRedefine/>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6"/>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autoRedefine/>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9"/>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7"/>
    <w:autoRedefine/>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autoRedefine/>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6"/>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5"/>
    <w:qFormat/>
    <w:uiPriority w:val="99"/>
    <w:pPr>
      <w:spacing w:after="0" w:line="415" w:lineRule="auto"/>
    </w:pPr>
    <w:rPr>
      <w:sz w:val="28"/>
      <w:szCs w:val="20"/>
    </w:rPr>
  </w:style>
  <w:style w:type="paragraph" w:customStyle="1" w:styleId="740">
    <w:name w:val="表格标题"/>
    <w:basedOn w:val="660"/>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6"/>
    <w:autoRedefine/>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autoRedefine/>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5"/>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autoRedefine/>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8"/>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5"/>
    <w:autoRedefine/>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6"/>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autoRedefine/>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autoRedefine/>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autoRedefine/>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0"/>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6"/>
    <w:autoRedefine/>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5"/>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autoRedefine/>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4"/>
    <w:next w:val="674"/>
    <w:autoRedefine/>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7"/>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7"/>
    <w:autoRedefine/>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9"/>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1"/>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6"/>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2"/>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autoRedefine/>
    <w:qFormat/>
    <w:uiPriority w:val="0"/>
  </w:style>
  <w:style w:type="paragraph" w:customStyle="1" w:styleId="811">
    <w:name w:val="列表段落1"/>
    <w:basedOn w:val="1"/>
    <w:link w:val="810"/>
    <w:autoRedefine/>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autoRedefine/>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link w:val="39"/>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3"/>
    <w:next w:val="23"/>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4"/>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4"/>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6"/>
    <w:qFormat/>
    <w:uiPriority w:val="99"/>
    <w:rPr>
      <w:rFonts w:ascii="Calibri" w:hAnsi="Calibri" w:eastAsia="宋体" w:cs="Times New Roman"/>
      <w:b/>
      <w:bCs/>
    </w:rPr>
  </w:style>
  <w:style w:type="character" w:customStyle="1" w:styleId="964">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link w:val="23"/>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4"/>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4"/>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2">
    <w:name w:val="普通(网站) 字符"/>
    <w:link w:val="53"/>
    <w:qFormat/>
    <w:uiPriority w:val="0"/>
    <w:rPr>
      <w:rFonts w:ascii="宋体" w:hAnsi="宋体" w:eastAsia="宋体" w:cs="宋体"/>
      <w:kern w:val="0"/>
      <w:sz w:val="24"/>
      <w:szCs w:val="24"/>
    </w:rPr>
  </w:style>
  <w:style w:type="character" w:customStyle="1" w:styleId="993">
    <w:name w:val="默认段落字体1"/>
    <w:qFormat/>
    <w:uiPriority w:val="0"/>
    <w:rPr>
      <w:rFonts w:ascii="Times New Roman" w:hAnsi="Times New Roman" w:eastAsia="宋体" w:cs="Times New Roman"/>
    </w:rPr>
  </w:style>
  <w:style w:type="character" w:customStyle="1" w:styleId="994">
    <w:name w:val="NormalCharacter"/>
    <w:semiHidden/>
    <w:qFormat/>
    <w:uiPriority w:val="0"/>
    <w:rPr>
      <w:rFonts w:ascii="Times New Roman" w:hAnsi="Times New Roman" w:eastAsia="宋体" w:cs="Times New Roman"/>
    </w:rPr>
  </w:style>
  <w:style w:type="paragraph" w:customStyle="1" w:styleId="995">
    <w:name w:val="table of figures"/>
    <w:basedOn w:val="1"/>
    <w:next w:val="1"/>
    <w:qFormat/>
    <w:uiPriority w:val="0"/>
    <w:pPr>
      <w:suppressAutoHyphens/>
      <w:ind w:left="200" w:leftChars="200" w:hanging="200" w:hangingChars="200"/>
    </w:pPr>
    <w:rPr>
      <w:szCs w:val="24"/>
    </w:rPr>
  </w:style>
  <w:style w:type="paragraph" w:customStyle="1" w:styleId="996">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997">
    <w:name w:val="部分1"/>
    <w:basedOn w:val="1"/>
    <w:qFormat/>
    <w:uiPriority w:val="99"/>
    <w:pPr>
      <w:keepNext/>
      <w:pageBreakBefore/>
      <w:tabs>
        <w:tab w:val="left" w:pos="720"/>
      </w:tabs>
      <w:suppressAutoHyphens/>
      <w:spacing w:line="360" w:lineRule="auto"/>
      <w:jc w:val="center"/>
      <w:outlineLvl w:val="0"/>
    </w:pPr>
    <w:rPr>
      <w:rFonts w:ascii="Times New Roman" w:hAnsi="Times New Roman" w:eastAsia="黑体"/>
      <w:b/>
      <w:kern w:val="44"/>
      <w:sz w:val="36"/>
      <w:szCs w:val="20"/>
    </w:rPr>
  </w:style>
  <w:style w:type="paragraph" w:customStyle="1" w:styleId="998">
    <w:name w:val="Index"/>
    <w:basedOn w:val="1"/>
    <w:qFormat/>
    <w:uiPriority w:val="0"/>
    <w:pPr>
      <w:widowControl w:val="0"/>
      <w:suppressLineNumbers/>
      <w:suppressAutoHyphens/>
    </w:pPr>
    <w:rPr>
      <w:szCs w:val="24"/>
    </w:rPr>
  </w:style>
  <w:style w:type="paragraph" w:customStyle="1" w:styleId="999">
    <w:name w:val="_Style 998"/>
    <w:unhideWhenUsed/>
    <w:qFormat/>
    <w:uiPriority w:val="99"/>
    <w:rPr>
      <w:rFonts w:ascii="Calibri" w:hAnsi="Calibri" w:eastAsia="宋体" w:cs="Times New Roman"/>
      <w:kern w:val="2"/>
      <w:sz w:val="21"/>
      <w:szCs w:val="24"/>
      <w:lang w:val="en-US" w:eastAsia="zh-CN" w:bidi="ar-SA"/>
    </w:rPr>
  </w:style>
  <w:style w:type="character" w:customStyle="1" w:styleId="1000">
    <w:name w:val="cf01"/>
    <w:basedOn w:val="64"/>
    <w:autoRedefine/>
    <w:qFormat/>
    <w:uiPriority w:val="0"/>
    <w:rPr>
      <w:rFonts w:hint="eastAsia" w:ascii="Microsoft YaHei UI" w:hAnsi="Microsoft YaHei UI" w:eastAsia="Microsoft YaHei UI"/>
      <w:b/>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38659</Words>
  <Characters>54726</Characters>
  <Lines>1268</Lines>
  <Paragraphs>995</Paragraphs>
  <TotalTime>10</TotalTime>
  <ScaleCrop>false</ScaleCrop>
  <LinksUpToDate>false</LinksUpToDate>
  <CharactersWithSpaces>61585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 </cp:lastModifiedBy>
  <cp:lastPrinted>2021-01-25T02:12:00Z</cp:lastPrinted>
  <dcterms:modified xsi:type="dcterms:W3CDTF">2024-04-29T09:00:49Z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6CFEF5893A00486D87037C17DF9A8634_12</vt:lpwstr>
  </property>
</Properties>
</file>