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left="0" w:leftChars="0" w:firstLine="0" w:firstLineChars="0"/>
        <w:jc w:val="left"/>
        <w:rPr>
          <w:rStyle w:val="15"/>
          <w:rFonts w:hint="eastAsia" w:ascii="Times New Roman" w:hAnsi="Times New Roman" w:cs="宋体"/>
          <w:b/>
          <w:bCs w:val="0"/>
          <w:sz w:val="30"/>
          <w:szCs w:val="30"/>
        </w:rPr>
      </w:pPr>
      <w:bookmarkStart w:id="0" w:name="_Toc3478"/>
      <w:bookmarkStart w:id="1" w:name="_Toc22769"/>
      <w:bookmarkStart w:id="2" w:name="_Toc23527"/>
      <w:bookmarkStart w:id="3" w:name="_Toc32098"/>
      <w:bookmarkStart w:id="4" w:name="_Toc131153368"/>
      <w:bookmarkStart w:id="5" w:name="_Toc9126"/>
      <w:bookmarkStart w:id="6" w:name="_Toc15689"/>
      <w:bookmarkStart w:id="7" w:name="_Toc16726"/>
      <w:bookmarkStart w:id="8" w:name="_Toc535233071"/>
      <w:bookmarkStart w:id="9" w:name="_Toc30538"/>
      <w:bookmarkStart w:id="10" w:name="_Toc28674"/>
      <w:bookmarkStart w:id="11" w:name="_Toc32001"/>
      <w:bookmarkStart w:id="12" w:name="_Toc15905"/>
      <w:bookmarkStart w:id="13" w:name="_Toc24991"/>
      <w:bookmarkStart w:id="14" w:name="_Toc131153264"/>
      <w:bookmarkStart w:id="15" w:name="_Toc7725"/>
      <w:bookmarkStart w:id="16" w:name="_Toc131152532"/>
      <w:bookmarkStart w:id="17" w:name="_Toc25176"/>
      <w:bookmarkStart w:id="18" w:name="_Toc18833"/>
      <w:bookmarkStart w:id="19" w:name="_Toc31326"/>
      <w:bookmarkStart w:id="20" w:name="_Toc131152641"/>
      <w:bookmarkStart w:id="21" w:name="_Toc131151889"/>
      <w:r>
        <w:rPr>
          <w:rStyle w:val="15"/>
          <w:rFonts w:hint="eastAsia" w:ascii="Times New Roman" w:hAnsi="Times New Roman" w:cs="宋体"/>
          <w:b/>
          <w:bCs w:val="0"/>
          <w:sz w:val="30"/>
          <w:szCs w:val="30"/>
        </w:rPr>
        <w:t xml:space="preserve">附表2：      </w:t>
      </w:r>
      <w:r>
        <w:rPr>
          <w:rStyle w:val="15"/>
          <w:rFonts w:hint="eastAsia" w:ascii="Times New Roman" w:hAnsi="Times New Roman" w:eastAsia="宋体" w:cs="宋体"/>
          <w:b/>
          <w:bCs w:val="0"/>
          <w:sz w:val="30"/>
          <w:szCs w:val="30"/>
          <w:lang w:val="en-US" w:eastAsia="zh-CN"/>
        </w:rPr>
        <w:t xml:space="preserve">                            </w:t>
      </w:r>
      <w:r>
        <w:rPr>
          <w:rStyle w:val="15"/>
          <w:rFonts w:hint="eastAsia" w:ascii="Times New Roman" w:hAnsi="Times New Roman" w:cs="宋体"/>
          <w:b/>
          <w:bCs w:val="0"/>
          <w:sz w:val="30"/>
          <w:szCs w:val="30"/>
        </w:rPr>
        <w:t xml:space="preserve"> 投标人资格条件</w:t>
      </w:r>
    </w:p>
    <w:bookmarkEnd w:id="0"/>
    <w:tbl>
      <w:tblPr>
        <w:tblStyle w:val="11"/>
        <w:tblW w:w="0" w:type="auto"/>
        <w:jc w:val="center"/>
        <w:tblLayout w:type="fixed"/>
        <w:tblCellMar>
          <w:top w:w="0" w:type="dxa"/>
          <w:left w:w="15" w:type="dxa"/>
          <w:bottom w:w="0" w:type="dxa"/>
          <w:right w:w="15" w:type="dxa"/>
        </w:tblCellMar>
      </w:tblPr>
      <w:tblGrid>
        <w:gridCol w:w="722"/>
        <w:gridCol w:w="1028"/>
        <w:gridCol w:w="12198"/>
      </w:tblGrid>
      <w:tr>
        <w:tblPrEx>
          <w:tblCellMar>
            <w:top w:w="0" w:type="dxa"/>
            <w:left w:w="15" w:type="dxa"/>
            <w:bottom w:w="0" w:type="dxa"/>
            <w:right w:w="15" w:type="dxa"/>
          </w:tblCellMar>
        </w:tblPrEx>
        <w:trPr>
          <w:trHeight w:val="551" w:hRule="atLeast"/>
          <w:tblHeader/>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auto"/>
              <w:jc w:val="center"/>
              <w:textAlignment w:val="center"/>
              <w:rPr>
                <w:rFonts w:ascii="宋体" w:hAnsi="宋体" w:cs="等线 Light"/>
                <w:b/>
                <w:sz w:val="21"/>
                <w:szCs w:val="21"/>
              </w:rPr>
            </w:pPr>
            <w:r>
              <w:rPr>
                <w:rFonts w:hint="eastAsia" w:ascii="宋体" w:hAnsi="宋体" w:cs="等线 Light"/>
                <w:b/>
                <w:sz w:val="21"/>
                <w:szCs w:val="21"/>
              </w:rPr>
              <w:t>序号</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auto"/>
              <w:jc w:val="center"/>
              <w:textAlignment w:val="center"/>
              <w:rPr>
                <w:rFonts w:ascii="宋体" w:hAnsi="宋体" w:cs="等线 Light"/>
                <w:b/>
                <w:sz w:val="21"/>
                <w:szCs w:val="21"/>
              </w:rPr>
            </w:pPr>
            <w:r>
              <w:rPr>
                <w:rFonts w:hint="eastAsia" w:ascii="宋体" w:hAnsi="宋体" w:cs="等线 Light"/>
                <w:b/>
                <w:sz w:val="21"/>
                <w:szCs w:val="21"/>
              </w:rPr>
              <w:t>物资名称</w:t>
            </w:r>
          </w:p>
        </w:tc>
        <w:tc>
          <w:tcPr>
            <w:tcW w:w="1219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40" w:lineRule="auto"/>
              <w:jc w:val="center"/>
              <w:textAlignment w:val="center"/>
              <w:rPr>
                <w:rFonts w:hint="eastAsia" w:ascii="宋体" w:hAnsi="宋体" w:eastAsia="宋体" w:cs="等线 Light"/>
                <w:b/>
                <w:sz w:val="21"/>
                <w:szCs w:val="21"/>
                <w:lang w:eastAsia="zh-CN"/>
              </w:rPr>
            </w:pPr>
            <w:r>
              <w:rPr>
                <w:rFonts w:hint="eastAsia" w:ascii="宋体" w:hAnsi="宋体" w:eastAsia="宋体" w:cs="宋体"/>
                <w:sz w:val="21"/>
                <w:szCs w:val="21"/>
                <w:lang w:val="en-US" w:eastAsia="zh-CN"/>
              </w:rPr>
              <w:t>资格要求</w:t>
            </w:r>
          </w:p>
        </w:tc>
      </w:tr>
      <w:tr>
        <w:tblPrEx>
          <w:tblCellMar>
            <w:top w:w="0" w:type="dxa"/>
            <w:left w:w="15" w:type="dxa"/>
            <w:bottom w:w="0" w:type="dxa"/>
            <w:right w:w="15" w:type="dxa"/>
          </w:tblCellMar>
        </w:tblPrEx>
        <w:trPr>
          <w:trHeight w:val="6255" w:hRule="atLeast"/>
          <w:jc w:val="center"/>
        </w:trPr>
        <w:tc>
          <w:tcPr>
            <w:tcW w:w="72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460" w:lineRule="exact"/>
              <w:jc w:val="center"/>
              <w:textAlignment w:val="center"/>
              <w:rPr>
                <w:rFonts w:hint="eastAsia" w:ascii="宋体" w:hAnsi="宋体" w:eastAsia="宋体" w:cs="等线 Light"/>
                <w:bCs/>
                <w:color w:val="auto"/>
                <w:sz w:val="21"/>
                <w:szCs w:val="21"/>
                <w:highlight w:val="none"/>
                <w:lang w:eastAsia="zh-CN"/>
              </w:rPr>
            </w:pPr>
            <w:r>
              <w:rPr>
                <w:rFonts w:hint="eastAsia" w:ascii="宋体" w:hAnsi="宋体" w:eastAsia="宋体" w:cs="宋体"/>
                <w:bCs/>
                <w:color w:val="auto"/>
                <w:sz w:val="21"/>
                <w:szCs w:val="21"/>
                <w:highlight w:val="none"/>
              </w:rPr>
              <w:t>1</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460" w:lineRule="exact"/>
              <w:jc w:val="center"/>
              <w:textAlignment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岔枕</w:t>
            </w:r>
          </w:p>
        </w:tc>
        <w:tc>
          <w:tcPr>
            <w:tcW w:w="12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1.营业范围要求：投标人应是在中华人民共和国境内注册的具有独立法人资格的货物生产厂家，并且具有合法、有效的“三证合一”营业执照，投标企业在国内工商登记注册，具有本项目生产范围。</w:t>
            </w:r>
          </w:p>
          <w:p>
            <w:pPr>
              <w:keepNext w:val="0"/>
              <w:keepLines w:val="0"/>
              <w:pageBreakBefore w:val="0"/>
              <w:kinsoku/>
              <w:wordWrap/>
              <w:overflowPunct/>
              <w:topLinePunct w:val="0"/>
              <w:autoSpaceDE/>
              <w:autoSpaceDN/>
              <w:bidi w:val="0"/>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2.供应能力要求：必须符合国家相关政策的相关规定，且有能力完成本项目的全部要求。</w:t>
            </w:r>
          </w:p>
          <w:p>
            <w:pPr>
              <w:keepNext w:val="0"/>
              <w:keepLines w:val="0"/>
              <w:pageBreakBefore w:val="0"/>
              <w:widowControl/>
              <w:kinsoku/>
              <w:wordWrap/>
              <w:overflowPunct/>
              <w:topLinePunct w:val="0"/>
              <w:autoSpaceDE/>
              <w:autoSpaceDN/>
              <w:bidi w:val="0"/>
              <w:adjustRightInd w:val="0"/>
              <w:snapToGrid w:val="0"/>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3.财务能力要求：</w:t>
            </w:r>
            <w:r>
              <w:rPr>
                <w:rFonts w:hint="eastAsia" w:ascii="宋体" w:hAnsi="宋体" w:eastAsia="宋体" w:cs="宋体"/>
                <w:sz w:val="21"/>
                <w:szCs w:val="21"/>
                <w:lang w:eastAsia="zh-CN"/>
              </w:rPr>
              <w:t>投标人</w:t>
            </w:r>
            <w:r>
              <w:rPr>
                <w:rFonts w:hint="eastAsia" w:ascii="宋体" w:hAnsi="宋体" w:eastAsia="宋体" w:cs="宋体"/>
                <w:sz w:val="21"/>
                <w:szCs w:val="21"/>
              </w:rPr>
              <w:t>具有一定的垫资的能力，并能够开具增值税专用发票。具有良好的资金财务状况，并接受合同书范本中的付款方式。</w:t>
            </w:r>
          </w:p>
          <w:p>
            <w:pPr>
              <w:keepNext w:val="0"/>
              <w:keepLines w:val="0"/>
              <w:pageBreakBefore w:val="0"/>
              <w:widowControl/>
              <w:kinsoku/>
              <w:wordWrap/>
              <w:overflowPunct/>
              <w:topLinePunct w:val="0"/>
              <w:autoSpaceDE/>
              <w:autoSpaceDN/>
              <w:bidi w:val="0"/>
              <w:adjustRightInd w:val="0"/>
              <w:snapToGrid w:val="0"/>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质量保证能力要求：投标产品的质量应符合国家现行标准；具有完善的质量控制管理制度，生产过程质量控制措施落实到位。须提供招标物资2022年1月1日至开标之日专业检测机构（须取得CMA或CNAS资质）出具的合格检测报告不少于</w:t>
            </w:r>
            <w:r>
              <w:rPr>
                <w:rFonts w:hint="eastAsia" w:ascii="宋体" w:hAnsi="宋体" w:eastAsia="宋体" w:cs="宋体"/>
                <w:sz w:val="21"/>
                <w:szCs w:val="21"/>
                <w:lang w:val="en-US" w:eastAsia="zh-CN"/>
              </w:rPr>
              <w:t>一</w:t>
            </w:r>
            <w:r>
              <w:rPr>
                <w:rFonts w:hint="eastAsia" w:ascii="宋体" w:hAnsi="宋体" w:eastAsia="宋体" w:cs="宋体"/>
                <w:sz w:val="21"/>
                <w:szCs w:val="21"/>
              </w:rPr>
              <w:t>份；全指标技术参数性能满足国家和行业最新标准的各项规定。</w:t>
            </w:r>
          </w:p>
          <w:p>
            <w:pPr>
              <w:keepNext w:val="0"/>
              <w:keepLines w:val="0"/>
              <w:pageBreakBefore w:val="0"/>
              <w:widowControl/>
              <w:kinsoku/>
              <w:wordWrap/>
              <w:overflowPunct/>
              <w:topLinePunct w:val="0"/>
              <w:autoSpaceDE/>
              <w:autoSpaceDN/>
              <w:bidi w:val="0"/>
              <w:adjustRightInd w:val="0"/>
              <w:snapToGrid w:val="0"/>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5.供货业绩要求：投标人须具有2022年至今的大中型项目或国家重点工程的供货业绩，并提供不少于</w:t>
            </w:r>
            <w:r>
              <w:rPr>
                <w:rFonts w:hint="eastAsia" w:ascii="宋体" w:hAnsi="宋体" w:eastAsia="宋体" w:cs="宋体"/>
                <w:sz w:val="21"/>
                <w:szCs w:val="21"/>
                <w:lang w:val="en-US" w:eastAsia="zh-CN"/>
              </w:rPr>
              <w:t>一</w:t>
            </w:r>
            <w:r>
              <w:rPr>
                <w:rFonts w:hint="eastAsia" w:ascii="宋体" w:hAnsi="宋体" w:eastAsia="宋体" w:cs="宋体"/>
                <w:sz w:val="21"/>
                <w:szCs w:val="21"/>
              </w:rPr>
              <w:t>份不低于本项目供应能力的相关证明材料（附中标通知书</w:t>
            </w:r>
            <w:r>
              <w:rPr>
                <w:rFonts w:hint="eastAsia" w:ascii="宋体" w:hAnsi="宋体" w:eastAsia="宋体" w:cs="宋体"/>
                <w:sz w:val="21"/>
                <w:szCs w:val="21"/>
                <w:lang w:val="en-US" w:eastAsia="zh-CN"/>
              </w:rPr>
              <w:t>或</w:t>
            </w:r>
            <w:r>
              <w:rPr>
                <w:rFonts w:hint="eastAsia" w:ascii="宋体" w:hAnsi="宋体" w:eastAsia="宋体" w:cs="宋体"/>
                <w:sz w:val="21"/>
                <w:szCs w:val="21"/>
              </w:rPr>
              <w:t>供货合同复印件等有效供货业绩证明文件）。</w:t>
            </w:r>
          </w:p>
          <w:p>
            <w:pPr>
              <w:keepNext w:val="0"/>
              <w:keepLines w:val="0"/>
              <w:pageBreakBefore w:val="0"/>
              <w:widowControl/>
              <w:kinsoku/>
              <w:wordWrap/>
              <w:overflowPunct/>
              <w:topLinePunct w:val="0"/>
              <w:autoSpaceDE/>
              <w:autoSpaceDN/>
              <w:bidi w:val="0"/>
              <w:adjustRightInd w:val="0"/>
              <w:snapToGrid w:val="0"/>
              <w:spacing w:line="4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履约信用要求：最近两年内没有与骗取合同有关的犯罪或严重违法行为而引起的诉讼和仲裁；最近两年不曾在合同中严重违约或被逐；财产未被接管或冻结，企业未处于禁止或取消投标状态；投标人未被纳入全国信用信息共享平台（网址：www.gsxt.gov.cn）经营异常名录和严重违法失信企业名单，投标人未被纳入“信用中国”网站（网址：</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HYPERLINK "http://www.creditchina.gov.cn）公布的失信被执行人、企业经营异常名录、重大税收违法案件当事人名单、政府采购严重违法失信名单（在投标文件中附网页查询截图）。"</w:instrText>
            </w:r>
            <w:r>
              <w:rPr>
                <w:rFonts w:hint="eastAsia" w:ascii="宋体" w:hAnsi="宋体" w:eastAsia="宋体" w:cs="宋体"/>
                <w:sz w:val="21"/>
                <w:szCs w:val="21"/>
              </w:rPr>
              <w:fldChar w:fldCharType="separate"/>
            </w:r>
            <w:r>
              <w:rPr>
                <w:rFonts w:hint="eastAsia" w:ascii="宋体" w:hAnsi="宋体" w:eastAsia="宋体" w:cs="宋体"/>
                <w:sz w:val="21"/>
                <w:szCs w:val="21"/>
              </w:rPr>
              <w:t>www.creditchina.gov.cn）公布的失信被执行人、企业经营异常名录、重大税收违法案件当事人名单、政府采购严重违法失信名单。</w:t>
            </w:r>
            <w:r>
              <w:rPr>
                <w:rFonts w:hint="eastAsia" w:ascii="宋体" w:hAnsi="宋体" w:eastAsia="宋体" w:cs="宋体"/>
                <w:sz w:val="21"/>
                <w:szCs w:val="21"/>
              </w:rPr>
              <w:fldChar w:fldCharType="end"/>
            </w:r>
          </w:p>
          <w:p>
            <w:pPr>
              <w:keepNext w:val="0"/>
              <w:keepLines w:val="0"/>
              <w:pageBreakBefore w:val="0"/>
              <w:widowControl/>
              <w:kinsoku/>
              <w:wordWrap/>
              <w:overflowPunct/>
              <w:topLinePunct w:val="0"/>
              <w:autoSpaceDE/>
              <w:autoSpaceDN/>
              <w:bidi w:val="0"/>
              <w:adjustRightInd w:val="0"/>
              <w:snapToGrid w:val="0"/>
              <w:spacing w:line="460" w:lineRule="exact"/>
              <w:ind w:firstLine="420" w:firstLineChars="200"/>
              <w:textAlignment w:val="auto"/>
              <w:rPr>
                <w:rFonts w:hint="eastAsia" w:ascii="宋体" w:hAnsi="宋体" w:eastAsia="宋体" w:cs="宋体"/>
                <w:color w:val="0000FF"/>
                <w:sz w:val="21"/>
                <w:szCs w:val="21"/>
                <w:lang w:eastAsia="zh-CN"/>
              </w:rPr>
            </w:pPr>
            <w:r>
              <w:rPr>
                <w:rFonts w:hint="eastAsia" w:ascii="宋体" w:hAnsi="宋体" w:eastAsia="宋体" w:cs="宋体"/>
                <w:sz w:val="21"/>
                <w:szCs w:val="21"/>
              </w:rPr>
              <w:t>7.其他要求：投标人须具有跨区域供应能力。</w:t>
            </w:r>
          </w:p>
        </w:tc>
      </w:tr>
    </w:tbl>
    <w:p>
      <w:pPr>
        <w:pStyle w:val="7"/>
        <w:rPr>
          <w:rStyle w:val="15"/>
          <w:rFonts w:hint="eastAsia" w:ascii="Times New Roman" w:hAnsi="Times New Roman" w:cs="宋体"/>
          <w:b/>
          <w:bCs w:val="0"/>
          <w:sz w:val="30"/>
          <w:szCs w:val="30"/>
        </w:rPr>
      </w:pPr>
      <w:bookmarkStart w:id="22" w:name="_Hlk172824962"/>
    </w:p>
    <w:p>
      <w:pPr>
        <w:pStyle w:val="8"/>
        <w:rPr>
          <w:rStyle w:val="15"/>
          <w:rFonts w:hint="eastAsia" w:ascii="Times New Roman" w:hAnsi="Times New Roman" w:cs="宋体"/>
          <w:bCs w:val="0"/>
          <w:sz w:val="30"/>
          <w:szCs w:val="30"/>
        </w:rPr>
      </w:pP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tbl>
      <w:tblPr>
        <w:tblStyle w:val="11"/>
        <w:tblW w:w="14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10"/>
        <w:gridCol w:w="11973"/>
        <w:gridCol w:w="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67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exact"/>
              <w:jc w:val="center"/>
              <w:rPr>
                <w:rFonts w:hint="eastAsia" w:ascii="宋体" w:hAnsi="宋体"/>
                <w:bCs/>
              </w:rPr>
            </w:pPr>
            <w:r>
              <w:rPr>
                <w:rFonts w:hint="eastAsia" w:ascii="宋体" w:hAnsi="宋体"/>
                <w:bCs/>
              </w:rPr>
              <w:t>序号</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exact"/>
              <w:jc w:val="center"/>
              <w:rPr>
                <w:rFonts w:hint="eastAsia" w:ascii="宋体" w:hAnsi="宋体"/>
                <w:bCs/>
              </w:rPr>
            </w:pPr>
            <w:r>
              <w:rPr>
                <w:rFonts w:hint="eastAsia" w:ascii="宋体" w:hAnsi="宋体"/>
                <w:bCs/>
              </w:rPr>
              <w:t>物资名称</w:t>
            </w:r>
          </w:p>
        </w:tc>
        <w:tc>
          <w:tcPr>
            <w:tcW w:w="11973"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597"/>
              </w:tabs>
              <w:adjustRightInd w:val="0"/>
              <w:snapToGrid w:val="0"/>
              <w:spacing w:line="360" w:lineRule="exact"/>
              <w:ind w:firstLine="420" w:firstLineChars="200"/>
              <w:jc w:val="center"/>
              <w:rPr>
                <w:rFonts w:hint="eastAsia" w:ascii="宋体" w:hAnsi="宋体"/>
                <w:bCs/>
              </w:rPr>
            </w:pPr>
            <w:r>
              <w:rPr>
                <w:rFonts w:hint="eastAsia" w:ascii="宋体" w:hAnsi="宋体"/>
                <w:bCs/>
              </w:rPr>
              <w:t>资格要求</w:t>
            </w:r>
          </w:p>
        </w:tc>
        <w:tc>
          <w:tcPr>
            <w:tcW w:w="66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exact"/>
              <w:jc w:val="center"/>
              <w:rPr>
                <w:rFonts w:hint="eastAsia" w:ascii="宋体" w:hAnsi="宋体"/>
                <w:bCs/>
              </w:rPr>
            </w:pPr>
            <w:r>
              <w:rPr>
                <w:rFonts w:hint="eastAsia" w:ascii="宋体" w:hAnsi="宋体"/>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3" w:hRule="exact"/>
        </w:trPr>
        <w:tc>
          <w:tcPr>
            <w:tcW w:w="67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exact"/>
              <w:jc w:val="center"/>
              <w:rPr>
                <w:rFonts w:hint="eastAsia" w:ascii="宋体" w:hAnsi="宋体" w:eastAsia="宋体"/>
                <w:bCs/>
                <w:lang w:eastAsia="zh-CN"/>
              </w:rPr>
            </w:pPr>
            <w:r>
              <w:rPr>
                <w:rFonts w:hint="eastAsia" w:ascii="宋体" w:hAnsi="宋体"/>
                <w:bCs/>
                <w:lang w:val="en-US" w:eastAsia="zh-CN"/>
              </w:rPr>
              <w:t>2</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exact"/>
              <w:jc w:val="center"/>
              <w:rPr>
                <w:rFonts w:hint="eastAsia" w:ascii="宋体" w:hAnsi="宋体"/>
                <w:bCs/>
              </w:rPr>
            </w:pPr>
            <w:r>
              <w:rPr>
                <w:rFonts w:hint="eastAsia" w:ascii="宋体" w:hAnsi="宋体" w:eastAsia="宋体" w:cs="宋体"/>
                <w:i w:val="0"/>
                <w:iCs w:val="0"/>
                <w:color w:val="000000"/>
                <w:kern w:val="0"/>
                <w:sz w:val="21"/>
                <w:szCs w:val="21"/>
                <w:u w:val="none"/>
                <w:lang w:val="en-US" w:eastAsia="zh-CN" w:bidi="ar"/>
              </w:rPr>
              <w:t>扣件</w:t>
            </w:r>
          </w:p>
        </w:tc>
        <w:tc>
          <w:tcPr>
            <w:tcW w:w="11973"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1394"/>
              </w:tabs>
              <w:spacing w:line="400" w:lineRule="exact"/>
              <w:ind w:firstLine="420" w:firstLineChars="200"/>
              <w:textAlignment w:val="center"/>
              <w:rPr>
                <w:rFonts w:hint="eastAsia" w:ascii="宋体" w:hAnsi="宋体"/>
                <w:kern w:val="0"/>
                <w:szCs w:val="21"/>
                <w:lang w:bidi="ar"/>
              </w:rPr>
            </w:pPr>
            <w:r>
              <w:rPr>
                <w:rFonts w:hint="eastAsia" w:ascii="宋体" w:hAnsi="宋体"/>
                <w:kern w:val="0"/>
                <w:szCs w:val="21"/>
                <w:lang w:val="en-US" w:eastAsia="zh-CN" w:bidi="ar"/>
              </w:rPr>
              <w:t xml:space="preserve">1.营业范围要求：在中华人民共和国境内依法注册，具有独立企业法人资格、合法有效的营业执照、税务登记证书和招标物资生产或供应经验的供应商。 </w:t>
            </w:r>
          </w:p>
          <w:p>
            <w:pPr>
              <w:widowControl/>
              <w:tabs>
                <w:tab w:val="left" w:pos="1394"/>
              </w:tabs>
              <w:spacing w:line="400" w:lineRule="exact"/>
              <w:ind w:firstLine="420" w:firstLineChars="200"/>
              <w:textAlignment w:val="center"/>
              <w:rPr>
                <w:rFonts w:hint="eastAsia" w:ascii="宋体" w:hAnsi="宋体"/>
                <w:kern w:val="0"/>
                <w:szCs w:val="21"/>
                <w:lang w:bidi="ar"/>
              </w:rPr>
            </w:pPr>
            <w:r>
              <w:rPr>
                <w:rFonts w:hint="eastAsia" w:ascii="宋体" w:hAnsi="宋体"/>
                <w:kern w:val="0"/>
                <w:szCs w:val="21"/>
                <w:lang w:val="en-US" w:eastAsia="zh-CN" w:bidi="ar"/>
              </w:rPr>
              <w:t xml:space="preserve">2.生产能力要求：生产厂须具备扣件产能配套的生产能力，并具有与产能相配套的检测能力，生产工艺、装备必须符合国家产业发展政策的相关规定，具有有效的全国工业产品生产许可证。 </w:t>
            </w:r>
          </w:p>
          <w:p>
            <w:pPr>
              <w:widowControl/>
              <w:tabs>
                <w:tab w:val="left" w:pos="1394"/>
              </w:tabs>
              <w:spacing w:line="400" w:lineRule="exact"/>
              <w:ind w:firstLine="420" w:firstLineChars="200"/>
              <w:textAlignment w:val="center"/>
              <w:rPr>
                <w:rFonts w:hint="eastAsia" w:ascii="宋体" w:hAnsi="宋体"/>
                <w:kern w:val="0"/>
                <w:szCs w:val="21"/>
                <w:lang w:bidi="ar"/>
              </w:rPr>
            </w:pPr>
            <w:r>
              <w:rPr>
                <w:rFonts w:hint="eastAsia" w:ascii="宋体" w:hAnsi="宋体"/>
                <w:kern w:val="0"/>
                <w:szCs w:val="21"/>
                <w:lang w:val="en-US" w:eastAsia="zh-CN" w:bidi="ar"/>
              </w:rPr>
              <w:t xml:space="preserve">3.财务能力要求：具有良好的财务能力，具备较强的垫资能力。 </w:t>
            </w:r>
          </w:p>
          <w:p>
            <w:pPr>
              <w:widowControl/>
              <w:tabs>
                <w:tab w:val="left" w:pos="1394"/>
              </w:tabs>
              <w:spacing w:line="400" w:lineRule="exact"/>
              <w:ind w:firstLine="420" w:firstLineChars="200"/>
              <w:textAlignment w:val="center"/>
              <w:rPr>
                <w:rFonts w:hint="eastAsia" w:ascii="宋体" w:hAnsi="宋体"/>
                <w:kern w:val="0"/>
                <w:szCs w:val="21"/>
                <w:lang w:bidi="ar"/>
              </w:rPr>
            </w:pPr>
            <w:r>
              <w:rPr>
                <w:rFonts w:hint="eastAsia" w:ascii="宋体" w:hAnsi="宋体"/>
                <w:kern w:val="0"/>
                <w:szCs w:val="21"/>
                <w:lang w:val="en-US" w:eastAsia="zh-CN" w:bidi="ar"/>
              </w:rPr>
              <w:t xml:space="preserve">4.质量保证能力要求：产品符合国家现行标准，具有近两年由省、部级及以上检验、检测机构出具的招标物资有效合格的质量检验报告。 </w:t>
            </w:r>
          </w:p>
          <w:p>
            <w:pPr>
              <w:widowControl/>
              <w:tabs>
                <w:tab w:val="left" w:pos="1394"/>
              </w:tabs>
              <w:spacing w:line="400" w:lineRule="exact"/>
              <w:ind w:firstLine="420" w:firstLineChars="200"/>
              <w:textAlignment w:val="center"/>
              <w:rPr>
                <w:rFonts w:hint="eastAsia" w:ascii="宋体" w:hAnsi="宋体"/>
                <w:kern w:val="0"/>
                <w:szCs w:val="21"/>
                <w:lang w:bidi="ar"/>
              </w:rPr>
            </w:pPr>
            <w:r>
              <w:rPr>
                <w:rFonts w:hint="eastAsia" w:ascii="宋体" w:hAnsi="宋体"/>
                <w:kern w:val="0"/>
                <w:szCs w:val="21"/>
                <w:lang w:val="en-US" w:eastAsia="zh-CN" w:bidi="ar"/>
              </w:rPr>
              <w:t>5.供货业绩要求：</w:t>
            </w:r>
            <w:r>
              <w:rPr>
                <w:rFonts w:hint="eastAsia" w:ascii="宋体" w:hAnsi="宋体" w:eastAsia="宋体" w:cs="宋体"/>
                <w:sz w:val="21"/>
                <w:szCs w:val="21"/>
              </w:rPr>
              <w:t>投标人须具有2022年至项目今的大中型或国家重点工程的供货业绩，并提供不少于</w:t>
            </w:r>
            <w:r>
              <w:rPr>
                <w:rFonts w:hint="eastAsia" w:ascii="宋体" w:hAnsi="宋体" w:eastAsia="宋体" w:cs="宋体"/>
                <w:sz w:val="21"/>
                <w:szCs w:val="21"/>
                <w:lang w:val="en-US" w:eastAsia="zh-CN"/>
              </w:rPr>
              <w:t>一</w:t>
            </w:r>
            <w:r>
              <w:rPr>
                <w:rFonts w:hint="eastAsia" w:ascii="宋体" w:hAnsi="宋体" w:eastAsia="宋体" w:cs="宋体"/>
                <w:sz w:val="21"/>
                <w:szCs w:val="21"/>
              </w:rPr>
              <w:t>份不低于本项目供应能力的相关证明材料（附中标通知书</w:t>
            </w:r>
            <w:r>
              <w:rPr>
                <w:rFonts w:hint="eastAsia" w:ascii="宋体" w:hAnsi="宋体" w:eastAsia="宋体" w:cs="宋体"/>
                <w:sz w:val="21"/>
                <w:szCs w:val="21"/>
                <w:lang w:val="en-US" w:eastAsia="zh-CN"/>
              </w:rPr>
              <w:t>或</w:t>
            </w:r>
            <w:r>
              <w:rPr>
                <w:rFonts w:hint="eastAsia" w:ascii="宋体" w:hAnsi="宋体" w:eastAsia="宋体" w:cs="宋体"/>
                <w:sz w:val="21"/>
                <w:szCs w:val="21"/>
              </w:rPr>
              <w:t>供货合同复印件等有效供货业绩证明文件）</w:t>
            </w:r>
            <w:r>
              <w:rPr>
                <w:rFonts w:hint="eastAsia" w:ascii="宋体" w:hAnsi="宋体"/>
                <w:kern w:val="0"/>
                <w:szCs w:val="21"/>
                <w:lang w:val="en-US" w:eastAsia="zh-CN" w:bidi="ar"/>
              </w:rPr>
              <w:t xml:space="preserve">。 </w:t>
            </w:r>
          </w:p>
          <w:p>
            <w:pPr>
              <w:widowControl/>
              <w:tabs>
                <w:tab w:val="left" w:pos="1394"/>
              </w:tabs>
              <w:spacing w:line="400" w:lineRule="exact"/>
              <w:ind w:firstLine="420" w:firstLineChars="200"/>
              <w:textAlignment w:val="center"/>
              <w:rPr>
                <w:rFonts w:hint="eastAsia" w:ascii="宋体" w:hAnsi="宋体"/>
                <w:kern w:val="0"/>
                <w:szCs w:val="21"/>
                <w:lang w:bidi="ar"/>
              </w:rPr>
            </w:pPr>
            <w:r>
              <w:rPr>
                <w:rFonts w:hint="eastAsia" w:ascii="宋体" w:hAnsi="宋体"/>
                <w:kern w:val="0"/>
                <w:szCs w:val="21"/>
                <w:lang w:val="en-US" w:eastAsia="zh-CN" w:bidi="ar"/>
              </w:rPr>
              <w:t>6.履约信用要求：投标人必须具有良好的社会信誉，最近两年内没有与骗取合同有关的犯罪或严重违法行为而引起的诉讼和仲裁</w:t>
            </w:r>
            <w:r>
              <w:rPr>
                <w:rFonts w:hint="default" w:ascii="宋体" w:hAnsi="宋体"/>
                <w:kern w:val="0"/>
                <w:szCs w:val="21"/>
                <w:lang w:eastAsia="zh-CN" w:bidi="ar"/>
              </w:rPr>
              <w:t>；最</w:t>
            </w:r>
            <w:r>
              <w:rPr>
                <w:rFonts w:hint="eastAsia" w:ascii="宋体" w:hAnsi="宋体"/>
                <w:kern w:val="0"/>
                <w:szCs w:val="21"/>
                <w:lang w:val="en-US" w:eastAsia="zh-CN" w:bidi="ar"/>
              </w:rPr>
              <w:t>近两年不曾在合同中严重违约或被逐；财产未被接管或冻结，企业未处于禁止或取消投标状态；未被中国国家铁路集团有限公司、中国中铁股份有限公司及中国铁建股份有限公司及招标人所在集团公司列入“限制交易供应商名单</w:t>
            </w:r>
            <w:r>
              <w:rPr>
                <w:rFonts w:hint="default" w:ascii="宋体" w:hAnsi="宋体"/>
                <w:kern w:val="0"/>
                <w:szCs w:val="21"/>
                <w:lang w:eastAsia="zh-CN" w:bidi="ar"/>
              </w:rPr>
              <w:t>”“</w:t>
            </w:r>
            <w:r>
              <w:rPr>
                <w:rFonts w:hint="eastAsia" w:ascii="宋体" w:hAnsi="宋体"/>
                <w:kern w:val="0"/>
                <w:szCs w:val="21"/>
                <w:lang w:val="en-US" w:eastAsia="zh-CN" w:bidi="ar"/>
              </w:rPr>
              <w:t>不合格供应商名单”或“供应商黑名单”；未被工商行政管理机关在“</w:t>
            </w:r>
            <w:r>
              <w:rPr>
                <w:rFonts w:hint="default" w:ascii="宋体" w:hAnsi="宋体"/>
                <w:kern w:val="0"/>
                <w:szCs w:val="21"/>
                <w:lang w:eastAsia="zh-CN" w:bidi="ar"/>
              </w:rPr>
              <w:t>国家企业信用信息公示系统</w:t>
            </w:r>
            <w:r>
              <w:rPr>
                <w:rFonts w:hint="eastAsia" w:ascii="宋体" w:hAnsi="宋体"/>
                <w:kern w:val="0"/>
                <w:szCs w:val="21"/>
                <w:lang w:val="en-US" w:eastAsia="zh-CN" w:bidi="ar"/>
              </w:rPr>
              <w:t xml:space="preserve">”（www.gsxt.gov.cn）中列入严重违法失信企业名单；未被纳入“信用中国”网站（www.creditchina.gov.cn）公布的失信被执行人、企业经营异常名录、重大税收违法案件当事人名单、政府采购严重违法失信名单。（提供查询结果截图）。 </w:t>
            </w:r>
          </w:p>
          <w:p>
            <w:pPr>
              <w:widowControl/>
              <w:tabs>
                <w:tab w:val="left" w:pos="1394"/>
              </w:tabs>
              <w:spacing w:line="400" w:lineRule="exact"/>
              <w:ind w:firstLine="420" w:firstLineChars="200"/>
              <w:textAlignment w:val="center"/>
              <w:rPr>
                <w:rFonts w:hint="eastAsia" w:ascii="宋体" w:hAnsi="宋体"/>
                <w:kern w:val="0"/>
                <w:szCs w:val="21"/>
                <w:lang w:bidi="ar"/>
              </w:rPr>
            </w:pPr>
            <w:r>
              <w:rPr>
                <w:rFonts w:hint="eastAsia" w:ascii="宋体" w:hAnsi="宋体"/>
                <w:kern w:val="0"/>
                <w:szCs w:val="21"/>
                <w:lang w:val="en-US" w:eastAsia="zh-CN" w:bidi="ar"/>
              </w:rPr>
              <w:t>7.其他要求：代理商参与投标，须具有满足本资格条件要求的生产商出具的针对投标包件唯一授权函，同一包件一个生产商只能授权一个代理商参与投标，且生产商不得与其所授权的代理商共同参与同一包件的投标。代理商投标时，生产商出具的授权书、营业执照复印件、ISO9000 系列质量证书复印件、检验报告复印件、资格声明等应由生产商提供的所有资料均须加盖生产商公章，上述资料应装订在正本内，否则其投标文件将会被否决。</w:t>
            </w:r>
          </w:p>
        </w:tc>
        <w:tc>
          <w:tcPr>
            <w:tcW w:w="66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bCs/>
                <w:kern w:val="0"/>
                <w:sz w:val="18"/>
                <w:szCs w:val="18"/>
              </w:rPr>
            </w:pPr>
          </w:p>
        </w:tc>
      </w:tr>
      <w:bookmarkEnd w:id="22"/>
    </w:tbl>
    <w:p>
      <w:bookmarkStart w:id="23" w:name="_GoBack"/>
      <w:bookmarkEnd w:id="23"/>
    </w:p>
    <w:sectPr>
      <w:pgSz w:w="16838" w:h="11906" w:orient="landscape"/>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Light">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iN2U3YTE1YmUzY2ViOGVhOTYyYmQ0MGFiOGI2MmQifQ=="/>
  </w:docVars>
  <w:rsids>
    <w:rsidRoot w:val="21D14DCB"/>
    <w:rsid w:val="008468DC"/>
    <w:rsid w:val="02A22713"/>
    <w:rsid w:val="05495778"/>
    <w:rsid w:val="07CF32D8"/>
    <w:rsid w:val="08FE0BAB"/>
    <w:rsid w:val="0E1B57F2"/>
    <w:rsid w:val="0EFE2FB4"/>
    <w:rsid w:val="0F727675"/>
    <w:rsid w:val="12672122"/>
    <w:rsid w:val="14304267"/>
    <w:rsid w:val="150A4ACD"/>
    <w:rsid w:val="17082D2A"/>
    <w:rsid w:val="19B04B13"/>
    <w:rsid w:val="1A9700B6"/>
    <w:rsid w:val="1D694D55"/>
    <w:rsid w:val="1EBE2084"/>
    <w:rsid w:val="1FFE7926"/>
    <w:rsid w:val="21D14DCB"/>
    <w:rsid w:val="248A4744"/>
    <w:rsid w:val="269C45AA"/>
    <w:rsid w:val="28372DBF"/>
    <w:rsid w:val="2CDF7B9E"/>
    <w:rsid w:val="3038589D"/>
    <w:rsid w:val="31B1421D"/>
    <w:rsid w:val="327D3D7F"/>
    <w:rsid w:val="33EE4722"/>
    <w:rsid w:val="347C3F8B"/>
    <w:rsid w:val="35603076"/>
    <w:rsid w:val="37A75A2C"/>
    <w:rsid w:val="3B3A2EA5"/>
    <w:rsid w:val="3B4D0B23"/>
    <w:rsid w:val="3B6233D5"/>
    <w:rsid w:val="3D8F6DFC"/>
    <w:rsid w:val="3E2F7984"/>
    <w:rsid w:val="40CF7EB4"/>
    <w:rsid w:val="434346A8"/>
    <w:rsid w:val="436407D6"/>
    <w:rsid w:val="43865BA4"/>
    <w:rsid w:val="44DC6EC7"/>
    <w:rsid w:val="46016F86"/>
    <w:rsid w:val="4B572565"/>
    <w:rsid w:val="4DD36D6B"/>
    <w:rsid w:val="4F0165AF"/>
    <w:rsid w:val="503B351A"/>
    <w:rsid w:val="51BA5E2C"/>
    <w:rsid w:val="520B7767"/>
    <w:rsid w:val="524D0E0F"/>
    <w:rsid w:val="54140968"/>
    <w:rsid w:val="55796CDF"/>
    <w:rsid w:val="560F4E5D"/>
    <w:rsid w:val="589E379B"/>
    <w:rsid w:val="58CF1448"/>
    <w:rsid w:val="59B63A87"/>
    <w:rsid w:val="59BE6661"/>
    <w:rsid w:val="5B594DE0"/>
    <w:rsid w:val="5CCA3EB1"/>
    <w:rsid w:val="5DFD0DFF"/>
    <w:rsid w:val="5F551894"/>
    <w:rsid w:val="62830F9E"/>
    <w:rsid w:val="637C5509"/>
    <w:rsid w:val="662A4CCC"/>
    <w:rsid w:val="6BDB7865"/>
    <w:rsid w:val="6FBC7F4B"/>
    <w:rsid w:val="6FC469D1"/>
    <w:rsid w:val="74CD7FB0"/>
    <w:rsid w:val="79887FD4"/>
    <w:rsid w:val="79A9043E"/>
    <w:rsid w:val="79D349D1"/>
    <w:rsid w:val="7AF8330B"/>
    <w:rsid w:val="7BE1777A"/>
    <w:rsid w:val="7FA40896"/>
    <w:rsid w:val="7FE93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jc w:val="both"/>
    </w:pPr>
    <w:rPr>
      <w:rFonts w:ascii="Times New Roman" w:hAnsi="Times New Roman" w:eastAsia="宋体" w:cs="宋体"/>
      <w:kern w:val="2"/>
      <w:sz w:val="21"/>
      <w:szCs w:val="22"/>
      <w:lang w:val="en-US" w:eastAsia="zh-CN" w:bidi="ar-SA"/>
    </w:rPr>
  </w:style>
  <w:style w:type="paragraph" w:styleId="3">
    <w:name w:val="heading 2"/>
    <w:basedOn w:val="1"/>
    <w:next w:val="1"/>
    <w:link w:val="15"/>
    <w:autoRedefine/>
    <w:qFormat/>
    <w:uiPriority w:val="99"/>
    <w:pPr>
      <w:keepNext/>
      <w:keepLines/>
      <w:spacing w:before="100"/>
      <w:outlineLvl w:val="1"/>
    </w:pPr>
    <w:rPr>
      <w:rFonts w:ascii="宋体" w:hAnsi="宋体" w:cs="Times New Roman"/>
      <w:b/>
      <w:bCs/>
      <w:kern w:val="0"/>
      <w:sz w:val="24"/>
      <w:szCs w:val="24"/>
    </w:rPr>
  </w:style>
  <w:style w:type="paragraph" w:styleId="4">
    <w:name w:val="heading 5"/>
    <w:basedOn w:val="1"/>
    <w:next w:val="1"/>
    <w:autoRedefine/>
    <w:qFormat/>
    <w:uiPriority w:val="9"/>
    <w:pPr>
      <w:keepNext/>
      <w:keepLines/>
      <w:spacing w:before="280" w:after="290" w:line="376" w:lineRule="auto"/>
      <w:outlineLvl w:val="4"/>
    </w:pPr>
    <w:rPr>
      <w:b/>
      <w:bCs/>
      <w:sz w:val="28"/>
      <w:szCs w:val="28"/>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Plain Text"/>
    <w:basedOn w:val="1"/>
    <w:qFormat/>
    <w:uiPriority w:val="99"/>
    <w:pPr>
      <w:spacing w:line="240" w:lineRule="auto"/>
      <w:ind w:firstLine="200" w:firstLineChars="200"/>
    </w:pPr>
    <w:rPr>
      <w:rFonts w:ascii="宋体" w:hAnsi="Courier New" w:eastAsia="仿宋_GB2312" w:cs="Times New Roman"/>
      <w:kern w:val="0"/>
      <w:sz w:val="20"/>
      <w:szCs w:val="21"/>
    </w:rPr>
  </w:style>
  <w:style w:type="paragraph" w:styleId="5">
    <w:name w:val="table of authorities"/>
    <w:basedOn w:val="1"/>
    <w:next w:val="1"/>
    <w:autoRedefine/>
    <w:qFormat/>
    <w:uiPriority w:val="99"/>
    <w:pPr>
      <w:ind w:left="420" w:leftChars="200"/>
    </w:pPr>
  </w:style>
  <w:style w:type="paragraph" w:styleId="6">
    <w:name w:val="Normal Indent"/>
    <w:basedOn w:val="1"/>
    <w:next w:val="1"/>
    <w:autoRedefine/>
    <w:unhideWhenUsed/>
    <w:qFormat/>
    <w:uiPriority w:val="0"/>
    <w:pPr>
      <w:ind w:firstLine="420" w:firstLineChars="200"/>
    </w:pPr>
    <w:rPr>
      <w:rFonts w:ascii="Times New Roman" w:hAnsi="Times New Roman" w:eastAsia="宋体"/>
      <w:szCs w:val="20"/>
    </w:rPr>
  </w:style>
  <w:style w:type="paragraph" w:styleId="7">
    <w:name w:val="Body Text Indent"/>
    <w:basedOn w:val="1"/>
    <w:next w:val="8"/>
    <w:autoRedefine/>
    <w:unhideWhenUsed/>
    <w:qFormat/>
    <w:uiPriority w:val="99"/>
    <w:rPr>
      <w:b/>
    </w:rPr>
  </w:style>
  <w:style w:type="paragraph" w:styleId="8">
    <w:name w:val="envelope return"/>
    <w:basedOn w:val="1"/>
    <w:autoRedefine/>
    <w:unhideWhenUsed/>
    <w:qFormat/>
    <w:uiPriority w:val="0"/>
    <w:pPr>
      <w:snapToGrid w:val="0"/>
    </w:pPr>
    <w:rPr>
      <w:rFonts w:ascii="Arial" w:hAnsi="Arial"/>
    </w:rPr>
  </w:style>
  <w:style w:type="paragraph" w:styleId="9">
    <w:name w:val="Body Text 2"/>
    <w:basedOn w:val="1"/>
    <w:autoRedefine/>
    <w:qFormat/>
    <w:uiPriority w:val="0"/>
    <w:pPr>
      <w:spacing w:after="120" w:line="480" w:lineRule="auto"/>
    </w:pPr>
    <w:rPr>
      <w:szCs w:val="24"/>
    </w:rPr>
  </w:style>
  <w:style w:type="paragraph" w:styleId="10">
    <w:name w:val="Body Text First Indent 2"/>
    <w:basedOn w:val="7"/>
    <w:next w:val="1"/>
    <w:autoRedefine/>
    <w:qFormat/>
    <w:uiPriority w:val="0"/>
    <w:pPr>
      <w:ind w:firstLine="420"/>
    </w:pPr>
  </w:style>
  <w:style w:type="paragraph" w:customStyle="1" w:styleId="13">
    <w:name w:val="表格"/>
    <w:basedOn w:val="9"/>
    <w:next w:val="1"/>
    <w:autoRedefine/>
    <w:qFormat/>
    <w:uiPriority w:val="0"/>
    <w:pPr>
      <w:topLinePunct/>
      <w:spacing w:line="280" w:lineRule="exact"/>
    </w:pPr>
    <w:rPr>
      <w:rFonts w:ascii="仿宋_GB2312" w:hAnsi="MS Gothic" w:eastAsia="仿宋_GB2312"/>
      <w:kern w:val="0"/>
      <w:szCs w:val="21"/>
    </w:rPr>
  </w:style>
  <w:style w:type="paragraph" w:customStyle="1" w:styleId="14">
    <w:name w:val="首行缩进正文"/>
    <w:basedOn w:val="1"/>
    <w:autoRedefine/>
    <w:qFormat/>
    <w:uiPriority w:val="0"/>
    <w:rPr>
      <w:sz w:val="28"/>
      <w:szCs w:val="20"/>
      <w:lang w:bidi="he-IL"/>
    </w:rPr>
  </w:style>
  <w:style w:type="character" w:customStyle="1" w:styleId="15">
    <w:name w:val="标题 2 字符"/>
    <w:link w:val="3"/>
    <w:autoRedefine/>
    <w:qFormat/>
    <w:uiPriority w:val="99"/>
    <w:rPr>
      <w:rFonts w:ascii="宋体" w:hAnsi="宋体" w:cs="Times New Roman"/>
      <w:b/>
      <w:bCs/>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2024-08-29T07:15:00Z</dcterms:created>
  <dc:creator>丁波</dc:creator>
  <cp:lastModifiedBy>WPS_1641542585</cp:lastModifiedBy>
  <dcterms:modified xsi:type="dcterms:W3CDTF">2026-05-06T07:01:40Z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27E8505C257B49F28404F41F04A5A476_11</vt:lpwstr>
  </property>
</Properties>
</file>