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D78F1">
      <w:pPr>
        <w:pageBreakBefore w:val="0"/>
        <w:wordWrap/>
        <w:overflowPunct/>
        <w:topLinePunct w:val="0"/>
        <w:bidi w:val="0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开阳县2025年农村生活垃圾收运体系建设项目</w:t>
      </w:r>
    </w:p>
    <w:p w14:paraId="5EC7DE4A">
      <w:pPr>
        <w:pageBreakBefore w:val="0"/>
        <w:wordWrap/>
        <w:overflowPunct/>
        <w:topLinePunct w:val="0"/>
        <w:bidi w:val="0"/>
        <w:spacing w:line="500" w:lineRule="exact"/>
        <w:jc w:val="center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采购</w:t>
      </w: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需求</w:t>
      </w:r>
      <w:bookmarkStart w:id="5" w:name="_GoBack"/>
      <w:bookmarkEnd w:id="5"/>
    </w:p>
    <w:p w14:paraId="619757C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00" w:lineRule="exact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一、供应商资格条件</w:t>
      </w:r>
    </w:p>
    <w:p w14:paraId="0B5747F3">
      <w:pPr>
        <w:pageBreakBefore w:val="0"/>
        <w:wordWrap/>
        <w:overflowPunct/>
        <w:topLinePunct w:val="0"/>
        <w:bidi w:val="0"/>
        <w:spacing w:beforeLines="50" w:beforeAutospacing="0" w:afterLines="50" w:afterAutospacing="0"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本项目供应商资格条件要求如下：</w:t>
      </w:r>
    </w:p>
    <w:p w14:paraId="4A7780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68" w:firstLineChars="20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3"/>
          <w:sz w:val="24"/>
          <w:szCs w:val="24"/>
        </w:rPr>
        <w:t>1.满足《中华人民共和国政府采购法》第二</w:t>
      </w:r>
      <w:r>
        <w:rPr>
          <w:rFonts w:hint="eastAsia" w:ascii="宋体" w:hAnsi="宋体" w:eastAsia="宋体" w:cs="宋体"/>
          <w:color w:val="333333"/>
          <w:spacing w:val="-4"/>
          <w:sz w:val="24"/>
          <w:szCs w:val="24"/>
        </w:rPr>
        <w:t>十二条规定；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</w:t>
      </w:r>
    </w:p>
    <w:p w14:paraId="7D4E6F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64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pacing w:val="-4"/>
          <w:sz w:val="24"/>
          <w:szCs w:val="24"/>
        </w:rPr>
        <w:t>2.落实政府采购政策需满足的资格要求</w:t>
      </w:r>
      <w:r>
        <w:rPr>
          <w:rFonts w:hint="eastAsia" w:ascii="宋体" w:hAnsi="宋体" w:eastAsia="宋体" w:cs="宋体"/>
          <w:color w:val="333333"/>
          <w:spacing w:val="-4"/>
          <w:sz w:val="24"/>
          <w:szCs w:val="24"/>
          <w:lang w:eastAsia="zh-CN"/>
        </w:rPr>
        <w:t>；</w:t>
      </w:r>
    </w:p>
    <w:p w14:paraId="5C9376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标项1: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color w:val="333333"/>
          <w:spacing w:val="-6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333333"/>
          <w:spacing w:val="-6"/>
          <w:sz w:val="24"/>
          <w:szCs w:val="24"/>
        </w:rPr>
        <w:t>申请人的一般资格要求：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符合《政府采购法》第二十二条规定，并按投标文件格式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要求提供下列资料。（1）具有独立承担民事责任的能力：提供法人或其他组织的营业执照等证明文件，或自然人身份证明（复印件加盖投标单位公章）；</w:t>
      </w:r>
    </w:p>
    <w:p w14:paraId="5CDC9A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（2）具有良好的商业信誉和健全的财务会计制度：供应商是法人的，应提供2024年度经会计师事务所审计的审计报告或开户银行出具的2025年资信证明；部分其他组织和自然人，没有经审计的审计报告，可以提供开户银行出具的2025年资信证明（复印件加盖投标单位公章）； </w:t>
      </w:r>
    </w:p>
    <w:p w14:paraId="57387A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（3）具有履行合同所必需的设备和专业技术能力：提供具备履行合同所必需的设备和专业技术能力的证明材料（自行承诺加盖投标单位公章）； </w:t>
      </w:r>
    </w:p>
    <w:p w14:paraId="02FDF0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（4）具有依法缴纳税收和社会保障资金的良好记录：提供2025年1月至今任意1个月依法缴纳税收和社会保障资金证明材料，如新成立不足半年的公司自行提供承诺（格式自拟）；依法免税或不需要缴纳社保的，须提供有效的证明材料（复印件加盖投标单位公章）； </w:t>
      </w:r>
    </w:p>
    <w:p w14:paraId="6E1EA6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（5）参加本次政府采购活动前三年内，在经营活动中没有违法违规记录：提供参加政府采购活动前3年内在经营活动中没有重大违法记录的书面声明（自行声明加盖投标单位公章）； </w:t>
      </w:r>
    </w:p>
    <w:p w14:paraId="50FC3A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（6）法律、行政法规规定的其他条件：</w:t>
      </w:r>
    </w:p>
    <w:p w14:paraId="48FA1F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供应商须承诺：供应商承诺在“信用中国”网站（www.creditchina.gov.cn）、中国政府采购网（www.ccgp.gov.cn）等渠道查询中未被列入失信被执行人名单、重大税收违法案件当事人名单、政府采购严重违法失信行为记录名单中，如被列入失信被执行人、重大税收违法案件当事人名单、政府采购严重违法失信行为记录名单中的供应商取消其投标资格，并承担由此造成的一切法律责任及后果。</w:t>
      </w:r>
    </w:p>
    <w:p w14:paraId="6341DF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（7）本项目所需特殊行业资质或要求：无</w:t>
      </w:r>
    </w:p>
    <w:p w14:paraId="7BBAEA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（8）本项目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  <w:u w:val="single"/>
        </w:rPr>
        <w:t xml:space="preserve">  不接受  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联合体投标</w:t>
      </w:r>
    </w:p>
    <w:p w14:paraId="6BD157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（9）本项目 专门 面向中小企业采购。（本项目采购标的对应的中小企业划分标准所属行业为：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  <w:u w:val="single"/>
        </w:rPr>
        <w:t>工业。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）       </w:t>
      </w:r>
    </w:p>
    <w:p w14:paraId="6889773E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 w14:paraId="440768AE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  <w:t>第二章　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采购需求及商务要求</w:t>
      </w:r>
    </w:p>
    <w:p w14:paraId="7E087E8A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  <w:t xml:space="preserve">第一节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采购需求</w:t>
      </w:r>
    </w:p>
    <w:p w14:paraId="7FA48721">
      <w:pPr>
        <w:pStyle w:val="5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开阳县2025年农村生活垃圾收运体系建设项目，采购8吨后装式压缩车1台、5吨后装式压缩车3台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5E0E8F5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项目执行的相关标准</w:t>
      </w:r>
    </w:p>
    <w:p w14:paraId="0055F578">
      <w:pPr>
        <w:pStyle w:val="5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按国家有关规定、规范进行，满足国家及行业相关标准及采购文件规定的技术标准。</w:t>
      </w:r>
    </w:p>
    <w:p w14:paraId="7CB6B6BC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技术要求（功能和质量）</w:t>
      </w:r>
    </w:p>
    <w:tbl>
      <w:tblPr>
        <w:tblStyle w:val="20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157"/>
        <w:gridCol w:w="6726"/>
        <w:gridCol w:w="654"/>
        <w:gridCol w:w="597"/>
      </w:tblGrid>
      <w:tr w14:paraId="42D3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7" w:type="pct"/>
            <w:vAlign w:val="center"/>
          </w:tcPr>
          <w:p w14:paraId="62E300B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593" w:type="pct"/>
            <w:vAlign w:val="center"/>
          </w:tcPr>
          <w:p w14:paraId="39A0618D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kern w:val="0"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kern w:val="0"/>
                <w:sz w:val="24"/>
                <w:szCs w:val="24"/>
              </w:rPr>
              <w:t>名称</w:t>
            </w:r>
          </w:p>
        </w:tc>
        <w:tc>
          <w:tcPr>
            <w:tcW w:w="3447" w:type="pct"/>
            <w:vAlign w:val="center"/>
          </w:tcPr>
          <w:p w14:paraId="58CB209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kern w:val="0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335" w:type="pct"/>
            <w:vAlign w:val="center"/>
          </w:tcPr>
          <w:p w14:paraId="03AED7F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0"/>
                <w:sz w:val="24"/>
                <w:szCs w:val="24"/>
              </w:rPr>
              <w:t>单位</w:t>
            </w:r>
          </w:p>
        </w:tc>
        <w:tc>
          <w:tcPr>
            <w:tcW w:w="306" w:type="pct"/>
            <w:vAlign w:val="center"/>
          </w:tcPr>
          <w:p w14:paraId="659FE9A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0"/>
                <w:sz w:val="24"/>
                <w:szCs w:val="24"/>
                <w:lang w:eastAsia="zh-CN"/>
              </w:rPr>
              <w:t>数量</w:t>
            </w:r>
          </w:p>
        </w:tc>
      </w:tr>
      <w:tr w14:paraId="4859F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317" w:type="pct"/>
            <w:vAlign w:val="center"/>
          </w:tcPr>
          <w:p w14:paraId="5FF8A4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3" w:type="pct"/>
            <w:vAlign w:val="center"/>
          </w:tcPr>
          <w:p w14:paraId="60CE60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垃圾压缩车（8吨）</w:t>
            </w:r>
          </w:p>
        </w:tc>
        <w:tc>
          <w:tcPr>
            <w:tcW w:w="3447" w:type="pct"/>
            <w:vAlign w:val="center"/>
          </w:tcPr>
          <w:p w14:paraId="553A51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垃圾压缩车-8吨</w:t>
            </w:r>
          </w:p>
          <w:p w14:paraId="753005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1.设备名称:垃圾压缩车-8吨</w:t>
            </w:r>
          </w:p>
          <w:p w14:paraId="6F9E24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▲2.轴距(mm):≥4500</w:t>
            </w:r>
          </w:p>
          <w:p w14:paraId="07AC66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3.发动机:柴油发动机（国六排放标准）</w:t>
            </w:r>
          </w:p>
          <w:p w14:paraId="4808E3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▲4.发动机功率(kw):≥165</w:t>
            </w:r>
          </w:p>
          <w:p w14:paraId="62FDBC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5.外形尺寸(长*宽*高)(mm):8840x2550x3300(mm)（±100mm）</w:t>
            </w:r>
          </w:p>
          <w:p w14:paraId="11C596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6.整备质量(kg):≥10800(kg)最大总质量≥18000(kg)</w:t>
            </w:r>
          </w:p>
          <w:p w14:paraId="2B189C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7.工作速度(km/h):发动机转速,原地空档作业</w:t>
            </w:r>
          </w:p>
          <w:p w14:paraId="3893E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8.操作方式:电控/手动/遥控</w:t>
            </w:r>
          </w:p>
          <w:p w14:paraId="37F335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9.一次进料循环时间:15-25s,卸料时间:&lt;20s</w:t>
            </w:r>
          </w:p>
          <w:p w14:paraId="24F0D0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10.刹车水箱:温度过高，加装水箱冷却刹车</w:t>
            </w:r>
          </w:p>
          <w:p w14:paraId="7C01B6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11.上装箱体外形:弧形带边框结构，上下无焊缝、厢体满焊，车身配备示廓灯、边灯、作业照明灯;上装箱体材料及厚度:底板≥5mm，边板≥4mm优质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Q345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锰钢（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），后包刮板弧形底板滑道采用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Q710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高强度板（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）;</w:t>
            </w:r>
          </w:p>
          <w:p w14:paraId="15435A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上装箱体结构：</w:t>
            </w:r>
          </w:p>
          <w:p w14:paraId="7AF739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(1)垃圾箱采用加强梁和钢板焊接而成牢固的框架结构，侧面为圆弧曲面，上下无焊缝，顶部为平面带加强筋结构，不变形；</w:t>
            </w:r>
          </w:p>
          <w:p w14:paraId="3D291B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trike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(2)推铲由矩管骨架和折面板构成，推铲轨道滑块采用耐磨尼龙滑块导向；</w:t>
            </w:r>
          </w:p>
          <w:p w14:paraId="1D001B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(3)填装器主要由填装器壳体、滑板、刮板等构件组成，各构件需结构牢固，填装器与箱体结合采用锁紧机构，滑板轨道滑块采用尼龙滑块导向；</w:t>
            </w:r>
          </w:p>
          <w:p w14:paraId="65C172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(4)采用前后双向蠕动压缩结构，填充器举升油缸带锁紧装置；</w:t>
            </w:r>
          </w:p>
          <w:p w14:paraId="14FBB6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(5)污水箱:箱体设置两处各≥100L的污水箱。其中:后填装器下部一只，可装填装器里面的污水:车辆侧边可选装一只，可装箱体内的污水避免车辆在行驶或停止状态下的污染;</w:t>
            </w:r>
          </w:p>
          <w:p w14:paraId="7BCB74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上装其他性能要求:</w:t>
            </w:r>
          </w:p>
          <w:p w14:paraId="04242A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(1)车辆设置紧急制动按钮，可使垃圾压填机构在任何状态，保障作业人员、设备的安全。</w:t>
            </w:r>
          </w:p>
          <w:p w14:paraId="5D30CC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(2)液压系统额定压力≥18MPa。液压油泵、液压油管等均采用的是国内知名企业生产的配套件。在举升填装器的波压系统中，设置双向平衡阀，提高使用安全性。</w:t>
            </w:r>
          </w:p>
          <w:p w14:paraId="1C3DBE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ind w:left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▲(3)填装器后部设置标配为翻桶挂架结构既可挂1个660L的国标塑桶(不带垃圾桶)又可同时挂2个240L的国标塑桶(不带垃圾桶)。配全气动密封遮盖。</w:t>
            </w:r>
          </w:p>
        </w:tc>
        <w:tc>
          <w:tcPr>
            <w:tcW w:w="335" w:type="pct"/>
            <w:vAlign w:val="center"/>
          </w:tcPr>
          <w:p w14:paraId="02DB0E5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06" w:type="pct"/>
            <w:vAlign w:val="center"/>
          </w:tcPr>
          <w:p w14:paraId="28C27D9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5055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17" w:type="pct"/>
            <w:vAlign w:val="center"/>
          </w:tcPr>
          <w:p w14:paraId="4FCDB8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3" w:type="pct"/>
            <w:vAlign w:val="center"/>
          </w:tcPr>
          <w:p w14:paraId="2B9EB8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垃圾压缩车（5吨）</w:t>
            </w:r>
          </w:p>
        </w:tc>
        <w:tc>
          <w:tcPr>
            <w:tcW w:w="3447" w:type="pct"/>
            <w:vAlign w:val="center"/>
          </w:tcPr>
          <w:p w14:paraId="63C798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垃圾压缩车-5吨</w:t>
            </w:r>
          </w:p>
          <w:p w14:paraId="0D1D9A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设备名称:垃圾压缩车-5吨</w:t>
            </w:r>
          </w:p>
          <w:p w14:paraId="60D1D9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▲2.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轴距(mm):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3800</w:t>
            </w:r>
          </w:p>
          <w:p w14:paraId="0BA46E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3.发动机:柴油发动机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（国六排放标准）</w:t>
            </w:r>
          </w:p>
          <w:p w14:paraId="3B1AAF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4.发动机功率(kw):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0</w:t>
            </w:r>
          </w:p>
          <w:p w14:paraId="0C052B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5.外形尺寸(长*宽*高)(mm):7770x2450x3200(mm)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（±100mm）</w:t>
            </w:r>
          </w:p>
          <w:p w14:paraId="3A9FA3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6.整备质量(kg):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8500,最大总质量(kg):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140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0</w:t>
            </w:r>
          </w:p>
          <w:p w14:paraId="50D1EA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7.工作速度(km/h):发动机转速,原地空档作业</w:t>
            </w:r>
          </w:p>
          <w:p w14:paraId="0A0965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8.操作方式:电控/手动/遥控</w:t>
            </w:r>
          </w:p>
          <w:p w14:paraId="3E75A9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一次进料循环时间:15-20s,卸料时间: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20s</w:t>
            </w:r>
          </w:p>
          <w:p w14:paraId="69355D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刹车水箱:温度过高，加装水箱冷却刹车</w:t>
            </w:r>
          </w:p>
          <w:p w14:paraId="00DAE8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0"/>
              </w:tabs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11.上装箱体外形:弧形带边框结构，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上下无焊缝、厢体满焊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车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身配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备示廓灯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、边灯、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业照明灯;上装箱体材料及厚度:底板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≥5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mm，边板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4mm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优质Q345锰钢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（或优于）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，后包刮板、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弧形地板、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滑道采用Q710高强度板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（或优于）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;</w:t>
            </w:r>
          </w:p>
          <w:p w14:paraId="0D9DB5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0"/>
              </w:tabs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</w:rPr>
              <w:t>上装箱体结构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：</w:t>
            </w:r>
          </w:p>
          <w:p w14:paraId="1833D3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垃圾箱采用加强梁和钢板焊接而成牢固的框架结构，侧面为圆弧曲面，上下无焊缝，顶部为平面带加强筋结构，不变形</w:t>
            </w:r>
          </w:p>
          <w:p w14:paraId="56ED2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strike/>
                <w:dstrike w:val="0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/>
              </w:rPr>
              <w:t>推铲由矩管骨架和折面板构成，推铲轨道滑块采用耐磨尼龙滑块导向</w:t>
            </w:r>
          </w:p>
          <w:p w14:paraId="2664F0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/>
              </w:rPr>
              <w:t>填装器主要由填装器壳体、滑板、刮板等构件组成，各构件需结构牢固，填装器与箱体结合采用锁紧机构，滑板轨道滑块采用尼龙滑块导向</w:t>
            </w:r>
          </w:p>
          <w:p w14:paraId="7EB996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采用前后双向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蠕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动压缩结构，填充器举升油缸带锁紧装置</w:t>
            </w:r>
          </w:p>
          <w:p w14:paraId="67C1B2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污水箱:箱体设置一处污水箱:后填装器下部一只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≥100L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，可装填装器里面的污水;</w:t>
            </w:r>
          </w:p>
          <w:p w14:paraId="4843EC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</w:rPr>
              <w:t>上装其他性能要求:</w:t>
            </w:r>
          </w:p>
          <w:p w14:paraId="32088C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车辆设置紧急制动按钮，可使垃圾压填机构在任何状态，保障作业人员、设备的安全。</w:t>
            </w:r>
          </w:p>
          <w:p w14:paraId="2D2768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液压系统额定压力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18MPa。液压油泵、液压油缸、液压油管等均采用的是国内知名企业生产的配套件。在举升填装器的液压系统中，设置双向平衡阀，提高使用安全性。</w:t>
            </w:r>
          </w:p>
          <w:p w14:paraId="38B3E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▲（3）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填装器后部设置标配为翻桶挂架结构，既可挂1个660L的国标塑桶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不带垃圾桶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，又可同时挂2个240L的国标塑桶(不带垃圾桶)，配全气动密封遮盖。</w:t>
            </w:r>
          </w:p>
        </w:tc>
        <w:tc>
          <w:tcPr>
            <w:tcW w:w="335" w:type="pct"/>
            <w:vAlign w:val="center"/>
          </w:tcPr>
          <w:p w14:paraId="0175D8C3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06" w:type="pct"/>
            <w:vAlign w:val="center"/>
          </w:tcPr>
          <w:p w14:paraId="33A15BB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416E787A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</w:p>
    <w:p w14:paraId="6D6BF7D9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第二节 商务要求</w:t>
      </w:r>
    </w:p>
    <w:p w14:paraId="65E1085D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1、交货期及交货地点</w:t>
      </w:r>
    </w:p>
    <w:p w14:paraId="050ABAEB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交货期:合同签订后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日历天内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完成</w:t>
      </w:r>
      <w:r>
        <w:rPr>
          <w:rFonts w:hint="eastAsia" w:ascii="宋体" w:hAnsi="宋体" w:eastAsia="宋体" w:cs="宋体"/>
          <w:color w:val="auto"/>
          <w:spacing w:val="1"/>
          <w:kern w:val="0"/>
          <w:sz w:val="24"/>
          <w:szCs w:val="24"/>
          <w:lang w:val="en-US" w:eastAsia="zh-CN" w:bidi="ar-SA"/>
        </w:rPr>
        <w:t>供货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07B188C4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交货地点:采购人指定地点。</w:t>
      </w:r>
    </w:p>
    <w:p w14:paraId="40D86DF1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2、验收标准、规范及方式</w:t>
      </w:r>
    </w:p>
    <w:p w14:paraId="49FE8CDE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2.1验收标准：执行国家标准，无国家标准的按行业标准（最新）及采购文件规定的相关技术要求。 </w:t>
      </w:r>
    </w:p>
    <w:p w14:paraId="456F0414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2.2验收规范：货物到达现场后，供应商应在使用单位人员或委托验收人员在场情况下共同清点、检查，作出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验收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记录，双方签字确认。供应商应保证货物到达用户所在地完好无损，如有缺漏、损坏，由供应商负责调换、补齐或赔偿。供应商应提供完备的技术资料、装箱单和合格证等，并派遣专业技术人员进行现场验收。 </w:t>
      </w:r>
    </w:p>
    <w:p w14:paraId="4EFC4E87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2.3验收方式：根据采购人要求进行验收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即产品到场交付即可投入使用。</w:t>
      </w:r>
    </w:p>
    <w:p w14:paraId="405D7406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3、售后服务</w:t>
      </w:r>
    </w:p>
    <w:p w14:paraId="5C38E1FF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3.1为了有效保证售后服务，质保期内提供免费上门服务，解决故障响应时间为30分钟时内做出实质性响应，1小时内到达现场，并保证在2小时内解决问题。如不按时达到现场的，招标人有权另请维修人员进行现场维修，其产生的维修费用由中标人承担。 </w:t>
      </w:r>
    </w:p>
    <w:p w14:paraId="0D42C8FC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3.2质保期内，设备出现故障时，供应商能提供同类型号的备品备件用于替换有故障设备。 </w:t>
      </w:r>
    </w:p>
    <w:p w14:paraId="56251AC0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3.3提供免费提供技术咨询、技术培训和现场技术指导。 </w:t>
      </w:r>
    </w:p>
    <w:p w14:paraId="68802239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3.4产品交货时中标供应商应按照国家有关规定及标准提供全套技术资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:(包括详细中文使用说明书、操作维护手册等)； </w:t>
      </w:r>
    </w:p>
    <w:p w14:paraId="16ADC2D2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3.5保证本次项目采购的所有产品无版权问题，如有版权纠纷或问题，责任完全由中标供应商承担； </w:t>
      </w:r>
    </w:p>
    <w:p w14:paraId="2317AB29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3.6采购人发现中标供应商不按承诺供货或产品存在质量问题，有权暂停或终止合同。</w:t>
      </w:r>
    </w:p>
    <w:p w14:paraId="5E0E1890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4、质保期</w:t>
      </w:r>
    </w:p>
    <w:p w14:paraId="5DD12FE4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验收合格之日起3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年，国家有另行更高规定的按国家规定执行。</w:t>
      </w:r>
    </w:p>
    <w:p w14:paraId="3D272707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5、付款方式</w:t>
      </w:r>
    </w:p>
    <w:p w14:paraId="22111249">
      <w:pPr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ker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产品满足技术要求，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经采购人验收合格后支付合同总金额的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100%。</w:t>
      </w:r>
    </w:p>
    <w:p w14:paraId="03F72CBA">
      <w:pPr>
        <w:pStyle w:val="6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履约保证金</w:t>
      </w:r>
    </w:p>
    <w:p w14:paraId="14A3BE3A"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</w:t>
      </w:r>
    </w:p>
    <w:p w14:paraId="6970E4F2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7、投标有效期</w:t>
      </w:r>
    </w:p>
    <w:p w14:paraId="2B0C0623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至投标截止日起90日历天。</w:t>
      </w:r>
    </w:p>
    <w:p w14:paraId="0754279D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8、其他要求</w:t>
      </w:r>
    </w:p>
    <w:p w14:paraId="42805CAB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投标人需单独承诺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供应商在货物交付验收合格前发生的风险均由供应商自行承担，与采购人无关； </w:t>
      </w:r>
    </w:p>
    <w:p w14:paraId="3BC9973C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本次报价为人民币报价，包含：产品费、人工费、包装费、交通运输费、装卸费、含车子运输到场费用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即产品到场交付即可投入使用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代理费等应发生的所有费用，以及免费质量保证期内可能发生的服务费用等所有费用。 因中标人自身原因造成漏报、少报皆由其自行承担责任，采购人不再补偿。</w:t>
      </w:r>
    </w:p>
    <w:p w14:paraId="73102F61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pacing w:val="9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8.3投标人需单独承诺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保证所提供的产品，在制造、技术标准、检验标准等均符合国家有关产品制造和验收标准。中标后，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  <w:lang w:val="en-US" w:eastAsia="zh-CN"/>
        </w:rPr>
        <w:t>采购人有权要求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中标供应商提供投标文件中对应检测（验）报告、证书等所有佐证材料(如有) 的原件到采购人处，采购人将组织相关专家对所有佐证材料原件进行核查，若发现有虚假或不符的，将取消其中标资格，并上报财政部门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  <w:lang w:val="en-US" w:eastAsia="zh-CN"/>
        </w:rPr>
        <w:t>进行处理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。</w:t>
      </w:r>
    </w:p>
    <w:p w14:paraId="302F3E84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采购人有权对中标人所供的设备进行第三方检测，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检测合格的，检测费用由采购人承担；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检测不合格的，视为虚假应标，为此所产生的一切费用由中标人承担，采购人有权追究供应商的法律和经济责任并解除合同。</w:t>
      </w:r>
    </w:p>
    <w:p w14:paraId="1BAD4C53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供应商认为采购文件使自己的权益受到损害的，可以自获取采购文件之日或者采购文件公告期限届满之日(公告期限届满后获取采购文件的，以公告期限届满之日为准)起 7 个工作日内向采购人和采购代理机构提出质疑。</w:t>
      </w:r>
    </w:p>
    <w:p w14:paraId="5A0A6F37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其他未尽事宜双方签订合同时双方自愿约定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580D375">
      <w:pPr>
        <w:pStyle w:val="2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7" w:h="16840"/>
          <w:pgMar w:top="1440" w:right="1080" w:bottom="1440" w:left="1080" w:header="720" w:footer="720" w:gutter="0"/>
          <w:cols w:space="425" w:num="1"/>
          <w:docGrid w:linePitch="285" w:charSpace="0"/>
        </w:sectPr>
      </w:pPr>
    </w:p>
    <w:p w14:paraId="1232E5ED">
      <w:pPr>
        <w:pageBreakBefore w:val="0"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1514D8B">
      <w:pPr>
        <w:pageBreakBefore w:val="0"/>
        <w:wordWrap/>
        <w:overflowPunct/>
        <w:topLinePunct w:val="0"/>
        <w:bidi w:val="0"/>
        <w:spacing w:line="500" w:lineRule="exact"/>
        <w:jc w:val="center"/>
        <w:outlineLvl w:val="1"/>
        <w:rPr>
          <w:rFonts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第三章　评标办法及评分标准</w:t>
      </w:r>
    </w:p>
    <w:p w14:paraId="46EB7F33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bookmarkStart w:id="0" w:name="_Toc406670726"/>
      <w:bookmarkStart w:id="1" w:name="_Toc406672390"/>
      <w:bookmarkStart w:id="2" w:name="_Toc406671097"/>
      <w:bookmarkStart w:id="3" w:name="_Toc28674"/>
      <w:bookmarkStart w:id="4" w:name="_Toc406671685"/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第一节 评标办法</w:t>
      </w:r>
      <w:bookmarkEnd w:id="0"/>
      <w:bookmarkEnd w:id="1"/>
      <w:bookmarkEnd w:id="2"/>
      <w:bookmarkEnd w:id="3"/>
      <w:bookmarkEnd w:id="4"/>
    </w:p>
    <w:p w14:paraId="5A955D2C">
      <w:pPr>
        <w:pageBreakBefore w:val="0"/>
        <w:wordWrap/>
        <w:overflowPunct/>
        <w:topLinePunct w:val="0"/>
        <w:bidi w:val="0"/>
        <w:spacing w:beforeLines="100" w:beforeAutospacing="0" w:afterLines="50" w:afterAutospacing="0" w:line="5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本项目采用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  <w:lang w:val="en-US" w:eastAsia="zh-CN"/>
        </w:rPr>
        <w:t>综合评分法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进行评审。</w:t>
      </w:r>
    </w:p>
    <w:p w14:paraId="5BD8AE8D">
      <w:pPr>
        <w:pageBreakBefore w:val="0"/>
        <w:wordWrap/>
        <w:overflowPunct/>
        <w:topLinePunct w:val="0"/>
        <w:bidi w:val="0"/>
        <w:spacing w:beforeLines="100" w:beforeAutospacing="0" w:afterLines="50" w:afterAutospacing="0" w:line="5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5EBD38BD">
      <w:pPr>
        <w:pStyle w:val="21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本公示内容仅为对本项目的需求公示，具体内容以最终正式发布的采购文件及采购清单为准。</w:t>
      </w:r>
    </w:p>
    <w:p w14:paraId="269AC5E8">
      <w:pPr>
        <w:pageBreakBefore w:val="0"/>
        <w:wordWrap/>
        <w:overflowPunct/>
        <w:topLinePunct w:val="0"/>
        <w:bidi w:val="0"/>
        <w:spacing w:beforeLines="100" w:beforeAutospacing="0" w:afterLines="50" w:afterAutospacing="0" w:line="500" w:lineRule="exac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7800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646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7646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4FE87"/>
    <w:multiLevelType w:val="singleLevel"/>
    <w:tmpl w:val="A694FE87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FDAE477F"/>
    <w:multiLevelType w:val="singleLevel"/>
    <w:tmpl w:val="FDAE47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DgxYmYzNDBhZGM3MDVlMWQ2NWI2YWFjZGUzOGUifQ=="/>
  </w:docVars>
  <w:rsids>
    <w:rsidRoot w:val="00000000"/>
    <w:rsid w:val="038F15D9"/>
    <w:rsid w:val="05AF2FCC"/>
    <w:rsid w:val="05B61F06"/>
    <w:rsid w:val="1766709E"/>
    <w:rsid w:val="18D1237C"/>
    <w:rsid w:val="195D2C83"/>
    <w:rsid w:val="1ACC0694"/>
    <w:rsid w:val="1B510142"/>
    <w:rsid w:val="23563407"/>
    <w:rsid w:val="2C536736"/>
    <w:rsid w:val="2E4C6926"/>
    <w:rsid w:val="3C726E6C"/>
    <w:rsid w:val="3E006131"/>
    <w:rsid w:val="469B4261"/>
    <w:rsid w:val="51096E65"/>
    <w:rsid w:val="5B552B71"/>
    <w:rsid w:val="5D080CF3"/>
    <w:rsid w:val="5F502D8A"/>
    <w:rsid w:val="60AA2F51"/>
    <w:rsid w:val="65DC4ACB"/>
    <w:rsid w:val="68107B08"/>
    <w:rsid w:val="68195173"/>
    <w:rsid w:val="71FC4AA1"/>
    <w:rsid w:val="7A186103"/>
    <w:rsid w:val="7A1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rFonts w:eastAsia="黑体"/>
      <w:bCs/>
      <w:kern w:val="0"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sz w:val="28"/>
    </w:r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22"/>
    <w:rPr>
      <w:rFonts w:eastAsia="黑体"/>
      <w:bCs/>
    </w:rPr>
  </w:style>
  <w:style w:type="paragraph" w:customStyle="1" w:styleId="10">
    <w:name w:val="首行缩进"/>
    <w:basedOn w:val="1"/>
    <w:qFormat/>
    <w:uiPriority w:val="0"/>
    <w:pPr>
      <w:ind w:firstLine="480" w:firstLineChars="200"/>
    </w:pPr>
    <w:rPr>
      <w:sz w:val="24"/>
      <w:lang w:val="zh-CN"/>
    </w:rPr>
  </w:style>
  <w:style w:type="character" w:customStyle="1" w:styleId="11">
    <w:name w:val="font13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14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4">
    <w:name w:val="font11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AONormal"/>
    <w:autoRedefine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3683</Words>
  <Characters>4018</Characters>
  <Lines>0</Lines>
  <Paragraphs>0</Paragraphs>
  <TotalTime>0</TotalTime>
  <ScaleCrop>false</ScaleCrop>
  <LinksUpToDate>false</LinksUpToDate>
  <CharactersWithSpaces>4056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2022-06-23T08:15:00Z</dcterms:created>
  <dc:creator>lenovo</dc:creator>
  <cp:lastModifiedBy>WPS_1666059962</cp:lastModifiedBy>
  <dcterms:modified xsi:type="dcterms:W3CDTF">2025-07-28T04:56:22Z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16FD8D71759044578FF27B35E3409619</vt:lpwstr>
  </property>
  <property fmtid="{D5CDD505-2E9C-101B-9397-08002B2CF9AE}" pid="4" name="KSOTemplateDocerSaveRecord">
    <vt:lpwstr>eyJoZGlkIjoiY2Y2ZDgxYmYzNDBhZGM3MDVlMWQ2NWI2YWFjZGUzOGUiLCJ1c2VySWQiOiIxNDIzMzY0Nzk4In0=</vt:lpwstr>
  </property>
</Properties>
</file>