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bookmarkStart w:id="0" w:name="OLE_LINK2"/>
      <w:bookmarkStart w:id="1" w:name="OLE_LINK1"/>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rPr>
        <w:t>惠州石化运行五部126单元重碳四脱甲醇项目新增萃取塔内件采购</w:t>
      </w:r>
      <w:r>
        <w:rPr>
          <w:rFonts w:ascii="Times New Roman" w:hAnsi="Times New Roman" w:eastAsia="仿宋_GB2312" w:cs="Times New Roman"/>
          <w:sz w:val="32"/>
          <w:szCs w:val="32"/>
        </w:rPr>
        <w:t>计划公开如下：</w:t>
      </w:r>
    </w:p>
    <w:tbl>
      <w:tblPr>
        <w:tblStyle w:val="5"/>
        <w:tblW w:w="10166"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027"/>
        <w:gridCol w:w="2112"/>
        <w:gridCol w:w="1661"/>
        <w:gridCol w:w="309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0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11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highlight w:val="none"/>
              </w:rPr>
              <w:t>采购范围与主要技术指标</w:t>
            </w:r>
          </w:p>
        </w:tc>
        <w:tc>
          <w:tcPr>
            <w:tcW w:w="166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309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80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73" w:type="dxa"/>
            <w:vAlign w:val="center"/>
          </w:tcPr>
          <w:p>
            <w:pPr>
              <w:ind w:firstLine="480" w:firstLineChars="200"/>
              <w:rPr>
                <w:rFonts w:ascii="Times New Roman" w:hAnsi="Times New Roman" w:eastAsia="仿宋" w:cs="Times New Roman"/>
                <w:kern w:val="0"/>
                <w:sz w:val="24"/>
                <w:szCs w:val="24"/>
              </w:rPr>
            </w:pPr>
          </w:p>
        </w:tc>
        <w:tc>
          <w:tcPr>
            <w:tcW w:w="1027" w:type="dxa"/>
            <w:vAlign w:val="center"/>
          </w:tcPr>
          <w:p>
            <w:pP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惠州石化运行五部126单元重碳四脱甲醇项目新增萃取塔内件采购</w:t>
            </w:r>
          </w:p>
        </w:tc>
        <w:tc>
          <w:tcPr>
            <w:tcW w:w="2112" w:type="dxa"/>
            <w:vAlign w:val="center"/>
          </w:tcPr>
          <w:p>
            <w:pPr>
              <w:numPr>
                <w:ilvl w:val="0"/>
                <w:numId w:val="0"/>
              </w:numP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1.必须满足附件技术协议要求，</w:t>
            </w:r>
            <w:r>
              <w:rPr>
                <w:rFonts w:ascii="Times New Roman" w:hAnsi="Times New Roman" w:eastAsia="仿宋" w:cs="Times New Roman"/>
                <w:kern w:val="0"/>
                <w:sz w:val="24"/>
                <w:szCs w:val="24"/>
              </w:rPr>
              <w:t>否则相关投标将被否决</w:t>
            </w:r>
            <w:r>
              <w:rPr>
                <w:rFonts w:hint="eastAsia" w:ascii="Times New Roman" w:hAnsi="Times New Roman" w:eastAsia="仿宋" w:cs="Times New Roman"/>
                <w:kern w:val="0"/>
                <w:sz w:val="24"/>
                <w:szCs w:val="24"/>
                <w:lang w:eastAsia="zh-CN"/>
              </w:rPr>
              <w:t>。</w:t>
            </w:r>
          </w:p>
          <w:p>
            <w:pPr>
              <w:numPr>
                <w:numId w:val="0"/>
              </w:numP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2.必须为制造商。</w:t>
            </w:r>
          </w:p>
        </w:tc>
        <w:tc>
          <w:tcPr>
            <w:tcW w:w="1661" w:type="dxa"/>
            <w:vAlign w:val="center"/>
          </w:tcPr>
          <w:p>
            <w:pPr>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02</w:t>
            </w:r>
            <w:r>
              <w:rPr>
                <w:rFonts w:hint="eastAsia" w:ascii="Times New Roman" w:hAnsi="Times New Roman" w:eastAsia="仿宋" w:cs="Times New Roman"/>
                <w:kern w:val="0"/>
                <w:sz w:val="24"/>
                <w:szCs w:val="24"/>
                <w:lang w:val="en-US" w:eastAsia="zh-CN"/>
              </w:rPr>
              <w:t>6</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1</w:t>
            </w:r>
          </w:p>
        </w:tc>
        <w:tc>
          <w:tcPr>
            <w:tcW w:w="3093" w:type="dxa"/>
            <w:vAlign w:val="center"/>
          </w:tcPr>
          <w:p>
            <w:pP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1.投标人不得存在以下任意一种情况，</w:t>
            </w:r>
            <w:r>
              <w:rPr>
                <w:rFonts w:ascii="Times New Roman" w:hAnsi="Times New Roman" w:eastAsia="仿宋" w:cs="Times New Roman"/>
                <w:kern w:val="0"/>
                <w:sz w:val="24"/>
                <w:szCs w:val="24"/>
              </w:rPr>
              <w:t>否则相关投标将被否决。</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1）投标人被中国海洋石油集团有限公司处以“取消投标资格”及以上处罚，且仍在处罚期内或处罚期满但在系统中的供应商档案中的“档案状态”为“采购冻结”、“业务状态”为“冻结”的；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2）投标人被招标人所属单位处以“取消投标资格”及以上处罚，且仍在处罚期内或处罚期满但在系统中的供应商档案中的“业务状态”为“冻结”的；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3）投标人被中国海洋石油集团有限公司在集团范围内进行风险提示，且在系统中被采购冻结，进入调查程序的；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4）被工商行政管理机关在全国企业信用信息公示系统（http://www.gsxt.gov.cn）中列入严重违法失信企业名单的；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5）在“信用中国”网站（www.creditchina.gov.cn）列入失信被执行人名单的；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6）在近三年内投标人或其法定代表人、拟委任的项目负责人、授权代表有行贿犯罪行为的。</w:t>
            </w:r>
          </w:p>
          <w:p>
            <w:pP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w:t>
            </w:r>
            <w:r>
              <w:rPr>
                <w:rFonts w:ascii="Times New Roman" w:hAnsi="Times New Roman" w:eastAsia="仿宋" w:cs="Times New Roman"/>
                <w:kern w:val="0"/>
                <w:sz w:val="24"/>
                <w:szCs w:val="24"/>
              </w:rPr>
              <w:t>投标人</w:t>
            </w:r>
            <w:r>
              <w:rPr>
                <w:rFonts w:hint="eastAsia" w:ascii="Times New Roman" w:hAnsi="Times New Roman" w:eastAsia="仿宋" w:cs="Times New Roman"/>
                <w:kern w:val="0"/>
                <w:sz w:val="24"/>
                <w:szCs w:val="24"/>
                <w:lang w:val="en-US" w:eastAsia="zh-CN"/>
              </w:rPr>
              <w:t>必须为制造商且具备成熟阻火器阀供货业绩，</w:t>
            </w:r>
            <w:r>
              <w:rPr>
                <w:rFonts w:ascii="Times New Roman" w:hAnsi="Times New Roman" w:eastAsia="仿宋" w:cs="Times New Roman"/>
                <w:kern w:val="0"/>
                <w:sz w:val="24"/>
                <w:szCs w:val="24"/>
              </w:rPr>
              <w:t>否则相关投标将被否决。</w:t>
            </w:r>
          </w:p>
        </w:tc>
        <w:tc>
          <w:tcPr>
            <w:tcW w:w="1800" w:type="dxa"/>
            <w:vAlign w:val="center"/>
          </w:tcPr>
          <w:p>
            <w:pPr>
              <w:rPr>
                <w:rFonts w:ascii="Times New Roman" w:hAnsi="Times New Roman" w:eastAsia="仿宋" w:cs="Times New Roman"/>
                <w:kern w:val="0"/>
                <w:sz w:val="24"/>
                <w:szCs w:val="24"/>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w:t>
      </w:r>
      <w:r>
        <w:rPr>
          <w:rFonts w:ascii="Times New Roman" w:hAnsi="Times New Roman" w:eastAsia="仿宋_GB2312" w:cs="Times New Roman"/>
          <w:sz w:val="32"/>
          <w:szCs w:val="32"/>
          <w:highlight w:val="none"/>
        </w:rPr>
        <w:t>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本次公告有效期是（202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26</w:t>
      </w:r>
      <w:r>
        <w:rPr>
          <w:rFonts w:ascii="Times New Roman" w:hAnsi="Times New Roman" w:eastAsia="仿宋_GB2312" w:cs="Times New Roman"/>
          <w:sz w:val="32"/>
          <w:szCs w:val="32"/>
          <w:highlight w:val="none"/>
        </w:rPr>
        <w:t>日）至（202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日）止。在此期间，有意参与某采办包的系统用户可在集团公司采办系统中提交反馈材料。</w:t>
      </w:r>
    </w:p>
    <w:p>
      <w:pPr>
        <w:tabs>
          <w:tab w:val="left" w:pos="993"/>
          <w:tab w:val="left" w:pos="1134"/>
          <w:tab w:val="left" w:pos="1418"/>
        </w:tabs>
        <w:spacing w:line="600" w:lineRule="exact"/>
        <w:rPr>
          <w:rFonts w:ascii="Times New Roman" w:hAnsi="Times New Roman" w:eastAsia="仿宋" w:cs="Times New Roman"/>
          <w:sz w:val="28"/>
          <w:szCs w:val="28"/>
          <w:highlight w:val="none"/>
        </w:rPr>
      </w:pPr>
    </w:p>
    <w:p>
      <w:pPr>
        <w:tabs>
          <w:tab w:val="left" w:pos="993"/>
          <w:tab w:val="left" w:pos="1134"/>
          <w:tab w:val="left" w:pos="1418"/>
        </w:tabs>
        <w:spacing w:line="600" w:lineRule="exact"/>
        <w:ind w:right="320" w:firstLine="960" w:firstLineChars="300"/>
        <w:jc w:val="righ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中海海石油炼化有限责任公司采办共享中心</w:t>
      </w:r>
    </w:p>
    <w:p>
      <w:pPr>
        <w:tabs>
          <w:tab w:val="left" w:pos="993"/>
          <w:tab w:val="left" w:pos="1134"/>
          <w:tab w:val="left" w:pos="1418"/>
        </w:tabs>
        <w:spacing w:line="600" w:lineRule="exact"/>
        <w:ind w:right="320" w:firstLine="960" w:firstLineChars="300"/>
        <w:jc w:val="cente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设备及配件品类部</w:t>
      </w:r>
    </w:p>
    <w:p>
      <w:pPr>
        <w:tabs>
          <w:tab w:val="left" w:pos="993"/>
          <w:tab w:val="left" w:pos="1134"/>
          <w:tab w:val="left" w:pos="1418"/>
        </w:tabs>
        <w:spacing w:line="600" w:lineRule="exact"/>
        <w:ind w:right="1760"/>
        <w:jc w:val="right"/>
        <w:rPr>
          <w:highlight w:val="none"/>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bookmarkStart w:id="2" w:name="_GoBack"/>
      <w:bookmarkEnd w:id="2"/>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26</w:t>
      </w:r>
      <w:r>
        <w:rPr>
          <w:rFonts w:ascii="Times New Roman" w:hAnsi="Times New Roman" w:eastAsia="仿宋_GB2312" w:cs="Times New Roman"/>
          <w:sz w:val="32"/>
          <w:szCs w:val="32"/>
          <w:highlight w:val="none"/>
        </w:rPr>
        <w:t>日</w:t>
      </w:r>
      <w:bookmarkEnd w:id="0"/>
      <w:r>
        <w:rPr>
          <w:rFonts w:ascii="Times New Roman" w:hAnsi="Times New Roman" w:eastAsia="仿宋_GB2312" w:cs="Times New Roman"/>
          <w:sz w:val="32"/>
          <w:szCs w:val="32"/>
          <w:highlight w:val="none"/>
        </w:rPr>
        <w:t xml:space="preserve">  </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AB"/>
    <w:rsid w:val="00012643"/>
    <w:rsid w:val="00147F27"/>
    <w:rsid w:val="00182BE3"/>
    <w:rsid w:val="001B40C8"/>
    <w:rsid w:val="001E7705"/>
    <w:rsid w:val="00210A4A"/>
    <w:rsid w:val="002165FC"/>
    <w:rsid w:val="002658CB"/>
    <w:rsid w:val="00296CD7"/>
    <w:rsid w:val="002A33C4"/>
    <w:rsid w:val="002A4B29"/>
    <w:rsid w:val="002E22AD"/>
    <w:rsid w:val="002E3C4A"/>
    <w:rsid w:val="004029A6"/>
    <w:rsid w:val="0057615A"/>
    <w:rsid w:val="006263CD"/>
    <w:rsid w:val="006B0784"/>
    <w:rsid w:val="00722D43"/>
    <w:rsid w:val="0073681D"/>
    <w:rsid w:val="007C69E5"/>
    <w:rsid w:val="007D031A"/>
    <w:rsid w:val="0087414B"/>
    <w:rsid w:val="0096508B"/>
    <w:rsid w:val="00AE20AB"/>
    <w:rsid w:val="00D078EF"/>
    <w:rsid w:val="00DE7F2C"/>
    <w:rsid w:val="00E355A3"/>
    <w:rsid w:val="00EB19B8"/>
    <w:rsid w:val="00EB288A"/>
    <w:rsid w:val="00ED277A"/>
    <w:rsid w:val="00F35429"/>
    <w:rsid w:val="00F61A96"/>
    <w:rsid w:val="00FC05DB"/>
    <w:rsid w:val="06CD4EDD"/>
    <w:rsid w:val="070B45BD"/>
    <w:rsid w:val="0795267D"/>
    <w:rsid w:val="079B6207"/>
    <w:rsid w:val="07C56A4F"/>
    <w:rsid w:val="07CF55DC"/>
    <w:rsid w:val="07E47BFB"/>
    <w:rsid w:val="0819123D"/>
    <w:rsid w:val="0AFA5B66"/>
    <w:rsid w:val="0B542A4F"/>
    <w:rsid w:val="11036111"/>
    <w:rsid w:val="133C0293"/>
    <w:rsid w:val="15B712E0"/>
    <w:rsid w:val="15E8522A"/>
    <w:rsid w:val="1A6B5635"/>
    <w:rsid w:val="1A88533F"/>
    <w:rsid w:val="1C1F29BF"/>
    <w:rsid w:val="1E88623C"/>
    <w:rsid w:val="1F8214DE"/>
    <w:rsid w:val="205512C5"/>
    <w:rsid w:val="20912C04"/>
    <w:rsid w:val="24695FC8"/>
    <w:rsid w:val="25660C8D"/>
    <w:rsid w:val="259C74AE"/>
    <w:rsid w:val="27135C28"/>
    <w:rsid w:val="27256688"/>
    <w:rsid w:val="282964EA"/>
    <w:rsid w:val="2B7A135F"/>
    <w:rsid w:val="2E141E04"/>
    <w:rsid w:val="2FD14CE8"/>
    <w:rsid w:val="305725D7"/>
    <w:rsid w:val="37421C4F"/>
    <w:rsid w:val="37532B70"/>
    <w:rsid w:val="396C04C1"/>
    <w:rsid w:val="3A46498D"/>
    <w:rsid w:val="3A4F1B51"/>
    <w:rsid w:val="3B6B5A08"/>
    <w:rsid w:val="3C0E2D89"/>
    <w:rsid w:val="3D4740E7"/>
    <w:rsid w:val="42B43244"/>
    <w:rsid w:val="45491BA9"/>
    <w:rsid w:val="469774C3"/>
    <w:rsid w:val="49516FC2"/>
    <w:rsid w:val="49980F14"/>
    <w:rsid w:val="49CB5E64"/>
    <w:rsid w:val="4C33238C"/>
    <w:rsid w:val="4E391567"/>
    <w:rsid w:val="4EF30992"/>
    <w:rsid w:val="4F904EBC"/>
    <w:rsid w:val="4FD83138"/>
    <w:rsid w:val="51B84446"/>
    <w:rsid w:val="51F44089"/>
    <w:rsid w:val="53B448D4"/>
    <w:rsid w:val="548E1887"/>
    <w:rsid w:val="54F24313"/>
    <w:rsid w:val="558D2D97"/>
    <w:rsid w:val="55EE650A"/>
    <w:rsid w:val="5B971B39"/>
    <w:rsid w:val="5CF4010E"/>
    <w:rsid w:val="61755B3A"/>
    <w:rsid w:val="623401D7"/>
    <w:rsid w:val="64CC06F4"/>
    <w:rsid w:val="65013D69"/>
    <w:rsid w:val="662A07AE"/>
    <w:rsid w:val="68844FE6"/>
    <w:rsid w:val="6910436D"/>
    <w:rsid w:val="69154686"/>
    <w:rsid w:val="6BDD26AF"/>
    <w:rsid w:val="6C9277C9"/>
    <w:rsid w:val="6EB52035"/>
    <w:rsid w:val="72FF6246"/>
    <w:rsid w:val="75AE047B"/>
    <w:rsid w:val="77F55893"/>
    <w:rsid w:val="7C62560E"/>
    <w:rsid w:val="7E326468"/>
    <w:rsid w:val="7E8E5A72"/>
    <w:rsid w:val="7EA11750"/>
    <w:rsid w:val="7F85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Words>
  <Characters>1174</Characters>
  <Lines>9</Lines>
  <Paragraphs>2</Paragraphs>
  <TotalTime>8</TotalTime>
  <ScaleCrop>false</ScaleCrop>
  <LinksUpToDate>false</LinksUpToDate>
  <CharactersWithSpaces>1377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刘卓</cp:lastModifiedBy>
  <dcterms:modified xsi:type="dcterms:W3CDTF">2025-12-26T02:01:56Z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DB00C1B730ED445A904AB3CB240A939F</vt:lpwstr>
  </property>
</Properties>
</file>