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BF1C6">
      <w:pPr>
        <w:tabs>
          <w:tab w:val="left" w:pos="500"/>
        </w:tabs>
        <w:snapToGrid w:val="0"/>
        <w:jc w:val="center"/>
        <w:rPr>
          <w:rFonts w:ascii="宋体" w:hAnsi="宋体"/>
          <w:b/>
          <w:color w:val="auto"/>
          <w:sz w:val="52"/>
          <w:szCs w:val="52"/>
          <w:highlight w:val="none"/>
        </w:rPr>
      </w:pPr>
    </w:p>
    <w:p w14:paraId="41880BE5">
      <w:pPr>
        <w:pStyle w:val="3"/>
        <w:keepNext w:val="0"/>
        <w:keepLines w:val="0"/>
        <w:pageBreakBefore w:val="0"/>
        <w:widowControl w:val="0"/>
        <w:kinsoku/>
        <w:wordWrap/>
        <w:overflowPunct/>
        <w:topLinePunct w:val="0"/>
        <w:autoSpaceDE/>
        <w:autoSpaceDN/>
        <w:bidi w:val="0"/>
        <w:adjustRightInd/>
        <w:snapToGrid/>
        <w:ind w:left="522" w:leftChars="0" w:hanging="522" w:hangingChars="100"/>
        <w:jc w:val="both"/>
        <w:textAlignment w:val="center"/>
        <w:rPr>
          <w:b/>
          <w:bCs/>
          <w:color w:val="auto"/>
          <w:sz w:val="52"/>
          <w:szCs w:val="52"/>
          <w:highlight w:val="none"/>
        </w:rPr>
      </w:pPr>
      <w:r>
        <w:rPr>
          <w:rFonts w:hint="eastAsia"/>
          <w:b/>
          <w:bCs/>
          <w:color w:val="auto"/>
          <w:sz w:val="52"/>
          <w:szCs w:val="52"/>
          <w:highlight w:val="none"/>
          <w:lang w:eastAsia="zh-CN"/>
        </w:rPr>
        <w:t>鸡西市鸡冠区西郊乡三合村股份</w:t>
      </w:r>
      <w:r>
        <w:rPr>
          <w:rFonts w:hint="eastAsia"/>
          <w:b/>
          <w:bCs/>
          <w:color w:val="auto"/>
          <w:sz w:val="52"/>
          <w:szCs w:val="52"/>
          <w:highlight w:val="none"/>
        </w:rPr>
        <w:t>经济合作社</w:t>
      </w:r>
      <w:r>
        <w:rPr>
          <w:rFonts w:hint="eastAsia"/>
          <w:b/>
          <w:bCs/>
          <w:color w:val="auto"/>
          <w:sz w:val="52"/>
          <w:szCs w:val="52"/>
          <w:highlight w:val="none"/>
          <w:lang w:val="en-US" w:eastAsia="zh-CN"/>
        </w:rPr>
        <w:t>太阳能</w:t>
      </w:r>
      <w:r>
        <w:rPr>
          <w:rFonts w:hint="eastAsia"/>
          <w:b/>
          <w:bCs/>
          <w:color w:val="auto"/>
          <w:sz w:val="52"/>
          <w:szCs w:val="52"/>
          <w:highlight w:val="none"/>
        </w:rPr>
        <w:t>路灯采购及安装项目</w:t>
      </w:r>
    </w:p>
    <w:p w14:paraId="314DA9B8">
      <w:pPr>
        <w:rPr>
          <w:color w:val="auto"/>
          <w:highlight w:val="none"/>
        </w:rPr>
      </w:pPr>
    </w:p>
    <w:p w14:paraId="65F41F74">
      <w:pPr>
        <w:pStyle w:val="25"/>
      </w:pPr>
    </w:p>
    <w:p w14:paraId="113DF25A">
      <w:pPr>
        <w:rPr>
          <w:color w:val="auto"/>
          <w:highlight w:val="none"/>
        </w:rPr>
      </w:pPr>
    </w:p>
    <w:p w14:paraId="212182FD">
      <w:pPr>
        <w:autoSpaceDE w:val="0"/>
        <w:autoSpaceDN w:val="0"/>
        <w:adjustRightInd w:val="0"/>
        <w:spacing w:line="240" w:lineRule="auto"/>
        <w:jc w:val="center"/>
        <w:rPr>
          <w:rFonts w:ascii="宋体" w:hAnsi="宋体"/>
          <w:b/>
          <w:color w:val="auto"/>
          <w:szCs w:val="21"/>
          <w:highlight w:val="none"/>
        </w:rPr>
      </w:pPr>
      <w:r>
        <w:rPr>
          <w:rFonts w:hint="eastAsia" w:ascii="宋体" w:hAnsi="宋体"/>
          <w:b/>
          <w:color w:val="auto"/>
          <w:sz w:val="84"/>
          <w:szCs w:val="84"/>
          <w:highlight w:val="none"/>
        </w:rPr>
        <w:t>采 购 文 件</w:t>
      </w:r>
    </w:p>
    <w:p w14:paraId="5C2D4FBD">
      <w:pPr>
        <w:jc w:val="center"/>
        <w:rPr>
          <w:rFonts w:ascii="宋体" w:hAnsi="宋体"/>
          <w:b/>
          <w:color w:val="auto"/>
          <w:sz w:val="32"/>
          <w:szCs w:val="32"/>
          <w:highlight w:val="none"/>
        </w:rPr>
      </w:pPr>
    </w:p>
    <w:p w14:paraId="5FBD7186">
      <w:pPr>
        <w:tabs>
          <w:tab w:val="left" w:pos="7313"/>
        </w:tabs>
        <w:jc w:val="center"/>
        <w:rPr>
          <w:rFonts w:ascii="宋体" w:hAnsi="宋体"/>
          <w:b/>
          <w:bCs/>
          <w:color w:val="auto"/>
          <w:sz w:val="32"/>
          <w:szCs w:val="32"/>
          <w:highlight w:val="none"/>
          <w:u w:val="single"/>
        </w:rPr>
      </w:pPr>
      <w:r>
        <w:rPr>
          <w:rFonts w:hint="eastAsia" w:ascii="宋体" w:hAnsi="宋体"/>
          <w:b/>
          <w:color w:val="auto"/>
          <w:sz w:val="32"/>
          <w:szCs w:val="32"/>
          <w:highlight w:val="none"/>
        </w:rPr>
        <w:t>项目编号：JXSJGQ_CQ_2025_S_0784</w:t>
      </w:r>
    </w:p>
    <w:p w14:paraId="13182BC9">
      <w:pPr>
        <w:pStyle w:val="5"/>
        <w:rPr>
          <w:rFonts w:ascii="宋体" w:hAnsi="宋体" w:eastAsia="宋体"/>
          <w:color w:val="auto"/>
          <w:highlight w:val="none"/>
        </w:rPr>
      </w:pPr>
    </w:p>
    <w:p w14:paraId="388E7FBB">
      <w:pPr>
        <w:rPr>
          <w:rFonts w:ascii="宋体" w:hAnsi="宋体" w:eastAsia="宋体"/>
          <w:color w:val="auto"/>
          <w:highlight w:val="none"/>
        </w:rPr>
      </w:pPr>
    </w:p>
    <w:p w14:paraId="1BE8F2B9">
      <w:pPr>
        <w:pStyle w:val="25"/>
      </w:pPr>
    </w:p>
    <w:p w14:paraId="130ABD7F">
      <w:pPr>
        <w:rPr>
          <w:color w:val="auto"/>
          <w:highlight w:val="none"/>
        </w:rPr>
      </w:pPr>
    </w:p>
    <w:p w14:paraId="010E1597">
      <w:pPr>
        <w:spacing w:line="480" w:lineRule="auto"/>
        <w:ind w:firstLine="643" w:firstLineChars="200"/>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rPr>
        <w:t>采 购 人：</w:t>
      </w:r>
      <w:r>
        <w:rPr>
          <w:rFonts w:hint="eastAsia" w:ascii="宋体" w:hAnsi="宋体"/>
          <w:b/>
          <w:color w:val="auto"/>
          <w:sz w:val="32"/>
          <w:szCs w:val="32"/>
          <w:highlight w:val="none"/>
          <w:lang w:eastAsia="zh-CN"/>
        </w:rPr>
        <w:t>鸡西市鸡冠区西郊乡三合村股份</w:t>
      </w:r>
      <w:r>
        <w:rPr>
          <w:rFonts w:hint="eastAsia" w:ascii="宋体" w:hAnsi="宋体"/>
          <w:b/>
          <w:color w:val="auto"/>
          <w:sz w:val="32"/>
          <w:szCs w:val="32"/>
          <w:highlight w:val="none"/>
        </w:rPr>
        <w:t>经济合作社</w:t>
      </w:r>
    </w:p>
    <w:p w14:paraId="487C4BC5">
      <w:pPr>
        <w:spacing w:line="480" w:lineRule="auto"/>
        <w:ind w:firstLine="643" w:firstLineChars="200"/>
        <w:rPr>
          <w:rFonts w:hint="eastAsia" w:ascii="宋体" w:hAnsi="宋体"/>
          <w:b/>
          <w:color w:val="auto"/>
          <w:sz w:val="32"/>
          <w:szCs w:val="32"/>
          <w:highlight w:val="none"/>
          <w:lang w:eastAsia="zh-CN"/>
        </w:rPr>
      </w:pPr>
      <w:r>
        <w:rPr>
          <w:rFonts w:hint="eastAsia" w:ascii="宋体" w:hAnsi="宋体"/>
          <w:b/>
          <w:color w:val="auto"/>
          <w:sz w:val="32"/>
          <w:szCs w:val="32"/>
          <w:highlight w:val="none"/>
        </w:rPr>
        <w:t>代理机构：</w:t>
      </w:r>
      <w:r>
        <w:rPr>
          <w:rFonts w:hint="eastAsia" w:ascii="宋体" w:hAnsi="宋体"/>
          <w:b/>
          <w:color w:val="auto"/>
          <w:sz w:val="32"/>
          <w:szCs w:val="32"/>
          <w:highlight w:val="none"/>
          <w:lang w:eastAsia="zh-CN"/>
        </w:rPr>
        <w:t>黑龙江农村产权交易中心有限公司</w:t>
      </w:r>
    </w:p>
    <w:p w14:paraId="64515B38">
      <w:pPr>
        <w:pStyle w:val="2"/>
        <w:rPr>
          <w:rFonts w:hint="eastAsia"/>
          <w:lang w:eastAsia="zh-CN"/>
        </w:rPr>
      </w:pPr>
    </w:p>
    <w:p w14:paraId="3B599A5D">
      <w:pPr>
        <w:pStyle w:val="3"/>
        <w:rPr>
          <w:rFonts w:hint="eastAsia"/>
          <w:lang w:eastAsia="zh-CN"/>
        </w:rPr>
      </w:pPr>
    </w:p>
    <w:p w14:paraId="656588C7">
      <w:pPr>
        <w:spacing w:line="660" w:lineRule="exact"/>
        <w:jc w:val="center"/>
        <w:rPr>
          <w:rFonts w:ascii="宋体" w:hAnsi="宋体"/>
          <w:b/>
          <w:color w:val="auto"/>
          <w:spacing w:val="20"/>
          <w:sz w:val="32"/>
          <w:highlight w:val="none"/>
        </w:rPr>
      </w:pPr>
      <w:r>
        <w:rPr>
          <w:rFonts w:hint="eastAsia" w:ascii="宋体" w:hAnsi="宋体"/>
          <w:b/>
          <w:color w:val="auto"/>
          <w:sz w:val="32"/>
          <w:szCs w:val="32"/>
          <w:highlight w:val="none"/>
        </w:rPr>
        <w:t>二〇二</w:t>
      </w:r>
      <w:r>
        <w:rPr>
          <w:rFonts w:hint="eastAsia" w:ascii="宋体" w:hAnsi="宋体"/>
          <w:b/>
          <w:color w:val="auto"/>
          <w:sz w:val="32"/>
          <w:szCs w:val="32"/>
          <w:highlight w:val="none"/>
          <w:lang w:val="en-US" w:eastAsia="zh-CN"/>
        </w:rPr>
        <w:t>五</w:t>
      </w:r>
      <w:r>
        <w:rPr>
          <w:rFonts w:hint="eastAsia" w:ascii="宋体" w:hAnsi="宋体"/>
          <w:b/>
          <w:color w:val="auto"/>
          <w:sz w:val="32"/>
          <w:szCs w:val="32"/>
          <w:highlight w:val="none"/>
        </w:rPr>
        <w:t>年</w:t>
      </w:r>
      <w:r>
        <w:rPr>
          <w:rFonts w:hint="eastAsia" w:ascii="宋体" w:hAnsi="宋体"/>
          <w:b/>
          <w:color w:val="auto"/>
          <w:sz w:val="32"/>
          <w:szCs w:val="32"/>
          <w:highlight w:val="none"/>
          <w:lang w:val="en-US" w:eastAsia="zh-CN"/>
        </w:rPr>
        <w:t>柒</w:t>
      </w:r>
      <w:r>
        <w:rPr>
          <w:rFonts w:hint="eastAsia" w:ascii="宋体" w:hAnsi="宋体"/>
          <w:b/>
          <w:color w:val="auto"/>
          <w:sz w:val="32"/>
          <w:szCs w:val="32"/>
          <w:highlight w:val="none"/>
        </w:rPr>
        <w:t>月</w:t>
      </w:r>
    </w:p>
    <w:p w14:paraId="0829FF4A">
      <w:pPr>
        <w:snapToGrid w:val="0"/>
        <w:spacing w:before="120" w:beforeLines="50" w:after="120" w:afterLines="50" w:line="300" w:lineRule="auto"/>
        <w:ind w:left="540" w:leftChars="257"/>
        <w:jc w:val="center"/>
        <w:rPr>
          <w:rFonts w:ascii="宋体" w:hAnsi="宋体"/>
          <w:b/>
          <w:color w:val="auto"/>
          <w:sz w:val="24"/>
          <w:szCs w:val="30"/>
          <w:highlight w:val="none"/>
        </w:rPr>
        <w:sectPr>
          <w:headerReference r:id="rId7" w:type="first"/>
          <w:headerReference r:id="rId5" w:type="default"/>
          <w:footerReference r:id="rId8" w:type="default"/>
          <w:headerReference r:id="rId6" w:type="even"/>
          <w:footerReference r:id="rId9" w:type="even"/>
          <w:pgSz w:w="11906" w:h="16838"/>
          <w:pgMar w:top="1701" w:right="1700" w:bottom="1418" w:left="1701" w:header="851" w:footer="754" w:gutter="0"/>
          <w:cols w:space="425" w:num="1"/>
          <w:docGrid w:linePitch="312" w:charSpace="0"/>
        </w:sectPr>
      </w:pPr>
    </w:p>
    <w:p w14:paraId="396D21DF">
      <w:pPr>
        <w:snapToGrid w:val="0"/>
        <w:spacing w:line="300" w:lineRule="auto"/>
        <w:jc w:val="center"/>
        <w:rPr>
          <w:rFonts w:ascii="宋体" w:hAnsi="宋体"/>
          <w:b/>
          <w:color w:val="auto"/>
          <w:sz w:val="28"/>
          <w:szCs w:val="28"/>
          <w:highlight w:val="none"/>
        </w:rPr>
      </w:pPr>
    </w:p>
    <w:p w14:paraId="39F6D9AC">
      <w:pPr>
        <w:snapToGrid w:val="0"/>
        <w:spacing w:line="300" w:lineRule="auto"/>
        <w:jc w:val="center"/>
        <w:rPr>
          <w:rFonts w:ascii="宋体" w:hAnsi="宋体"/>
          <w:b/>
          <w:color w:val="auto"/>
          <w:sz w:val="32"/>
          <w:szCs w:val="32"/>
          <w:highlight w:val="none"/>
        </w:rPr>
      </w:pPr>
      <w:r>
        <w:rPr>
          <w:rFonts w:hint="eastAsia" w:ascii="宋体" w:hAnsi="宋体"/>
          <w:b/>
          <w:color w:val="auto"/>
          <w:sz w:val="32"/>
          <w:szCs w:val="32"/>
          <w:highlight w:val="none"/>
        </w:rPr>
        <w:t>目  录</w:t>
      </w:r>
    </w:p>
    <w:p w14:paraId="2768A889">
      <w:pPr>
        <w:pStyle w:val="19"/>
        <w:tabs>
          <w:tab w:val="right" w:leader="dot" w:pos="8787"/>
          <w:tab w:val="clear" w:pos="8539"/>
        </w:tabs>
        <w:rPr>
          <w:rFonts w:hint="eastAsia" w:ascii="宋体" w:hAnsi="宋体" w:eastAsia="宋体" w:cs="Times New Roman"/>
          <w:color w:val="auto"/>
          <w:szCs w:val="32"/>
          <w:highlight w:val="none"/>
          <w:lang w:val="en-US" w:eastAsia="zh-CN"/>
        </w:rPr>
      </w:pPr>
    </w:p>
    <w:p w14:paraId="787DC0D0">
      <w:pPr>
        <w:pStyle w:val="19"/>
        <w:tabs>
          <w:tab w:val="right" w:leader="dot" w:pos="8787"/>
          <w:tab w:val="clear" w:pos="8539"/>
        </w:tabs>
        <w:rPr>
          <w:rFonts w:hint="eastAsia" w:ascii="宋体" w:hAnsi="宋体"/>
          <w:szCs w:val="32"/>
          <w:highlight w:val="none"/>
        </w:rPr>
      </w:pPr>
      <w:r>
        <w:rPr>
          <w:rFonts w:ascii="宋体" w:hAnsi="宋体"/>
          <w:color w:val="auto"/>
          <w:sz w:val="24"/>
          <w:highlight w:val="none"/>
        </w:rPr>
        <w:fldChar w:fldCharType="begin"/>
      </w:r>
      <w:r>
        <w:rPr>
          <w:rFonts w:ascii="宋体" w:hAnsi="宋体"/>
          <w:color w:val="auto"/>
          <w:sz w:val="24"/>
          <w:highlight w:val="none"/>
        </w:rPr>
        <w:instrText xml:space="preserve">TOC \o "1-1" \h \u </w:instrText>
      </w:r>
      <w:r>
        <w:rPr>
          <w:rFonts w:ascii="宋体" w:hAnsi="宋体"/>
          <w:color w:val="auto"/>
          <w:sz w:val="24"/>
          <w:highlight w:val="none"/>
        </w:rPr>
        <w:fldChar w:fldCharType="separate"/>
      </w:r>
      <w:r>
        <w:rPr>
          <w:rFonts w:hint="eastAsia" w:ascii="宋体" w:hAnsi="宋体"/>
          <w:szCs w:val="32"/>
          <w:highlight w:val="none"/>
        </w:rPr>
        <w:fldChar w:fldCharType="begin"/>
      </w:r>
      <w:r>
        <w:rPr>
          <w:rFonts w:hint="eastAsia" w:ascii="宋体" w:hAnsi="宋体"/>
          <w:szCs w:val="32"/>
          <w:highlight w:val="none"/>
        </w:rPr>
        <w:instrText xml:space="preserve"> HYPERLINK \l _Toc10194 </w:instrText>
      </w:r>
      <w:r>
        <w:rPr>
          <w:rFonts w:hint="eastAsia" w:ascii="宋体" w:hAnsi="宋体"/>
          <w:szCs w:val="32"/>
          <w:highlight w:val="none"/>
        </w:rPr>
        <w:fldChar w:fldCharType="separate"/>
      </w:r>
      <w:r>
        <w:rPr>
          <w:rFonts w:hint="eastAsia" w:ascii="宋体" w:hAnsi="宋体"/>
          <w:szCs w:val="32"/>
          <w:highlight w:val="none"/>
        </w:rPr>
        <w:t>第一章  竞价采购公告</w:t>
      </w:r>
      <w:r>
        <w:rPr>
          <w:rFonts w:hint="eastAsia" w:ascii="宋体" w:hAnsi="宋体"/>
          <w:szCs w:val="32"/>
          <w:highlight w:val="none"/>
        </w:rPr>
        <w:tab/>
      </w:r>
      <w:r>
        <w:rPr>
          <w:rFonts w:hint="eastAsia" w:ascii="宋体" w:hAnsi="宋体"/>
          <w:szCs w:val="32"/>
          <w:highlight w:val="none"/>
        </w:rPr>
        <w:fldChar w:fldCharType="begin"/>
      </w:r>
      <w:r>
        <w:rPr>
          <w:rFonts w:hint="eastAsia" w:ascii="宋体" w:hAnsi="宋体"/>
          <w:szCs w:val="32"/>
          <w:highlight w:val="none"/>
        </w:rPr>
        <w:instrText xml:space="preserve"> PAGEREF _Toc10194 \h </w:instrText>
      </w:r>
      <w:r>
        <w:rPr>
          <w:rFonts w:hint="eastAsia" w:ascii="宋体" w:hAnsi="宋体"/>
          <w:szCs w:val="32"/>
          <w:highlight w:val="none"/>
        </w:rPr>
        <w:fldChar w:fldCharType="separate"/>
      </w:r>
      <w:r>
        <w:rPr>
          <w:rFonts w:hint="eastAsia" w:ascii="宋体" w:hAnsi="宋体"/>
          <w:szCs w:val="32"/>
          <w:highlight w:val="none"/>
        </w:rPr>
        <w:t>1</w:t>
      </w:r>
      <w:r>
        <w:rPr>
          <w:rFonts w:hint="eastAsia" w:ascii="宋体" w:hAnsi="宋体"/>
          <w:szCs w:val="32"/>
          <w:highlight w:val="none"/>
        </w:rPr>
        <w:fldChar w:fldCharType="end"/>
      </w:r>
      <w:r>
        <w:rPr>
          <w:rFonts w:hint="eastAsia" w:ascii="宋体" w:hAnsi="宋体"/>
          <w:szCs w:val="32"/>
          <w:highlight w:val="none"/>
        </w:rPr>
        <w:fldChar w:fldCharType="end"/>
      </w:r>
    </w:p>
    <w:p w14:paraId="7185E749">
      <w:pPr>
        <w:pStyle w:val="19"/>
        <w:tabs>
          <w:tab w:val="right" w:leader="dot" w:pos="8787"/>
          <w:tab w:val="clear" w:pos="8539"/>
        </w:tabs>
        <w:rPr>
          <w:rFonts w:hint="eastAsia" w:ascii="宋体" w:hAnsi="宋体"/>
          <w:szCs w:val="32"/>
          <w:highlight w:val="none"/>
        </w:rPr>
      </w:pPr>
      <w:r>
        <w:rPr>
          <w:rFonts w:hint="eastAsia" w:ascii="宋体" w:hAnsi="宋体"/>
          <w:szCs w:val="32"/>
          <w:highlight w:val="none"/>
        </w:rPr>
        <w:fldChar w:fldCharType="begin"/>
      </w:r>
      <w:r>
        <w:rPr>
          <w:rFonts w:hint="eastAsia" w:ascii="宋体" w:hAnsi="宋体"/>
          <w:szCs w:val="32"/>
          <w:highlight w:val="none"/>
        </w:rPr>
        <w:instrText xml:space="preserve"> HYPERLINK \l _Toc20789 </w:instrText>
      </w:r>
      <w:r>
        <w:rPr>
          <w:rFonts w:hint="eastAsia" w:ascii="宋体" w:hAnsi="宋体"/>
          <w:szCs w:val="32"/>
          <w:highlight w:val="none"/>
        </w:rPr>
        <w:fldChar w:fldCharType="separate"/>
      </w:r>
      <w:r>
        <w:rPr>
          <w:rFonts w:hint="eastAsia" w:ascii="宋体" w:hAnsi="宋体"/>
          <w:szCs w:val="32"/>
          <w:highlight w:val="none"/>
        </w:rPr>
        <w:t>第二章  意向供应商须知</w:t>
      </w:r>
      <w:r>
        <w:rPr>
          <w:rFonts w:hint="eastAsia" w:ascii="宋体" w:hAnsi="宋体"/>
          <w:szCs w:val="32"/>
          <w:highlight w:val="none"/>
        </w:rPr>
        <w:tab/>
      </w:r>
      <w:r>
        <w:rPr>
          <w:rFonts w:hint="eastAsia" w:ascii="宋体" w:hAnsi="宋体"/>
          <w:szCs w:val="32"/>
          <w:highlight w:val="none"/>
        </w:rPr>
        <w:fldChar w:fldCharType="begin"/>
      </w:r>
      <w:r>
        <w:rPr>
          <w:rFonts w:hint="eastAsia" w:ascii="宋体" w:hAnsi="宋体"/>
          <w:szCs w:val="32"/>
          <w:highlight w:val="none"/>
        </w:rPr>
        <w:instrText xml:space="preserve"> PAGEREF _Toc20789 \h </w:instrText>
      </w:r>
      <w:r>
        <w:rPr>
          <w:rFonts w:hint="eastAsia" w:ascii="宋体" w:hAnsi="宋体"/>
          <w:szCs w:val="32"/>
          <w:highlight w:val="none"/>
        </w:rPr>
        <w:fldChar w:fldCharType="separate"/>
      </w:r>
      <w:r>
        <w:rPr>
          <w:rFonts w:hint="eastAsia" w:ascii="宋体" w:hAnsi="宋体"/>
          <w:szCs w:val="32"/>
          <w:highlight w:val="none"/>
        </w:rPr>
        <w:t>5</w:t>
      </w:r>
      <w:r>
        <w:rPr>
          <w:rFonts w:hint="eastAsia" w:ascii="宋体" w:hAnsi="宋体"/>
          <w:szCs w:val="32"/>
          <w:highlight w:val="none"/>
        </w:rPr>
        <w:fldChar w:fldCharType="end"/>
      </w:r>
      <w:r>
        <w:rPr>
          <w:rFonts w:hint="eastAsia" w:ascii="宋体" w:hAnsi="宋体"/>
          <w:szCs w:val="32"/>
          <w:highlight w:val="none"/>
        </w:rPr>
        <w:fldChar w:fldCharType="end"/>
      </w:r>
    </w:p>
    <w:p w14:paraId="027420E8">
      <w:pPr>
        <w:pStyle w:val="19"/>
        <w:tabs>
          <w:tab w:val="right" w:leader="dot" w:pos="8787"/>
          <w:tab w:val="clear" w:pos="8539"/>
        </w:tabs>
        <w:rPr>
          <w:rFonts w:hint="eastAsia" w:ascii="宋体" w:hAnsi="宋体"/>
          <w:szCs w:val="32"/>
          <w:highlight w:val="none"/>
        </w:rPr>
      </w:pPr>
      <w:r>
        <w:rPr>
          <w:rFonts w:hint="eastAsia" w:ascii="宋体" w:hAnsi="宋体"/>
          <w:szCs w:val="32"/>
          <w:highlight w:val="none"/>
        </w:rPr>
        <w:fldChar w:fldCharType="begin"/>
      </w:r>
      <w:r>
        <w:rPr>
          <w:rFonts w:hint="eastAsia" w:ascii="宋体" w:hAnsi="宋体"/>
          <w:szCs w:val="32"/>
          <w:highlight w:val="none"/>
        </w:rPr>
        <w:instrText xml:space="preserve"> HYPERLINK \l _Toc21641 </w:instrText>
      </w:r>
      <w:r>
        <w:rPr>
          <w:rFonts w:hint="eastAsia" w:ascii="宋体" w:hAnsi="宋体"/>
          <w:szCs w:val="32"/>
          <w:highlight w:val="none"/>
        </w:rPr>
        <w:fldChar w:fldCharType="separate"/>
      </w:r>
      <w:r>
        <w:rPr>
          <w:rFonts w:hint="eastAsia" w:ascii="宋体" w:hAnsi="宋体"/>
          <w:szCs w:val="32"/>
          <w:highlight w:val="none"/>
        </w:rPr>
        <w:t>第三章  合同条款及格式</w:t>
      </w:r>
      <w:r>
        <w:rPr>
          <w:rFonts w:hint="eastAsia" w:ascii="宋体" w:hAnsi="宋体"/>
          <w:szCs w:val="32"/>
          <w:highlight w:val="none"/>
        </w:rPr>
        <w:tab/>
      </w:r>
      <w:r>
        <w:rPr>
          <w:rFonts w:hint="eastAsia" w:ascii="宋体" w:hAnsi="宋体"/>
          <w:szCs w:val="32"/>
          <w:highlight w:val="none"/>
        </w:rPr>
        <w:fldChar w:fldCharType="begin"/>
      </w:r>
      <w:r>
        <w:rPr>
          <w:rFonts w:hint="eastAsia" w:ascii="宋体" w:hAnsi="宋体"/>
          <w:szCs w:val="32"/>
          <w:highlight w:val="none"/>
        </w:rPr>
        <w:instrText xml:space="preserve"> PAGEREF _Toc21641 \h </w:instrText>
      </w:r>
      <w:r>
        <w:rPr>
          <w:rFonts w:hint="eastAsia" w:ascii="宋体" w:hAnsi="宋体"/>
          <w:szCs w:val="32"/>
          <w:highlight w:val="none"/>
        </w:rPr>
        <w:fldChar w:fldCharType="separate"/>
      </w:r>
      <w:r>
        <w:rPr>
          <w:rFonts w:hint="eastAsia" w:ascii="宋体" w:hAnsi="宋体"/>
          <w:szCs w:val="32"/>
          <w:highlight w:val="none"/>
        </w:rPr>
        <w:t>12</w:t>
      </w:r>
      <w:r>
        <w:rPr>
          <w:rFonts w:hint="eastAsia" w:ascii="宋体" w:hAnsi="宋体"/>
          <w:szCs w:val="32"/>
          <w:highlight w:val="none"/>
        </w:rPr>
        <w:fldChar w:fldCharType="end"/>
      </w:r>
      <w:r>
        <w:rPr>
          <w:rFonts w:hint="eastAsia" w:ascii="宋体" w:hAnsi="宋体"/>
          <w:szCs w:val="32"/>
          <w:highlight w:val="none"/>
        </w:rPr>
        <w:fldChar w:fldCharType="end"/>
      </w:r>
    </w:p>
    <w:p w14:paraId="391BBA90">
      <w:pPr>
        <w:pStyle w:val="19"/>
        <w:tabs>
          <w:tab w:val="right" w:leader="dot" w:pos="8787"/>
          <w:tab w:val="clear" w:pos="8539"/>
        </w:tabs>
        <w:rPr>
          <w:rFonts w:hint="eastAsia" w:ascii="宋体" w:hAnsi="宋体"/>
          <w:szCs w:val="32"/>
          <w:highlight w:val="none"/>
        </w:rPr>
      </w:pPr>
      <w:r>
        <w:rPr>
          <w:rFonts w:hint="eastAsia" w:ascii="宋体" w:hAnsi="宋体"/>
          <w:szCs w:val="32"/>
          <w:highlight w:val="none"/>
        </w:rPr>
        <w:fldChar w:fldCharType="begin"/>
      </w:r>
      <w:r>
        <w:rPr>
          <w:rFonts w:hint="eastAsia" w:ascii="宋体" w:hAnsi="宋体"/>
          <w:szCs w:val="32"/>
          <w:highlight w:val="none"/>
        </w:rPr>
        <w:instrText xml:space="preserve"> HYPERLINK \l _Toc10697 </w:instrText>
      </w:r>
      <w:r>
        <w:rPr>
          <w:rFonts w:hint="eastAsia" w:ascii="宋体" w:hAnsi="宋体"/>
          <w:szCs w:val="32"/>
          <w:highlight w:val="none"/>
        </w:rPr>
        <w:fldChar w:fldCharType="separate"/>
      </w:r>
      <w:r>
        <w:rPr>
          <w:rFonts w:hint="eastAsia" w:ascii="宋体" w:hAnsi="宋体"/>
          <w:szCs w:val="32"/>
          <w:highlight w:val="none"/>
        </w:rPr>
        <w:t>第四章  采购需求</w:t>
      </w:r>
      <w:r>
        <w:rPr>
          <w:rFonts w:hint="eastAsia" w:ascii="宋体" w:hAnsi="宋体"/>
          <w:szCs w:val="32"/>
          <w:highlight w:val="none"/>
        </w:rPr>
        <w:tab/>
      </w:r>
      <w:r>
        <w:rPr>
          <w:rFonts w:hint="eastAsia" w:ascii="宋体" w:hAnsi="宋体"/>
          <w:szCs w:val="32"/>
          <w:highlight w:val="none"/>
        </w:rPr>
        <w:fldChar w:fldCharType="begin"/>
      </w:r>
      <w:r>
        <w:rPr>
          <w:rFonts w:hint="eastAsia" w:ascii="宋体" w:hAnsi="宋体"/>
          <w:szCs w:val="32"/>
          <w:highlight w:val="none"/>
        </w:rPr>
        <w:instrText xml:space="preserve"> PAGEREF _Toc10697 \h </w:instrText>
      </w:r>
      <w:r>
        <w:rPr>
          <w:rFonts w:hint="eastAsia" w:ascii="宋体" w:hAnsi="宋体"/>
          <w:szCs w:val="32"/>
          <w:highlight w:val="none"/>
        </w:rPr>
        <w:fldChar w:fldCharType="separate"/>
      </w:r>
      <w:r>
        <w:rPr>
          <w:rFonts w:hint="eastAsia" w:ascii="宋体" w:hAnsi="宋体"/>
          <w:szCs w:val="32"/>
          <w:highlight w:val="none"/>
        </w:rPr>
        <w:t>14</w:t>
      </w:r>
      <w:r>
        <w:rPr>
          <w:rFonts w:hint="eastAsia" w:ascii="宋体" w:hAnsi="宋体"/>
          <w:szCs w:val="32"/>
          <w:highlight w:val="none"/>
        </w:rPr>
        <w:fldChar w:fldCharType="end"/>
      </w:r>
      <w:r>
        <w:rPr>
          <w:rFonts w:hint="eastAsia" w:ascii="宋体" w:hAnsi="宋体"/>
          <w:szCs w:val="32"/>
          <w:highlight w:val="none"/>
        </w:rPr>
        <w:fldChar w:fldCharType="end"/>
      </w:r>
    </w:p>
    <w:p w14:paraId="17EE50D5">
      <w:pPr>
        <w:pStyle w:val="19"/>
        <w:tabs>
          <w:tab w:val="right" w:leader="dot" w:pos="8787"/>
          <w:tab w:val="clear" w:pos="8539"/>
        </w:tabs>
        <w:rPr>
          <w:rFonts w:hint="eastAsia" w:ascii="宋体" w:hAnsi="宋体"/>
          <w:szCs w:val="32"/>
          <w:highlight w:val="none"/>
        </w:rPr>
      </w:pPr>
      <w:r>
        <w:rPr>
          <w:rFonts w:hint="eastAsia" w:ascii="宋体" w:hAnsi="宋体"/>
          <w:szCs w:val="32"/>
          <w:highlight w:val="none"/>
        </w:rPr>
        <w:fldChar w:fldCharType="begin"/>
      </w:r>
      <w:r>
        <w:rPr>
          <w:rFonts w:hint="eastAsia" w:ascii="宋体" w:hAnsi="宋体"/>
          <w:szCs w:val="32"/>
          <w:highlight w:val="none"/>
        </w:rPr>
        <w:instrText xml:space="preserve"> HYPERLINK \l _Toc13122 </w:instrText>
      </w:r>
      <w:r>
        <w:rPr>
          <w:rFonts w:hint="eastAsia" w:ascii="宋体" w:hAnsi="宋体"/>
          <w:szCs w:val="32"/>
          <w:highlight w:val="none"/>
        </w:rPr>
        <w:fldChar w:fldCharType="separate"/>
      </w:r>
      <w:r>
        <w:rPr>
          <w:rFonts w:hint="eastAsia" w:ascii="宋体" w:hAnsi="宋体"/>
          <w:szCs w:val="32"/>
          <w:highlight w:val="none"/>
        </w:rPr>
        <w:t>第</w:t>
      </w:r>
      <w:r>
        <w:rPr>
          <w:rFonts w:hint="eastAsia" w:ascii="宋体" w:hAnsi="宋体"/>
          <w:szCs w:val="32"/>
          <w:highlight w:val="none"/>
          <w:lang w:val="en-US" w:eastAsia="zh-CN"/>
        </w:rPr>
        <w:t>五</w:t>
      </w:r>
      <w:r>
        <w:rPr>
          <w:rFonts w:hint="eastAsia" w:ascii="宋体" w:hAnsi="宋体"/>
          <w:szCs w:val="32"/>
          <w:highlight w:val="none"/>
        </w:rPr>
        <w:t>章  供应商竞价指南</w:t>
      </w:r>
      <w:r>
        <w:rPr>
          <w:rFonts w:hint="eastAsia" w:ascii="宋体" w:hAnsi="宋体"/>
          <w:szCs w:val="32"/>
          <w:highlight w:val="none"/>
        </w:rPr>
        <w:tab/>
      </w:r>
      <w:r>
        <w:rPr>
          <w:rFonts w:hint="eastAsia" w:ascii="宋体" w:hAnsi="宋体"/>
          <w:szCs w:val="32"/>
          <w:highlight w:val="none"/>
        </w:rPr>
        <w:fldChar w:fldCharType="begin"/>
      </w:r>
      <w:r>
        <w:rPr>
          <w:rFonts w:hint="eastAsia" w:ascii="宋体" w:hAnsi="宋体"/>
          <w:szCs w:val="32"/>
          <w:highlight w:val="none"/>
        </w:rPr>
        <w:instrText xml:space="preserve"> PAGEREF _Toc13122 \h </w:instrText>
      </w:r>
      <w:r>
        <w:rPr>
          <w:rFonts w:hint="eastAsia" w:ascii="宋体" w:hAnsi="宋体"/>
          <w:szCs w:val="32"/>
          <w:highlight w:val="none"/>
        </w:rPr>
        <w:fldChar w:fldCharType="separate"/>
      </w:r>
      <w:r>
        <w:rPr>
          <w:rFonts w:hint="eastAsia" w:ascii="宋体" w:hAnsi="宋体"/>
          <w:szCs w:val="32"/>
          <w:highlight w:val="none"/>
        </w:rPr>
        <w:t>17</w:t>
      </w:r>
      <w:r>
        <w:rPr>
          <w:rFonts w:hint="eastAsia" w:ascii="宋体" w:hAnsi="宋体"/>
          <w:szCs w:val="32"/>
          <w:highlight w:val="none"/>
        </w:rPr>
        <w:fldChar w:fldCharType="end"/>
      </w:r>
      <w:r>
        <w:rPr>
          <w:rFonts w:hint="eastAsia" w:ascii="宋体" w:hAnsi="宋体"/>
          <w:szCs w:val="32"/>
          <w:highlight w:val="none"/>
        </w:rPr>
        <w:fldChar w:fldCharType="end"/>
      </w:r>
    </w:p>
    <w:p w14:paraId="59313FAB">
      <w:pPr>
        <w:pStyle w:val="19"/>
        <w:tabs>
          <w:tab w:val="right" w:leader="dot" w:pos="8787"/>
          <w:tab w:val="clear" w:pos="8539"/>
        </w:tabs>
      </w:pPr>
      <w:r>
        <w:rPr>
          <w:rFonts w:hint="eastAsia" w:ascii="宋体" w:hAnsi="宋体"/>
          <w:szCs w:val="32"/>
          <w:highlight w:val="none"/>
        </w:rPr>
        <w:fldChar w:fldCharType="begin"/>
      </w:r>
      <w:r>
        <w:rPr>
          <w:rFonts w:hint="eastAsia" w:ascii="宋体" w:hAnsi="宋体"/>
          <w:szCs w:val="32"/>
          <w:highlight w:val="none"/>
        </w:rPr>
        <w:instrText xml:space="preserve"> HYPERLINK \l _Toc18012 </w:instrText>
      </w:r>
      <w:r>
        <w:rPr>
          <w:rFonts w:hint="eastAsia" w:ascii="宋体" w:hAnsi="宋体"/>
          <w:szCs w:val="32"/>
          <w:highlight w:val="none"/>
        </w:rPr>
        <w:fldChar w:fldCharType="separate"/>
      </w:r>
      <w:r>
        <w:rPr>
          <w:rFonts w:hint="eastAsia" w:ascii="宋体" w:hAnsi="宋体"/>
          <w:szCs w:val="32"/>
          <w:highlight w:val="none"/>
          <w:lang w:val="en-US" w:eastAsia="zh-CN"/>
        </w:rPr>
        <w:t xml:space="preserve">第六章  </w:t>
      </w:r>
      <w:r>
        <w:rPr>
          <w:rFonts w:hint="eastAsia" w:ascii="宋体" w:hAnsi="宋体"/>
          <w:szCs w:val="32"/>
          <w:highlight w:val="none"/>
        </w:rPr>
        <w:t>开具</w:t>
      </w:r>
      <w:r>
        <w:rPr>
          <w:rFonts w:hint="eastAsia" w:ascii="宋体" w:hAnsi="宋体"/>
          <w:szCs w:val="32"/>
          <w:highlight w:val="none"/>
          <w:lang w:val="en-US" w:eastAsia="zh-CN"/>
        </w:rPr>
        <w:t>服务</w:t>
      </w:r>
      <w:r>
        <w:rPr>
          <w:rFonts w:hint="eastAsia" w:ascii="宋体" w:hAnsi="宋体"/>
          <w:szCs w:val="32"/>
          <w:highlight w:val="none"/>
        </w:rPr>
        <w:t>费发票所需信息</w:t>
      </w:r>
      <w:r>
        <w:rPr>
          <w:rFonts w:hint="eastAsia" w:ascii="宋体" w:hAnsi="宋体"/>
          <w:szCs w:val="32"/>
          <w:highlight w:val="none"/>
        </w:rPr>
        <w:tab/>
      </w:r>
      <w:r>
        <w:rPr>
          <w:rFonts w:hint="eastAsia" w:ascii="宋体" w:hAnsi="宋体"/>
          <w:szCs w:val="32"/>
          <w:highlight w:val="none"/>
        </w:rPr>
        <w:fldChar w:fldCharType="begin"/>
      </w:r>
      <w:r>
        <w:rPr>
          <w:rFonts w:hint="eastAsia" w:ascii="宋体" w:hAnsi="宋体"/>
          <w:szCs w:val="32"/>
          <w:highlight w:val="none"/>
        </w:rPr>
        <w:instrText xml:space="preserve"> PAGEREF _Toc18012 \h </w:instrText>
      </w:r>
      <w:r>
        <w:rPr>
          <w:rFonts w:hint="eastAsia" w:ascii="宋体" w:hAnsi="宋体"/>
          <w:szCs w:val="32"/>
          <w:highlight w:val="none"/>
        </w:rPr>
        <w:fldChar w:fldCharType="separate"/>
      </w:r>
      <w:r>
        <w:rPr>
          <w:rFonts w:hint="eastAsia" w:ascii="宋体" w:hAnsi="宋体"/>
          <w:szCs w:val="32"/>
          <w:highlight w:val="none"/>
        </w:rPr>
        <w:t>19</w:t>
      </w:r>
      <w:r>
        <w:rPr>
          <w:rFonts w:hint="eastAsia" w:ascii="宋体" w:hAnsi="宋体"/>
          <w:szCs w:val="32"/>
          <w:highlight w:val="none"/>
        </w:rPr>
        <w:fldChar w:fldCharType="end"/>
      </w:r>
      <w:r>
        <w:rPr>
          <w:rFonts w:hint="eastAsia" w:ascii="宋体" w:hAnsi="宋体"/>
          <w:szCs w:val="32"/>
          <w:highlight w:val="none"/>
        </w:rPr>
        <w:fldChar w:fldCharType="end"/>
      </w:r>
    </w:p>
    <w:p w14:paraId="22642E44">
      <w:pPr>
        <w:pStyle w:val="19"/>
        <w:tabs>
          <w:tab w:val="right" w:leader="dot" w:pos="8787"/>
          <w:tab w:val="clear" w:pos="8539"/>
        </w:tabs>
        <w:rPr>
          <w:rFonts w:ascii="宋体" w:hAnsi="宋体"/>
          <w:color w:val="auto"/>
          <w:sz w:val="24"/>
          <w:highlight w:val="none"/>
        </w:rPr>
      </w:pPr>
      <w:r>
        <w:rPr>
          <w:rFonts w:ascii="宋体" w:hAnsi="宋体"/>
          <w:color w:val="auto"/>
          <w:highlight w:val="none"/>
        </w:rPr>
        <w:fldChar w:fldCharType="end"/>
      </w:r>
    </w:p>
    <w:p w14:paraId="18092C5B">
      <w:pPr>
        <w:jc w:val="center"/>
        <w:rPr>
          <w:rFonts w:ascii="宋体" w:hAnsi="宋体"/>
          <w:color w:val="auto"/>
          <w:sz w:val="24"/>
          <w:highlight w:val="none"/>
        </w:rPr>
      </w:pPr>
    </w:p>
    <w:p w14:paraId="73B95CB6">
      <w:pPr>
        <w:tabs>
          <w:tab w:val="center" w:pos="4393"/>
        </w:tabs>
        <w:rPr>
          <w:rFonts w:ascii="宋体" w:hAnsi="宋体"/>
          <w:color w:val="auto"/>
          <w:sz w:val="24"/>
          <w:highlight w:val="none"/>
        </w:rPr>
        <w:sectPr>
          <w:headerReference r:id="rId12" w:type="first"/>
          <w:headerReference r:id="rId10" w:type="default"/>
          <w:footerReference r:id="rId13" w:type="default"/>
          <w:headerReference r:id="rId11" w:type="even"/>
          <w:pgSz w:w="11906" w:h="16838"/>
          <w:pgMar w:top="1701" w:right="1418" w:bottom="1418" w:left="1701" w:header="1091" w:footer="753" w:gutter="0"/>
          <w:pgNumType w:start="1"/>
          <w:cols w:space="425" w:num="1"/>
          <w:docGrid w:linePitch="312" w:charSpace="0"/>
        </w:sectPr>
      </w:pPr>
      <w:r>
        <w:rPr>
          <w:rFonts w:ascii="宋体" w:hAnsi="宋体"/>
          <w:color w:val="auto"/>
          <w:sz w:val="24"/>
          <w:highlight w:val="none"/>
        </w:rPr>
        <w:tab/>
      </w:r>
    </w:p>
    <w:p w14:paraId="6FDB8B0F">
      <w:pPr>
        <w:spacing w:before="120" w:after="120"/>
        <w:jc w:val="center"/>
        <w:outlineLvl w:val="0"/>
        <w:rPr>
          <w:rFonts w:ascii="宋体" w:hAnsi="宋体"/>
          <w:b/>
          <w:color w:val="auto"/>
          <w:sz w:val="32"/>
          <w:szCs w:val="32"/>
          <w:highlight w:val="none"/>
        </w:rPr>
      </w:pPr>
      <w:bookmarkStart w:id="0" w:name="_Toc10194"/>
      <w:bookmarkStart w:id="1" w:name="_Toc19899"/>
      <w:bookmarkStart w:id="2" w:name="OLE_LINK2"/>
      <w:bookmarkStart w:id="3" w:name="_Toc145806782"/>
      <w:bookmarkStart w:id="4" w:name="_Toc185037690"/>
      <w:bookmarkStart w:id="5" w:name="_Toc211570245"/>
      <w:bookmarkStart w:id="6" w:name="_Toc156585290"/>
      <w:bookmarkStart w:id="7" w:name="_Toc201565762"/>
      <w:bookmarkStart w:id="8" w:name="_Toc60537380"/>
      <w:r>
        <w:rPr>
          <w:rFonts w:hint="eastAsia" w:ascii="宋体" w:hAnsi="宋体"/>
          <w:b/>
          <w:color w:val="auto"/>
          <w:sz w:val="32"/>
          <w:szCs w:val="32"/>
          <w:highlight w:val="none"/>
        </w:rPr>
        <w:t>第一章  竞价采购公告</w:t>
      </w:r>
      <w:bookmarkEnd w:id="0"/>
      <w:bookmarkEnd w:id="1"/>
    </w:p>
    <w:bookmarkEnd w:id="2"/>
    <w:p w14:paraId="67D217B3">
      <w:pPr>
        <w:ind w:firstLine="480" w:firstLineChars="200"/>
        <w:rPr>
          <w:rFonts w:ascii="宋体" w:hAnsi="宋体"/>
          <w:color w:val="auto"/>
          <w:sz w:val="24"/>
          <w:highlight w:val="none"/>
        </w:rPr>
      </w:pPr>
      <w:bookmarkStart w:id="9" w:name="_Toc77"/>
      <w:bookmarkStart w:id="10" w:name="_Toc79761662"/>
      <w:bookmarkStart w:id="11" w:name="_Toc63587071"/>
      <w:bookmarkStart w:id="12" w:name="_Toc8325"/>
      <w:bookmarkStart w:id="13" w:name="_Toc26836"/>
      <w:bookmarkStart w:id="14" w:name="_Toc15751"/>
      <w:bookmarkStart w:id="15" w:name="OLE_LINK4"/>
      <w:bookmarkStart w:id="16" w:name="OLE_LINK8"/>
      <w:bookmarkStart w:id="17" w:name="OLE_LINK6"/>
      <w:bookmarkStart w:id="18" w:name="OLE_LINK1"/>
      <w:bookmarkStart w:id="19" w:name="OLE_LINK3"/>
      <w:bookmarkStart w:id="20" w:name="OLE_LINK10"/>
      <w:bookmarkStart w:id="21" w:name="OLE_LINK9"/>
      <w:bookmarkStart w:id="22" w:name="OLE_LINK7"/>
      <w:bookmarkStart w:id="23" w:name="OLE_LINK5"/>
      <w:r>
        <w:rPr>
          <w:rFonts w:hint="eastAsia" w:ascii="宋体" w:hAnsi="宋体"/>
          <w:color w:val="auto"/>
          <w:sz w:val="24"/>
          <w:highlight w:val="none"/>
        </w:rPr>
        <w:t>根据《关于加快</w:t>
      </w:r>
      <w:r>
        <w:rPr>
          <w:rFonts w:ascii="宋体" w:hAnsi="宋体"/>
          <w:color w:val="auto"/>
          <w:sz w:val="24"/>
          <w:highlight w:val="none"/>
        </w:rPr>
        <w:t>农村产权交易市场建设推动农村集体资产资源流转全部进场交易的通知</w:t>
      </w:r>
      <w:r>
        <w:rPr>
          <w:rFonts w:hint="eastAsia" w:ascii="宋体" w:hAnsi="宋体"/>
          <w:color w:val="auto"/>
          <w:sz w:val="24"/>
          <w:highlight w:val="none"/>
        </w:rPr>
        <w:t>》《黑龙江省农村产权交易管理办法》</w:t>
      </w:r>
      <w:r>
        <w:rPr>
          <w:rFonts w:hint="eastAsia" w:ascii="宋体" w:hAnsi="宋体"/>
          <w:color w:val="auto"/>
          <w:sz w:val="24"/>
          <w:highlight w:val="none"/>
          <w:lang w:val="en-US" w:eastAsia="zh-CN"/>
        </w:rPr>
        <w:t>及</w:t>
      </w:r>
      <w:r>
        <w:rPr>
          <w:rFonts w:hint="eastAsia" w:ascii="宋体" w:hAnsi="宋体"/>
          <w:color w:val="auto"/>
          <w:sz w:val="24"/>
          <w:highlight w:val="none"/>
          <w:lang w:eastAsia="zh-CN"/>
        </w:rPr>
        <w:t>《</w:t>
      </w:r>
      <w:bookmarkStart w:id="24" w:name="_Toc15737"/>
      <w:r>
        <w:rPr>
          <w:rFonts w:hint="eastAsia" w:ascii="宋体" w:hAnsi="宋体"/>
          <w:color w:val="auto"/>
          <w:sz w:val="24"/>
          <w:highlight w:val="none"/>
          <w:lang w:val="en-US" w:eastAsia="zh-CN"/>
        </w:rPr>
        <w:t>黑龙江省</w:t>
      </w:r>
      <w:r>
        <w:rPr>
          <w:rFonts w:hint="eastAsia" w:ascii="宋体" w:hAnsi="宋体"/>
          <w:color w:val="auto"/>
          <w:sz w:val="24"/>
          <w:highlight w:val="none"/>
          <w:lang w:eastAsia="zh-CN"/>
        </w:rPr>
        <w:t>农村集体经济组织采购服务平台竞价采购实施细则</w:t>
      </w:r>
      <w:bookmarkEnd w:id="24"/>
      <w:r>
        <w:rPr>
          <w:rFonts w:hint="eastAsia" w:ascii="宋体" w:hAnsi="宋体"/>
          <w:color w:val="auto"/>
          <w:sz w:val="24"/>
          <w:highlight w:val="none"/>
          <w:lang w:eastAsia="zh-CN"/>
        </w:rPr>
        <w:t>》</w:t>
      </w:r>
      <w:r>
        <w:rPr>
          <w:rFonts w:hint="eastAsia" w:ascii="宋体" w:hAnsi="宋体"/>
          <w:color w:val="auto"/>
          <w:sz w:val="24"/>
          <w:highlight w:val="none"/>
        </w:rPr>
        <w:t>的有关规定，对</w:t>
      </w:r>
      <w:r>
        <w:rPr>
          <w:rFonts w:hint="eastAsia" w:ascii="宋体" w:hAnsi="宋体"/>
          <w:color w:val="auto"/>
          <w:sz w:val="24"/>
          <w:highlight w:val="none"/>
          <w:lang w:eastAsia="zh-CN"/>
        </w:rPr>
        <w:t>鸡西市鸡冠区西郊乡三合村股份</w:t>
      </w:r>
      <w:r>
        <w:rPr>
          <w:rFonts w:hint="eastAsia" w:ascii="宋体" w:hAnsi="宋体"/>
          <w:color w:val="auto"/>
          <w:sz w:val="24"/>
          <w:highlight w:val="none"/>
        </w:rPr>
        <w:t>经济合作社</w:t>
      </w:r>
      <w:r>
        <w:rPr>
          <w:rFonts w:hint="eastAsia" w:ascii="宋体" w:hAnsi="宋体"/>
          <w:color w:val="auto"/>
          <w:sz w:val="24"/>
          <w:highlight w:val="none"/>
          <w:lang w:val="en-US" w:eastAsia="zh-CN"/>
        </w:rPr>
        <w:t>太阳能</w:t>
      </w:r>
      <w:r>
        <w:rPr>
          <w:rFonts w:hint="eastAsia" w:ascii="宋体" w:hAnsi="宋体"/>
          <w:color w:val="auto"/>
          <w:sz w:val="24"/>
          <w:highlight w:val="none"/>
        </w:rPr>
        <w:t>路灯采购及安装项目进行竞价采购，公告内容如下：</w:t>
      </w:r>
    </w:p>
    <w:p w14:paraId="472E79A5">
      <w:pPr>
        <w:keepNext/>
        <w:keepLines/>
        <w:pageBreakBefore w:val="0"/>
        <w:widowControl w:val="0"/>
        <w:kinsoku/>
        <w:wordWrap/>
        <w:overflowPunct/>
        <w:topLinePunct w:val="0"/>
        <w:autoSpaceDE/>
        <w:autoSpaceDN/>
        <w:bidi w:val="0"/>
        <w:adjustRightInd w:val="0"/>
        <w:ind w:right="0"/>
        <w:textAlignment w:val="baseline"/>
        <w:outlineLvl w:val="1"/>
        <w:rPr>
          <w:rFonts w:ascii="宋体" w:hAnsi="宋体"/>
          <w:b/>
          <w:color w:val="auto"/>
          <w:kern w:val="0"/>
          <w:sz w:val="24"/>
          <w:highlight w:val="none"/>
        </w:rPr>
      </w:pPr>
      <w:r>
        <w:rPr>
          <w:rFonts w:hint="eastAsia" w:ascii="宋体" w:hAnsi="宋体"/>
          <w:b/>
          <w:color w:val="auto"/>
          <w:kern w:val="0"/>
          <w:sz w:val="24"/>
          <w:highlight w:val="none"/>
        </w:rPr>
        <w:t>1</w:t>
      </w:r>
      <w:r>
        <w:rPr>
          <w:rFonts w:ascii="宋体" w:hAnsi="宋体"/>
          <w:b/>
          <w:color w:val="auto"/>
          <w:kern w:val="0"/>
          <w:sz w:val="24"/>
          <w:highlight w:val="none"/>
        </w:rPr>
        <w:t xml:space="preserve">  </w:t>
      </w:r>
      <w:r>
        <w:rPr>
          <w:rFonts w:hint="eastAsia" w:ascii="宋体" w:hAnsi="宋体"/>
          <w:b/>
          <w:color w:val="auto"/>
          <w:kern w:val="0"/>
          <w:sz w:val="24"/>
          <w:highlight w:val="none"/>
        </w:rPr>
        <w:t>采购项目概况</w:t>
      </w:r>
      <w:bookmarkEnd w:id="9"/>
      <w:bookmarkEnd w:id="10"/>
      <w:bookmarkEnd w:id="11"/>
      <w:bookmarkEnd w:id="12"/>
      <w:bookmarkEnd w:id="13"/>
      <w:bookmarkEnd w:id="14"/>
    </w:p>
    <w:p w14:paraId="5F71C486">
      <w:pPr>
        <w:pageBreakBefore w:val="0"/>
        <w:widowControl w:val="0"/>
        <w:numPr>
          <w:ilvl w:val="1"/>
          <w:numId w:val="0"/>
        </w:numPr>
        <w:kinsoku/>
        <w:wordWrap/>
        <w:overflowPunct/>
        <w:topLinePunct w:val="0"/>
        <w:autoSpaceDE/>
        <w:autoSpaceDN/>
        <w:bidi w:val="0"/>
        <w:snapToGrid w:val="0"/>
        <w:ind w:left="0" w:leftChars="0" w:right="0" w:rightChars="0" w:firstLine="0" w:firstLineChars="0"/>
        <w:rPr>
          <w:rFonts w:hint="eastAsia" w:ascii="宋体" w:hAnsi="宋体"/>
          <w:color w:val="auto"/>
          <w:sz w:val="24"/>
          <w:highlight w:val="none"/>
          <w:lang w:eastAsia="zh-CN"/>
        </w:rPr>
      </w:pPr>
      <w:r>
        <w:rPr>
          <w:rFonts w:hint="default" w:ascii="宋体" w:hAnsi="宋体" w:eastAsia="宋体" w:cs="Times New Roman"/>
          <w:color w:val="auto"/>
          <w:kern w:val="2"/>
          <w:sz w:val="24"/>
          <w:szCs w:val="24"/>
          <w:lang w:val="en-US" w:eastAsia="zh-CN" w:bidi="ar-SA"/>
        </w:rPr>
        <w:t>1.1</w:t>
      </w:r>
      <w:r>
        <w:rPr>
          <w:rFonts w:hint="eastAsia" w:ascii="宋体" w:hAnsi="宋体" w:cs="Times New Roman"/>
          <w:color w:val="auto"/>
          <w:kern w:val="2"/>
          <w:sz w:val="24"/>
          <w:szCs w:val="24"/>
          <w:lang w:val="en-US" w:eastAsia="zh-CN" w:bidi="ar-SA"/>
        </w:rPr>
        <w:t xml:space="preserve"> </w:t>
      </w:r>
      <w:r>
        <w:rPr>
          <w:rFonts w:ascii="宋体" w:hAnsi="宋体"/>
          <w:color w:val="auto"/>
          <w:sz w:val="24"/>
          <w:highlight w:val="none"/>
        </w:rPr>
        <w:t xml:space="preserve"> </w:t>
      </w:r>
      <w:r>
        <w:rPr>
          <w:rFonts w:hint="eastAsia" w:ascii="宋体" w:hAnsi="宋体"/>
          <w:color w:val="auto"/>
          <w:sz w:val="24"/>
          <w:highlight w:val="none"/>
        </w:rPr>
        <w:t>项目名称：</w:t>
      </w:r>
      <w:r>
        <w:rPr>
          <w:rFonts w:hint="eastAsia" w:ascii="宋体" w:hAnsi="宋体"/>
          <w:color w:val="auto"/>
          <w:sz w:val="24"/>
          <w:highlight w:val="none"/>
          <w:lang w:eastAsia="zh-CN"/>
        </w:rPr>
        <w:t>鸡西市鸡冠区西郊乡三合村股份</w:t>
      </w:r>
      <w:r>
        <w:rPr>
          <w:rFonts w:hint="eastAsia" w:ascii="宋体" w:hAnsi="宋体"/>
          <w:color w:val="auto"/>
          <w:sz w:val="24"/>
          <w:highlight w:val="none"/>
        </w:rPr>
        <w:t>经济合作社</w:t>
      </w:r>
      <w:r>
        <w:rPr>
          <w:rFonts w:hint="eastAsia" w:ascii="宋体" w:hAnsi="宋体"/>
          <w:color w:val="auto"/>
          <w:sz w:val="24"/>
          <w:highlight w:val="none"/>
          <w:lang w:val="en-US" w:eastAsia="zh-CN"/>
        </w:rPr>
        <w:t>太阳能</w:t>
      </w:r>
      <w:r>
        <w:rPr>
          <w:rFonts w:hint="eastAsia" w:ascii="宋体" w:hAnsi="宋体"/>
          <w:color w:val="auto"/>
          <w:sz w:val="24"/>
          <w:highlight w:val="none"/>
        </w:rPr>
        <w:t>路灯采购及安装项目</w:t>
      </w:r>
    </w:p>
    <w:p w14:paraId="60E3AABF">
      <w:pPr>
        <w:pageBreakBefore w:val="0"/>
        <w:widowControl w:val="0"/>
        <w:numPr>
          <w:ilvl w:val="0"/>
          <w:numId w:val="0"/>
        </w:numPr>
        <w:kinsoku/>
        <w:wordWrap/>
        <w:overflowPunct/>
        <w:topLinePunct w:val="0"/>
        <w:autoSpaceDE/>
        <w:autoSpaceDN/>
        <w:bidi w:val="0"/>
        <w:snapToGrid w:val="0"/>
        <w:ind w:leftChars="0" w:right="0" w:rightChars="0"/>
        <w:rPr>
          <w:rFonts w:hint="eastAsia" w:ascii="宋体" w:hAnsi="宋体" w:eastAsia="宋体"/>
          <w:color w:val="auto"/>
          <w:sz w:val="24"/>
          <w:highlight w:val="none"/>
          <w:u w:val="single"/>
          <w:lang w:eastAsia="zh-CN"/>
        </w:rPr>
      </w:pPr>
      <w:r>
        <w:rPr>
          <w:rFonts w:hint="eastAsia" w:ascii="宋体" w:hAnsi="宋体"/>
          <w:color w:val="auto"/>
          <w:sz w:val="24"/>
          <w:highlight w:val="none"/>
          <w:lang w:val="en-US" w:eastAsia="zh-CN"/>
        </w:rPr>
        <w:t>1.2</w:t>
      </w:r>
      <w:r>
        <w:rPr>
          <w:rFonts w:ascii="宋体" w:hAnsi="宋体"/>
          <w:color w:val="auto"/>
          <w:sz w:val="24"/>
          <w:highlight w:val="none"/>
        </w:rPr>
        <w:t xml:space="preserve">  </w:t>
      </w:r>
      <w:r>
        <w:rPr>
          <w:rFonts w:hint="eastAsia" w:ascii="宋体" w:hAnsi="宋体"/>
          <w:color w:val="auto"/>
          <w:sz w:val="24"/>
          <w:highlight w:val="none"/>
        </w:rPr>
        <w:t>项目编号：JXSJGQ_CQ_2025_S_0784</w:t>
      </w:r>
    </w:p>
    <w:p w14:paraId="69438EB3">
      <w:pPr>
        <w:pageBreakBefore w:val="0"/>
        <w:widowControl w:val="0"/>
        <w:kinsoku/>
        <w:wordWrap/>
        <w:overflowPunct/>
        <w:topLinePunct w:val="0"/>
        <w:autoSpaceDE/>
        <w:autoSpaceDN/>
        <w:bidi w:val="0"/>
        <w:snapToGrid w:val="0"/>
        <w:ind w:right="0"/>
        <w:rPr>
          <w:rFonts w:hint="eastAsia" w:ascii="宋体" w:hAnsi="宋体" w:eastAsia="宋体"/>
          <w:color w:val="auto"/>
          <w:sz w:val="24"/>
          <w:highlight w:val="none"/>
          <w:u w:val="single"/>
          <w:lang w:eastAsia="zh-CN"/>
        </w:rPr>
      </w:pPr>
      <w:r>
        <w:rPr>
          <w:rFonts w:hint="eastAsia" w:ascii="宋体" w:hAnsi="宋体"/>
          <w:color w:val="auto"/>
          <w:sz w:val="24"/>
          <w:highlight w:val="none"/>
        </w:rPr>
        <w:t>1</w:t>
      </w:r>
      <w:r>
        <w:rPr>
          <w:rFonts w:ascii="宋体" w:hAnsi="宋体"/>
          <w:color w:val="auto"/>
          <w:sz w:val="24"/>
          <w:highlight w:val="none"/>
        </w:rPr>
        <w:t xml:space="preserve">.3  </w:t>
      </w:r>
      <w:r>
        <w:rPr>
          <w:rFonts w:hint="eastAsia" w:ascii="宋体" w:hAnsi="宋体"/>
          <w:color w:val="auto"/>
          <w:sz w:val="24"/>
          <w:highlight w:val="none"/>
        </w:rPr>
        <w:t>采 购 人：</w:t>
      </w:r>
      <w:r>
        <w:rPr>
          <w:rFonts w:hint="eastAsia" w:ascii="宋体" w:hAnsi="宋体"/>
          <w:color w:val="auto"/>
          <w:sz w:val="24"/>
          <w:highlight w:val="none"/>
          <w:lang w:eastAsia="zh-CN"/>
        </w:rPr>
        <w:t>鸡西市鸡冠区西郊乡三合村股份</w:t>
      </w:r>
      <w:r>
        <w:rPr>
          <w:rFonts w:hint="eastAsia" w:ascii="宋体" w:hAnsi="宋体"/>
          <w:color w:val="auto"/>
          <w:sz w:val="24"/>
          <w:highlight w:val="none"/>
        </w:rPr>
        <w:t>经济合作社</w:t>
      </w:r>
    </w:p>
    <w:p w14:paraId="2C0C3B07">
      <w:pPr>
        <w:snapToGrid w:val="0"/>
        <w:ind w:right="840"/>
        <w:rPr>
          <w:rFonts w:hint="eastAsia" w:ascii="宋体" w:hAnsi="宋体" w:eastAsia="宋体"/>
          <w:color w:val="auto"/>
          <w:sz w:val="24"/>
          <w:highlight w:val="none"/>
          <w:u w:val="single"/>
          <w:lang w:eastAsia="zh-CN"/>
        </w:rPr>
      </w:pPr>
      <w:r>
        <w:rPr>
          <w:rFonts w:hint="eastAsia" w:ascii="宋体" w:hAnsi="宋体"/>
          <w:color w:val="auto"/>
          <w:sz w:val="24"/>
          <w:highlight w:val="none"/>
        </w:rPr>
        <w:t>1</w:t>
      </w:r>
      <w:r>
        <w:rPr>
          <w:rFonts w:ascii="宋体" w:hAnsi="宋体"/>
          <w:color w:val="auto"/>
          <w:sz w:val="24"/>
          <w:highlight w:val="none"/>
        </w:rPr>
        <w:t xml:space="preserve">.4  </w:t>
      </w:r>
      <w:r>
        <w:rPr>
          <w:rFonts w:hint="eastAsia" w:ascii="宋体" w:hAnsi="宋体"/>
          <w:color w:val="auto"/>
          <w:sz w:val="24"/>
          <w:highlight w:val="none"/>
        </w:rPr>
        <w:t>代理机构：</w:t>
      </w:r>
      <w:r>
        <w:rPr>
          <w:rFonts w:hint="eastAsia" w:ascii="宋体" w:hAnsi="宋体"/>
          <w:color w:val="auto"/>
          <w:sz w:val="24"/>
          <w:highlight w:val="none"/>
          <w:lang w:eastAsia="zh-CN"/>
        </w:rPr>
        <w:t>黑龙江农村产权交易中心有限公司</w:t>
      </w:r>
    </w:p>
    <w:p w14:paraId="75309422">
      <w:pPr>
        <w:snapToGrid w:val="0"/>
        <w:ind w:right="840"/>
        <w:rPr>
          <w:rFonts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 xml:space="preserve">.5  </w:t>
      </w:r>
      <w:r>
        <w:rPr>
          <w:rFonts w:hint="eastAsia" w:ascii="宋体" w:hAnsi="宋体"/>
          <w:color w:val="auto"/>
          <w:sz w:val="24"/>
          <w:highlight w:val="none"/>
        </w:rPr>
        <w:t>采购方式：竞价采购（多次竞价）</w:t>
      </w:r>
    </w:p>
    <w:p w14:paraId="6E22A2B6">
      <w:pPr>
        <w:keepNext w:val="0"/>
        <w:keepLines w:val="0"/>
        <w:pageBreakBefore w:val="0"/>
        <w:widowControl w:val="0"/>
        <w:kinsoku/>
        <w:wordWrap w:val="0"/>
        <w:overflowPunct/>
        <w:topLinePunct w:val="0"/>
        <w:autoSpaceDE/>
        <w:autoSpaceDN/>
        <w:bidi w:val="0"/>
        <w:adjustRightInd/>
        <w:snapToGrid w:val="0"/>
        <w:ind w:right="0"/>
        <w:textAlignment w:val="auto"/>
        <w:rPr>
          <w:rFonts w:hint="eastAsia" w:ascii="宋体" w:hAnsi="宋体" w:eastAsia="宋体"/>
          <w:color w:val="auto"/>
          <w:sz w:val="24"/>
          <w:highlight w:val="none"/>
          <w:lang w:eastAsia="zh-CN"/>
        </w:rPr>
      </w:pPr>
      <w:r>
        <w:rPr>
          <w:rFonts w:hint="eastAsia" w:ascii="宋体" w:hAnsi="宋体"/>
          <w:color w:val="auto"/>
          <w:sz w:val="24"/>
          <w:highlight w:val="none"/>
        </w:rPr>
        <w:t>1</w:t>
      </w:r>
      <w:r>
        <w:rPr>
          <w:rFonts w:ascii="宋体" w:hAnsi="宋体"/>
          <w:color w:val="auto"/>
          <w:sz w:val="24"/>
          <w:highlight w:val="none"/>
        </w:rPr>
        <w:t xml:space="preserve">.6  </w:t>
      </w:r>
      <w:r>
        <w:rPr>
          <w:rFonts w:hint="eastAsia" w:ascii="宋体" w:hAnsi="宋体"/>
          <w:color w:val="auto"/>
          <w:sz w:val="24"/>
          <w:highlight w:val="none"/>
          <w:lang w:val="en-US" w:eastAsia="zh-CN"/>
        </w:rPr>
        <w:t>采购</w:t>
      </w:r>
      <w:r>
        <w:rPr>
          <w:rFonts w:hint="eastAsia" w:ascii="宋体" w:hAnsi="宋体"/>
          <w:color w:val="auto"/>
          <w:sz w:val="24"/>
          <w:highlight w:val="none"/>
        </w:rPr>
        <w:t>预算</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最高限价</w:t>
      </w:r>
      <w:r>
        <w:rPr>
          <w:rFonts w:hint="eastAsia" w:ascii="宋体" w:hAnsi="宋体"/>
          <w:color w:val="auto"/>
          <w:sz w:val="24"/>
          <w:highlight w:val="none"/>
          <w:lang w:eastAsia="zh-CN"/>
        </w:rPr>
        <w:t>）</w:t>
      </w:r>
      <w:r>
        <w:rPr>
          <w:rFonts w:hint="eastAsia" w:ascii="宋体" w:hAnsi="宋体"/>
          <w:color w:val="auto"/>
          <w:sz w:val="24"/>
          <w:highlight w:val="none"/>
        </w:rPr>
        <w:t>：331716</w:t>
      </w:r>
      <w:r>
        <w:rPr>
          <w:rFonts w:hint="eastAsia" w:ascii="宋体" w:hAnsi="宋体"/>
          <w:color w:val="auto"/>
          <w:sz w:val="24"/>
          <w:highlight w:val="none"/>
          <w:lang w:val="en-US" w:eastAsia="zh-CN"/>
        </w:rPr>
        <w:t>.00元</w:t>
      </w:r>
      <w:r>
        <w:rPr>
          <w:rFonts w:hint="eastAsia" w:ascii="宋体" w:hAnsi="宋体"/>
          <w:color w:val="auto"/>
          <w:sz w:val="24"/>
          <w:highlight w:val="none"/>
          <w:lang w:eastAsia="zh-CN"/>
        </w:rPr>
        <w:t>（含税金、含运输、装卸安装等</w:t>
      </w:r>
      <w:r>
        <w:rPr>
          <w:rFonts w:hint="eastAsia" w:ascii="宋体" w:hAnsi="宋体"/>
          <w:color w:val="auto"/>
          <w:sz w:val="24"/>
          <w:highlight w:val="none"/>
          <w:lang w:val="en-US" w:eastAsia="zh-CN"/>
        </w:rPr>
        <w:t>一切费用</w:t>
      </w:r>
      <w:r>
        <w:rPr>
          <w:rFonts w:hint="eastAsia" w:ascii="宋体" w:hAnsi="宋体"/>
          <w:color w:val="auto"/>
          <w:sz w:val="24"/>
          <w:highlight w:val="none"/>
          <w:lang w:eastAsia="zh-CN"/>
        </w:rPr>
        <w:t>）</w:t>
      </w:r>
    </w:p>
    <w:p w14:paraId="67B1A963">
      <w:pPr>
        <w:snapToGrid w:val="0"/>
        <w:ind w:right="-58"/>
        <w:rPr>
          <w:rFonts w:ascii="宋体" w:hAnsi="宋体"/>
          <w:color w:val="auto"/>
          <w:sz w:val="24"/>
          <w:highlight w:val="none"/>
          <w:u w:val="single"/>
        </w:rPr>
      </w:pPr>
      <w:r>
        <w:rPr>
          <w:rFonts w:hint="eastAsia" w:ascii="宋体" w:hAnsi="宋体"/>
          <w:color w:val="auto"/>
          <w:sz w:val="24"/>
          <w:highlight w:val="none"/>
        </w:rPr>
        <w:t>1</w:t>
      </w:r>
      <w:r>
        <w:rPr>
          <w:rFonts w:ascii="宋体" w:hAnsi="宋体"/>
          <w:color w:val="auto"/>
          <w:sz w:val="24"/>
          <w:highlight w:val="none"/>
        </w:rPr>
        <w:t xml:space="preserve">.7  </w:t>
      </w:r>
      <w:r>
        <w:rPr>
          <w:rFonts w:hint="eastAsia" w:ascii="宋体" w:hAnsi="宋体"/>
          <w:color w:val="auto"/>
          <w:sz w:val="24"/>
          <w:highlight w:val="none"/>
        </w:rPr>
        <w:t>资金落实情况：已落实</w:t>
      </w:r>
      <w:r>
        <w:rPr>
          <w:rFonts w:ascii="宋体" w:hAnsi="宋体"/>
          <w:color w:val="auto"/>
          <w:sz w:val="24"/>
          <w:highlight w:val="none"/>
        </w:rPr>
        <w:t xml:space="preserve">                            </w:t>
      </w:r>
    </w:p>
    <w:p w14:paraId="4FB29A99">
      <w:pPr>
        <w:keepNext w:val="0"/>
        <w:keepLines w:val="0"/>
        <w:pageBreakBefore w:val="0"/>
        <w:widowControl w:val="0"/>
        <w:kinsoku/>
        <w:wordWrap w:val="0"/>
        <w:overflowPunct/>
        <w:topLinePunct w:val="0"/>
        <w:autoSpaceDE/>
        <w:autoSpaceDN/>
        <w:bidi w:val="0"/>
        <w:adjustRightInd/>
        <w:snapToGrid w:val="0"/>
        <w:textAlignment w:val="auto"/>
        <w:rPr>
          <w:rFonts w:ascii="宋体" w:hAnsi="宋体"/>
          <w:color w:val="auto"/>
          <w:sz w:val="24"/>
          <w:highlight w:val="none"/>
        </w:rPr>
      </w:pPr>
      <w:r>
        <w:rPr>
          <w:rFonts w:hint="eastAsia" w:ascii="宋体" w:hAnsi="宋体"/>
          <w:color w:val="auto"/>
          <w:sz w:val="24"/>
          <w:highlight w:val="none"/>
        </w:rPr>
        <w:t>1.8</w:t>
      </w:r>
      <w:r>
        <w:rPr>
          <w:rFonts w:ascii="宋体" w:hAnsi="宋体"/>
          <w:color w:val="auto"/>
          <w:sz w:val="24"/>
          <w:highlight w:val="none"/>
        </w:rPr>
        <w:t xml:space="preserve">  </w:t>
      </w:r>
      <w:r>
        <w:rPr>
          <w:rFonts w:hint="eastAsia" w:ascii="宋体" w:hAnsi="宋体"/>
          <w:color w:val="auto"/>
          <w:sz w:val="24"/>
          <w:highlight w:val="none"/>
        </w:rPr>
        <w:t>电子竞价平台和网址：黑龙江省农村</w:t>
      </w:r>
      <w:r>
        <w:rPr>
          <w:rFonts w:hint="eastAsia" w:ascii="宋体" w:hAnsi="宋体"/>
          <w:color w:val="auto"/>
          <w:sz w:val="24"/>
          <w:highlight w:val="none"/>
          <w:lang w:val="en-US" w:eastAsia="zh-CN"/>
        </w:rPr>
        <w:t>集体</w:t>
      </w:r>
      <w:r>
        <w:rPr>
          <w:rFonts w:hint="eastAsia" w:ascii="宋体" w:hAnsi="宋体"/>
          <w:color w:val="auto"/>
          <w:sz w:val="24"/>
          <w:highlight w:val="none"/>
        </w:rPr>
        <w:t>产权交易平台（http:</w:t>
      </w:r>
      <w:r>
        <w:rPr>
          <w:rFonts w:hint="eastAsia" w:ascii="宋体" w:hAnsi="宋体"/>
          <w:color w:val="auto"/>
          <w:sz w:val="24"/>
          <w:highlight w:val="none"/>
          <w:lang w:val="en-US" w:eastAsia="zh-CN"/>
        </w:rPr>
        <w:t>//</w:t>
      </w:r>
      <w:r>
        <w:rPr>
          <w:rFonts w:hint="eastAsia" w:ascii="宋体" w:hAnsi="宋体"/>
          <w:color w:val="auto"/>
          <w:sz w:val="24"/>
          <w:highlight w:val="none"/>
        </w:rPr>
        <w:t>www.hljnjzx.com）</w:t>
      </w:r>
    </w:p>
    <w:p w14:paraId="69F696A8">
      <w:pPr>
        <w:snapToGrid w:val="0"/>
        <w:spacing w:before="240" w:beforeLines="100"/>
        <w:ind w:right="839"/>
        <w:rPr>
          <w:rFonts w:ascii="宋体" w:hAnsi="宋体"/>
          <w:b/>
          <w:color w:val="auto"/>
          <w:sz w:val="24"/>
          <w:highlight w:val="none"/>
        </w:rPr>
      </w:pPr>
      <w:r>
        <w:rPr>
          <w:rFonts w:ascii="宋体" w:hAnsi="宋体"/>
          <w:b/>
          <w:color w:val="auto"/>
          <w:sz w:val="24"/>
          <w:highlight w:val="none"/>
        </w:rPr>
        <w:t xml:space="preserve">2  </w:t>
      </w:r>
      <w:r>
        <w:rPr>
          <w:rFonts w:hint="eastAsia" w:ascii="宋体" w:hAnsi="宋体"/>
          <w:b/>
          <w:color w:val="auto"/>
          <w:sz w:val="24"/>
          <w:highlight w:val="none"/>
        </w:rPr>
        <w:t>采购内容及相关要求</w:t>
      </w:r>
    </w:p>
    <w:p w14:paraId="71218CEA">
      <w:pPr>
        <w:pStyle w:val="154"/>
        <w:ind w:left="0" w:leftChars="0" w:firstLine="0" w:firstLineChars="0"/>
        <w:rPr>
          <w:rFonts w:hint="default" w:ascii="宋体" w:hAnsi="宋体"/>
          <w:sz w:val="24"/>
          <w:highlight w:val="none"/>
          <w:lang w:val="en-US" w:eastAsia="zh-CN"/>
        </w:rPr>
      </w:pPr>
      <w:r>
        <w:rPr>
          <w:rFonts w:hint="eastAsia" w:ascii="宋体" w:hAnsi="宋体"/>
          <w:sz w:val="24"/>
          <w:highlight w:val="none"/>
          <w:lang w:val="en-US" w:eastAsia="zh-CN"/>
        </w:rPr>
        <w:t>2.</w:t>
      </w:r>
      <w:r>
        <w:rPr>
          <w:rFonts w:hint="eastAsia" w:hAnsi="宋体"/>
          <w:sz w:val="24"/>
          <w:highlight w:val="none"/>
          <w:lang w:val="en-US" w:eastAsia="zh-CN"/>
        </w:rPr>
        <w:t>1</w:t>
      </w:r>
      <w:r>
        <w:rPr>
          <w:rFonts w:hint="eastAsia" w:ascii="宋体" w:hAnsi="宋体"/>
          <w:sz w:val="24"/>
          <w:highlight w:val="none"/>
          <w:lang w:val="en-US" w:eastAsia="zh-CN"/>
        </w:rPr>
        <w:t xml:space="preserve">  </w:t>
      </w:r>
      <w:r>
        <w:rPr>
          <w:rFonts w:hint="eastAsia" w:ascii="宋体" w:hAnsi="宋体"/>
          <w:sz w:val="24"/>
          <w:highlight w:val="none"/>
        </w:rPr>
        <w:t>采购内容</w:t>
      </w:r>
      <w:r>
        <w:rPr>
          <w:rFonts w:hint="default" w:ascii="宋体" w:hAnsi="宋体"/>
          <w:sz w:val="24"/>
          <w:highlight w:val="none"/>
          <w:lang w:val="en-US" w:eastAsia="zh-CN"/>
        </w:rPr>
        <w:t>：</w:t>
      </w:r>
      <w:r>
        <w:rPr>
          <w:rFonts w:hint="eastAsia"/>
          <w:lang w:val="en-US" w:eastAsia="zh-CN"/>
        </w:rPr>
        <w:t>太阳能路灯/100盏</w:t>
      </w:r>
    </w:p>
    <w:p w14:paraId="5CE9C12B">
      <w:pPr>
        <w:pStyle w:val="154"/>
        <w:ind w:left="0" w:leftChars="0" w:firstLine="0" w:firstLineChars="0"/>
        <w:rPr>
          <w:rFonts w:hint="eastAsia" w:ascii="宋体" w:hAnsi="宋体"/>
          <w:sz w:val="24"/>
          <w:highlight w:val="none"/>
          <w:lang w:eastAsia="zh-CN"/>
        </w:rPr>
      </w:pPr>
      <w:r>
        <w:rPr>
          <w:rFonts w:hint="eastAsia" w:ascii="宋体" w:hAnsi="宋体"/>
          <w:sz w:val="24"/>
          <w:highlight w:val="none"/>
          <w:lang w:val="en-US" w:eastAsia="zh-CN"/>
        </w:rPr>
        <w:t>2.</w:t>
      </w:r>
      <w:r>
        <w:rPr>
          <w:rFonts w:hint="eastAsia" w:hAnsi="宋体"/>
          <w:sz w:val="24"/>
          <w:highlight w:val="none"/>
          <w:lang w:val="en-US" w:eastAsia="zh-CN"/>
        </w:rPr>
        <w:t>2</w:t>
      </w:r>
      <w:r>
        <w:rPr>
          <w:rFonts w:hint="eastAsia" w:ascii="宋体" w:hAnsi="宋体"/>
          <w:sz w:val="24"/>
          <w:highlight w:val="none"/>
          <w:lang w:val="en-US" w:eastAsia="zh-CN"/>
        </w:rPr>
        <w:t xml:space="preserve">  </w:t>
      </w:r>
      <w:r>
        <w:rPr>
          <w:rFonts w:hint="eastAsia" w:ascii="宋体" w:hAnsi="宋体"/>
          <w:sz w:val="24"/>
          <w:highlight w:val="none"/>
          <w:lang w:eastAsia="zh-CN"/>
        </w:rPr>
        <w:t>交 货 期：</w:t>
      </w:r>
      <w:r>
        <w:rPr>
          <w:rFonts w:hint="eastAsia"/>
        </w:rPr>
        <w:t>合同签订后15日内送货</w:t>
      </w:r>
      <w:r>
        <w:rPr>
          <w:rFonts w:hint="eastAsia"/>
          <w:lang w:eastAsia="zh-CN"/>
        </w:rPr>
        <w:t>，</w:t>
      </w:r>
      <w:r>
        <w:rPr>
          <w:rFonts w:hint="eastAsia"/>
          <w:lang w:val="en-US" w:eastAsia="zh-CN"/>
        </w:rPr>
        <w:t>90日历天内安装完成。</w:t>
      </w:r>
    </w:p>
    <w:p w14:paraId="71991348">
      <w:pPr>
        <w:snapToGrid w:val="0"/>
        <w:ind w:right="-58"/>
        <w:rPr>
          <w:rFonts w:hint="eastAsia" w:ascii="宋体" w:hAnsi="宋体" w:eastAsia="宋体" w:cs="仿宋"/>
          <w:color w:val="auto"/>
          <w:sz w:val="24"/>
          <w:highlight w:val="none"/>
          <w:lang w:eastAsia="zh-CN"/>
        </w:rPr>
      </w:pPr>
      <w:r>
        <w:rPr>
          <w:rFonts w:hint="eastAsia" w:ascii="宋体" w:hAnsi="宋体"/>
          <w:sz w:val="24"/>
          <w:highlight w:val="none"/>
        </w:rPr>
        <w:t>2.</w:t>
      </w:r>
      <w:r>
        <w:rPr>
          <w:rFonts w:hint="eastAsia" w:ascii="宋体" w:hAnsi="宋体"/>
          <w:sz w:val="24"/>
          <w:highlight w:val="none"/>
          <w:lang w:val="en-US" w:eastAsia="zh-CN"/>
        </w:rPr>
        <w:t>3</w:t>
      </w:r>
      <w:r>
        <w:rPr>
          <w:rFonts w:hint="eastAsia" w:ascii="宋体" w:hAnsi="宋体"/>
          <w:sz w:val="24"/>
          <w:highlight w:val="none"/>
        </w:rPr>
        <w:t xml:space="preserve">  </w:t>
      </w:r>
      <w:r>
        <w:rPr>
          <w:rFonts w:hint="eastAsia" w:ascii="宋体" w:hAnsi="宋体" w:cs="仿宋"/>
          <w:color w:val="auto"/>
          <w:sz w:val="24"/>
          <w:highlight w:val="none"/>
          <w:lang w:val="en-US" w:eastAsia="zh-CN"/>
        </w:rPr>
        <w:t>交货</w:t>
      </w:r>
      <w:r>
        <w:rPr>
          <w:rFonts w:hint="eastAsia" w:ascii="宋体" w:hAnsi="宋体" w:cs="仿宋"/>
          <w:color w:val="auto"/>
          <w:sz w:val="24"/>
          <w:highlight w:val="none"/>
        </w:rPr>
        <w:t>地点：</w:t>
      </w:r>
      <w:r>
        <w:rPr>
          <w:rFonts w:hint="eastAsia" w:ascii="宋体" w:hAnsi="宋体"/>
          <w:color w:val="auto"/>
          <w:sz w:val="24"/>
          <w:highlight w:val="none"/>
          <w:lang w:val="en-US" w:eastAsia="zh-CN"/>
        </w:rPr>
        <w:t>采购人指定地点</w:t>
      </w:r>
    </w:p>
    <w:p w14:paraId="360A28DE">
      <w:pPr>
        <w:snapToGrid w:val="0"/>
        <w:ind w:right="-58"/>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lang w:val="en-US" w:eastAsia="zh-CN"/>
        </w:rPr>
        <w:t>4</w:t>
      </w:r>
      <w:r>
        <w:rPr>
          <w:rFonts w:ascii="宋体" w:hAnsi="宋体"/>
          <w:color w:val="auto"/>
          <w:sz w:val="24"/>
          <w:highlight w:val="none"/>
        </w:rPr>
        <w:t xml:space="preserve">  </w:t>
      </w:r>
      <w:r>
        <w:rPr>
          <w:rFonts w:hint="eastAsia" w:ascii="宋体" w:hAnsi="宋体"/>
          <w:color w:val="auto"/>
          <w:sz w:val="24"/>
          <w:highlight w:val="none"/>
        </w:rPr>
        <w:t>付款方式：</w:t>
      </w:r>
      <w:r>
        <w:rPr>
          <w:rFonts w:hint="eastAsia" w:ascii="宋体" w:hAnsi="宋体"/>
          <w:color w:val="auto"/>
          <w:sz w:val="24"/>
          <w:highlight w:val="none"/>
          <w:lang w:val="en-US" w:eastAsia="zh-CN"/>
        </w:rPr>
        <w:t>合同签订后，支付</w:t>
      </w:r>
      <w:r>
        <w:rPr>
          <w:rFonts w:hint="eastAsia" w:ascii="宋体" w:hAnsi="宋体"/>
          <w:color w:val="auto"/>
          <w:sz w:val="24"/>
          <w:highlight w:val="none"/>
        </w:rPr>
        <w:t>合同金额的</w:t>
      </w:r>
      <w:r>
        <w:rPr>
          <w:rFonts w:hint="eastAsia" w:ascii="宋体" w:hAnsi="宋体"/>
          <w:color w:val="auto"/>
          <w:sz w:val="24"/>
          <w:highlight w:val="none"/>
          <w:lang w:val="en-US" w:eastAsia="zh-CN"/>
        </w:rPr>
        <w:t>30</w:t>
      </w:r>
      <w:r>
        <w:rPr>
          <w:rFonts w:hint="eastAsia" w:ascii="宋体" w:hAnsi="宋体"/>
          <w:color w:val="auto"/>
          <w:sz w:val="24"/>
          <w:highlight w:val="none"/>
        </w:rPr>
        <w:t>%作为预付款，</w:t>
      </w:r>
      <w:r>
        <w:rPr>
          <w:rFonts w:hint="eastAsia" w:ascii="宋体" w:hAnsi="宋体"/>
          <w:color w:val="auto"/>
          <w:sz w:val="24"/>
          <w:highlight w:val="none"/>
          <w:lang w:eastAsia="zh-CN"/>
        </w:rPr>
        <w:t>到货后支付合同</w:t>
      </w:r>
      <w:r>
        <w:rPr>
          <w:rFonts w:hint="eastAsia" w:ascii="宋体" w:hAnsi="宋体"/>
          <w:color w:val="auto"/>
          <w:sz w:val="24"/>
          <w:highlight w:val="none"/>
          <w:lang w:val="en-US" w:eastAsia="zh-CN"/>
        </w:rPr>
        <w:t>金额的40%，</w:t>
      </w:r>
      <w:r>
        <w:rPr>
          <w:rFonts w:hint="eastAsia" w:ascii="宋体" w:hAnsi="宋体"/>
          <w:color w:val="auto"/>
          <w:sz w:val="24"/>
          <w:highlight w:val="none"/>
        </w:rPr>
        <w:t>安装完成并验收合格后支付合同金额的</w:t>
      </w:r>
      <w:r>
        <w:rPr>
          <w:rFonts w:hint="eastAsia" w:ascii="宋体" w:hAnsi="宋体"/>
          <w:color w:val="auto"/>
          <w:sz w:val="24"/>
          <w:highlight w:val="none"/>
          <w:lang w:val="en-US" w:eastAsia="zh-CN"/>
        </w:rPr>
        <w:t>27</w:t>
      </w:r>
      <w:r>
        <w:rPr>
          <w:rFonts w:hint="eastAsia" w:ascii="宋体" w:hAnsi="宋体"/>
          <w:color w:val="auto"/>
          <w:sz w:val="24"/>
          <w:highlight w:val="none"/>
        </w:rPr>
        <w:t>%</w:t>
      </w:r>
      <w:r>
        <w:rPr>
          <w:rFonts w:hint="eastAsia" w:ascii="宋体" w:hAnsi="宋体"/>
          <w:color w:val="auto"/>
          <w:sz w:val="24"/>
          <w:highlight w:val="none"/>
          <w:lang w:eastAsia="zh-CN"/>
        </w:rPr>
        <w:t>，剩余</w:t>
      </w:r>
      <w:r>
        <w:rPr>
          <w:rFonts w:hint="eastAsia" w:ascii="宋体" w:hAnsi="宋体"/>
          <w:color w:val="auto"/>
          <w:sz w:val="24"/>
          <w:highlight w:val="none"/>
          <w:lang w:val="en-US" w:eastAsia="zh-CN"/>
        </w:rPr>
        <w:t>3%质保金，</w:t>
      </w:r>
      <w:r>
        <w:rPr>
          <w:rFonts w:hint="eastAsia" w:ascii="宋体" w:hAnsi="宋体"/>
          <w:color w:val="auto"/>
          <w:sz w:val="24"/>
          <w:highlight w:val="none"/>
          <w:lang w:eastAsia="zh-CN"/>
        </w:rPr>
        <w:t>验收合格后一年内无质量问题返还质保金，</w:t>
      </w:r>
      <w:r>
        <w:rPr>
          <w:rFonts w:hint="eastAsia" w:ascii="宋体" w:hAnsi="宋体"/>
          <w:color w:val="auto"/>
          <w:sz w:val="24"/>
          <w:highlight w:val="none"/>
          <w:lang w:val="en-US" w:eastAsia="zh-CN"/>
        </w:rPr>
        <w:t>成交供应商必须提供等额的普通发票，且发票明细需与本项目相关</w:t>
      </w:r>
      <w:r>
        <w:rPr>
          <w:rFonts w:hint="eastAsia" w:ascii="宋体" w:hAnsi="宋体"/>
          <w:color w:val="auto"/>
          <w:sz w:val="24"/>
          <w:highlight w:val="none"/>
          <w:lang w:eastAsia="zh-CN"/>
        </w:rPr>
        <w:t>。</w:t>
      </w:r>
    </w:p>
    <w:p w14:paraId="2BC46A8C">
      <w:pPr>
        <w:snapToGrid w:val="0"/>
        <w:ind w:right="-58"/>
        <w:rPr>
          <w:rFonts w:hint="default" w:ascii="宋体" w:hAnsi="宋体"/>
          <w:color w:val="auto"/>
          <w:sz w:val="24"/>
          <w:highlight w:val="none"/>
          <w:lang w:val="en-US" w:eastAsia="zh-CN"/>
        </w:rPr>
      </w:pPr>
      <w:r>
        <w:rPr>
          <w:rFonts w:hint="eastAsia" w:ascii="宋体" w:hAnsi="宋体"/>
          <w:color w:val="auto"/>
          <w:sz w:val="24"/>
          <w:highlight w:val="none"/>
          <w:lang w:val="en-US" w:eastAsia="zh-CN"/>
        </w:rPr>
        <w:t>2.5  质保期：1年。</w:t>
      </w:r>
    </w:p>
    <w:p w14:paraId="4F2171C3">
      <w:pPr>
        <w:keepNext w:val="0"/>
        <w:keepLines w:val="0"/>
        <w:pageBreakBefore w:val="0"/>
        <w:widowControl w:val="0"/>
        <w:kinsoku/>
        <w:wordWrap/>
        <w:overflowPunct/>
        <w:topLinePunct w:val="0"/>
        <w:autoSpaceDE/>
        <w:autoSpaceDN/>
        <w:bidi w:val="0"/>
        <w:adjustRightInd/>
        <w:snapToGrid w:val="0"/>
        <w:ind w:right="0" w:firstLine="0" w:firstLineChars="0"/>
        <w:textAlignment w:val="auto"/>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  资格审查方式：资格后审。</w:t>
      </w:r>
    </w:p>
    <w:p w14:paraId="411F5C9D">
      <w:pPr>
        <w:keepNext w:val="0"/>
        <w:keepLines w:val="0"/>
        <w:pageBreakBefore w:val="0"/>
        <w:widowControl w:val="0"/>
        <w:kinsoku/>
        <w:wordWrap/>
        <w:overflowPunct/>
        <w:topLinePunct w:val="0"/>
        <w:autoSpaceDE/>
        <w:autoSpaceDN/>
        <w:bidi w:val="0"/>
        <w:adjustRightInd/>
        <w:snapToGrid w:val="0"/>
        <w:ind w:right="0" w:firstLine="0" w:firstLineChars="0"/>
        <w:textAlignment w:val="auto"/>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  其他：无。</w:t>
      </w:r>
    </w:p>
    <w:p w14:paraId="7BDDD114">
      <w:pPr>
        <w:tabs>
          <w:tab w:val="center" w:pos="3974"/>
        </w:tabs>
        <w:snapToGrid w:val="0"/>
        <w:spacing w:before="360" w:beforeLines="150"/>
        <w:ind w:right="839"/>
        <w:rPr>
          <w:rFonts w:ascii="宋体" w:hAnsi="宋体"/>
          <w:b/>
          <w:color w:val="auto"/>
          <w:sz w:val="24"/>
          <w:highlight w:val="none"/>
        </w:rPr>
      </w:pPr>
      <w:r>
        <w:rPr>
          <w:rFonts w:hint="eastAsia" w:ascii="宋体" w:hAnsi="宋体"/>
          <w:b/>
          <w:color w:val="auto"/>
          <w:sz w:val="24"/>
          <w:highlight w:val="none"/>
        </w:rPr>
        <w:t>3</w:t>
      </w:r>
      <w:r>
        <w:rPr>
          <w:rFonts w:ascii="宋体" w:hAnsi="宋体"/>
          <w:b/>
          <w:color w:val="auto"/>
          <w:sz w:val="24"/>
          <w:highlight w:val="none"/>
        </w:rPr>
        <w:t xml:space="preserve">  </w:t>
      </w:r>
      <w:r>
        <w:rPr>
          <w:rFonts w:hint="eastAsia" w:ascii="宋体" w:hAnsi="宋体"/>
          <w:b/>
          <w:color w:val="auto"/>
          <w:sz w:val="24"/>
          <w:highlight w:val="none"/>
        </w:rPr>
        <w:t>意向供应商资格要求：</w:t>
      </w:r>
      <w:r>
        <w:rPr>
          <w:rFonts w:ascii="宋体" w:hAnsi="宋体"/>
          <w:b/>
          <w:color w:val="auto"/>
          <w:sz w:val="24"/>
          <w:highlight w:val="none"/>
        </w:rPr>
        <w:tab/>
      </w:r>
    </w:p>
    <w:p w14:paraId="1B33EA05">
      <w:pPr>
        <w:snapToGrid w:val="0"/>
        <w:rPr>
          <w:color w:val="auto"/>
          <w:sz w:val="24"/>
          <w:highlight w:val="none"/>
        </w:rPr>
      </w:pPr>
      <w:r>
        <w:rPr>
          <w:rFonts w:ascii="宋体" w:hAnsi="宋体" w:cs="仿宋"/>
          <w:color w:val="auto"/>
          <w:sz w:val="24"/>
          <w:highlight w:val="none"/>
        </w:rPr>
        <w:t>3.1</w:t>
      </w:r>
      <w:r>
        <w:rPr>
          <w:color w:val="auto"/>
          <w:sz w:val="24"/>
          <w:highlight w:val="none"/>
        </w:rPr>
        <w:t xml:space="preserve">  </w:t>
      </w:r>
      <w:r>
        <w:rPr>
          <w:rFonts w:hint="eastAsia"/>
          <w:color w:val="auto"/>
          <w:sz w:val="24"/>
          <w:highlight w:val="none"/>
        </w:rPr>
        <w:t>意向供应商应依法设立且满足以下要求：</w:t>
      </w:r>
    </w:p>
    <w:bookmarkEnd w:id="15"/>
    <w:bookmarkEnd w:id="16"/>
    <w:bookmarkEnd w:id="17"/>
    <w:bookmarkEnd w:id="18"/>
    <w:bookmarkEnd w:id="19"/>
    <w:p w14:paraId="14E25AF5">
      <w:pPr>
        <w:snapToGrid w:val="0"/>
        <w:spacing w:before="240" w:beforeLines="100"/>
        <w:rPr>
          <w:rFonts w:hint="eastAsia" w:ascii="宋体" w:hAnsi="宋体"/>
          <w:b w:val="0"/>
          <w:bCs/>
          <w:color w:val="auto"/>
          <w:sz w:val="24"/>
          <w:highlight w:val="none"/>
        </w:rPr>
      </w:pPr>
      <w:r>
        <w:rPr>
          <w:rFonts w:hint="eastAsia" w:ascii="宋体" w:hAnsi="宋体"/>
          <w:b w:val="0"/>
          <w:bCs/>
          <w:color w:val="auto"/>
          <w:sz w:val="24"/>
          <w:highlight w:val="none"/>
        </w:rPr>
        <w:t>（1）意向供应商须具有独立法人资格，提供有效营业执照、税务登记证、组织机构代码证或统一社会信用代码的营业执照（提供原件扫描件加盖公章）具备</w:t>
      </w:r>
      <w:r>
        <w:rPr>
          <w:rFonts w:hint="eastAsia" w:ascii="宋体" w:hAnsi="宋体"/>
          <w:b w:val="0"/>
          <w:bCs/>
          <w:color w:val="auto"/>
          <w:sz w:val="24"/>
          <w:highlight w:val="none"/>
          <w:lang w:val="en-US" w:eastAsia="zh-CN"/>
        </w:rPr>
        <w:t>建设工程施工，太阳能发电技术服务、技术开发、普通机械设备安装服务等相关经营范围</w:t>
      </w:r>
      <w:r>
        <w:rPr>
          <w:rFonts w:hint="eastAsia" w:ascii="宋体" w:hAnsi="宋体"/>
          <w:b w:val="0"/>
          <w:bCs/>
          <w:color w:val="auto"/>
          <w:sz w:val="24"/>
          <w:highlight w:val="none"/>
        </w:rPr>
        <w:t>。并在人员、设备、资金等方面具有相应的履约能力。</w:t>
      </w:r>
    </w:p>
    <w:p w14:paraId="599501A2">
      <w:pPr>
        <w:snapToGrid w:val="0"/>
        <w:spacing w:before="240" w:beforeLines="100"/>
        <w:rPr>
          <w:rFonts w:hint="eastAsia" w:ascii="宋体" w:hAnsi="宋体"/>
          <w:b w:val="0"/>
          <w:bCs/>
          <w:color w:val="auto"/>
          <w:sz w:val="24"/>
          <w:highlight w:val="none"/>
        </w:rPr>
      </w:pPr>
      <w:r>
        <w:rPr>
          <w:rFonts w:hint="eastAsia" w:ascii="宋体" w:hAnsi="宋体"/>
          <w:b w:val="0"/>
          <w:bCs/>
          <w:color w:val="auto"/>
          <w:sz w:val="24"/>
          <w:highlight w:val="none"/>
        </w:rPr>
        <w:t>（2）意向供应商须是所供品牌生产厂家或其授权的经销商/代理商（提供授权协议原件扫描件加盖公章）。</w:t>
      </w:r>
    </w:p>
    <w:p w14:paraId="6034E79A">
      <w:pPr>
        <w:snapToGrid w:val="0"/>
        <w:spacing w:before="240" w:beforeLines="100"/>
        <w:rPr>
          <w:rFonts w:hint="eastAsia" w:ascii="宋体" w:hAnsi="宋体"/>
          <w:b w:val="0"/>
          <w:bCs/>
          <w:color w:val="auto"/>
          <w:sz w:val="24"/>
          <w:highlight w:val="none"/>
        </w:rPr>
      </w:pPr>
      <w:r>
        <w:rPr>
          <w:rFonts w:hint="eastAsia" w:ascii="宋体" w:hAnsi="宋体"/>
          <w:b w:val="0"/>
          <w:bCs/>
          <w:color w:val="auto"/>
          <w:sz w:val="24"/>
          <w:highlight w:val="none"/>
        </w:rPr>
        <w:t>（3）意向供应商需提供国家太阳能光伏产品质量检验检测中心出具灯头检测报告（光通量执行标准按照GB/T24824-2029标准</w:t>
      </w:r>
      <w:r>
        <w:rPr>
          <w:rFonts w:hint="eastAsia" w:ascii="宋体" w:hAnsi="宋体"/>
          <w:b w:val="0"/>
          <w:bCs/>
          <w:color w:val="auto"/>
          <w:sz w:val="24"/>
          <w:highlight w:val="none"/>
          <w:lang w:eastAsia="zh-CN"/>
        </w:rPr>
        <w:t>，</w:t>
      </w:r>
      <w:r>
        <w:rPr>
          <w:rFonts w:hint="eastAsia" w:ascii="宋体" w:hAnsi="宋体"/>
          <w:b w:val="0"/>
          <w:bCs/>
          <w:color w:val="auto"/>
          <w:sz w:val="24"/>
          <w:highlight w:val="none"/>
        </w:rPr>
        <w:t>要求进行测试，使用分布光度计测量样品的光通量）并上传检测报告，不上传不予通过审核（提供</w:t>
      </w:r>
      <w:r>
        <w:rPr>
          <w:rFonts w:hint="eastAsia" w:ascii="宋体" w:hAnsi="宋体"/>
          <w:b w:val="0"/>
          <w:bCs/>
          <w:color w:val="auto"/>
          <w:sz w:val="24"/>
          <w:highlight w:val="none"/>
          <w:lang w:val="en-US" w:eastAsia="zh-CN"/>
        </w:rPr>
        <w:t>检测</w:t>
      </w:r>
      <w:r>
        <w:rPr>
          <w:rFonts w:hint="eastAsia" w:ascii="宋体" w:hAnsi="宋体"/>
          <w:b w:val="0"/>
          <w:bCs/>
          <w:color w:val="auto"/>
          <w:sz w:val="24"/>
          <w:highlight w:val="none"/>
        </w:rPr>
        <w:t>报告</w:t>
      </w:r>
      <w:r>
        <w:rPr>
          <w:rFonts w:hint="eastAsia" w:ascii="宋体" w:hAnsi="宋体"/>
          <w:b w:val="0"/>
          <w:bCs/>
          <w:color w:val="auto"/>
          <w:sz w:val="24"/>
          <w:highlight w:val="none"/>
          <w:lang w:val="en-US" w:eastAsia="zh-CN"/>
        </w:rPr>
        <w:t>原</w:t>
      </w:r>
      <w:r>
        <w:rPr>
          <w:rFonts w:hint="eastAsia" w:ascii="宋体" w:hAnsi="宋体"/>
          <w:b w:val="0"/>
          <w:bCs/>
          <w:color w:val="auto"/>
          <w:sz w:val="24"/>
          <w:highlight w:val="none"/>
        </w:rPr>
        <w:t>件</w:t>
      </w:r>
      <w:r>
        <w:rPr>
          <w:rFonts w:hint="eastAsia" w:ascii="宋体" w:hAnsi="宋体"/>
          <w:b w:val="0"/>
          <w:bCs/>
          <w:color w:val="auto"/>
          <w:sz w:val="24"/>
          <w:highlight w:val="none"/>
          <w:lang w:val="en-US" w:eastAsia="zh-CN"/>
        </w:rPr>
        <w:t>扫描件</w:t>
      </w:r>
      <w:r>
        <w:rPr>
          <w:rFonts w:hint="eastAsia" w:ascii="宋体" w:hAnsi="宋体"/>
          <w:b w:val="0"/>
          <w:bCs/>
          <w:color w:val="auto"/>
          <w:sz w:val="24"/>
          <w:highlight w:val="none"/>
        </w:rPr>
        <w:t>加盖公章）</w:t>
      </w:r>
    </w:p>
    <w:p w14:paraId="4A839D31">
      <w:pPr>
        <w:snapToGrid w:val="0"/>
        <w:spacing w:before="240" w:beforeLines="100"/>
        <w:rPr>
          <w:rFonts w:hint="eastAsia" w:ascii="宋体" w:hAnsi="宋体"/>
          <w:b w:val="0"/>
          <w:bCs/>
          <w:color w:val="auto"/>
          <w:sz w:val="24"/>
          <w:highlight w:val="none"/>
        </w:rPr>
      </w:pPr>
      <w:r>
        <w:rPr>
          <w:rFonts w:hint="eastAsia" w:ascii="宋体" w:hAnsi="宋体"/>
          <w:b w:val="0"/>
          <w:bCs/>
          <w:color w:val="auto"/>
          <w:sz w:val="24"/>
          <w:highlight w:val="none"/>
        </w:rPr>
        <w:t>（</w:t>
      </w:r>
      <w:r>
        <w:rPr>
          <w:rFonts w:hint="eastAsia" w:ascii="宋体" w:hAnsi="宋体"/>
          <w:b w:val="0"/>
          <w:bCs/>
          <w:color w:val="auto"/>
          <w:sz w:val="24"/>
          <w:highlight w:val="none"/>
          <w:lang w:val="en-US" w:eastAsia="zh-CN"/>
        </w:rPr>
        <w:t>4</w:t>
      </w:r>
      <w:r>
        <w:rPr>
          <w:rFonts w:hint="eastAsia" w:ascii="宋体" w:hAnsi="宋体"/>
          <w:b w:val="0"/>
          <w:bCs/>
          <w:color w:val="auto"/>
          <w:sz w:val="24"/>
          <w:highlight w:val="none"/>
        </w:rPr>
        <w:t>）放弃成交或采购人审核结论为不合格的成交供应商报价无效，其交纳的采购保证金不予退还并作为违约金，代理机构留取成交服务费后，剩余部分违约金转至采购人指定账户</w:t>
      </w:r>
    </w:p>
    <w:p w14:paraId="72C34C24">
      <w:pPr>
        <w:snapToGrid w:val="0"/>
        <w:spacing w:before="240" w:beforeLines="100"/>
        <w:rPr>
          <w:rFonts w:hint="eastAsia" w:ascii="宋体" w:hAnsi="宋体"/>
          <w:b w:val="0"/>
          <w:bCs/>
          <w:color w:val="auto"/>
          <w:sz w:val="24"/>
          <w:highlight w:val="none"/>
          <w:lang w:eastAsia="zh-CN"/>
        </w:rPr>
      </w:pPr>
      <w:r>
        <w:rPr>
          <w:rFonts w:hint="eastAsia" w:ascii="宋体" w:hAnsi="宋体"/>
          <w:b w:val="0"/>
          <w:bCs/>
          <w:color w:val="auto"/>
          <w:sz w:val="24"/>
          <w:highlight w:val="none"/>
        </w:rPr>
        <w:t>（</w:t>
      </w:r>
      <w:r>
        <w:rPr>
          <w:rFonts w:hint="eastAsia" w:ascii="宋体" w:hAnsi="宋体"/>
          <w:b w:val="0"/>
          <w:bCs/>
          <w:color w:val="auto"/>
          <w:sz w:val="24"/>
          <w:highlight w:val="none"/>
          <w:lang w:val="en-US" w:eastAsia="zh-CN"/>
        </w:rPr>
        <w:t>5</w:t>
      </w:r>
      <w:r>
        <w:rPr>
          <w:rFonts w:hint="eastAsia" w:ascii="宋体" w:hAnsi="宋体"/>
          <w:b w:val="0"/>
          <w:bCs/>
          <w:color w:val="auto"/>
          <w:sz w:val="24"/>
          <w:highlight w:val="none"/>
        </w:rPr>
        <w:t>）意向供应商应报名需与采购人联系咨询村里路灯安装情况（因村里安装现场特殊，有高压线，有电话线，有大石头，进车困难，路比较窄等，看基础情况，影响安装的因素</w:t>
      </w:r>
      <w:r>
        <w:rPr>
          <w:rFonts w:hint="eastAsia" w:ascii="宋体" w:hAnsi="宋体"/>
          <w:b w:val="0"/>
          <w:bCs/>
          <w:color w:val="auto"/>
          <w:sz w:val="24"/>
          <w:highlight w:val="none"/>
          <w:lang w:eastAsia="zh-CN"/>
        </w:rPr>
        <w:t>，</w:t>
      </w:r>
      <w:r>
        <w:rPr>
          <w:rFonts w:hint="eastAsia" w:ascii="宋体" w:hAnsi="宋体"/>
          <w:b w:val="0"/>
          <w:bCs/>
          <w:color w:val="auto"/>
          <w:sz w:val="24"/>
          <w:highlight w:val="none"/>
        </w:rPr>
        <w:t>确保路灯安装后全部正常使用，供应商与村老百姓发生纠纷，需自行解决</w:t>
      </w:r>
      <w:r>
        <w:rPr>
          <w:rFonts w:hint="eastAsia" w:ascii="宋体" w:hAnsi="宋体"/>
          <w:b w:val="0"/>
          <w:bCs/>
          <w:color w:val="auto"/>
          <w:sz w:val="24"/>
          <w:highlight w:val="none"/>
          <w:lang w:eastAsia="zh-CN"/>
        </w:rPr>
        <w:t>。</w:t>
      </w:r>
    </w:p>
    <w:p w14:paraId="590E743E">
      <w:pPr>
        <w:snapToGrid w:val="0"/>
        <w:spacing w:before="240" w:beforeLines="100"/>
        <w:rPr>
          <w:rFonts w:hint="eastAsia" w:ascii="宋体" w:hAnsi="宋体"/>
          <w:b w:val="0"/>
          <w:bCs/>
          <w:color w:val="auto"/>
          <w:sz w:val="24"/>
          <w:highlight w:val="none"/>
          <w:lang w:val="en-US" w:eastAsia="zh-CN"/>
        </w:rPr>
      </w:pPr>
      <w:r>
        <w:rPr>
          <w:rFonts w:hint="eastAsia" w:ascii="宋体" w:hAnsi="宋体"/>
          <w:b w:val="0"/>
          <w:bCs/>
          <w:color w:val="auto"/>
          <w:sz w:val="24"/>
          <w:highlight w:val="none"/>
        </w:rPr>
        <w:t>（</w:t>
      </w:r>
      <w:r>
        <w:rPr>
          <w:rFonts w:hint="eastAsia" w:ascii="宋体" w:hAnsi="宋体"/>
          <w:b w:val="0"/>
          <w:bCs/>
          <w:color w:val="auto"/>
          <w:sz w:val="24"/>
          <w:highlight w:val="none"/>
          <w:lang w:val="en-US" w:eastAsia="zh-CN"/>
        </w:rPr>
        <w:t>6</w:t>
      </w:r>
      <w:r>
        <w:rPr>
          <w:rFonts w:hint="eastAsia" w:ascii="宋体" w:hAnsi="宋体"/>
          <w:b w:val="0"/>
          <w:bCs/>
          <w:color w:val="auto"/>
          <w:sz w:val="24"/>
          <w:highlight w:val="none"/>
        </w:rPr>
        <w:t>）意向供应商保证产品质量合格，如产品不合格，采购人有权要求更换</w:t>
      </w:r>
      <w:r>
        <w:rPr>
          <w:rFonts w:hint="eastAsia" w:ascii="宋体" w:hAnsi="宋体"/>
          <w:b w:val="0"/>
          <w:bCs/>
          <w:color w:val="auto"/>
          <w:sz w:val="24"/>
          <w:highlight w:val="none"/>
          <w:lang w:eastAsia="zh-CN"/>
        </w:rPr>
        <w:t>，</w:t>
      </w:r>
      <w:r>
        <w:rPr>
          <w:rFonts w:hint="eastAsia" w:ascii="宋体" w:hAnsi="宋体"/>
          <w:b w:val="0"/>
          <w:bCs/>
          <w:color w:val="auto"/>
          <w:sz w:val="24"/>
          <w:highlight w:val="none"/>
        </w:rPr>
        <w:t>中标</w:t>
      </w:r>
      <w:r>
        <w:rPr>
          <w:rFonts w:hint="eastAsia" w:ascii="宋体" w:hAnsi="宋体"/>
          <w:b w:val="0"/>
          <w:bCs/>
          <w:color w:val="auto"/>
          <w:sz w:val="24"/>
          <w:highlight w:val="none"/>
          <w:lang w:val="en-US" w:eastAsia="zh-CN"/>
        </w:rPr>
        <w:t>公示期满后</w:t>
      </w:r>
      <w:r>
        <w:rPr>
          <w:rFonts w:hint="eastAsia" w:ascii="宋体" w:hAnsi="宋体"/>
          <w:b w:val="0"/>
          <w:bCs/>
          <w:color w:val="auto"/>
          <w:sz w:val="24"/>
          <w:highlight w:val="none"/>
        </w:rPr>
        <w:t>与采购人签订合同.满足1-</w:t>
      </w:r>
      <w:r>
        <w:rPr>
          <w:rFonts w:hint="eastAsia" w:ascii="宋体" w:hAnsi="宋体"/>
          <w:b w:val="0"/>
          <w:bCs/>
          <w:color w:val="auto"/>
          <w:sz w:val="24"/>
          <w:highlight w:val="none"/>
          <w:lang w:val="en-US" w:eastAsia="zh-CN"/>
        </w:rPr>
        <w:t>6.</w:t>
      </w:r>
    </w:p>
    <w:p w14:paraId="4A3EC8A9">
      <w:pPr>
        <w:snapToGrid w:val="0"/>
        <w:spacing w:before="240" w:beforeLines="100"/>
        <w:rPr>
          <w:rFonts w:hint="eastAsia" w:ascii="宋体" w:hAnsi="宋体"/>
          <w:b w:val="0"/>
          <w:bCs/>
          <w:color w:val="auto"/>
          <w:sz w:val="24"/>
          <w:highlight w:val="none"/>
          <w:lang w:val="en-US" w:eastAsia="zh-CN"/>
        </w:rPr>
      </w:pPr>
      <w:r>
        <w:rPr>
          <w:rFonts w:hint="eastAsia" w:ascii="宋体" w:hAnsi="宋体"/>
          <w:b w:val="0"/>
          <w:bCs/>
          <w:color w:val="auto"/>
          <w:sz w:val="24"/>
          <w:highlight w:val="none"/>
          <w:lang w:val="en-US" w:eastAsia="zh-CN"/>
        </w:rPr>
        <w:t>（7）本项目要求与采购人存在利害关系可能影响采购公正性的法人、其他组织或者个人，不得参加。单位负责人为同一人或者存在控股、管理关系的不同单位，不得同时参加同一标段或者未划分标段的同一项目。</w:t>
      </w:r>
    </w:p>
    <w:p w14:paraId="77B0633A">
      <w:pPr>
        <w:snapToGrid w:val="0"/>
        <w:spacing w:before="240" w:beforeLines="100"/>
        <w:rPr>
          <w:rFonts w:hint="eastAsia" w:ascii="宋体" w:hAnsi="宋体"/>
          <w:b w:val="0"/>
          <w:bCs/>
          <w:color w:val="auto"/>
          <w:sz w:val="24"/>
          <w:highlight w:val="none"/>
          <w:lang w:val="en-US" w:eastAsia="zh-CN"/>
        </w:rPr>
      </w:pPr>
      <w:r>
        <w:rPr>
          <w:rFonts w:hint="eastAsia" w:ascii="宋体" w:hAnsi="宋体"/>
          <w:b w:val="0"/>
          <w:bCs/>
          <w:color w:val="auto"/>
          <w:sz w:val="24"/>
          <w:highlight w:val="none"/>
          <w:lang w:val="en-US" w:eastAsia="zh-CN"/>
        </w:rPr>
        <w:t>（8） 本项目不接受联合体参加。</w:t>
      </w:r>
    </w:p>
    <w:p w14:paraId="7FF8BA50">
      <w:pPr>
        <w:snapToGrid w:val="0"/>
        <w:spacing w:before="240" w:beforeLines="100"/>
        <w:rPr>
          <w:rFonts w:ascii="宋体" w:hAnsi="宋体"/>
          <w:b/>
          <w:color w:val="auto"/>
          <w:sz w:val="24"/>
          <w:highlight w:val="none"/>
        </w:rPr>
      </w:pPr>
      <w:r>
        <w:rPr>
          <w:rFonts w:hint="eastAsia" w:ascii="宋体" w:hAnsi="宋体"/>
          <w:b/>
          <w:color w:val="auto"/>
          <w:sz w:val="24"/>
          <w:highlight w:val="none"/>
        </w:rPr>
        <w:t>4</w:t>
      </w:r>
      <w:r>
        <w:rPr>
          <w:rFonts w:ascii="宋体" w:hAnsi="宋体"/>
          <w:b/>
          <w:color w:val="auto"/>
          <w:sz w:val="24"/>
          <w:highlight w:val="none"/>
        </w:rPr>
        <w:t xml:space="preserve">  </w:t>
      </w:r>
      <w:r>
        <w:rPr>
          <w:rFonts w:hint="eastAsia" w:ascii="宋体" w:hAnsi="宋体"/>
          <w:b/>
          <w:color w:val="auto"/>
          <w:sz w:val="24"/>
          <w:highlight w:val="none"/>
        </w:rPr>
        <w:t>采购文件的获取</w:t>
      </w:r>
    </w:p>
    <w:p w14:paraId="32590D1C">
      <w:pPr>
        <w:keepNext w:val="0"/>
        <w:keepLines w:val="0"/>
        <w:pageBreakBefore w:val="0"/>
        <w:widowControl w:val="0"/>
        <w:kinsoku/>
        <w:wordWrap w:val="0"/>
        <w:overflowPunct/>
        <w:topLinePunct w:val="0"/>
        <w:autoSpaceDE/>
        <w:autoSpaceDN/>
        <w:bidi w:val="0"/>
        <w:adjustRightInd/>
        <w:snapToGrid w:val="0"/>
        <w:ind w:firstLine="480" w:firstLineChars="200"/>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凡有意参加的供应商，请于</w:t>
      </w:r>
      <w:r>
        <w:rPr>
          <w:rFonts w:hint="eastAsia" w:ascii="宋体" w:hAnsi="宋体" w:cs="宋体"/>
          <w:i w:val="0"/>
          <w:iCs w:val="0"/>
          <w:caps w:val="0"/>
          <w:color w:val="333333"/>
          <w:spacing w:val="0"/>
          <w:sz w:val="24"/>
          <w:szCs w:val="24"/>
          <w:shd w:val="clear" w:fill="FFFFFF"/>
          <w:lang w:eastAsia="zh-CN"/>
        </w:rPr>
        <w:t>2025年</w:t>
      </w:r>
      <w:r>
        <w:rPr>
          <w:rFonts w:hint="eastAsia" w:ascii="宋体" w:hAnsi="宋体" w:cs="宋体"/>
          <w:i w:val="0"/>
          <w:iCs w:val="0"/>
          <w:caps w:val="0"/>
          <w:color w:val="333333"/>
          <w:spacing w:val="0"/>
          <w:sz w:val="24"/>
          <w:szCs w:val="24"/>
          <w:shd w:val="clear" w:fill="FFFFFF"/>
          <w:lang w:val="en-US" w:eastAsia="zh-CN"/>
        </w:rPr>
        <w:t>7</w:t>
      </w:r>
      <w:r>
        <w:rPr>
          <w:rFonts w:hint="eastAsia" w:ascii="宋体" w:hAnsi="宋体" w:cs="宋体"/>
          <w:i w:val="0"/>
          <w:iCs w:val="0"/>
          <w:caps w:val="0"/>
          <w:color w:val="333333"/>
          <w:spacing w:val="0"/>
          <w:sz w:val="24"/>
          <w:szCs w:val="24"/>
          <w:shd w:val="clear" w:fill="FFFFFF"/>
          <w:lang w:eastAsia="zh-CN"/>
        </w:rPr>
        <w:t>月</w:t>
      </w:r>
      <w:r>
        <w:rPr>
          <w:rFonts w:hint="eastAsia" w:ascii="宋体" w:hAnsi="宋体" w:cs="宋体"/>
          <w:i w:val="0"/>
          <w:iCs w:val="0"/>
          <w:caps w:val="0"/>
          <w:color w:val="333333"/>
          <w:spacing w:val="0"/>
          <w:sz w:val="24"/>
          <w:szCs w:val="24"/>
          <w:shd w:val="clear" w:fill="FFFFFF"/>
          <w:lang w:val="en-US" w:eastAsia="zh-CN"/>
        </w:rPr>
        <w:t>31</w:t>
      </w:r>
      <w:r>
        <w:rPr>
          <w:rFonts w:hint="eastAsia" w:ascii="宋体" w:hAnsi="宋体" w:cs="宋体"/>
          <w:i w:val="0"/>
          <w:iCs w:val="0"/>
          <w:caps w:val="0"/>
          <w:color w:val="333333"/>
          <w:spacing w:val="0"/>
          <w:sz w:val="24"/>
          <w:szCs w:val="24"/>
          <w:shd w:val="clear" w:fill="FFFFFF"/>
          <w:lang w:eastAsia="zh-CN"/>
        </w:rPr>
        <w:t>日</w:t>
      </w:r>
      <w:r>
        <w:rPr>
          <w:rFonts w:hint="eastAsia" w:ascii="宋体" w:hAnsi="宋体" w:eastAsia="宋体" w:cs="宋体"/>
          <w:i w:val="0"/>
          <w:iCs w:val="0"/>
          <w:caps w:val="0"/>
          <w:color w:val="333333"/>
          <w:spacing w:val="0"/>
          <w:sz w:val="24"/>
          <w:szCs w:val="24"/>
          <w:shd w:val="clear" w:fill="FFFFFF"/>
        </w:rPr>
        <w:t>9:00至</w:t>
      </w:r>
      <w:r>
        <w:rPr>
          <w:rFonts w:hint="eastAsia" w:ascii="宋体" w:hAnsi="宋体" w:cs="宋体"/>
          <w:i w:val="0"/>
          <w:iCs w:val="0"/>
          <w:caps w:val="0"/>
          <w:color w:val="333333"/>
          <w:spacing w:val="0"/>
          <w:sz w:val="24"/>
          <w:szCs w:val="24"/>
          <w:shd w:val="clear" w:fill="FFFFFF"/>
          <w:lang w:eastAsia="zh-CN"/>
        </w:rPr>
        <w:t>2025年</w:t>
      </w:r>
      <w:r>
        <w:rPr>
          <w:rFonts w:hint="eastAsia" w:ascii="宋体" w:hAnsi="宋体" w:cs="宋体"/>
          <w:i w:val="0"/>
          <w:iCs w:val="0"/>
          <w:caps w:val="0"/>
          <w:color w:val="333333"/>
          <w:spacing w:val="0"/>
          <w:sz w:val="24"/>
          <w:szCs w:val="24"/>
          <w:shd w:val="clear" w:fill="FFFFFF"/>
          <w:lang w:val="en-US" w:eastAsia="zh-CN"/>
        </w:rPr>
        <w:t>8</w:t>
      </w:r>
      <w:r>
        <w:rPr>
          <w:rFonts w:hint="eastAsia" w:ascii="宋体" w:hAnsi="宋体" w:cs="宋体"/>
          <w:i w:val="0"/>
          <w:iCs w:val="0"/>
          <w:caps w:val="0"/>
          <w:color w:val="333333"/>
          <w:spacing w:val="0"/>
          <w:sz w:val="24"/>
          <w:szCs w:val="24"/>
          <w:shd w:val="clear" w:fill="FFFFFF"/>
          <w:lang w:eastAsia="zh-CN"/>
        </w:rPr>
        <w:t>月</w:t>
      </w:r>
      <w:r>
        <w:rPr>
          <w:rFonts w:hint="eastAsia" w:ascii="宋体" w:hAnsi="宋体" w:cs="宋体"/>
          <w:i w:val="0"/>
          <w:iCs w:val="0"/>
          <w:caps w:val="0"/>
          <w:color w:val="333333"/>
          <w:spacing w:val="0"/>
          <w:sz w:val="24"/>
          <w:szCs w:val="24"/>
          <w:shd w:val="clear" w:fill="FFFFFF"/>
          <w:lang w:val="en-US" w:eastAsia="zh-CN"/>
        </w:rPr>
        <w:t>4</w:t>
      </w:r>
      <w:r>
        <w:rPr>
          <w:rFonts w:hint="eastAsia" w:ascii="宋体" w:hAnsi="宋体" w:cs="宋体"/>
          <w:i w:val="0"/>
          <w:iCs w:val="0"/>
          <w:caps w:val="0"/>
          <w:color w:val="333333"/>
          <w:spacing w:val="0"/>
          <w:sz w:val="24"/>
          <w:szCs w:val="24"/>
          <w:shd w:val="clear" w:fill="FFFFFF"/>
          <w:lang w:eastAsia="zh-CN"/>
        </w:rPr>
        <w:t>日</w:t>
      </w:r>
      <w:r>
        <w:rPr>
          <w:rFonts w:hint="eastAsia" w:ascii="宋体" w:hAnsi="宋体" w:eastAsia="宋体" w:cs="宋体"/>
          <w:i w:val="0"/>
          <w:iCs w:val="0"/>
          <w:caps w:val="0"/>
          <w:color w:val="333333"/>
          <w:spacing w:val="0"/>
          <w:sz w:val="24"/>
          <w:szCs w:val="24"/>
          <w:shd w:val="clear" w:fill="FFFFFF"/>
        </w:rPr>
        <w:t>16:00（北京时间）登录</w:t>
      </w:r>
      <w:r>
        <w:rPr>
          <w:rFonts w:hint="eastAsia" w:ascii="宋体" w:hAnsi="宋体"/>
          <w:color w:val="auto"/>
          <w:sz w:val="24"/>
          <w:highlight w:val="none"/>
        </w:rPr>
        <w:t>黑龙江省农村</w:t>
      </w:r>
      <w:r>
        <w:rPr>
          <w:rFonts w:hint="eastAsia" w:ascii="宋体" w:hAnsi="宋体"/>
          <w:color w:val="auto"/>
          <w:sz w:val="24"/>
          <w:highlight w:val="none"/>
          <w:lang w:val="en-US" w:eastAsia="zh-CN"/>
        </w:rPr>
        <w:t>集体</w:t>
      </w:r>
      <w:r>
        <w:rPr>
          <w:rFonts w:hint="eastAsia" w:ascii="宋体" w:hAnsi="宋体"/>
          <w:color w:val="auto"/>
          <w:sz w:val="24"/>
          <w:highlight w:val="none"/>
        </w:rPr>
        <w:t>产权交易平台</w:t>
      </w:r>
      <w:r>
        <w:rPr>
          <w:rFonts w:hint="eastAsia" w:ascii="宋体" w:hAnsi="宋体"/>
          <w:color w:val="auto"/>
          <w:sz w:val="24"/>
          <w:highlight w:val="none"/>
          <w:lang w:val="en-US" w:eastAsia="zh-CN"/>
        </w:rPr>
        <w:t>（www.hljnjzx.com）</w:t>
      </w:r>
      <w:r>
        <w:rPr>
          <w:rFonts w:hint="eastAsia" w:ascii="宋体" w:hAnsi="宋体" w:eastAsia="宋体" w:cs="宋体"/>
          <w:i w:val="0"/>
          <w:iCs w:val="0"/>
          <w:caps w:val="0"/>
          <w:color w:val="333333"/>
          <w:spacing w:val="0"/>
          <w:sz w:val="24"/>
          <w:szCs w:val="24"/>
          <w:shd w:val="clear" w:fill="FFFFFF"/>
        </w:rPr>
        <w:t>，按要求进行实名会员注册及选择项目报名、获取采购文件。</w:t>
      </w:r>
      <w:r>
        <w:rPr>
          <w:rFonts w:hint="eastAsia" w:ascii="宋体" w:hAnsi="宋体" w:cs="宋体"/>
          <w:i w:val="0"/>
          <w:iCs w:val="0"/>
          <w:caps w:val="0"/>
          <w:color w:val="333333"/>
          <w:spacing w:val="0"/>
          <w:sz w:val="24"/>
          <w:szCs w:val="24"/>
          <w:shd w:val="clear" w:color="auto" w:fill="FFFFFF"/>
          <w:lang w:eastAsia="zh-CN"/>
        </w:rPr>
        <w:t>（采购文件详见公告附件）</w:t>
      </w:r>
      <w:r>
        <w:rPr>
          <w:rFonts w:hint="eastAsia" w:ascii="宋体" w:hAnsi="宋体" w:eastAsia="宋体" w:cs="宋体"/>
          <w:i w:val="0"/>
          <w:iCs w:val="0"/>
          <w:caps w:val="0"/>
          <w:color w:val="333333"/>
          <w:spacing w:val="0"/>
          <w:sz w:val="24"/>
          <w:szCs w:val="24"/>
          <w:shd w:val="clear" w:color="auto" w:fill="FFFFFF"/>
        </w:rPr>
        <w:t>。</w:t>
      </w:r>
    </w:p>
    <w:p w14:paraId="79181184">
      <w:pPr>
        <w:snapToGrid w:val="0"/>
        <w:ind w:firstLine="482" w:firstLineChars="200"/>
        <w:rPr>
          <w:rFonts w:hint="eastAsia" w:ascii="宋体" w:hAnsi="宋体"/>
          <w:color w:val="auto"/>
          <w:sz w:val="24"/>
          <w:highlight w:val="none"/>
        </w:rPr>
      </w:pPr>
      <w:r>
        <w:rPr>
          <w:rFonts w:hint="eastAsia" w:ascii="宋体" w:hAnsi="宋体" w:eastAsia="宋体" w:cs="宋体"/>
          <w:b/>
          <w:bCs/>
          <w:i w:val="0"/>
          <w:iCs w:val="0"/>
          <w:caps w:val="0"/>
          <w:color w:val="333333"/>
          <w:spacing w:val="0"/>
          <w:sz w:val="24"/>
          <w:szCs w:val="24"/>
          <w:shd w:val="clear" w:fill="FFFFFF"/>
          <w:lang w:val="en-US" w:eastAsia="zh-CN"/>
        </w:rPr>
        <w:t>注：</w:t>
      </w:r>
      <w:r>
        <w:rPr>
          <w:rFonts w:hint="eastAsia" w:ascii="宋体" w:hAnsi="宋体"/>
          <w:b/>
          <w:bCs/>
          <w:color w:val="auto"/>
          <w:sz w:val="24"/>
          <w:highlight w:val="none"/>
          <w:lang w:eastAsia="zh-CN"/>
        </w:rPr>
        <w:t>审核人选择“</w:t>
      </w:r>
      <w:r>
        <w:rPr>
          <w:rFonts w:hint="eastAsia" w:ascii="宋体" w:hAnsi="宋体"/>
          <w:b/>
          <w:bCs/>
          <w:color w:val="auto"/>
          <w:sz w:val="24"/>
          <w:highlight w:val="none"/>
          <w:lang w:val="en-US" w:eastAsia="zh-CN"/>
        </w:rPr>
        <w:t>郭娜</w:t>
      </w:r>
      <w:r>
        <w:rPr>
          <w:rFonts w:hint="eastAsia" w:ascii="宋体" w:hAnsi="宋体"/>
          <w:b/>
          <w:bCs/>
          <w:color w:val="auto"/>
          <w:sz w:val="24"/>
          <w:highlight w:val="none"/>
          <w:lang w:eastAsia="zh-CN"/>
        </w:rPr>
        <w:t>”。</w:t>
      </w:r>
      <w:r>
        <w:rPr>
          <w:rFonts w:hint="eastAsia" w:ascii="宋体" w:hAnsi="宋体" w:eastAsia="宋体" w:cs="宋体"/>
          <w:b/>
          <w:bCs/>
          <w:i w:val="0"/>
          <w:iCs w:val="0"/>
          <w:caps w:val="0"/>
          <w:color w:val="333333"/>
          <w:spacing w:val="0"/>
          <w:sz w:val="24"/>
          <w:szCs w:val="24"/>
          <w:shd w:val="clear" w:fill="FFFFFF"/>
        </w:rPr>
        <w:t>采购文件线上免费获取，</w:t>
      </w:r>
      <w:r>
        <w:rPr>
          <w:rFonts w:hint="eastAsia" w:ascii="宋体" w:hAnsi="宋体" w:eastAsia="宋体" w:cs="宋体"/>
          <w:b/>
          <w:bCs/>
          <w:i w:val="0"/>
          <w:iCs w:val="0"/>
          <w:caps w:val="0"/>
          <w:color w:val="333333"/>
          <w:spacing w:val="0"/>
          <w:sz w:val="24"/>
          <w:szCs w:val="24"/>
          <w:shd w:val="clear" w:fill="FFFFFF"/>
          <w:lang w:val="en-US" w:eastAsia="zh-CN"/>
        </w:rPr>
        <w:t>在项目网站公告附件处自行</w:t>
      </w:r>
      <w:r>
        <w:rPr>
          <w:rFonts w:hint="eastAsia" w:ascii="宋体" w:hAnsi="宋体" w:eastAsia="宋体" w:cs="宋体"/>
          <w:b/>
          <w:bCs/>
          <w:i w:val="0"/>
          <w:iCs w:val="0"/>
          <w:caps w:val="0"/>
          <w:color w:val="333333"/>
          <w:spacing w:val="0"/>
          <w:sz w:val="24"/>
          <w:szCs w:val="24"/>
          <w:shd w:val="clear" w:fill="FFFFFF"/>
        </w:rPr>
        <w:t>下载采购文件。本项目无需供应商办理CA锁。</w:t>
      </w:r>
    </w:p>
    <w:p w14:paraId="3792D9ED">
      <w:pPr>
        <w:snapToGrid w:val="0"/>
        <w:spacing w:before="240" w:beforeLines="100"/>
        <w:rPr>
          <w:rFonts w:ascii="宋体" w:hAnsi="宋体"/>
          <w:b/>
          <w:color w:val="auto"/>
          <w:sz w:val="24"/>
          <w:highlight w:val="none"/>
        </w:rPr>
      </w:pPr>
      <w:r>
        <w:rPr>
          <w:rFonts w:hint="eastAsia" w:ascii="宋体" w:hAnsi="宋体"/>
          <w:b/>
          <w:color w:val="auto"/>
          <w:sz w:val="24"/>
          <w:highlight w:val="none"/>
        </w:rPr>
        <w:t>5</w:t>
      </w:r>
      <w:r>
        <w:rPr>
          <w:rFonts w:ascii="宋体" w:hAnsi="宋体"/>
          <w:b/>
          <w:color w:val="auto"/>
          <w:sz w:val="24"/>
          <w:highlight w:val="none"/>
        </w:rPr>
        <w:t xml:space="preserve">  </w:t>
      </w:r>
      <w:r>
        <w:rPr>
          <w:rFonts w:hint="eastAsia" w:ascii="宋体" w:hAnsi="宋体"/>
          <w:b/>
          <w:color w:val="auto"/>
          <w:sz w:val="24"/>
          <w:highlight w:val="none"/>
        </w:rPr>
        <w:t>采购保证金</w:t>
      </w:r>
    </w:p>
    <w:p w14:paraId="42A52893">
      <w:pPr>
        <w:snapToGrid w:val="0"/>
        <w:ind w:right="-58"/>
        <w:outlineLvl w:val="9"/>
        <w:rPr>
          <w:rFonts w:ascii="宋体" w:hAnsi="宋体"/>
          <w:color w:val="auto"/>
          <w:sz w:val="24"/>
          <w:highlight w:val="none"/>
        </w:rPr>
      </w:pPr>
      <w:r>
        <w:rPr>
          <w:rFonts w:hint="eastAsia" w:ascii="宋体" w:hAnsi="宋体"/>
          <w:color w:val="auto"/>
          <w:sz w:val="24"/>
          <w:highlight w:val="none"/>
          <w:lang w:val="en-US" w:eastAsia="zh-CN"/>
        </w:rPr>
        <w:t>5</w:t>
      </w:r>
      <w:r>
        <w:rPr>
          <w:rFonts w:hint="eastAsia" w:ascii="宋体" w:hAnsi="宋体"/>
          <w:color w:val="auto"/>
          <w:sz w:val="24"/>
          <w:highlight w:val="none"/>
        </w:rPr>
        <w:t>.1采购保证金金额：</w:t>
      </w:r>
      <w:r>
        <w:rPr>
          <w:rFonts w:hint="eastAsia" w:ascii="宋体" w:hAnsi="宋体" w:eastAsia="宋体" w:cs="宋体"/>
          <w:b w:val="0"/>
          <w:bCs w:val="0"/>
          <w:color w:val="000000"/>
          <w:sz w:val="21"/>
          <w:szCs w:val="21"/>
          <w:lang w:val="en-US" w:eastAsia="zh-CN"/>
        </w:rPr>
        <w:t>33200</w:t>
      </w:r>
      <w:r>
        <w:rPr>
          <w:rFonts w:hint="eastAsia" w:ascii="宋体" w:hAnsi="宋体"/>
          <w:color w:val="auto"/>
          <w:sz w:val="24"/>
          <w:highlight w:val="none"/>
          <w:lang w:val="en-US" w:eastAsia="zh-CN"/>
        </w:rPr>
        <w:t>元人民币</w:t>
      </w:r>
      <w:r>
        <w:rPr>
          <w:rFonts w:hint="eastAsia" w:ascii="宋体" w:hAnsi="宋体"/>
          <w:color w:val="auto"/>
          <w:sz w:val="24"/>
          <w:highlight w:val="none"/>
        </w:rPr>
        <w:t>（大写：</w:t>
      </w:r>
      <w:r>
        <w:rPr>
          <w:rFonts w:hint="eastAsia" w:ascii="宋体" w:hAnsi="宋体"/>
          <w:color w:val="auto"/>
          <w:sz w:val="24"/>
          <w:highlight w:val="none"/>
          <w:lang w:val="en-US" w:eastAsia="zh-CN"/>
        </w:rPr>
        <w:t>叁万叁仟贰佰元整</w:t>
      </w:r>
      <w:r>
        <w:rPr>
          <w:rFonts w:hint="eastAsia" w:ascii="宋体" w:hAnsi="宋体"/>
          <w:color w:val="auto"/>
          <w:sz w:val="24"/>
          <w:highlight w:val="none"/>
        </w:rPr>
        <w:t>）</w:t>
      </w:r>
    </w:p>
    <w:p w14:paraId="526478B9">
      <w:pPr>
        <w:snapToGrid w:val="0"/>
        <w:ind w:right="-58"/>
        <w:outlineLvl w:val="9"/>
        <w:rPr>
          <w:rFonts w:ascii="宋体" w:hAnsi="宋体"/>
          <w:color w:val="auto"/>
          <w:sz w:val="24"/>
          <w:highlight w:val="none"/>
        </w:rPr>
      </w:pPr>
      <w:r>
        <w:rPr>
          <w:rFonts w:hint="eastAsia" w:ascii="宋体" w:hAnsi="宋体"/>
          <w:color w:val="auto"/>
          <w:sz w:val="24"/>
          <w:highlight w:val="none"/>
          <w:lang w:val="en-US" w:eastAsia="zh-CN"/>
        </w:rPr>
        <w:t>5</w:t>
      </w:r>
      <w:r>
        <w:rPr>
          <w:rFonts w:hint="eastAsia" w:ascii="宋体" w:hAnsi="宋体"/>
          <w:color w:val="auto"/>
          <w:sz w:val="24"/>
          <w:highlight w:val="none"/>
        </w:rPr>
        <w:t>.2采购保证金到账截止时间：</w:t>
      </w:r>
      <w:r>
        <w:rPr>
          <w:rFonts w:hint="eastAsia" w:ascii="宋体" w:hAnsi="宋体"/>
          <w:color w:val="auto"/>
          <w:sz w:val="24"/>
          <w:highlight w:val="none"/>
          <w:lang w:eastAsia="zh-CN"/>
        </w:rPr>
        <w:t>2025年</w:t>
      </w:r>
      <w:r>
        <w:rPr>
          <w:rFonts w:hint="eastAsia" w:ascii="宋体" w:hAnsi="宋体"/>
          <w:color w:val="auto"/>
          <w:sz w:val="24"/>
          <w:highlight w:val="none"/>
          <w:lang w:val="en-US" w:eastAsia="zh-CN"/>
        </w:rPr>
        <w:t>8</w:t>
      </w:r>
      <w:r>
        <w:rPr>
          <w:rFonts w:hint="eastAsia" w:ascii="宋体" w:hAnsi="宋体"/>
          <w:color w:val="auto"/>
          <w:sz w:val="24"/>
          <w:highlight w:val="none"/>
          <w:lang w:eastAsia="zh-CN"/>
        </w:rPr>
        <w:t>月</w:t>
      </w:r>
      <w:r>
        <w:rPr>
          <w:rFonts w:hint="eastAsia" w:ascii="宋体" w:hAnsi="宋体"/>
          <w:color w:val="auto"/>
          <w:sz w:val="24"/>
          <w:highlight w:val="none"/>
          <w:lang w:val="en-US" w:eastAsia="zh-CN"/>
        </w:rPr>
        <w:t>4</w:t>
      </w:r>
      <w:r>
        <w:rPr>
          <w:rFonts w:hint="eastAsia" w:ascii="宋体" w:hAnsi="宋体"/>
          <w:color w:val="auto"/>
          <w:sz w:val="24"/>
          <w:highlight w:val="none"/>
          <w:lang w:eastAsia="zh-CN"/>
        </w:rPr>
        <w:t>日</w:t>
      </w:r>
      <w:r>
        <w:rPr>
          <w:rFonts w:hint="eastAsia" w:ascii="宋体" w:hAnsi="宋体"/>
          <w:color w:val="auto"/>
          <w:sz w:val="24"/>
          <w:highlight w:val="none"/>
        </w:rPr>
        <w:t>1</w:t>
      </w:r>
      <w:r>
        <w:rPr>
          <w:rFonts w:hint="eastAsia" w:ascii="宋体" w:hAnsi="宋体"/>
          <w:color w:val="auto"/>
          <w:sz w:val="24"/>
          <w:highlight w:val="none"/>
          <w:lang w:val="en-US" w:eastAsia="zh-CN"/>
        </w:rPr>
        <w:t>7</w:t>
      </w:r>
      <w:r>
        <w:rPr>
          <w:rFonts w:hint="eastAsia" w:ascii="宋体" w:hAnsi="宋体"/>
          <w:color w:val="auto"/>
          <w:sz w:val="24"/>
          <w:highlight w:val="none"/>
        </w:rPr>
        <w:t>:00前</w:t>
      </w:r>
    </w:p>
    <w:p w14:paraId="17D375B0">
      <w:pPr>
        <w:snapToGrid w:val="0"/>
        <w:ind w:right="-58"/>
        <w:rPr>
          <w:rFonts w:ascii="宋体" w:hAnsi="宋体"/>
          <w:color w:val="auto"/>
          <w:sz w:val="24"/>
          <w:highlight w:val="none"/>
        </w:rPr>
      </w:pPr>
      <w:r>
        <w:rPr>
          <w:rFonts w:hint="eastAsia" w:ascii="宋体" w:hAnsi="宋体"/>
          <w:color w:val="auto"/>
          <w:sz w:val="24"/>
          <w:highlight w:val="none"/>
          <w:lang w:val="en-US" w:eastAsia="zh-CN"/>
        </w:rPr>
        <w:t>5</w:t>
      </w:r>
      <w:r>
        <w:rPr>
          <w:rFonts w:hint="eastAsia" w:ascii="宋体" w:hAnsi="宋体"/>
          <w:color w:val="auto"/>
          <w:sz w:val="24"/>
          <w:highlight w:val="none"/>
        </w:rPr>
        <w:t>.3采购保证金交纳方式：交纳至黑龙江农村产权交易中心指定账户，以资金到账为准。</w:t>
      </w:r>
    </w:p>
    <w:p w14:paraId="35944C6E">
      <w:pPr>
        <w:snapToGrid w:val="0"/>
        <w:spacing w:before="240" w:beforeLines="100"/>
        <w:rPr>
          <w:rFonts w:hint="eastAsia" w:ascii="宋体" w:hAnsi="宋体"/>
          <w:color w:val="auto"/>
          <w:sz w:val="24"/>
          <w:highlight w:val="none"/>
        </w:rPr>
      </w:pPr>
      <w:r>
        <w:rPr>
          <w:rFonts w:hint="eastAsia" w:ascii="宋体" w:hAnsi="宋体"/>
          <w:color w:val="auto"/>
          <w:sz w:val="24"/>
          <w:highlight w:val="none"/>
        </w:rPr>
        <w:t>注：意向供应商应当通过</w:t>
      </w:r>
      <w:r>
        <w:rPr>
          <w:rFonts w:hint="eastAsia" w:ascii="宋体" w:hAnsi="宋体"/>
          <w:b/>
          <w:bCs/>
          <w:color w:val="auto"/>
          <w:sz w:val="24"/>
          <w:highlight w:val="none"/>
          <w:lang w:val="en-US" w:eastAsia="zh-CN"/>
        </w:rPr>
        <w:t>对公账户</w:t>
      </w:r>
      <w:r>
        <w:rPr>
          <w:rFonts w:hint="eastAsia" w:ascii="宋体" w:hAnsi="宋体"/>
          <w:color w:val="auto"/>
          <w:sz w:val="24"/>
          <w:highlight w:val="none"/>
          <w:lang w:val="en-US" w:eastAsia="zh-CN"/>
        </w:rPr>
        <w:t>缴纳保证金，</w:t>
      </w:r>
      <w:r>
        <w:rPr>
          <w:rFonts w:hint="eastAsia" w:ascii="宋体" w:hAnsi="宋体"/>
          <w:color w:val="auto"/>
          <w:sz w:val="24"/>
          <w:highlight w:val="none"/>
        </w:rPr>
        <w:t>采取网上银行支付、手机银行支付或银行柜台转账的方式，将采购保证金按时足额汇入黑龙江农村产权交易中心指定的银行账户。以其它方式交纳或第三方代交均无效。</w:t>
      </w:r>
      <w:r>
        <w:rPr>
          <w:rFonts w:hint="eastAsia" w:ascii="宋体" w:hAnsi="宋体"/>
          <w:b/>
          <w:color w:val="auto"/>
          <w:sz w:val="24"/>
          <w:highlight w:val="none"/>
        </w:rPr>
        <w:t>采购保证金未在规定时间到账、未交纳到指定账号或无效交纳的</w:t>
      </w:r>
      <w:r>
        <w:rPr>
          <w:rFonts w:hint="eastAsia" w:ascii="宋体" w:hAnsi="宋体"/>
          <w:color w:val="auto"/>
          <w:sz w:val="24"/>
          <w:highlight w:val="none"/>
        </w:rPr>
        <w:t>，该意向供应商不能参与竞价。</w:t>
      </w:r>
    </w:p>
    <w:p w14:paraId="1997AAB7">
      <w:pPr>
        <w:snapToGrid w:val="0"/>
        <w:ind w:firstLine="480" w:firstLineChars="200"/>
        <w:rPr>
          <w:rFonts w:hint="eastAsia" w:ascii="宋体" w:hAnsi="宋体"/>
          <w:color w:val="auto"/>
          <w:sz w:val="24"/>
          <w:highlight w:val="none"/>
        </w:rPr>
      </w:pPr>
      <w:r>
        <w:rPr>
          <w:rFonts w:hint="eastAsia" w:ascii="宋体" w:hAnsi="宋体"/>
          <w:color w:val="auto"/>
          <w:sz w:val="24"/>
          <w:highlight w:val="none"/>
        </w:rPr>
        <w:t>汇款信息：</w:t>
      </w:r>
    </w:p>
    <w:p w14:paraId="67B1B5BC">
      <w:pPr>
        <w:tabs>
          <w:tab w:val="left" w:pos="720"/>
          <w:tab w:val="left" w:pos="900"/>
          <w:tab w:val="left" w:pos="966"/>
        </w:tabs>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rPr>
        <w:t>单位名</w:t>
      </w:r>
      <w:r>
        <w:rPr>
          <w:rFonts w:hint="eastAsia" w:ascii="宋体" w:hAnsi="宋体"/>
          <w:color w:val="auto"/>
          <w:sz w:val="24"/>
          <w:highlight w:val="none"/>
          <w:lang w:val="en-US" w:eastAsia="zh-CN"/>
        </w:rPr>
        <w:t>称：黑龙江农村产权交易中心有限公司</w:t>
      </w:r>
    </w:p>
    <w:p w14:paraId="3D0A32DD">
      <w:pPr>
        <w:tabs>
          <w:tab w:val="left" w:pos="720"/>
          <w:tab w:val="left" w:pos="900"/>
          <w:tab w:val="left" w:pos="966"/>
        </w:tabs>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开 户 行：中国邮政储蓄银行股份有限公司哈尔滨市泰山路支行</w:t>
      </w:r>
    </w:p>
    <w:p w14:paraId="79A14A2B">
      <w:pPr>
        <w:tabs>
          <w:tab w:val="left" w:pos="720"/>
          <w:tab w:val="left" w:pos="900"/>
          <w:tab w:val="left" w:pos="966"/>
        </w:tabs>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行    号：403261001555</w:t>
      </w:r>
    </w:p>
    <w:p w14:paraId="3FE74C03">
      <w:pPr>
        <w:tabs>
          <w:tab w:val="left" w:pos="720"/>
          <w:tab w:val="left" w:pos="900"/>
          <w:tab w:val="left" w:pos="966"/>
        </w:tabs>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账    号：923000010016950027</w:t>
      </w:r>
    </w:p>
    <w:p w14:paraId="47D0940E">
      <w:pPr>
        <w:tabs>
          <w:tab w:val="left" w:pos="720"/>
          <w:tab w:val="left" w:pos="900"/>
          <w:tab w:val="left" w:pos="966"/>
        </w:tabs>
        <w:ind w:firstLine="480" w:firstLineChars="200"/>
        <w:rPr>
          <w:rFonts w:ascii="宋体" w:hAnsi="宋体"/>
          <w:color w:val="auto"/>
          <w:sz w:val="24"/>
          <w:highlight w:val="none"/>
        </w:rPr>
      </w:pPr>
      <w:r>
        <w:rPr>
          <w:rFonts w:hint="eastAsia" w:ascii="宋体" w:hAnsi="宋体"/>
          <w:color w:val="auto"/>
          <w:sz w:val="24"/>
          <w:highlight w:val="none"/>
          <w:lang w:val="en-US" w:eastAsia="zh-CN"/>
        </w:rPr>
        <w:t>地    址：哈尔滨市南岗区汉水路182</w:t>
      </w:r>
      <w:r>
        <w:rPr>
          <w:rFonts w:hint="eastAsia" w:ascii="宋体" w:hAnsi="宋体"/>
          <w:color w:val="auto"/>
          <w:sz w:val="24"/>
          <w:highlight w:val="none"/>
        </w:rPr>
        <w:t>号</w:t>
      </w:r>
    </w:p>
    <w:p w14:paraId="1A388806">
      <w:pPr>
        <w:tabs>
          <w:tab w:val="left" w:pos="720"/>
          <w:tab w:val="left" w:pos="900"/>
          <w:tab w:val="left" w:pos="966"/>
        </w:tabs>
        <w:ind w:firstLine="480" w:firstLineChars="200"/>
        <w:rPr>
          <w:rFonts w:hint="default" w:ascii="宋体" w:hAnsi="宋体"/>
          <w:color w:val="auto"/>
          <w:sz w:val="24"/>
          <w:highlight w:val="none"/>
          <w:lang w:val="en-US"/>
        </w:rPr>
      </w:pPr>
      <w:r>
        <w:rPr>
          <w:rFonts w:hint="eastAsia" w:ascii="宋体" w:hAnsi="宋体"/>
          <w:color w:val="auto"/>
          <w:sz w:val="24"/>
          <w:highlight w:val="none"/>
        </w:rPr>
        <w:t>电    话：0451-872001</w:t>
      </w:r>
      <w:r>
        <w:rPr>
          <w:rFonts w:hint="eastAsia" w:ascii="宋体" w:hAnsi="宋体"/>
          <w:color w:val="auto"/>
          <w:sz w:val="24"/>
          <w:highlight w:val="none"/>
          <w:lang w:val="en-US" w:eastAsia="zh-CN"/>
        </w:rPr>
        <w:t>70</w:t>
      </w:r>
    </w:p>
    <w:p w14:paraId="5BBD4C7F">
      <w:pPr>
        <w:snapToGrid w:val="0"/>
        <w:spacing w:before="240" w:beforeLines="100"/>
        <w:rPr>
          <w:rFonts w:hint="eastAsia" w:ascii="宋体" w:hAnsi="宋体" w:eastAsia="宋体"/>
          <w:b/>
          <w:bCs/>
          <w:color w:val="auto"/>
          <w:sz w:val="24"/>
          <w:highlight w:val="none"/>
          <w:u w:val="single"/>
          <w:lang w:eastAsia="zh-CN"/>
        </w:rPr>
      </w:pPr>
      <w:r>
        <w:rPr>
          <w:rFonts w:hint="eastAsia" w:ascii="宋体" w:hAnsi="宋体"/>
          <w:b/>
          <w:color w:val="auto"/>
          <w:sz w:val="24"/>
          <w:highlight w:val="none"/>
        </w:rPr>
        <w:t>汇款时请注明该笔费用为“保证金”，并备注上“项目名称（包号）”、“项目编号”。</w:t>
      </w:r>
      <w:bookmarkEnd w:id="20"/>
      <w:bookmarkEnd w:id="21"/>
      <w:r>
        <w:rPr>
          <w:rFonts w:hint="eastAsia" w:ascii="宋体" w:hAnsi="宋体"/>
          <w:b/>
          <w:color w:val="auto"/>
          <w:sz w:val="24"/>
          <w:highlight w:val="none"/>
          <w:lang w:eastAsia="zh-CN"/>
        </w:rPr>
        <w:t>（</w:t>
      </w:r>
      <w:r>
        <w:rPr>
          <w:rFonts w:hint="eastAsia" w:ascii="宋体" w:hAnsi="宋体"/>
          <w:b/>
          <w:color w:val="auto"/>
          <w:sz w:val="24"/>
          <w:highlight w:val="none"/>
          <w:lang w:val="en-US" w:eastAsia="zh-CN"/>
        </w:rPr>
        <w:t>备注摘要中项目名称过长可简写</w:t>
      </w:r>
      <w:r>
        <w:rPr>
          <w:rFonts w:hint="eastAsia" w:ascii="宋体" w:hAnsi="宋体"/>
          <w:b/>
          <w:color w:val="auto"/>
          <w:sz w:val="24"/>
          <w:highlight w:val="none"/>
          <w:lang w:eastAsia="zh-CN"/>
        </w:rPr>
        <w:t>）</w:t>
      </w:r>
    </w:p>
    <w:p w14:paraId="0DC17E6D">
      <w:pPr>
        <w:snapToGrid w:val="0"/>
        <w:spacing w:before="240" w:beforeLines="100"/>
        <w:rPr>
          <w:rFonts w:ascii="宋体" w:hAnsi="宋体"/>
          <w:b/>
          <w:sz w:val="24"/>
          <w:highlight w:val="none"/>
        </w:rPr>
      </w:pPr>
      <w:r>
        <w:rPr>
          <w:rFonts w:hint="eastAsia" w:ascii="宋体" w:hAnsi="宋体"/>
          <w:b/>
          <w:sz w:val="24"/>
          <w:highlight w:val="none"/>
        </w:rPr>
        <w:t>6</w:t>
      </w:r>
      <w:r>
        <w:rPr>
          <w:rFonts w:ascii="宋体" w:hAnsi="宋体"/>
          <w:b/>
          <w:sz w:val="24"/>
          <w:highlight w:val="none"/>
        </w:rPr>
        <w:t xml:space="preserve">  </w:t>
      </w:r>
      <w:r>
        <w:rPr>
          <w:rFonts w:hint="eastAsia" w:ascii="宋体" w:hAnsi="宋体"/>
          <w:b/>
          <w:sz w:val="24"/>
          <w:highlight w:val="none"/>
        </w:rPr>
        <w:t>证明材料的递交与审核</w:t>
      </w:r>
    </w:p>
    <w:p w14:paraId="02E1B96C">
      <w:pPr>
        <w:keepNext w:val="0"/>
        <w:keepLines w:val="0"/>
        <w:pageBreakBefore w:val="0"/>
        <w:widowControl w:val="0"/>
        <w:kinsoku/>
        <w:wordWrap/>
        <w:overflowPunct/>
        <w:topLinePunct w:val="0"/>
        <w:autoSpaceDE/>
        <w:autoSpaceDN/>
        <w:bidi w:val="0"/>
        <w:adjustRightInd/>
        <w:snapToGrid w:val="0"/>
        <w:spacing w:line="360" w:lineRule="auto"/>
        <w:ind w:right="0"/>
        <w:textAlignment w:val="auto"/>
        <w:rPr>
          <w:rFonts w:hint="eastAsia" w:ascii="宋体" w:hAnsi="宋体"/>
          <w:b/>
          <w:bCs/>
          <w:sz w:val="24"/>
          <w:u w:val="single"/>
          <w:lang w:val="en-US" w:eastAsia="zh-CN"/>
        </w:rPr>
      </w:pPr>
      <w:r>
        <w:rPr>
          <w:rFonts w:hint="eastAsia" w:ascii="宋体" w:hAnsi="宋体"/>
          <w:sz w:val="24"/>
          <w:lang w:val="en-US" w:eastAsia="zh-CN"/>
        </w:rPr>
        <w:t>6.1证明材料审核时间：</w:t>
      </w:r>
      <w:r>
        <w:rPr>
          <w:rFonts w:hint="eastAsia" w:ascii="宋体" w:hAnsi="宋体"/>
          <w:b/>
          <w:bCs/>
          <w:sz w:val="24"/>
          <w:u w:val="single"/>
          <w:lang w:val="en-US" w:eastAsia="zh-CN"/>
        </w:rPr>
        <w:t>成交后次日17:00前。逾期未递交的采购人不予受理，视为其放弃成交，取消成交资格。采购人可依次对报价次低的供应商进行审核，如果符合条件可将其确定为成交供应商，以此类推；也可重新组织采购。</w:t>
      </w:r>
    </w:p>
    <w:p w14:paraId="6686444B">
      <w:pPr>
        <w:keepNext w:val="0"/>
        <w:keepLines w:val="0"/>
        <w:pageBreakBefore w:val="0"/>
        <w:widowControl w:val="0"/>
        <w:kinsoku/>
        <w:wordWrap/>
        <w:overflowPunct/>
        <w:topLinePunct w:val="0"/>
        <w:autoSpaceDE/>
        <w:autoSpaceDN/>
        <w:bidi w:val="0"/>
        <w:adjustRightInd/>
        <w:snapToGrid w:val="0"/>
        <w:spacing w:line="360" w:lineRule="auto"/>
        <w:ind w:right="0"/>
        <w:textAlignment w:val="auto"/>
        <w:rPr>
          <w:rFonts w:hint="eastAsia" w:ascii="宋体" w:hAnsi="宋体"/>
          <w:sz w:val="24"/>
          <w:lang w:val="en-US" w:eastAsia="zh-CN"/>
        </w:rPr>
      </w:pPr>
      <w:r>
        <w:rPr>
          <w:rFonts w:hint="eastAsia" w:ascii="宋体" w:hAnsi="宋体"/>
          <w:sz w:val="24"/>
          <w:lang w:val="en-US" w:eastAsia="zh-CN"/>
        </w:rPr>
        <w:t>6.2证明材料审核方式：</w:t>
      </w:r>
      <w:r>
        <w:rPr>
          <w:rFonts w:hint="eastAsia" w:ascii="宋体" w:hAnsi="宋体"/>
          <w:b/>
          <w:bCs/>
          <w:sz w:val="24"/>
          <w:u w:val="single"/>
          <w:lang w:val="en-US" w:eastAsia="zh-CN"/>
        </w:rPr>
        <w:t>成交供应商须携带符合采购公告第3项要求材料及经法定代表人（单位负责人）签字并加盖公章后详细、明确的分项报价表交由采购人审核。</w:t>
      </w:r>
    </w:p>
    <w:p w14:paraId="51B2618B">
      <w:pPr>
        <w:keepNext w:val="0"/>
        <w:keepLines w:val="0"/>
        <w:pageBreakBefore w:val="0"/>
        <w:widowControl w:val="0"/>
        <w:kinsoku/>
        <w:wordWrap/>
        <w:overflowPunct/>
        <w:topLinePunct w:val="0"/>
        <w:autoSpaceDE/>
        <w:autoSpaceDN/>
        <w:bidi w:val="0"/>
        <w:adjustRightInd/>
        <w:snapToGrid w:val="0"/>
        <w:spacing w:line="360" w:lineRule="auto"/>
        <w:ind w:right="0"/>
        <w:textAlignment w:val="auto"/>
        <w:rPr>
          <w:rFonts w:hint="eastAsia" w:ascii="宋体" w:hAnsi="宋体"/>
          <w:color w:val="auto"/>
          <w:sz w:val="24"/>
          <w:highlight w:val="none"/>
        </w:rPr>
      </w:pPr>
      <w:r>
        <w:rPr>
          <w:rFonts w:hint="eastAsia" w:ascii="宋体" w:hAnsi="宋体"/>
          <w:sz w:val="24"/>
          <w:lang w:val="en-US" w:eastAsia="zh-CN"/>
        </w:rPr>
        <w:t>6.3</w:t>
      </w:r>
      <w:r>
        <w:rPr>
          <w:rFonts w:hint="eastAsia" w:ascii="宋体" w:hAnsi="宋体" w:eastAsia="宋体" w:cs="Times New Roman"/>
          <w:b/>
          <w:bCs/>
          <w:sz w:val="24"/>
          <w:u w:val="single"/>
          <w:lang w:val="en-US" w:eastAsia="zh-CN"/>
        </w:rPr>
        <w:t>放弃成交或采购人审核结论为不合格的成交供应商报价无效，</w:t>
      </w:r>
      <w:r>
        <w:rPr>
          <w:rFonts w:hint="eastAsia" w:ascii="宋体" w:hAnsi="宋体" w:eastAsia="宋体" w:cs="Times New Roman"/>
          <w:b w:val="0"/>
          <w:bCs w:val="0"/>
          <w:sz w:val="24"/>
          <w:u w:val="none"/>
          <w:lang w:val="en-US" w:eastAsia="zh-CN"/>
        </w:rPr>
        <w:t>其交纳的采购保证金不予退还并作为违约金，代理机构留取成交服务费后，剩余部分违约金转至采购人指定账户。采购人可依次对报价次低的供应商进行审核，如果符合条件可将其确定为成交供应商，以此类推；也可重新组织采购。对意向供应商失信行为的惩戒措施按采购人企业管理制度及黑龙江农村产权交易中心的相关规定执行。</w:t>
      </w:r>
    </w:p>
    <w:p w14:paraId="71686CC8">
      <w:pPr>
        <w:snapToGrid w:val="0"/>
        <w:spacing w:before="240" w:beforeLines="100"/>
        <w:rPr>
          <w:rFonts w:ascii="宋体" w:hAnsi="宋体"/>
          <w:b/>
          <w:color w:val="auto"/>
          <w:sz w:val="24"/>
          <w:highlight w:val="none"/>
        </w:rPr>
      </w:pPr>
      <w:r>
        <w:rPr>
          <w:rFonts w:hint="eastAsia" w:ascii="宋体" w:hAnsi="宋体"/>
          <w:b/>
          <w:color w:val="auto"/>
          <w:sz w:val="24"/>
          <w:highlight w:val="none"/>
          <w:lang w:val="en-US" w:eastAsia="zh-CN"/>
        </w:rPr>
        <w:t>7</w:t>
      </w:r>
      <w:r>
        <w:rPr>
          <w:rFonts w:ascii="宋体" w:hAnsi="宋体"/>
          <w:b/>
          <w:color w:val="auto"/>
          <w:sz w:val="24"/>
          <w:highlight w:val="none"/>
        </w:rPr>
        <w:t xml:space="preserve">  </w:t>
      </w:r>
      <w:r>
        <w:rPr>
          <w:rFonts w:hint="eastAsia" w:ascii="宋体" w:hAnsi="宋体"/>
          <w:b/>
          <w:color w:val="auto"/>
          <w:sz w:val="24"/>
          <w:highlight w:val="none"/>
        </w:rPr>
        <w:t>竞价时间及竞价规则</w:t>
      </w:r>
    </w:p>
    <w:p w14:paraId="636901F2">
      <w:pPr>
        <w:snapToGrid w:val="0"/>
        <w:ind w:right="-2"/>
        <w:rPr>
          <w:rFonts w:ascii="宋体" w:hAnsi="宋体"/>
          <w:color w:val="auto"/>
          <w:sz w:val="24"/>
          <w:highlight w:val="none"/>
        </w:rPr>
      </w:pPr>
      <w:r>
        <w:rPr>
          <w:rFonts w:hint="eastAsia" w:ascii="宋体" w:hAnsi="宋体"/>
          <w:color w:val="auto"/>
          <w:sz w:val="24"/>
          <w:highlight w:val="none"/>
          <w:lang w:val="en-US" w:eastAsia="zh-CN"/>
        </w:rPr>
        <w:t>7</w:t>
      </w:r>
      <w:r>
        <w:rPr>
          <w:rFonts w:hint="eastAsia" w:ascii="宋体" w:hAnsi="宋体"/>
          <w:color w:val="auto"/>
          <w:sz w:val="24"/>
          <w:highlight w:val="none"/>
        </w:rPr>
        <w:t>.1</w:t>
      </w:r>
      <w:r>
        <w:rPr>
          <w:rFonts w:ascii="宋体" w:hAnsi="宋体"/>
          <w:color w:val="auto"/>
          <w:sz w:val="24"/>
          <w:highlight w:val="none"/>
        </w:rPr>
        <w:t xml:space="preserve">  </w:t>
      </w:r>
      <w:r>
        <w:rPr>
          <w:rFonts w:hint="eastAsia" w:ascii="宋体" w:hAnsi="宋体"/>
          <w:color w:val="auto"/>
          <w:sz w:val="24"/>
          <w:highlight w:val="none"/>
        </w:rPr>
        <w:t>竞价方式：网络报价（减价）</w:t>
      </w:r>
    </w:p>
    <w:p w14:paraId="6A607EFD">
      <w:pPr>
        <w:snapToGrid w:val="0"/>
        <w:ind w:right="-2"/>
        <w:rPr>
          <w:rFonts w:ascii="宋体" w:hAnsi="宋体"/>
          <w:color w:val="auto"/>
          <w:sz w:val="24"/>
          <w:highlight w:val="none"/>
        </w:rPr>
      </w:pPr>
      <w:r>
        <w:rPr>
          <w:rFonts w:hint="eastAsia" w:ascii="宋体" w:hAnsi="宋体"/>
          <w:color w:val="auto"/>
          <w:sz w:val="24"/>
          <w:highlight w:val="none"/>
          <w:lang w:val="en-US" w:eastAsia="zh-CN"/>
        </w:rPr>
        <w:t>7</w:t>
      </w:r>
      <w:r>
        <w:rPr>
          <w:rFonts w:hint="eastAsia" w:ascii="宋体" w:hAnsi="宋体"/>
          <w:color w:val="auto"/>
          <w:sz w:val="24"/>
          <w:highlight w:val="none"/>
        </w:rPr>
        <w:t>.</w:t>
      </w:r>
      <w:r>
        <w:rPr>
          <w:rFonts w:ascii="宋体" w:hAnsi="宋体"/>
          <w:color w:val="auto"/>
          <w:sz w:val="24"/>
          <w:highlight w:val="none"/>
        </w:rPr>
        <w:t xml:space="preserve">2  </w:t>
      </w:r>
      <w:r>
        <w:rPr>
          <w:rFonts w:hint="eastAsia" w:ascii="宋体" w:hAnsi="宋体"/>
          <w:color w:val="auto"/>
          <w:sz w:val="24"/>
          <w:highlight w:val="none"/>
        </w:rPr>
        <w:t>减价幅度：</w:t>
      </w:r>
      <w:r>
        <w:rPr>
          <w:rFonts w:hint="eastAsia" w:ascii="宋体" w:hAnsi="宋体"/>
          <w:color w:val="auto"/>
          <w:sz w:val="24"/>
          <w:highlight w:val="none"/>
          <w:lang w:val="en-US" w:eastAsia="zh-CN"/>
        </w:rPr>
        <w:t>3300</w:t>
      </w:r>
      <w:r>
        <w:rPr>
          <w:rFonts w:hint="eastAsia" w:ascii="宋体" w:hAnsi="宋体"/>
          <w:color w:val="auto"/>
          <w:sz w:val="24"/>
          <w:highlight w:val="none"/>
        </w:rPr>
        <w:t>元</w:t>
      </w:r>
    </w:p>
    <w:p w14:paraId="4322F2DE">
      <w:pPr>
        <w:snapToGrid w:val="0"/>
        <w:rPr>
          <w:rFonts w:hint="default" w:ascii="宋体" w:hAnsi="宋体"/>
          <w:color w:val="auto"/>
          <w:sz w:val="24"/>
          <w:highlight w:val="none"/>
          <w:lang w:val="en-US"/>
        </w:rPr>
      </w:pPr>
      <w:r>
        <w:rPr>
          <w:rFonts w:hint="eastAsia" w:ascii="宋体" w:hAnsi="宋体"/>
          <w:color w:val="auto"/>
          <w:sz w:val="24"/>
          <w:highlight w:val="none"/>
          <w:lang w:val="en-US" w:eastAsia="zh-CN"/>
        </w:rPr>
        <w:t>7</w:t>
      </w:r>
      <w:r>
        <w:rPr>
          <w:rFonts w:hint="eastAsia" w:ascii="宋体" w:hAnsi="宋体"/>
          <w:color w:val="auto"/>
          <w:sz w:val="24"/>
          <w:highlight w:val="none"/>
        </w:rPr>
        <w:t>.</w:t>
      </w:r>
      <w:r>
        <w:rPr>
          <w:rFonts w:ascii="宋体" w:hAnsi="宋体"/>
          <w:color w:val="auto"/>
          <w:sz w:val="24"/>
          <w:highlight w:val="none"/>
        </w:rPr>
        <w:t xml:space="preserve">3  </w:t>
      </w:r>
      <w:r>
        <w:rPr>
          <w:rFonts w:hint="eastAsia" w:ascii="宋体" w:hAnsi="宋体"/>
          <w:color w:val="auto"/>
          <w:sz w:val="24"/>
          <w:highlight w:val="none"/>
        </w:rPr>
        <w:t>自由竞价时间：</w:t>
      </w:r>
      <w:r>
        <w:rPr>
          <w:rFonts w:hint="eastAsia" w:ascii="宋体" w:hAnsi="宋体"/>
          <w:color w:val="auto"/>
          <w:sz w:val="24"/>
          <w:highlight w:val="none"/>
          <w:lang w:eastAsia="zh-CN"/>
        </w:rPr>
        <w:t>2025年</w:t>
      </w:r>
      <w:r>
        <w:rPr>
          <w:rFonts w:hint="eastAsia" w:ascii="宋体" w:hAnsi="宋体"/>
          <w:color w:val="auto"/>
          <w:sz w:val="24"/>
          <w:highlight w:val="none"/>
          <w:lang w:val="en-US" w:eastAsia="zh-CN"/>
        </w:rPr>
        <w:t>8</w:t>
      </w:r>
      <w:r>
        <w:rPr>
          <w:rFonts w:hint="eastAsia" w:ascii="宋体" w:hAnsi="宋体"/>
          <w:color w:val="auto"/>
          <w:sz w:val="24"/>
          <w:highlight w:val="none"/>
          <w:lang w:eastAsia="zh-CN"/>
        </w:rPr>
        <w:t>月</w:t>
      </w:r>
      <w:r>
        <w:rPr>
          <w:rFonts w:hint="eastAsia" w:ascii="宋体" w:hAnsi="宋体"/>
          <w:color w:val="auto"/>
          <w:sz w:val="24"/>
          <w:highlight w:val="none"/>
          <w:lang w:val="en-US" w:eastAsia="zh-CN"/>
        </w:rPr>
        <w:t>5</w:t>
      </w:r>
      <w:r>
        <w:rPr>
          <w:rFonts w:hint="eastAsia" w:ascii="宋体" w:hAnsi="宋体"/>
          <w:color w:val="auto"/>
          <w:sz w:val="24"/>
          <w:highlight w:val="none"/>
          <w:lang w:eastAsia="zh-CN"/>
        </w:rPr>
        <w:t>日</w:t>
      </w:r>
      <w:r>
        <w:rPr>
          <w:rFonts w:hint="eastAsia" w:ascii="宋体" w:hAnsi="宋体"/>
          <w:color w:val="auto"/>
          <w:sz w:val="24"/>
          <w:highlight w:val="none"/>
          <w:lang w:val="en-US" w:eastAsia="zh-CN"/>
        </w:rPr>
        <w:t>9:00</w:t>
      </w:r>
      <w:r>
        <w:rPr>
          <w:rFonts w:hint="eastAsia" w:ascii="宋体" w:hAnsi="宋体"/>
          <w:color w:val="auto"/>
          <w:sz w:val="24"/>
          <w:highlight w:val="none"/>
        </w:rPr>
        <w:t>至</w:t>
      </w:r>
      <w:r>
        <w:rPr>
          <w:rFonts w:hint="eastAsia" w:ascii="宋体" w:hAnsi="宋体"/>
          <w:color w:val="auto"/>
          <w:sz w:val="24"/>
          <w:highlight w:val="none"/>
          <w:lang w:eastAsia="zh-CN"/>
        </w:rPr>
        <w:t>2025年</w:t>
      </w:r>
      <w:r>
        <w:rPr>
          <w:rFonts w:hint="eastAsia" w:ascii="宋体" w:hAnsi="宋体"/>
          <w:color w:val="auto"/>
          <w:sz w:val="24"/>
          <w:highlight w:val="none"/>
          <w:lang w:val="en-US" w:eastAsia="zh-CN"/>
        </w:rPr>
        <w:t>8</w:t>
      </w:r>
      <w:r>
        <w:rPr>
          <w:rFonts w:hint="eastAsia" w:ascii="宋体" w:hAnsi="宋体"/>
          <w:color w:val="auto"/>
          <w:sz w:val="24"/>
          <w:highlight w:val="none"/>
          <w:lang w:eastAsia="zh-CN"/>
        </w:rPr>
        <w:t>月</w:t>
      </w:r>
      <w:r>
        <w:rPr>
          <w:rFonts w:hint="eastAsia" w:ascii="宋体" w:hAnsi="宋体"/>
          <w:color w:val="auto"/>
          <w:sz w:val="24"/>
          <w:highlight w:val="none"/>
          <w:lang w:val="en-US" w:eastAsia="zh-CN"/>
        </w:rPr>
        <w:t>5</w:t>
      </w:r>
      <w:r>
        <w:rPr>
          <w:rFonts w:hint="eastAsia" w:ascii="宋体" w:hAnsi="宋体"/>
          <w:color w:val="auto"/>
          <w:sz w:val="24"/>
          <w:highlight w:val="none"/>
          <w:lang w:eastAsia="zh-CN"/>
        </w:rPr>
        <w:t>日</w:t>
      </w:r>
      <w:r>
        <w:rPr>
          <w:rFonts w:hint="eastAsia" w:ascii="宋体" w:hAnsi="宋体"/>
          <w:color w:val="auto"/>
          <w:sz w:val="24"/>
          <w:highlight w:val="none"/>
          <w:lang w:val="en-US" w:eastAsia="zh-CN"/>
        </w:rPr>
        <w:t>10:00</w:t>
      </w:r>
    </w:p>
    <w:p w14:paraId="2A7F48BF">
      <w:pPr>
        <w:snapToGrid w:val="0"/>
        <w:ind w:right="-2"/>
        <w:rPr>
          <w:rFonts w:ascii="宋体" w:hAnsi="宋体"/>
          <w:color w:val="auto"/>
          <w:sz w:val="24"/>
          <w:highlight w:val="none"/>
        </w:rPr>
      </w:pPr>
      <w:r>
        <w:rPr>
          <w:rFonts w:hint="eastAsia" w:ascii="宋体" w:hAnsi="宋体"/>
          <w:color w:val="auto"/>
          <w:sz w:val="24"/>
          <w:highlight w:val="none"/>
          <w:lang w:val="en-US" w:eastAsia="zh-CN"/>
        </w:rPr>
        <w:t>7</w:t>
      </w:r>
      <w:r>
        <w:rPr>
          <w:rFonts w:hint="eastAsia" w:ascii="宋体" w:hAnsi="宋体"/>
          <w:color w:val="auto"/>
          <w:sz w:val="24"/>
          <w:highlight w:val="none"/>
        </w:rPr>
        <w:t>.</w:t>
      </w:r>
      <w:r>
        <w:rPr>
          <w:rFonts w:ascii="宋体" w:hAnsi="宋体"/>
          <w:color w:val="auto"/>
          <w:sz w:val="24"/>
          <w:highlight w:val="none"/>
        </w:rPr>
        <w:t xml:space="preserve">4  </w:t>
      </w:r>
      <w:r>
        <w:rPr>
          <w:rFonts w:hint="eastAsia" w:ascii="宋体" w:hAnsi="宋体"/>
          <w:color w:val="auto"/>
          <w:sz w:val="24"/>
          <w:highlight w:val="none"/>
        </w:rPr>
        <w:t>延时竞价周期：</w:t>
      </w:r>
      <w:r>
        <w:rPr>
          <w:rFonts w:hint="eastAsia" w:ascii="宋体" w:hAnsi="宋体"/>
          <w:color w:val="auto"/>
          <w:sz w:val="24"/>
          <w:highlight w:val="none"/>
          <w:lang w:val="en-US" w:eastAsia="zh-CN"/>
        </w:rPr>
        <w:t>60</w:t>
      </w:r>
      <w:r>
        <w:rPr>
          <w:rFonts w:hint="eastAsia" w:ascii="宋体" w:hAnsi="宋体"/>
          <w:color w:val="auto"/>
          <w:sz w:val="24"/>
          <w:highlight w:val="none"/>
        </w:rPr>
        <w:t>秒</w:t>
      </w:r>
    </w:p>
    <w:p w14:paraId="1F96D4F0">
      <w:pPr>
        <w:snapToGrid w:val="0"/>
        <w:ind w:right="-2"/>
        <w:rPr>
          <w:rFonts w:ascii="宋体" w:hAnsi="宋体"/>
          <w:color w:val="auto"/>
          <w:kern w:val="0"/>
          <w:sz w:val="24"/>
          <w:highlight w:val="none"/>
        </w:rPr>
      </w:pPr>
      <w:r>
        <w:rPr>
          <w:rFonts w:hint="eastAsia" w:ascii="宋体" w:hAnsi="宋体"/>
          <w:color w:val="auto"/>
          <w:sz w:val="24"/>
          <w:highlight w:val="none"/>
          <w:lang w:val="en-US" w:eastAsia="zh-CN"/>
        </w:rPr>
        <w:t>7</w:t>
      </w:r>
      <w:r>
        <w:rPr>
          <w:rFonts w:hint="eastAsia" w:ascii="宋体" w:hAnsi="宋体"/>
          <w:color w:val="auto"/>
          <w:sz w:val="24"/>
          <w:highlight w:val="none"/>
        </w:rPr>
        <w:t>.</w:t>
      </w:r>
      <w:r>
        <w:rPr>
          <w:rFonts w:ascii="宋体" w:hAnsi="宋体"/>
          <w:color w:val="auto"/>
          <w:sz w:val="24"/>
          <w:highlight w:val="none"/>
        </w:rPr>
        <w:t xml:space="preserve">5  </w:t>
      </w:r>
      <w:r>
        <w:rPr>
          <w:rFonts w:hint="eastAsia" w:ascii="宋体" w:hAnsi="宋体"/>
          <w:color w:val="auto"/>
          <w:sz w:val="24"/>
          <w:highlight w:val="none"/>
        </w:rPr>
        <w:t xml:space="preserve">其 </w:t>
      </w:r>
      <w:r>
        <w:rPr>
          <w:rFonts w:ascii="宋体" w:hAnsi="宋体"/>
          <w:color w:val="auto"/>
          <w:sz w:val="24"/>
          <w:highlight w:val="none"/>
        </w:rPr>
        <w:t xml:space="preserve">   </w:t>
      </w:r>
      <w:r>
        <w:rPr>
          <w:rFonts w:hint="eastAsia" w:ascii="宋体" w:hAnsi="宋体"/>
          <w:color w:val="auto"/>
          <w:sz w:val="24"/>
          <w:highlight w:val="none"/>
        </w:rPr>
        <w:t>他：详见采购文件</w:t>
      </w:r>
    </w:p>
    <w:p w14:paraId="4BCBAC0E">
      <w:pPr>
        <w:snapToGrid w:val="0"/>
        <w:spacing w:before="240" w:beforeLines="100"/>
        <w:rPr>
          <w:rFonts w:ascii="宋体" w:hAnsi="宋体"/>
          <w:b/>
          <w:color w:val="auto"/>
          <w:sz w:val="24"/>
          <w:highlight w:val="none"/>
        </w:rPr>
      </w:pPr>
      <w:r>
        <w:rPr>
          <w:rFonts w:hint="eastAsia" w:ascii="宋体" w:hAnsi="宋体"/>
          <w:b/>
          <w:color w:val="auto"/>
          <w:sz w:val="24"/>
          <w:highlight w:val="none"/>
          <w:lang w:val="en-US" w:eastAsia="zh-CN"/>
        </w:rPr>
        <w:t>8</w:t>
      </w:r>
      <w:r>
        <w:rPr>
          <w:rFonts w:ascii="宋体" w:hAnsi="宋体"/>
          <w:b/>
          <w:color w:val="auto"/>
          <w:sz w:val="24"/>
          <w:highlight w:val="none"/>
        </w:rPr>
        <w:t xml:space="preserve">  </w:t>
      </w:r>
      <w:r>
        <w:rPr>
          <w:rFonts w:hint="eastAsia" w:ascii="宋体" w:hAnsi="宋体"/>
          <w:b/>
          <w:color w:val="auto"/>
          <w:sz w:val="24"/>
          <w:highlight w:val="none"/>
        </w:rPr>
        <w:t>确定成交供应商</w:t>
      </w:r>
    </w:p>
    <w:p w14:paraId="73ADE0F2">
      <w:pPr>
        <w:snapToGrid w:val="0"/>
        <w:ind w:right="-2"/>
        <w:rPr>
          <w:rFonts w:ascii="宋体" w:hAnsi="宋体"/>
          <w:color w:val="auto"/>
          <w:sz w:val="24"/>
          <w:highlight w:val="none"/>
        </w:rPr>
      </w:pPr>
      <w:r>
        <w:rPr>
          <w:rFonts w:hint="eastAsia" w:ascii="宋体" w:hAnsi="宋体"/>
          <w:color w:val="auto"/>
          <w:sz w:val="24"/>
          <w:highlight w:val="none"/>
          <w:lang w:val="en-US" w:eastAsia="zh-CN"/>
        </w:rPr>
        <w:t>8</w:t>
      </w:r>
      <w:r>
        <w:rPr>
          <w:rFonts w:ascii="宋体" w:hAnsi="宋体"/>
          <w:color w:val="auto"/>
          <w:sz w:val="24"/>
          <w:highlight w:val="none"/>
        </w:rPr>
        <w:t xml:space="preserve">.1  </w:t>
      </w:r>
      <w:r>
        <w:rPr>
          <w:rFonts w:hint="eastAsia" w:ascii="宋体" w:hAnsi="宋体"/>
          <w:color w:val="auto"/>
          <w:sz w:val="24"/>
          <w:highlight w:val="none"/>
        </w:rPr>
        <w:t>采购人按照报价最低原则确定成交供应商。如只有一家意向供应商参与报价且其报价没有超过采购预算，采购人即可将其确定为成交供应商。</w:t>
      </w:r>
    </w:p>
    <w:p w14:paraId="5C25D2C1">
      <w:pPr>
        <w:snapToGrid w:val="0"/>
        <w:ind w:right="-2"/>
        <w:rPr>
          <w:rFonts w:ascii="宋体" w:hAnsi="宋体"/>
          <w:color w:val="auto"/>
          <w:sz w:val="24"/>
          <w:highlight w:val="none"/>
        </w:rPr>
      </w:pPr>
      <w:r>
        <w:rPr>
          <w:rFonts w:hint="eastAsia" w:ascii="宋体" w:hAnsi="宋体"/>
          <w:color w:val="auto"/>
          <w:sz w:val="24"/>
          <w:highlight w:val="none"/>
          <w:lang w:val="en-US" w:eastAsia="zh-CN"/>
        </w:rPr>
        <w:t>8</w:t>
      </w:r>
      <w:r>
        <w:rPr>
          <w:rFonts w:ascii="宋体" w:hAnsi="宋体"/>
          <w:color w:val="auto"/>
          <w:sz w:val="24"/>
          <w:highlight w:val="none"/>
        </w:rPr>
        <w:t xml:space="preserve">.2  </w:t>
      </w:r>
      <w:r>
        <w:rPr>
          <w:rFonts w:hint="eastAsia" w:ascii="宋体" w:hAnsi="宋体"/>
          <w:color w:val="auto"/>
          <w:sz w:val="24"/>
          <w:highlight w:val="none"/>
        </w:rPr>
        <w:t>报价最低的供应商放弃成交</w:t>
      </w:r>
      <w:r>
        <w:rPr>
          <w:rFonts w:hint="eastAsia" w:ascii="宋体" w:hAnsi="宋体" w:eastAsia="宋体" w:cs="宋体"/>
          <w:i w:val="0"/>
          <w:caps w:val="0"/>
          <w:color w:val="auto"/>
          <w:spacing w:val="0"/>
          <w:sz w:val="24"/>
          <w:szCs w:val="24"/>
          <w:highlight w:val="none"/>
          <w:shd w:val="clear" w:fill="FFFFFF"/>
        </w:rPr>
        <w:t>的</w:t>
      </w:r>
      <w:r>
        <w:rPr>
          <w:rFonts w:hint="eastAsia" w:ascii="宋体" w:hAnsi="宋体" w:cs="宋体"/>
          <w:i w:val="0"/>
          <w:caps w:val="0"/>
          <w:color w:val="auto"/>
          <w:spacing w:val="0"/>
          <w:sz w:val="24"/>
          <w:szCs w:val="24"/>
          <w:highlight w:val="none"/>
          <w:shd w:val="clear" w:fill="FFFFFF"/>
          <w:lang w:eastAsia="zh-CN"/>
        </w:rPr>
        <w:t>，</w:t>
      </w:r>
      <w:r>
        <w:rPr>
          <w:rFonts w:hint="eastAsia" w:ascii="宋体" w:hAnsi="宋体" w:eastAsia="宋体" w:cs="宋体"/>
          <w:i w:val="0"/>
          <w:caps w:val="0"/>
          <w:color w:val="auto"/>
          <w:spacing w:val="0"/>
          <w:sz w:val="24"/>
          <w:szCs w:val="24"/>
          <w:highlight w:val="none"/>
          <w:shd w:val="clear" w:fill="FFFFFF"/>
        </w:rPr>
        <w:t>成交供应商报价无效</w:t>
      </w:r>
      <w:r>
        <w:rPr>
          <w:rFonts w:hint="eastAsia" w:ascii="宋体" w:hAnsi="宋体"/>
          <w:color w:val="auto"/>
          <w:sz w:val="24"/>
          <w:highlight w:val="none"/>
        </w:rPr>
        <w:t>，其交纳的采购保证金不予退还</w:t>
      </w:r>
      <w:r>
        <w:rPr>
          <w:rFonts w:hint="eastAsia" w:ascii="宋体" w:hAnsi="宋体" w:eastAsia="宋体" w:cs="宋体"/>
          <w:i w:val="0"/>
          <w:caps w:val="0"/>
          <w:color w:val="auto"/>
          <w:spacing w:val="0"/>
          <w:sz w:val="24"/>
          <w:szCs w:val="24"/>
          <w:highlight w:val="none"/>
          <w:shd w:val="clear" w:fill="FFFFFF"/>
        </w:rPr>
        <w:t>并作为违约金，代理机构留取成交服务费后，剩余部分违约金转至采购人指定账户。</w:t>
      </w:r>
      <w:r>
        <w:rPr>
          <w:rFonts w:hint="eastAsia" w:ascii="宋体" w:hAnsi="宋体"/>
          <w:color w:val="auto"/>
          <w:sz w:val="24"/>
          <w:highlight w:val="none"/>
        </w:rPr>
        <w:t>采购人可依次确定报价次低的供应商为成交供应商，以此类推</w:t>
      </w:r>
      <w:r>
        <w:rPr>
          <w:rFonts w:hint="eastAsia" w:ascii="宋体" w:hAnsi="宋体"/>
          <w:sz w:val="24"/>
          <w:lang w:val="en-US" w:eastAsia="zh-CN"/>
        </w:rPr>
        <w:t>；也可重新组织采购</w:t>
      </w:r>
      <w:r>
        <w:rPr>
          <w:rFonts w:hint="eastAsia" w:ascii="宋体" w:hAnsi="宋体"/>
          <w:color w:val="auto"/>
          <w:sz w:val="24"/>
          <w:highlight w:val="none"/>
        </w:rPr>
        <w:t>。对意向供应商失信行为的惩戒措施按采购人企业管理制度</w:t>
      </w:r>
      <w:r>
        <w:rPr>
          <w:rFonts w:hint="eastAsia" w:ascii="宋体" w:hAnsi="宋体"/>
          <w:color w:val="auto"/>
          <w:sz w:val="24"/>
          <w:highlight w:val="none"/>
          <w:lang w:val="en-US" w:eastAsia="zh-CN"/>
        </w:rPr>
        <w:t>及</w:t>
      </w:r>
      <w:r>
        <w:rPr>
          <w:rFonts w:hint="eastAsia" w:ascii="宋体" w:hAnsi="宋体"/>
          <w:color w:val="auto"/>
          <w:sz w:val="24"/>
          <w:highlight w:val="none"/>
          <w:lang w:eastAsia="zh-CN"/>
        </w:rPr>
        <w:t>黑龙江农村产权交易中心</w:t>
      </w:r>
      <w:r>
        <w:rPr>
          <w:rFonts w:hint="eastAsia" w:ascii="宋体" w:hAnsi="宋体"/>
          <w:color w:val="auto"/>
          <w:sz w:val="24"/>
          <w:highlight w:val="none"/>
        </w:rPr>
        <w:t>的相关规定执行。</w:t>
      </w:r>
    </w:p>
    <w:p w14:paraId="5700BC36">
      <w:pPr>
        <w:snapToGrid w:val="0"/>
        <w:spacing w:before="240" w:beforeLines="100"/>
        <w:rPr>
          <w:rFonts w:ascii="宋体" w:hAnsi="宋体"/>
          <w:b/>
          <w:color w:val="auto"/>
          <w:sz w:val="24"/>
          <w:highlight w:val="none"/>
        </w:rPr>
      </w:pPr>
      <w:r>
        <w:rPr>
          <w:rFonts w:hint="eastAsia" w:ascii="宋体" w:hAnsi="宋体"/>
          <w:b/>
          <w:color w:val="auto"/>
          <w:sz w:val="24"/>
          <w:highlight w:val="none"/>
          <w:lang w:val="en-US" w:eastAsia="zh-CN"/>
        </w:rPr>
        <w:t>9</w:t>
      </w:r>
      <w:r>
        <w:rPr>
          <w:rFonts w:ascii="宋体" w:hAnsi="宋体"/>
          <w:b/>
          <w:color w:val="auto"/>
          <w:sz w:val="24"/>
          <w:highlight w:val="none"/>
        </w:rPr>
        <w:t xml:space="preserve">  </w:t>
      </w:r>
      <w:r>
        <w:rPr>
          <w:rFonts w:hint="eastAsia" w:ascii="宋体" w:hAnsi="宋体"/>
          <w:b/>
          <w:color w:val="auto"/>
          <w:sz w:val="24"/>
          <w:highlight w:val="none"/>
        </w:rPr>
        <w:t>声明</w:t>
      </w:r>
    </w:p>
    <w:p w14:paraId="104CA95D">
      <w:pPr>
        <w:snapToGrid w:val="0"/>
        <w:ind w:right="-58" w:firstLine="482" w:firstLineChars="200"/>
        <w:rPr>
          <w:rFonts w:eastAsia="微软雅黑"/>
          <w:color w:val="auto"/>
          <w:kern w:val="0"/>
          <w:szCs w:val="21"/>
          <w:highlight w:val="none"/>
        </w:rPr>
      </w:pPr>
      <w:r>
        <w:rPr>
          <w:rFonts w:hint="eastAsia" w:ascii="宋体" w:hAnsi="宋体"/>
          <w:b/>
          <w:color w:val="auto"/>
          <w:sz w:val="24"/>
          <w:highlight w:val="none"/>
        </w:rPr>
        <w:t>进入网络报价环节且出价的意向供应商即视为完全同意并响应采购文件的全部内容，无任何负偏离。成交供应商所供标的及</w:t>
      </w:r>
      <w:r>
        <w:rPr>
          <w:rFonts w:hint="eastAsia" w:ascii="宋体" w:hAnsi="宋体"/>
          <w:b/>
          <w:color w:val="auto"/>
          <w:sz w:val="24"/>
          <w:highlight w:val="none"/>
          <w:lang w:val="en-US" w:eastAsia="zh-CN"/>
        </w:rPr>
        <w:t>货物</w:t>
      </w:r>
      <w:r>
        <w:rPr>
          <w:rFonts w:hint="eastAsia" w:ascii="宋体" w:hAnsi="宋体"/>
          <w:b/>
          <w:color w:val="auto"/>
          <w:sz w:val="24"/>
          <w:highlight w:val="none"/>
        </w:rPr>
        <w:t>必须实质性满足采购文件的全部需求，若不满足上述要求，其采购保证金将不予退还并作为违约金，代理机构留取成交服务费后，剩余部分违约金转至采购人指定账户。意向供应商所提供</w:t>
      </w:r>
      <w:r>
        <w:rPr>
          <w:rFonts w:hint="eastAsia" w:ascii="宋体" w:hAnsi="宋体"/>
          <w:b/>
          <w:color w:val="auto"/>
          <w:sz w:val="24"/>
          <w:highlight w:val="none"/>
          <w:lang w:val="en-US" w:eastAsia="zh-CN"/>
        </w:rPr>
        <w:t>货物</w:t>
      </w:r>
      <w:r>
        <w:rPr>
          <w:rFonts w:hint="eastAsia" w:ascii="宋体" w:hAnsi="宋体"/>
          <w:b/>
          <w:color w:val="auto"/>
          <w:sz w:val="24"/>
          <w:highlight w:val="none"/>
        </w:rPr>
        <w:t>若未按采购文件要求或未完全满足采购文件要求的，将会列入采购人诚信评价体系。对意向供应商失信行为的惩戒措施按采购人企业管理制度及</w:t>
      </w:r>
      <w:r>
        <w:rPr>
          <w:rFonts w:hint="eastAsia" w:ascii="宋体" w:hAnsi="宋体"/>
          <w:b/>
          <w:color w:val="auto"/>
          <w:sz w:val="24"/>
          <w:highlight w:val="none"/>
          <w:lang w:eastAsia="zh-CN"/>
        </w:rPr>
        <w:t>黑龙江农村产权交易中心</w:t>
      </w:r>
      <w:r>
        <w:rPr>
          <w:rFonts w:hint="eastAsia" w:ascii="宋体" w:hAnsi="宋体"/>
          <w:b/>
          <w:color w:val="auto"/>
          <w:sz w:val="24"/>
          <w:highlight w:val="none"/>
        </w:rPr>
        <w:t>的相关规定执行。</w:t>
      </w:r>
    </w:p>
    <w:p w14:paraId="6A77D26F">
      <w:pPr>
        <w:snapToGrid w:val="0"/>
        <w:spacing w:before="240" w:beforeLines="100"/>
        <w:rPr>
          <w:rFonts w:ascii="宋体" w:hAnsi="宋体"/>
          <w:b/>
          <w:color w:val="auto"/>
          <w:sz w:val="24"/>
          <w:highlight w:val="none"/>
        </w:rPr>
      </w:pPr>
      <w:r>
        <w:rPr>
          <w:rFonts w:ascii="宋体" w:hAnsi="宋体"/>
          <w:b/>
          <w:color w:val="auto"/>
          <w:sz w:val="24"/>
          <w:highlight w:val="none"/>
        </w:rPr>
        <w:t>1</w:t>
      </w:r>
      <w:r>
        <w:rPr>
          <w:rFonts w:hint="eastAsia" w:ascii="宋体" w:hAnsi="宋体"/>
          <w:b/>
          <w:color w:val="auto"/>
          <w:sz w:val="24"/>
          <w:highlight w:val="none"/>
          <w:lang w:val="en-US" w:eastAsia="zh-CN"/>
        </w:rPr>
        <w:t>0</w:t>
      </w:r>
      <w:r>
        <w:rPr>
          <w:rFonts w:ascii="宋体" w:hAnsi="宋体"/>
          <w:b/>
          <w:color w:val="auto"/>
          <w:sz w:val="24"/>
          <w:highlight w:val="none"/>
        </w:rPr>
        <w:t xml:space="preserve">  </w:t>
      </w:r>
      <w:r>
        <w:rPr>
          <w:rFonts w:hint="eastAsia" w:ascii="宋体" w:hAnsi="宋体"/>
          <w:b/>
          <w:color w:val="auto"/>
          <w:sz w:val="24"/>
          <w:highlight w:val="none"/>
        </w:rPr>
        <w:t>发布公告的媒介</w:t>
      </w:r>
    </w:p>
    <w:p w14:paraId="3E1E276C">
      <w:pPr>
        <w:wordWrap w:val="0"/>
        <w:snapToGrid w:val="0"/>
        <w:ind w:firstLine="480" w:firstLineChars="200"/>
        <w:rPr>
          <w:rFonts w:hint="eastAsia" w:ascii="宋体" w:hAnsi="宋体"/>
          <w:color w:val="auto"/>
          <w:sz w:val="24"/>
          <w:highlight w:val="none"/>
        </w:rPr>
      </w:pPr>
      <w:r>
        <w:rPr>
          <w:rFonts w:hint="eastAsia" w:ascii="宋体" w:hAnsi="宋体"/>
          <w:color w:val="auto"/>
          <w:sz w:val="24"/>
          <w:highlight w:val="none"/>
        </w:rPr>
        <w:t>本公告在黑龙江省农村</w:t>
      </w:r>
      <w:r>
        <w:rPr>
          <w:rFonts w:hint="eastAsia" w:ascii="宋体" w:hAnsi="宋体"/>
          <w:color w:val="auto"/>
          <w:sz w:val="24"/>
          <w:highlight w:val="none"/>
          <w:lang w:val="en-US" w:eastAsia="zh-CN"/>
        </w:rPr>
        <w:t>集体</w:t>
      </w:r>
      <w:r>
        <w:rPr>
          <w:rFonts w:hint="eastAsia" w:ascii="宋体" w:hAnsi="宋体"/>
          <w:color w:val="auto"/>
          <w:sz w:val="24"/>
          <w:highlight w:val="none"/>
        </w:rPr>
        <w:t>产权交易平台（http:</w:t>
      </w:r>
      <w:r>
        <w:rPr>
          <w:rFonts w:hint="eastAsia" w:ascii="宋体" w:hAnsi="宋体"/>
          <w:color w:val="auto"/>
          <w:sz w:val="24"/>
          <w:highlight w:val="none"/>
          <w:lang w:val="en-US" w:eastAsia="zh-CN"/>
        </w:rPr>
        <w:t>//</w:t>
      </w:r>
      <w:r>
        <w:rPr>
          <w:rFonts w:hint="eastAsia" w:ascii="宋体" w:hAnsi="宋体"/>
          <w:color w:val="auto"/>
          <w:sz w:val="24"/>
          <w:highlight w:val="none"/>
        </w:rPr>
        <w:t>www.hljnjzx.com）发布，其它网址转载无效。</w:t>
      </w:r>
    </w:p>
    <w:p w14:paraId="164D73CF">
      <w:pPr>
        <w:snapToGrid w:val="0"/>
        <w:spacing w:before="240" w:beforeLines="100"/>
        <w:rPr>
          <w:rFonts w:hint="eastAsia" w:ascii="宋体" w:hAnsi="宋体" w:eastAsia="宋体" w:cs="Times New Roman"/>
          <w:b/>
          <w:color w:val="auto"/>
          <w:sz w:val="24"/>
          <w:highlight w:val="none"/>
          <w:lang w:val="en-US" w:eastAsia="zh-CN"/>
        </w:rPr>
      </w:pPr>
      <w:r>
        <w:rPr>
          <w:rFonts w:hint="eastAsia" w:ascii="宋体" w:hAnsi="宋体" w:eastAsia="宋体" w:cs="Times New Roman"/>
          <w:b/>
          <w:color w:val="auto"/>
          <w:sz w:val="24"/>
          <w:highlight w:val="none"/>
          <w:lang w:val="en-US" w:eastAsia="zh-CN"/>
        </w:rPr>
        <w:t>11  异议</w:t>
      </w:r>
    </w:p>
    <w:p w14:paraId="17370444">
      <w:pPr>
        <w:numPr>
          <w:ilvl w:val="0"/>
          <w:numId w:val="0"/>
        </w:numPr>
        <w:wordWrap w:val="0"/>
        <w:snapToGrid w:val="0"/>
        <w:spacing w:line="360" w:lineRule="auto"/>
        <w:ind w:firstLine="480" w:firstLineChars="200"/>
        <w:rPr>
          <w:rFonts w:hint="default" w:eastAsia="宋体"/>
          <w:lang w:val="en-US" w:eastAsia="zh-CN"/>
        </w:rPr>
      </w:pPr>
      <w:r>
        <w:rPr>
          <w:rFonts w:hint="eastAsia" w:ascii="宋体" w:hAnsi="宋体"/>
          <w:color w:val="auto"/>
          <w:sz w:val="24"/>
          <w:highlight w:val="none"/>
          <w:u w:val="none"/>
        </w:rPr>
        <w:t>参与供应商对</w:t>
      </w:r>
      <w:r>
        <w:rPr>
          <w:rFonts w:hint="eastAsia" w:ascii="宋体" w:hAnsi="宋体"/>
          <w:color w:val="auto"/>
          <w:sz w:val="24"/>
          <w:highlight w:val="none"/>
          <w:u w:val="none"/>
          <w:lang w:val="en-US" w:eastAsia="zh-CN"/>
        </w:rPr>
        <w:t>本项目</w:t>
      </w:r>
      <w:r>
        <w:rPr>
          <w:rFonts w:hint="eastAsia" w:ascii="宋体" w:hAnsi="宋体"/>
          <w:color w:val="auto"/>
          <w:sz w:val="24"/>
          <w:highlight w:val="none"/>
          <w:u w:val="none"/>
        </w:rPr>
        <w:t>有异议的，应当按照采购文件的要求在</w:t>
      </w:r>
      <w:r>
        <w:rPr>
          <w:rFonts w:hint="eastAsia" w:ascii="宋体" w:hAnsi="宋体"/>
          <w:color w:val="auto"/>
          <w:sz w:val="24"/>
          <w:highlight w:val="none"/>
          <w:u w:val="none"/>
          <w:lang w:val="en-US" w:eastAsia="zh-CN"/>
        </w:rPr>
        <w:t>规定时间</w:t>
      </w:r>
      <w:r>
        <w:rPr>
          <w:rFonts w:hint="eastAsia" w:ascii="宋体" w:hAnsi="宋体"/>
          <w:color w:val="auto"/>
          <w:sz w:val="24"/>
          <w:highlight w:val="none"/>
          <w:u w:val="none"/>
        </w:rPr>
        <w:t>内提出。</w:t>
      </w:r>
    </w:p>
    <w:p w14:paraId="54505150">
      <w:pPr>
        <w:snapToGrid w:val="0"/>
        <w:spacing w:before="240" w:beforeLines="100"/>
        <w:jc w:val="left"/>
        <w:rPr>
          <w:rFonts w:ascii="宋体" w:hAnsi="宋体"/>
          <w:b/>
          <w:color w:val="auto"/>
          <w:sz w:val="24"/>
          <w:highlight w:val="none"/>
        </w:rPr>
      </w:pPr>
      <w:r>
        <w:rPr>
          <w:rFonts w:hint="eastAsia" w:ascii="宋体" w:hAnsi="宋体"/>
          <w:b/>
          <w:color w:val="auto"/>
          <w:sz w:val="24"/>
          <w:highlight w:val="none"/>
        </w:rPr>
        <w:t>1</w:t>
      </w:r>
      <w:r>
        <w:rPr>
          <w:rFonts w:hint="eastAsia" w:ascii="宋体" w:hAnsi="宋体"/>
          <w:b/>
          <w:color w:val="auto"/>
          <w:sz w:val="24"/>
          <w:highlight w:val="none"/>
          <w:lang w:val="en-US" w:eastAsia="zh-CN"/>
        </w:rPr>
        <w:t xml:space="preserve">2 </w:t>
      </w:r>
      <w:r>
        <w:rPr>
          <w:rFonts w:ascii="宋体" w:hAnsi="宋体"/>
          <w:b/>
          <w:color w:val="auto"/>
          <w:sz w:val="24"/>
          <w:highlight w:val="none"/>
        </w:rPr>
        <w:t xml:space="preserve"> </w:t>
      </w:r>
      <w:r>
        <w:rPr>
          <w:rFonts w:hint="eastAsia" w:ascii="宋体" w:hAnsi="宋体"/>
          <w:b/>
          <w:color w:val="auto"/>
          <w:sz w:val="24"/>
          <w:highlight w:val="none"/>
        </w:rPr>
        <w:t>联系方式</w:t>
      </w:r>
    </w:p>
    <w:p w14:paraId="6E9BB9A6">
      <w:pPr>
        <w:wordWrap w:val="0"/>
        <w:snapToGrid w:val="0"/>
        <w:ind w:firstLine="480" w:firstLineChars="200"/>
        <w:rPr>
          <w:rFonts w:hint="eastAsia" w:ascii="宋体" w:hAnsi="宋体" w:eastAsia="宋体"/>
          <w:color w:val="auto"/>
          <w:sz w:val="24"/>
          <w:highlight w:val="none"/>
          <w:lang w:eastAsia="zh-CN"/>
        </w:rPr>
      </w:pPr>
      <w:bookmarkStart w:id="25" w:name="_Toc63273559"/>
      <w:r>
        <w:rPr>
          <w:rFonts w:hint="eastAsia" w:ascii="宋体" w:hAnsi="宋体"/>
          <w:color w:val="auto"/>
          <w:sz w:val="24"/>
          <w:highlight w:val="none"/>
        </w:rPr>
        <w:t>采 购 人</w:t>
      </w:r>
      <w:bookmarkStart w:id="26" w:name="OLE_LINK11"/>
      <w:r>
        <w:rPr>
          <w:rFonts w:hint="eastAsia" w:ascii="宋体" w:hAnsi="宋体"/>
          <w:color w:val="auto"/>
          <w:sz w:val="24"/>
          <w:highlight w:val="none"/>
        </w:rPr>
        <w:t>：</w:t>
      </w:r>
      <w:bookmarkEnd w:id="25"/>
      <w:bookmarkEnd w:id="26"/>
      <w:r>
        <w:rPr>
          <w:rFonts w:hint="eastAsia" w:ascii="宋体" w:hAnsi="宋体"/>
          <w:color w:val="auto"/>
          <w:sz w:val="24"/>
          <w:highlight w:val="none"/>
          <w:lang w:eastAsia="zh-CN"/>
        </w:rPr>
        <w:t>鸡西市鸡冠区西郊乡三合村股份</w:t>
      </w:r>
      <w:r>
        <w:rPr>
          <w:rFonts w:hint="eastAsia" w:ascii="宋体" w:hAnsi="宋体"/>
          <w:color w:val="auto"/>
          <w:sz w:val="24"/>
          <w:highlight w:val="none"/>
        </w:rPr>
        <w:t>经济合作社</w:t>
      </w:r>
    </w:p>
    <w:p w14:paraId="20D743CD">
      <w:pPr>
        <w:snapToGrid w:val="0"/>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地  址  ：</w:t>
      </w:r>
      <w:r>
        <w:rPr>
          <w:rFonts w:hint="eastAsia" w:ascii="宋体" w:hAnsi="宋体"/>
          <w:color w:val="auto"/>
          <w:sz w:val="24"/>
          <w:highlight w:val="none"/>
          <w:lang w:eastAsia="zh-CN"/>
        </w:rPr>
        <w:t>鸡西市鸡冠区西郊乡三合村</w:t>
      </w:r>
    </w:p>
    <w:p w14:paraId="7B59D690">
      <w:pPr>
        <w:snapToGrid w:val="0"/>
        <w:ind w:firstLine="480" w:firstLineChars="200"/>
        <w:rPr>
          <w:rFonts w:hint="eastAsia" w:ascii="宋体" w:hAnsi="宋体" w:eastAsia="宋体"/>
          <w:color w:val="auto"/>
          <w:sz w:val="24"/>
          <w:highlight w:val="none"/>
          <w:lang w:val="en-US" w:eastAsia="zh-CN"/>
        </w:rPr>
      </w:pPr>
      <w:r>
        <w:rPr>
          <w:rFonts w:hint="eastAsia" w:ascii="宋体" w:hAnsi="宋体"/>
          <w:color w:val="auto"/>
          <w:sz w:val="24"/>
          <w:highlight w:val="none"/>
        </w:rPr>
        <w:t>联 系 人：</w:t>
      </w:r>
      <w:r>
        <w:rPr>
          <w:rFonts w:hint="eastAsia" w:ascii="宋体" w:hAnsi="宋体"/>
          <w:color w:val="auto"/>
          <w:sz w:val="24"/>
          <w:highlight w:val="none"/>
          <w:lang w:val="en-US" w:eastAsia="zh-CN"/>
        </w:rPr>
        <w:t>张朋</w:t>
      </w:r>
    </w:p>
    <w:p w14:paraId="1196013D">
      <w:pPr>
        <w:snapToGrid w:val="0"/>
        <w:ind w:firstLine="480" w:firstLineChars="200"/>
        <w:rPr>
          <w:rFonts w:hint="eastAsia"/>
          <w:lang w:val="en-US" w:eastAsia="zh-CN"/>
        </w:rPr>
      </w:pPr>
      <w:r>
        <w:rPr>
          <w:rFonts w:hint="eastAsia" w:ascii="宋体" w:hAnsi="宋体"/>
          <w:color w:val="auto"/>
          <w:sz w:val="24"/>
          <w:highlight w:val="none"/>
        </w:rPr>
        <w:t>电    话：</w:t>
      </w:r>
      <w:r>
        <w:rPr>
          <w:rFonts w:hint="eastAsia" w:ascii="宋体" w:hAnsi="宋体"/>
          <w:color w:val="auto"/>
          <w:sz w:val="24"/>
          <w:highlight w:val="none"/>
          <w:lang w:val="en-US" w:eastAsia="zh-CN"/>
        </w:rPr>
        <w:t>15904657678</w:t>
      </w:r>
    </w:p>
    <w:p w14:paraId="068BBDD3">
      <w:pPr>
        <w:snapToGrid w:val="0"/>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代理机构：</w:t>
      </w:r>
      <w:r>
        <w:rPr>
          <w:rFonts w:hint="eastAsia" w:ascii="宋体" w:hAnsi="宋体"/>
          <w:color w:val="auto"/>
          <w:sz w:val="24"/>
          <w:highlight w:val="none"/>
          <w:lang w:eastAsia="zh-CN"/>
        </w:rPr>
        <w:t>黑龙江农村产权交易中心有限公司</w:t>
      </w:r>
    </w:p>
    <w:p w14:paraId="3E8726C8">
      <w:pPr>
        <w:snapToGrid w:val="0"/>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地    址：</w:t>
      </w:r>
      <w:r>
        <w:rPr>
          <w:rFonts w:hint="eastAsia" w:ascii="宋体" w:hAnsi="宋体"/>
          <w:color w:val="auto"/>
          <w:sz w:val="24"/>
          <w:highlight w:val="none"/>
          <w:lang w:val="en-US" w:eastAsia="zh-CN"/>
        </w:rPr>
        <w:t>鸡西市鸡冠区红军路街道兴国中路197号海阔宾馆7楼</w:t>
      </w:r>
    </w:p>
    <w:p w14:paraId="1C82F68F">
      <w:pPr>
        <w:snapToGrid w:val="0"/>
        <w:ind w:firstLine="480" w:firstLineChars="200"/>
        <w:rPr>
          <w:rFonts w:hint="default" w:ascii="宋体" w:hAnsi="宋体" w:eastAsia="宋体"/>
          <w:color w:val="auto"/>
          <w:sz w:val="24"/>
          <w:highlight w:val="none"/>
          <w:lang w:val="en-US" w:eastAsia="zh-CN"/>
        </w:rPr>
      </w:pPr>
      <w:r>
        <w:rPr>
          <w:rFonts w:hint="eastAsia" w:ascii="宋体" w:hAnsi="宋体"/>
          <w:color w:val="auto"/>
          <w:sz w:val="24"/>
          <w:highlight w:val="none"/>
        </w:rPr>
        <w:t>联 系 人：</w:t>
      </w:r>
      <w:r>
        <w:rPr>
          <w:rFonts w:hint="eastAsia" w:ascii="宋体" w:hAnsi="宋体" w:eastAsia="宋体" w:cs="Times New Roman"/>
          <w:color w:val="auto"/>
          <w:sz w:val="24"/>
          <w:highlight w:val="none"/>
          <w:lang w:val="en-US" w:eastAsia="zh-CN"/>
        </w:rPr>
        <w:t>郭女士</w:t>
      </w:r>
    </w:p>
    <w:p w14:paraId="18C2BE5B">
      <w:pPr>
        <w:snapToGrid w:val="0"/>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rPr>
        <w:t>电    话：</w:t>
      </w:r>
      <w:r>
        <w:rPr>
          <w:rFonts w:hint="eastAsia" w:ascii="宋体" w:hAnsi="宋体" w:eastAsia="宋体" w:cs="Times New Roman"/>
          <w:color w:val="auto"/>
          <w:sz w:val="24"/>
          <w:highlight w:val="none"/>
          <w:lang w:val="en-US" w:eastAsia="zh-CN"/>
        </w:rPr>
        <w:t>13351670930</w:t>
      </w:r>
      <w:r>
        <w:rPr>
          <w:rFonts w:hint="eastAsia" w:ascii="宋体" w:hAnsi="宋体"/>
          <w:color w:val="auto"/>
          <w:sz w:val="24"/>
          <w:highlight w:val="none"/>
          <w:lang w:val="en-US" w:eastAsia="zh-CN"/>
        </w:rPr>
        <w:br w:type="textWrapping"/>
      </w:r>
    </w:p>
    <w:p w14:paraId="101BFB28">
      <w:pPr>
        <w:pStyle w:val="26"/>
        <w:outlineLvl w:val="9"/>
        <w:rPr>
          <w:rFonts w:hint="eastAsia" w:ascii="宋体" w:hAnsi="宋体"/>
          <w:color w:val="auto"/>
          <w:sz w:val="24"/>
          <w:highlight w:val="none"/>
          <w:lang w:val="en-US" w:eastAsia="zh-CN"/>
        </w:rPr>
      </w:pPr>
      <w:r>
        <w:rPr>
          <w:rFonts w:hint="eastAsia" w:ascii="宋体" w:hAnsi="宋体"/>
          <w:color w:val="auto"/>
          <w:sz w:val="24"/>
          <w:highlight w:val="none"/>
          <w:lang w:val="en-US" w:eastAsia="zh-CN"/>
        </w:rPr>
        <w:t>举报投诉电话：0451-87200259</w:t>
      </w:r>
    </w:p>
    <w:p w14:paraId="7C200C72">
      <w:pPr>
        <w:pStyle w:val="26"/>
        <w:outlineLvl w:val="9"/>
        <w:rPr>
          <w:rFonts w:hint="eastAsia" w:ascii="宋体" w:hAnsi="宋体"/>
          <w:color w:val="auto"/>
          <w:sz w:val="24"/>
          <w:highlight w:val="none"/>
          <w:lang w:val="en-US" w:eastAsia="zh-CN"/>
        </w:rPr>
      </w:pPr>
    </w:p>
    <w:bookmarkEnd w:id="22"/>
    <w:p w14:paraId="060F5DBD">
      <w:pPr>
        <w:rPr>
          <w:highlight w:val="none"/>
        </w:rPr>
      </w:pPr>
      <w:r>
        <w:rPr>
          <w:highlight w:val="none"/>
        </w:rPr>
        <w:br w:type="page"/>
      </w:r>
      <w:bookmarkEnd w:id="23"/>
      <w:bookmarkStart w:id="27" w:name="_Hlk530683232"/>
      <w:bookmarkStart w:id="28" w:name="_Toc418502404"/>
    </w:p>
    <w:p w14:paraId="0A0ED3F3">
      <w:pPr>
        <w:spacing w:before="120" w:after="120"/>
        <w:jc w:val="center"/>
        <w:outlineLvl w:val="0"/>
        <w:rPr>
          <w:rFonts w:ascii="宋体" w:hAnsi="宋体"/>
          <w:b/>
          <w:color w:val="auto"/>
          <w:sz w:val="32"/>
          <w:szCs w:val="32"/>
          <w:highlight w:val="none"/>
        </w:rPr>
      </w:pPr>
      <w:bookmarkStart w:id="29" w:name="_Toc24954"/>
      <w:bookmarkStart w:id="30" w:name="_Toc20789"/>
      <w:r>
        <w:rPr>
          <w:rFonts w:hint="eastAsia" w:ascii="宋体" w:hAnsi="宋体"/>
          <w:b/>
          <w:color w:val="auto"/>
          <w:sz w:val="32"/>
          <w:szCs w:val="32"/>
          <w:highlight w:val="none"/>
        </w:rPr>
        <w:t>第二章  意向供应商须知</w:t>
      </w:r>
      <w:bookmarkEnd w:id="27"/>
      <w:bookmarkEnd w:id="28"/>
      <w:bookmarkEnd w:id="29"/>
      <w:bookmarkEnd w:id="30"/>
      <w:bookmarkStart w:id="31" w:name="_Toc14601"/>
      <w:bookmarkStart w:id="32" w:name="_Toc37418022"/>
      <w:bookmarkStart w:id="33" w:name="_Toc44225732"/>
      <w:bookmarkStart w:id="34" w:name="_Toc530744901"/>
      <w:bookmarkStart w:id="35" w:name="_Toc143526410"/>
      <w:bookmarkStart w:id="36" w:name="_Toc110310781"/>
      <w:bookmarkStart w:id="37" w:name="_Toc111260607"/>
      <w:bookmarkStart w:id="38" w:name="_Toc418502405"/>
      <w:bookmarkStart w:id="39" w:name="_Toc29097"/>
      <w:bookmarkStart w:id="40" w:name="_Toc415563188"/>
    </w:p>
    <w:p w14:paraId="07D6D73B">
      <w:pPr>
        <w:keepNext/>
        <w:keepLines/>
        <w:adjustRightInd w:val="0"/>
        <w:spacing w:before="240" w:beforeLines="100"/>
        <w:textAlignment w:val="baseline"/>
        <w:outlineLvl w:val="1"/>
        <w:rPr>
          <w:rFonts w:ascii="宋体" w:hAnsi="宋体"/>
          <w:b/>
          <w:color w:val="auto"/>
          <w:kern w:val="0"/>
          <w:sz w:val="24"/>
          <w:highlight w:val="none"/>
        </w:rPr>
      </w:pPr>
      <w:bookmarkStart w:id="41" w:name="_Toc14307"/>
      <w:bookmarkStart w:id="42" w:name="_Toc79761664"/>
      <w:bookmarkStart w:id="43" w:name="_Toc63273569"/>
      <w:bookmarkStart w:id="44" w:name="_Toc63587074"/>
      <w:r>
        <w:rPr>
          <w:rFonts w:hint="eastAsia" w:ascii="宋体" w:hAnsi="宋体"/>
          <w:b/>
          <w:color w:val="auto"/>
          <w:kern w:val="0"/>
          <w:sz w:val="24"/>
          <w:highlight w:val="none"/>
        </w:rPr>
        <w:t>1</w:t>
      </w:r>
      <w:r>
        <w:rPr>
          <w:rFonts w:ascii="宋体" w:hAnsi="宋体"/>
          <w:b/>
          <w:color w:val="auto"/>
          <w:kern w:val="0"/>
          <w:sz w:val="24"/>
          <w:highlight w:val="none"/>
        </w:rPr>
        <w:t xml:space="preserve">  </w:t>
      </w:r>
      <w:r>
        <w:rPr>
          <w:rFonts w:hint="eastAsia" w:ascii="宋体" w:hAnsi="宋体"/>
          <w:b/>
          <w:color w:val="auto"/>
          <w:kern w:val="0"/>
          <w:sz w:val="24"/>
          <w:highlight w:val="none"/>
        </w:rPr>
        <w:t>总则</w:t>
      </w:r>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103DC3B6">
      <w:pPr>
        <w:pStyle w:val="2"/>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根据《关于加快</w:t>
      </w:r>
      <w:r>
        <w:rPr>
          <w:rFonts w:ascii="宋体" w:hAnsi="宋体"/>
          <w:color w:val="auto"/>
          <w:sz w:val="24"/>
          <w:highlight w:val="none"/>
        </w:rPr>
        <w:t>农村产权交易市场建设推动农村集体资产资源流转全部进场交易的通知</w:t>
      </w:r>
      <w:r>
        <w:rPr>
          <w:rFonts w:hint="eastAsia" w:ascii="宋体" w:hAnsi="宋体"/>
          <w:color w:val="auto"/>
          <w:sz w:val="24"/>
          <w:highlight w:val="none"/>
        </w:rPr>
        <w:t>》《黑龙江省农村产权交易管理办法》</w:t>
      </w:r>
      <w:r>
        <w:rPr>
          <w:rFonts w:hint="eastAsia" w:ascii="宋体" w:hAnsi="宋体"/>
          <w:color w:val="auto"/>
          <w:sz w:val="24"/>
          <w:highlight w:val="none"/>
          <w:lang w:val="en-US" w:eastAsia="zh-CN"/>
        </w:rPr>
        <w:t>及</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黑龙江省</w:t>
      </w:r>
      <w:r>
        <w:rPr>
          <w:rFonts w:hint="eastAsia" w:ascii="宋体" w:hAnsi="宋体"/>
          <w:color w:val="auto"/>
          <w:sz w:val="24"/>
          <w:highlight w:val="none"/>
          <w:lang w:eastAsia="zh-CN"/>
        </w:rPr>
        <w:t>农村集体经济组织采购服务平台竞价采购实施细则》</w:t>
      </w:r>
      <w:r>
        <w:rPr>
          <w:rFonts w:hint="eastAsia" w:ascii="宋体" w:hAnsi="宋体"/>
          <w:color w:val="auto"/>
          <w:sz w:val="24"/>
          <w:highlight w:val="none"/>
        </w:rPr>
        <w:t>的有关规定</w:t>
      </w:r>
      <w:r>
        <w:rPr>
          <w:rFonts w:hint="eastAsia" w:ascii="宋体" w:hAnsi="宋体"/>
          <w:color w:val="auto"/>
          <w:sz w:val="24"/>
          <w:highlight w:val="none"/>
          <w:lang w:val="en-US" w:eastAsia="zh-CN"/>
        </w:rPr>
        <w:t>编制。</w:t>
      </w:r>
    </w:p>
    <w:p w14:paraId="775E1D8B">
      <w:pPr>
        <w:spacing w:before="240" w:beforeLines="100"/>
        <w:rPr>
          <w:rFonts w:ascii="宋体" w:hAnsi="宋体"/>
          <w:b/>
          <w:color w:val="auto"/>
          <w:sz w:val="24"/>
          <w:highlight w:val="none"/>
        </w:rPr>
      </w:pPr>
      <w:r>
        <w:rPr>
          <w:rFonts w:hint="eastAsia" w:ascii="宋体" w:hAnsi="宋体"/>
          <w:b/>
          <w:color w:val="auto"/>
          <w:sz w:val="24"/>
          <w:highlight w:val="none"/>
        </w:rPr>
        <w:t>1.1</w:t>
      </w:r>
      <w:r>
        <w:rPr>
          <w:rFonts w:ascii="宋体" w:hAnsi="宋体"/>
          <w:b/>
          <w:color w:val="auto"/>
          <w:sz w:val="24"/>
          <w:highlight w:val="none"/>
        </w:rPr>
        <w:t xml:space="preserve"> </w:t>
      </w:r>
      <w:r>
        <w:rPr>
          <w:rFonts w:hint="eastAsia" w:ascii="宋体" w:hAnsi="宋体"/>
          <w:b/>
          <w:color w:val="auto"/>
          <w:sz w:val="24"/>
          <w:highlight w:val="none"/>
        </w:rPr>
        <w:t>项目概况</w:t>
      </w:r>
    </w:p>
    <w:p w14:paraId="7827624E">
      <w:pPr>
        <w:pStyle w:val="2"/>
        <w:ind w:firstLine="480" w:firstLineChars="200"/>
        <w:rPr>
          <w:rFonts w:ascii="宋体" w:hAnsi="宋体"/>
          <w:color w:val="auto"/>
          <w:sz w:val="24"/>
          <w:highlight w:val="none"/>
        </w:rPr>
      </w:pPr>
      <w:r>
        <w:rPr>
          <w:rFonts w:hint="eastAsia" w:ascii="宋体" w:hAnsi="宋体"/>
          <w:color w:val="auto"/>
          <w:sz w:val="24"/>
          <w:highlight w:val="none"/>
        </w:rPr>
        <w:t>见采购公告。</w:t>
      </w:r>
      <w:r>
        <w:rPr>
          <w:rFonts w:ascii="宋体" w:hAnsi="宋体"/>
          <w:color w:val="auto"/>
          <w:sz w:val="24"/>
          <w:highlight w:val="none"/>
        </w:rPr>
        <w:t xml:space="preserve"> </w:t>
      </w:r>
    </w:p>
    <w:p w14:paraId="2819C056">
      <w:pPr>
        <w:rPr>
          <w:rFonts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 xml:space="preserve">.2 </w:t>
      </w:r>
      <w:r>
        <w:rPr>
          <w:rFonts w:hint="eastAsia" w:ascii="宋体" w:hAnsi="宋体"/>
          <w:b/>
          <w:color w:val="auto"/>
          <w:sz w:val="24"/>
          <w:highlight w:val="none"/>
        </w:rPr>
        <w:t>采购内容及相关要求</w:t>
      </w:r>
    </w:p>
    <w:p w14:paraId="423058D1">
      <w:pPr>
        <w:pStyle w:val="2"/>
        <w:ind w:firstLine="480" w:firstLineChars="200"/>
        <w:rPr>
          <w:rFonts w:ascii="宋体" w:hAnsi="宋体"/>
          <w:color w:val="auto"/>
          <w:sz w:val="24"/>
          <w:highlight w:val="none"/>
        </w:rPr>
      </w:pPr>
      <w:r>
        <w:rPr>
          <w:rFonts w:hint="eastAsia" w:ascii="宋体" w:hAnsi="宋体"/>
          <w:color w:val="auto"/>
          <w:sz w:val="24"/>
          <w:highlight w:val="none"/>
        </w:rPr>
        <w:t>见采购公告</w:t>
      </w:r>
      <w:r>
        <w:rPr>
          <w:rFonts w:ascii="宋体" w:hAnsi="宋体"/>
          <w:color w:val="auto"/>
          <w:sz w:val="24"/>
          <w:highlight w:val="none"/>
        </w:rPr>
        <w:t xml:space="preserve"> </w:t>
      </w:r>
    </w:p>
    <w:p w14:paraId="7752CF2B">
      <w:pPr>
        <w:rPr>
          <w:rFonts w:ascii="宋体" w:hAnsi="宋体"/>
          <w:b/>
          <w:color w:val="auto"/>
          <w:sz w:val="24"/>
          <w:highlight w:val="none"/>
        </w:rPr>
      </w:pPr>
      <w:bookmarkStart w:id="45" w:name="_Toc415563191"/>
      <w:bookmarkStart w:id="46" w:name="_Toc418502408"/>
      <w:bookmarkStart w:id="47" w:name="_Toc110310784"/>
      <w:bookmarkStart w:id="48" w:name="_Toc530744902"/>
      <w:bookmarkStart w:id="49" w:name="_Toc27706"/>
      <w:bookmarkStart w:id="50" w:name="_Toc143052077"/>
      <w:bookmarkStart w:id="51" w:name="_Toc37418023"/>
      <w:bookmarkStart w:id="52" w:name="_Toc260"/>
      <w:bookmarkStart w:id="53" w:name="_Toc143526413"/>
      <w:bookmarkStart w:id="54" w:name="_Toc44225733"/>
      <w:r>
        <w:rPr>
          <w:rFonts w:hint="eastAsia" w:ascii="宋体" w:hAnsi="宋体"/>
          <w:b/>
          <w:color w:val="auto"/>
          <w:sz w:val="24"/>
          <w:highlight w:val="none"/>
        </w:rPr>
        <w:t>1.</w:t>
      </w:r>
      <w:r>
        <w:rPr>
          <w:rFonts w:ascii="宋体" w:hAnsi="宋体"/>
          <w:b/>
          <w:color w:val="auto"/>
          <w:sz w:val="24"/>
          <w:highlight w:val="none"/>
        </w:rPr>
        <w:t>3</w:t>
      </w:r>
      <w:r>
        <w:rPr>
          <w:rFonts w:hint="eastAsia" w:ascii="宋体" w:hAnsi="宋体"/>
          <w:b/>
          <w:color w:val="auto"/>
          <w:sz w:val="24"/>
          <w:highlight w:val="none"/>
        </w:rPr>
        <w:t xml:space="preserve"> 费用承担</w:t>
      </w:r>
    </w:p>
    <w:p w14:paraId="41C4AF5D">
      <w:pPr>
        <w:pStyle w:val="2"/>
        <w:ind w:firstLine="480" w:firstLineChars="200"/>
        <w:rPr>
          <w:rFonts w:ascii="宋体" w:hAnsi="宋体"/>
          <w:color w:val="auto"/>
          <w:sz w:val="24"/>
          <w:highlight w:val="none"/>
        </w:rPr>
      </w:pPr>
      <w:r>
        <w:rPr>
          <w:rFonts w:hint="eastAsia" w:ascii="宋体" w:hAnsi="宋体"/>
          <w:color w:val="auto"/>
          <w:sz w:val="24"/>
          <w:highlight w:val="none"/>
        </w:rPr>
        <w:t>意向供应商准备和参加采购活动所发生的各种费用由意向供应商自行承担。</w:t>
      </w:r>
    </w:p>
    <w:p w14:paraId="69DBF695">
      <w:pPr>
        <w:rPr>
          <w:rFonts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4</w:t>
      </w:r>
      <w:r>
        <w:rPr>
          <w:rFonts w:hint="eastAsia" w:ascii="宋体" w:hAnsi="宋体"/>
          <w:b/>
          <w:color w:val="auto"/>
          <w:sz w:val="24"/>
          <w:highlight w:val="none"/>
        </w:rPr>
        <w:t xml:space="preserve"> 保密</w:t>
      </w:r>
    </w:p>
    <w:p w14:paraId="5D4DA458">
      <w:pPr>
        <w:pStyle w:val="2"/>
        <w:ind w:firstLine="480" w:firstLineChars="200"/>
        <w:rPr>
          <w:rFonts w:ascii="宋体" w:hAnsi="宋体"/>
          <w:color w:val="auto"/>
          <w:sz w:val="24"/>
          <w:highlight w:val="none"/>
        </w:rPr>
      </w:pPr>
      <w:r>
        <w:rPr>
          <w:rFonts w:hint="eastAsia" w:ascii="宋体" w:hAnsi="宋体"/>
          <w:color w:val="auto"/>
          <w:sz w:val="24"/>
          <w:highlight w:val="none"/>
        </w:rPr>
        <w:t>参与采购活动的各方应对采购文件和资格申请文件中的商业和技术等秘密保密，否则应承担相应的法律责任。</w:t>
      </w:r>
    </w:p>
    <w:p w14:paraId="4C955F94">
      <w:pPr>
        <w:rPr>
          <w:rFonts w:ascii="宋体" w:hAnsi="宋体"/>
          <w:b/>
          <w:color w:val="auto"/>
          <w:sz w:val="24"/>
          <w:highlight w:val="none"/>
        </w:rPr>
      </w:pPr>
      <w:bookmarkStart w:id="55" w:name="_bookmark29"/>
      <w:bookmarkEnd w:id="55"/>
      <w:r>
        <w:rPr>
          <w:rFonts w:hint="eastAsia" w:ascii="宋体" w:hAnsi="宋体"/>
          <w:b/>
          <w:color w:val="auto"/>
          <w:sz w:val="24"/>
          <w:highlight w:val="none"/>
        </w:rPr>
        <w:t>1.</w:t>
      </w:r>
      <w:r>
        <w:rPr>
          <w:rFonts w:ascii="宋体" w:hAnsi="宋体"/>
          <w:b/>
          <w:color w:val="auto"/>
          <w:sz w:val="24"/>
          <w:highlight w:val="none"/>
        </w:rPr>
        <w:t>5</w:t>
      </w:r>
      <w:r>
        <w:rPr>
          <w:rFonts w:hint="eastAsia" w:ascii="宋体" w:hAnsi="宋体"/>
          <w:b/>
          <w:color w:val="auto"/>
          <w:sz w:val="24"/>
          <w:highlight w:val="none"/>
        </w:rPr>
        <w:t xml:space="preserve"> 语言文字</w:t>
      </w:r>
    </w:p>
    <w:p w14:paraId="61A1F3DD">
      <w:pPr>
        <w:pStyle w:val="2"/>
        <w:ind w:firstLine="480" w:firstLineChars="200"/>
        <w:rPr>
          <w:rFonts w:ascii="宋体" w:hAnsi="宋体"/>
          <w:color w:val="auto"/>
          <w:sz w:val="24"/>
          <w:highlight w:val="none"/>
        </w:rPr>
      </w:pPr>
      <w:r>
        <w:rPr>
          <w:rFonts w:hint="eastAsia" w:ascii="宋体" w:hAnsi="宋体"/>
          <w:color w:val="auto"/>
          <w:sz w:val="24"/>
          <w:highlight w:val="none"/>
        </w:rPr>
        <w:t>采购文件和资格申请文件使用的语言文字为中文。专用术语适用外文的，应附有中文注释。</w:t>
      </w:r>
    </w:p>
    <w:p w14:paraId="460DBF99">
      <w:pPr>
        <w:rPr>
          <w:rFonts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6</w:t>
      </w:r>
      <w:r>
        <w:rPr>
          <w:rFonts w:hint="eastAsia" w:ascii="宋体" w:hAnsi="宋体"/>
          <w:b/>
          <w:color w:val="auto"/>
          <w:sz w:val="24"/>
          <w:highlight w:val="none"/>
        </w:rPr>
        <w:t xml:space="preserve"> 计量单位</w:t>
      </w:r>
    </w:p>
    <w:p w14:paraId="49E909C7">
      <w:pPr>
        <w:pStyle w:val="2"/>
        <w:ind w:firstLine="480" w:firstLineChars="200"/>
        <w:rPr>
          <w:rFonts w:ascii="宋体" w:hAnsi="宋体"/>
          <w:color w:val="auto"/>
          <w:sz w:val="24"/>
          <w:highlight w:val="none"/>
        </w:rPr>
      </w:pPr>
      <w:r>
        <w:rPr>
          <w:rFonts w:hint="eastAsia" w:ascii="宋体" w:hAnsi="宋体"/>
          <w:color w:val="auto"/>
          <w:sz w:val="24"/>
          <w:highlight w:val="none"/>
        </w:rPr>
        <w:t>所有计量均采用中华人民共和国法定计量单位。</w:t>
      </w:r>
    </w:p>
    <w:p w14:paraId="3E03CB58">
      <w:pPr>
        <w:keepNext/>
        <w:keepLines/>
        <w:adjustRightInd w:val="0"/>
        <w:spacing w:before="240" w:beforeLines="100"/>
        <w:textAlignment w:val="baseline"/>
        <w:outlineLvl w:val="1"/>
        <w:rPr>
          <w:rFonts w:ascii="宋体" w:hAnsi="宋体"/>
          <w:b/>
          <w:color w:val="auto"/>
          <w:kern w:val="0"/>
          <w:sz w:val="24"/>
          <w:highlight w:val="none"/>
        </w:rPr>
      </w:pPr>
      <w:bookmarkStart w:id="56" w:name="_Toc63587075"/>
      <w:bookmarkStart w:id="57" w:name="_Toc22792"/>
      <w:bookmarkStart w:id="58" w:name="_Toc63273570"/>
      <w:bookmarkStart w:id="59" w:name="_Toc79761665"/>
      <w:r>
        <w:rPr>
          <w:rFonts w:hint="eastAsia" w:ascii="宋体" w:hAnsi="宋体"/>
          <w:b/>
          <w:color w:val="auto"/>
          <w:kern w:val="0"/>
          <w:sz w:val="24"/>
          <w:highlight w:val="none"/>
        </w:rPr>
        <w:t>2</w:t>
      </w:r>
      <w:r>
        <w:rPr>
          <w:rFonts w:ascii="宋体" w:hAnsi="宋体"/>
          <w:b/>
          <w:color w:val="auto"/>
          <w:kern w:val="0"/>
          <w:sz w:val="24"/>
          <w:highlight w:val="none"/>
        </w:rPr>
        <w:t xml:space="preserve">  </w:t>
      </w:r>
      <w:r>
        <w:rPr>
          <w:rFonts w:hint="eastAsia" w:ascii="宋体" w:hAnsi="宋体"/>
          <w:b/>
          <w:color w:val="auto"/>
          <w:kern w:val="0"/>
          <w:sz w:val="24"/>
          <w:highlight w:val="none"/>
        </w:rPr>
        <w:t>采购文件</w:t>
      </w:r>
      <w:bookmarkEnd w:id="56"/>
      <w:bookmarkEnd w:id="57"/>
      <w:bookmarkEnd w:id="58"/>
      <w:bookmarkEnd w:id="59"/>
    </w:p>
    <w:p w14:paraId="26CBE961">
      <w:pPr>
        <w:rPr>
          <w:rFonts w:ascii="宋体" w:hAnsi="宋体"/>
          <w:b/>
          <w:color w:val="auto"/>
          <w:sz w:val="24"/>
          <w:highlight w:val="none"/>
        </w:rPr>
      </w:pPr>
      <w:r>
        <w:rPr>
          <w:rFonts w:ascii="宋体" w:hAnsi="宋体"/>
          <w:b/>
          <w:color w:val="auto"/>
          <w:sz w:val="24"/>
          <w:highlight w:val="none"/>
        </w:rPr>
        <w:t>2.1</w:t>
      </w:r>
      <w:r>
        <w:rPr>
          <w:rFonts w:hint="eastAsia" w:ascii="宋体" w:hAnsi="宋体"/>
          <w:b/>
          <w:color w:val="auto"/>
          <w:sz w:val="24"/>
          <w:highlight w:val="none"/>
        </w:rPr>
        <w:t xml:space="preserve"> 采购文件的组成</w:t>
      </w:r>
    </w:p>
    <w:p w14:paraId="6A7F1E50">
      <w:pPr>
        <w:snapToGrid w:val="0"/>
        <w:ind w:right="840" w:firstLine="480" w:firstLineChars="200"/>
        <w:rPr>
          <w:rFonts w:ascii="宋体" w:hAnsi="宋体"/>
          <w:color w:val="auto"/>
          <w:sz w:val="24"/>
          <w:highlight w:val="none"/>
        </w:rPr>
      </w:pPr>
      <w:r>
        <w:rPr>
          <w:rFonts w:hint="eastAsia" w:ascii="宋体" w:hAnsi="宋体"/>
          <w:color w:val="auto"/>
          <w:sz w:val="24"/>
          <w:highlight w:val="none"/>
        </w:rPr>
        <w:t>本采购文件包括：</w:t>
      </w:r>
    </w:p>
    <w:p w14:paraId="157B1D41">
      <w:pPr>
        <w:snapToGrid w:val="0"/>
        <w:ind w:right="840" w:firstLine="480" w:firstLineChars="200"/>
        <w:rPr>
          <w:rFonts w:ascii="宋体" w:hAnsi="宋体"/>
          <w:color w:val="auto"/>
          <w:sz w:val="24"/>
          <w:highlight w:val="none"/>
        </w:rPr>
      </w:pPr>
      <w:r>
        <w:rPr>
          <w:rFonts w:hint="eastAsia" w:ascii="宋体" w:hAnsi="宋体"/>
          <w:color w:val="auto"/>
          <w:sz w:val="24"/>
          <w:highlight w:val="none"/>
        </w:rPr>
        <w:t>（</w:t>
      </w:r>
      <w:r>
        <w:rPr>
          <w:rFonts w:ascii="宋体" w:hAnsi="宋体"/>
          <w:color w:val="auto"/>
          <w:sz w:val="24"/>
          <w:highlight w:val="none"/>
        </w:rPr>
        <w:t>1</w:t>
      </w:r>
      <w:r>
        <w:rPr>
          <w:rFonts w:hint="eastAsia" w:ascii="宋体" w:hAnsi="宋体"/>
          <w:color w:val="auto"/>
          <w:sz w:val="24"/>
          <w:highlight w:val="none"/>
        </w:rPr>
        <w:t>）采购公告；</w:t>
      </w:r>
    </w:p>
    <w:p w14:paraId="08AF64C3">
      <w:pPr>
        <w:snapToGrid w:val="0"/>
        <w:ind w:right="840" w:firstLine="480" w:firstLineChars="200"/>
        <w:rPr>
          <w:rFonts w:ascii="宋体" w:hAnsi="宋体"/>
          <w:color w:val="auto"/>
          <w:sz w:val="24"/>
          <w:highlight w:val="none"/>
        </w:rPr>
      </w:pPr>
      <w:r>
        <w:rPr>
          <w:rFonts w:hint="eastAsia" w:ascii="宋体" w:hAnsi="宋体"/>
          <w:color w:val="auto"/>
          <w:sz w:val="24"/>
          <w:highlight w:val="none"/>
        </w:rPr>
        <w:t>（</w:t>
      </w:r>
      <w:r>
        <w:rPr>
          <w:rFonts w:ascii="宋体" w:hAnsi="宋体"/>
          <w:color w:val="auto"/>
          <w:sz w:val="24"/>
          <w:highlight w:val="none"/>
        </w:rPr>
        <w:t>2</w:t>
      </w:r>
      <w:r>
        <w:rPr>
          <w:rFonts w:hint="eastAsia" w:ascii="宋体" w:hAnsi="宋体"/>
          <w:color w:val="auto"/>
          <w:sz w:val="24"/>
          <w:highlight w:val="none"/>
        </w:rPr>
        <w:t>）意向供应商须知；</w:t>
      </w:r>
    </w:p>
    <w:p w14:paraId="0E80D3D6">
      <w:pPr>
        <w:snapToGrid w:val="0"/>
        <w:ind w:right="840" w:firstLine="480" w:firstLineChars="200"/>
        <w:rPr>
          <w:rFonts w:ascii="宋体" w:hAnsi="宋体"/>
          <w:color w:val="auto"/>
          <w:sz w:val="24"/>
          <w:highlight w:val="none"/>
        </w:rPr>
      </w:pPr>
      <w:r>
        <w:rPr>
          <w:rFonts w:hint="eastAsia" w:ascii="宋体" w:hAnsi="宋体"/>
          <w:color w:val="auto"/>
          <w:sz w:val="24"/>
          <w:highlight w:val="none"/>
        </w:rPr>
        <w:t>（</w:t>
      </w:r>
      <w:r>
        <w:rPr>
          <w:rFonts w:ascii="宋体" w:hAnsi="宋体"/>
          <w:color w:val="auto"/>
          <w:sz w:val="24"/>
          <w:highlight w:val="none"/>
        </w:rPr>
        <w:t>3</w:t>
      </w:r>
      <w:r>
        <w:rPr>
          <w:rFonts w:hint="eastAsia" w:ascii="宋体" w:hAnsi="宋体"/>
          <w:color w:val="auto"/>
          <w:sz w:val="24"/>
          <w:highlight w:val="none"/>
        </w:rPr>
        <w:t>）合同条款及格式；</w:t>
      </w:r>
    </w:p>
    <w:p w14:paraId="742ED13B">
      <w:pPr>
        <w:snapToGrid w:val="0"/>
        <w:ind w:right="840" w:firstLine="480" w:firstLineChars="200"/>
        <w:rPr>
          <w:rFonts w:ascii="宋体" w:hAnsi="宋体"/>
          <w:color w:val="auto"/>
          <w:sz w:val="24"/>
          <w:highlight w:val="none"/>
        </w:rPr>
      </w:pPr>
      <w:r>
        <w:rPr>
          <w:rFonts w:hint="eastAsia" w:ascii="宋体" w:hAnsi="宋体"/>
          <w:color w:val="auto"/>
          <w:sz w:val="24"/>
          <w:highlight w:val="none"/>
        </w:rPr>
        <w:t>（</w:t>
      </w:r>
      <w:r>
        <w:rPr>
          <w:rFonts w:ascii="宋体" w:hAnsi="宋体"/>
          <w:color w:val="auto"/>
          <w:sz w:val="24"/>
          <w:highlight w:val="none"/>
        </w:rPr>
        <w:t>4</w:t>
      </w:r>
      <w:r>
        <w:rPr>
          <w:rFonts w:hint="eastAsia" w:ascii="宋体" w:hAnsi="宋体"/>
          <w:color w:val="auto"/>
          <w:sz w:val="24"/>
          <w:highlight w:val="none"/>
        </w:rPr>
        <w:t>）采购需求；</w:t>
      </w:r>
    </w:p>
    <w:p w14:paraId="700DDEDA">
      <w:pPr>
        <w:snapToGrid w:val="0"/>
        <w:ind w:right="840" w:firstLine="480" w:firstLineChars="200"/>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5</w:t>
      </w:r>
      <w:r>
        <w:rPr>
          <w:rFonts w:hint="eastAsia" w:ascii="宋体" w:hAnsi="宋体"/>
          <w:color w:val="auto"/>
          <w:sz w:val="24"/>
          <w:highlight w:val="none"/>
        </w:rPr>
        <w:t>）其他资料。</w:t>
      </w:r>
    </w:p>
    <w:p w14:paraId="76339AA7">
      <w:pPr>
        <w:pStyle w:val="2"/>
        <w:ind w:firstLine="480" w:firstLineChars="200"/>
        <w:rPr>
          <w:rFonts w:ascii="宋体" w:hAnsi="宋体"/>
          <w:color w:val="auto"/>
          <w:sz w:val="24"/>
          <w:highlight w:val="none"/>
        </w:rPr>
      </w:pPr>
      <w:r>
        <w:rPr>
          <w:rFonts w:hint="eastAsia" w:ascii="宋体" w:hAnsi="宋体"/>
          <w:color w:val="auto"/>
          <w:sz w:val="24"/>
          <w:highlight w:val="none"/>
        </w:rPr>
        <w:t>采购人依照本章规定，对采购文件所作的澄清、修改，构成采购文件的组成部分。</w:t>
      </w:r>
    </w:p>
    <w:p w14:paraId="4440DE9D">
      <w:pPr>
        <w:rPr>
          <w:rFonts w:ascii="宋体" w:hAnsi="宋体"/>
          <w:b/>
          <w:color w:val="auto"/>
          <w:sz w:val="24"/>
          <w:highlight w:val="none"/>
        </w:rPr>
      </w:pPr>
      <w:bookmarkStart w:id="60" w:name="_Toc1385"/>
      <w:bookmarkStart w:id="61" w:name="_Toc485303289"/>
      <w:r>
        <w:rPr>
          <w:rFonts w:ascii="宋体" w:hAnsi="宋体"/>
          <w:b/>
          <w:color w:val="auto"/>
          <w:sz w:val="24"/>
          <w:highlight w:val="none"/>
        </w:rPr>
        <w:t xml:space="preserve">2.2 </w:t>
      </w:r>
      <w:r>
        <w:rPr>
          <w:rFonts w:hint="eastAsia" w:ascii="宋体" w:hAnsi="宋体"/>
          <w:b/>
          <w:color w:val="auto"/>
          <w:sz w:val="24"/>
          <w:highlight w:val="none"/>
        </w:rPr>
        <w:t>采购文件的澄清</w:t>
      </w:r>
      <w:bookmarkEnd w:id="60"/>
      <w:bookmarkEnd w:id="61"/>
      <w:r>
        <w:rPr>
          <w:rFonts w:hint="eastAsia" w:ascii="宋体" w:hAnsi="宋体"/>
          <w:b/>
          <w:color w:val="auto"/>
          <w:sz w:val="24"/>
          <w:highlight w:val="none"/>
        </w:rPr>
        <w:t>和修改</w:t>
      </w:r>
    </w:p>
    <w:p w14:paraId="7E5763F8">
      <w:pPr>
        <w:rPr>
          <w:rFonts w:ascii="宋体" w:hAnsi="宋体"/>
          <w:color w:val="auto"/>
          <w:sz w:val="24"/>
          <w:highlight w:val="none"/>
        </w:rPr>
      </w:pPr>
      <w:bookmarkStart w:id="62" w:name="_Toc485303290"/>
      <w:bookmarkStart w:id="63" w:name="_Toc352691479"/>
      <w:r>
        <w:rPr>
          <w:rFonts w:ascii="宋体" w:hAnsi="宋体"/>
          <w:color w:val="auto"/>
          <w:sz w:val="24"/>
          <w:highlight w:val="none"/>
        </w:rPr>
        <w:t>2.2.1</w:t>
      </w:r>
      <w:r>
        <w:rPr>
          <w:rFonts w:hint="eastAsia" w:ascii="宋体" w:hAnsi="宋体"/>
          <w:color w:val="auto"/>
          <w:sz w:val="24"/>
          <w:highlight w:val="none"/>
        </w:rPr>
        <w:t>意向供应商应仔细阅读和检查采购文件的全部内容。如发现缺页或内容/附件不全，应及时向采购人提出，以便补齐。如有疑问，应在获取采购文件截止时间前通过</w:t>
      </w:r>
      <w:r>
        <w:rPr>
          <w:rFonts w:hint="eastAsia" w:ascii="宋体" w:hAnsi="宋体"/>
          <w:color w:val="auto"/>
          <w:sz w:val="24"/>
          <w:highlight w:val="none"/>
          <w:lang w:val="en-US" w:eastAsia="zh-CN"/>
        </w:rPr>
        <w:t>snccqjy@163.com电子邮箱</w:t>
      </w:r>
      <w:r>
        <w:rPr>
          <w:rFonts w:hint="eastAsia" w:ascii="宋体" w:hAnsi="宋体"/>
          <w:color w:val="auto"/>
          <w:sz w:val="24"/>
          <w:highlight w:val="none"/>
        </w:rPr>
        <w:t>提出，并与代理机构进行电话确认。</w:t>
      </w:r>
    </w:p>
    <w:p w14:paraId="4C704985">
      <w:pPr>
        <w:rPr>
          <w:rFonts w:ascii="宋体" w:hAnsi="宋体"/>
          <w:color w:val="auto"/>
          <w:sz w:val="24"/>
          <w:highlight w:val="none"/>
        </w:rPr>
      </w:pPr>
      <w:r>
        <w:rPr>
          <w:rFonts w:ascii="宋体" w:hAnsi="宋体"/>
          <w:color w:val="auto"/>
          <w:sz w:val="24"/>
          <w:highlight w:val="none"/>
        </w:rPr>
        <w:t>2.2.2</w:t>
      </w:r>
      <w:r>
        <w:rPr>
          <w:rFonts w:hint="eastAsia" w:ascii="宋体" w:hAnsi="宋体"/>
          <w:color w:val="auto"/>
          <w:sz w:val="24"/>
          <w:highlight w:val="none"/>
        </w:rPr>
        <w:t>采购人可根据意向供应商的要求或主动对采购文件进行澄清或修改。澄清或修改的内容以变更公告的形式在“黑龙江省农村</w:t>
      </w:r>
      <w:r>
        <w:rPr>
          <w:rFonts w:hint="eastAsia" w:ascii="宋体" w:hAnsi="宋体"/>
          <w:color w:val="auto"/>
          <w:sz w:val="24"/>
          <w:highlight w:val="none"/>
          <w:lang w:val="en-US" w:eastAsia="zh-CN"/>
        </w:rPr>
        <w:t>集体</w:t>
      </w:r>
      <w:r>
        <w:rPr>
          <w:rFonts w:hint="eastAsia" w:ascii="宋体" w:hAnsi="宋体"/>
          <w:color w:val="auto"/>
          <w:sz w:val="24"/>
          <w:highlight w:val="none"/>
        </w:rPr>
        <w:t>产权交易平台”发布，并同时向已报名的意向供应商发送短信提醒，通知登录平台查看。采购人可视具体情况在变更公告/补充文件中通知意向供应商推迟递交证明材料的截止时间。</w:t>
      </w:r>
    </w:p>
    <w:p w14:paraId="33F14DEF">
      <w:pPr>
        <w:pStyle w:val="2"/>
        <w:rPr>
          <w:rFonts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.2.3</w:t>
      </w:r>
      <w:r>
        <w:rPr>
          <w:rFonts w:hint="eastAsia" w:ascii="宋体" w:hAnsi="宋体"/>
          <w:color w:val="auto"/>
          <w:sz w:val="24"/>
          <w:highlight w:val="none"/>
        </w:rPr>
        <w:t>除非确有必要，采购人有权拒绝回复意向供应商在规定的时间后提出的任何澄清要求。</w:t>
      </w:r>
    </w:p>
    <w:bookmarkEnd w:id="45"/>
    <w:bookmarkEnd w:id="46"/>
    <w:bookmarkEnd w:id="47"/>
    <w:bookmarkEnd w:id="48"/>
    <w:bookmarkEnd w:id="49"/>
    <w:bookmarkEnd w:id="50"/>
    <w:bookmarkEnd w:id="51"/>
    <w:bookmarkEnd w:id="52"/>
    <w:bookmarkEnd w:id="53"/>
    <w:bookmarkEnd w:id="54"/>
    <w:bookmarkEnd w:id="62"/>
    <w:bookmarkEnd w:id="63"/>
    <w:p w14:paraId="14E23383">
      <w:pPr>
        <w:rPr>
          <w:rFonts w:hint="eastAsia" w:ascii="宋体" w:hAnsi="宋体"/>
          <w:b/>
          <w:color w:val="auto"/>
          <w:sz w:val="24"/>
          <w:highlight w:val="none"/>
        </w:rPr>
      </w:pPr>
      <w:bookmarkStart w:id="64" w:name="_Toc26443"/>
      <w:bookmarkStart w:id="65" w:name="_Toc6187"/>
      <w:bookmarkStart w:id="66" w:name="_Toc63587076"/>
      <w:bookmarkStart w:id="67" w:name="_Toc79761666"/>
      <w:bookmarkStart w:id="68" w:name="_Toc418502416"/>
      <w:bookmarkStart w:id="69" w:name="_Toc415563199"/>
      <w:r>
        <w:rPr>
          <w:rFonts w:ascii="宋体" w:hAnsi="宋体"/>
          <w:b/>
          <w:color w:val="auto"/>
          <w:kern w:val="0"/>
          <w:sz w:val="24"/>
          <w:highlight w:val="none"/>
        </w:rPr>
        <w:t xml:space="preserve">3  </w:t>
      </w:r>
      <w:bookmarkEnd w:id="64"/>
      <w:bookmarkEnd w:id="65"/>
      <w:bookmarkStart w:id="70" w:name="_Toc25600"/>
      <w:r>
        <w:rPr>
          <w:rFonts w:hint="eastAsia" w:ascii="宋体" w:hAnsi="宋体"/>
          <w:b/>
          <w:color w:val="auto"/>
          <w:sz w:val="24"/>
          <w:highlight w:val="none"/>
        </w:rPr>
        <w:t>采购保证金</w:t>
      </w:r>
    </w:p>
    <w:bookmarkEnd w:id="70"/>
    <w:p w14:paraId="352F9514">
      <w:pPr>
        <w:rPr>
          <w:rFonts w:ascii="宋体" w:hAnsi="宋体"/>
          <w:sz w:val="24"/>
        </w:rPr>
      </w:pPr>
      <w:r>
        <w:rPr>
          <w:rFonts w:ascii="宋体" w:hAnsi="宋体"/>
          <w:sz w:val="24"/>
        </w:rPr>
        <w:t xml:space="preserve">3.1 </w:t>
      </w:r>
      <w:r>
        <w:rPr>
          <w:rFonts w:hint="eastAsia" w:ascii="宋体" w:hAnsi="宋体"/>
          <w:sz w:val="24"/>
        </w:rPr>
        <w:t>采购公告规定要求递交采购保证金的，意向供应商应按采购公告规定的时间、金额</w:t>
      </w:r>
      <w:bookmarkStart w:id="71" w:name="_Toc144974513"/>
      <w:bookmarkStart w:id="72" w:name="_Toc300834966"/>
      <w:bookmarkStart w:id="73" w:name="_Toc384308226"/>
      <w:bookmarkStart w:id="74" w:name="_Toc4592"/>
      <w:bookmarkStart w:id="75" w:name="_Toc247527570"/>
      <w:bookmarkStart w:id="76" w:name="_Toc152042321"/>
      <w:bookmarkStart w:id="77" w:name="_Toc361508601"/>
      <w:bookmarkStart w:id="78" w:name="_Toc352691489"/>
      <w:bookmarkStart w:id="79" w:name="_Toc369531532"/>
      <w:bookmarkStart w:id="80" w:name="_Toc247513969"/>
      <w:bookmarkStart w:id="81" w:name="_Toc152045545"/>
      <w:r>
        <w:rPr>
          <w:rFonts w:hint="eastAsia" w:ascii="宋体" w:hAnsi="宋体"/>
          <w:sz w:val="24"/>
        </w:rPr>
        <w:t>和方式</w:t>
      </w:r>
      <w:bookmarkEnd w:id="71"/>
      <w:bookmarkEnd w:id="72"/>
      <w:bookmarkEnd w:id="73"/>
      <w:bookmarkEnd w:id="74"/>
      <w:bookmarkEnd w:id="75"/>
      <w:bookmarkEnd w:id="76"/>
      <w:bookmarkEnd w:id="77"/>
      <w:bookmarkEnd w:id="78"/>
      <w:bookmarkEnd w:id="79"/>
      <w:bookmarkEnd w:id="80"/>
      <w:bookmarkEnd w:id="81"/>
      <w:r>
        <w:rPr>
          <w:rFonts w:hint="eastAsia" w:ascii="宋体" w:hAnsi="宋体"/>
          <w:sz w:val="24"/>
        </w:rPr>
        <w:t>递交采购保证金。意向供应商未按要求递交采购保证金的，</w:t>
      </w:r>
      <w:r>
        <w:rPr>
          <w:rFonts w:hint="eastAsia" w:ascii="宋体" w:hAnsi="宋体"/>
          <w:color w:val="auto"/>
          <w:sz w:val="24"/>
          <w:highlight w:val="none"/>
        </w:rPr>
        <w:t>不能参与竞价</w:t>
      </w:r>
      <w:r>
        <w:rPr>
          <w:rFonts w:hint="eastAsia" w:ascii="宋体" w:hAnsi="宋体"/>
          <w:sz w:val="24"/>
        </w:rPr>
        <w:t>。</w:t>
      </w:r>
    </w:p>
    <w:p w14:paraId="2D53A476">
      <w:pPr>
        <w:rPr>
          <w:rFonts w:ascii="宋体" w:hAnsi="宋体"/>
          <w:sz w:val="24"/>
        </w:rPr>
      </w:pPr>
      <w:r>
        <w:rPr>
          <w:rFonts w:ascii="宋体" w:hAnsi="宋体"/>
          <w:sz w:val="24"/>
        </w:rPr>
        <w:t xml:space="preserve">3.2 </w:t>
      </w:r>
      <w:r>
        <w:rPr>
          <w:rFonts w:hint="eastAsia" w:ascii="宋体" w:hAnsi="宋体"/>
          <w:sz w:val="24"/>
        </w:rPr>
        <w:t>未成交供应商的采购保证金，将在成交通知书发出后5日内无息全额退还。成交供应商的采购保证金，将在成交供应商交纳采购服务费并签订采购合同后5日内无息全额退还。</w:t>
      </w:r>
    </w:p>
    <w:p w14:paraId="1D6325DD">
      <w:r>
        <w:rPr>
          <w:rFonts w:ascii="宋体" w:hAnsi="宋体"/>
          <w:sz w:val="24"/>
        </w:rPr>
        <w:t xml:space="preserve">3.3 </w:t>
      </w:r>
      <w:r>
        <w:rPr>
          <w:rFonts w:hint="eastAsia" w:ascii="宋体" w:hAnsi="宋体"/>
          <w:sz w:val="24"/>
        </w:rPr>
        <w:t>有下列情形之一的，采购保证金将不予退还</w:t>
      </w:r>
      <w:r>
        <w:rPr>
          <w:rFonts w:hint="eastAsia" w:ascii="宋体" w:hAnsi="宋体" w:eastAsia="宋体" w:cs="宋体"/>
          <w:i w:val="0"/>
          <w:caps w:val="0"/>
          <w:color w:val="auto"/>
          <w:spacing w:val="0"/>
          <w:sz w:val="24"/>
          <w:szCs w:val="24"/>
          <w:highlight w:val="none"/>
          <w:shd w:val="clear" w:fill="FFFFFF"/>
        </w:rPr>
        <w:t>并作为违约金，代理机构留取成交服务费后，剩余部分违约金转至采购人指定账户</w:t>
      </w:r>
      <w:r>
        <w:rPr>
          <w:rFonts w:hint="eastAsia" w:ascii="宋体" w:hAnsi="宋体"/>
          <w:sz w:val="24"/>
        </w:rPr>
        <w:t>：</w:t>
      </w:r>
    </w:p>
    <w:p w14:paraId="4617D1A4">
      <w:pPr>
        <w:ind w:firstLine="480" w:firstLineChars="200"/>
        <w:rPr>
          <w:rFonts w:hint="eastAsia" w:ascii="宋体" w:hAnsi="宋体"/>
          <w:sz w:val="24"/>
        </w:rPr>
      </w:pPr>
      <w:r>
        <w:rPr>
          <w:rFonts w:hint="eastAsia" w:ascii="宋体" w:hAnsi="宋体"/>
          <w:sz w:val="24"/>
        </w:rPr>
        <w:t>（</w:t>
      </w:r>
      <w:r>
        <w:rPr>
          <w:rFonts w:ascii="宋体" w:hAnsi="宋体"/>
          <w:sz w:val="24"/>
        </w:rPr>
        <w:t>1</w:t>
      </w:r>
      <w:r>
        <w:rPr>
          <w:rFonts w:hint="eastAsia" w:ascii="宋体" w:hAnsi="宋体"/>
          <w:sz w:val="24"/>
        </w:rPr>
        <w:t>）意向供应商在竞价报价有效期内撤销报价；</w:t>
      </w:r>
    </w:p>
    <w:p w14:paraId="6E6C7D2E">
      <w:pPr>
        <w:ind w:firstLine="480" w:firstLineChars="200"/>
        <w:rPr>
          <w:rFonts w:hint="eastAsia" w:ascii="宋体" w:hAnsi="宋体" w:eastAsia="宋体"/>
          <w:sz w:val="24"/>
          <w:lang w:eastAsia="zh-CN"/>
        </w:rPr>
      </w:pPr>
      <w:r>
        <w:rPr>
          <w:rFonts w:hint="eastAsia" w:ascii="宋体" w:hAnsi="宋体"/>
          <w:sz w:val="24"/>
          <w:lang w:eastAsia="zh-CN"/>
        </w:rPr>
        <w:t>（</w:t>
      </w:r>
      <w:r>
        <w:rPr>
          <w:rFonts w:hint="eastAsia" w:ascii="宋体" w:hAnsi="宋体"/>
          <w:sz w:val="24"/>
          <w:lang w:val="en-US" w:eastAsia="zh-CN"/>
        </w:rPr>
        <w:t>2</w:t>
      </w:r>
      <w:r>
        <w:rPr>
          <w:rFonts w:hint="eastAsia" w:ascii="宋体" w:hAnsi="宋体"/>
          <w:sz w:val="24"/>
          <w:lang w:eastAsia="zh-CN"/>
        </w:rPr>
        <w:t>）</w:t>
      </w:r>
      <w:r>
        <w:rPr>
          <w:rFonts w:hint="eastAsia" w:ascii="宋体" w:hAnsi="宋体" w:eastAsia="宋体" w:cs="宋体"/>
          <w:i w:val="0"/>
          <w:caps w:val="0"/>
          <w:color w:val="auto"/>
          <w:spacing w:val="0"/>
          <w:sz w:val="24"/>
          <w:szCs w:val="24"/>
          <w:highlight w:val="none"/>
          <w:shd w:val="clear" w:fill="FFFFFF"/>
        </w:rPr>
        <w:t>采购人审核结论为不合格的</w:t>
      </w:r>
      <w:r>
        <w:rPr>
          <w:rFonts w:hint="eastAsia" w:ascii="宋体" w:hAnsi="宋体" w:cs="宋体"/>
          <w:i w:val="0"/>
          <w:caps w:val="0"/>
          <w:color w:val="auto"/>
          <w:spacing w:val="0"/>
          <w:sz w:val="24"/>
          <w:szCs w:val="24"/>
          <w:highlight w:val="none"/>
          <w:shd w:val="clear" w:fill="FFFFFF"/>
          <w:lang w:eastAsia="zh-CN"/>
        </w:rPr>
        <w:t>；</w:t>
      </w:r>
    </w:p>
    <w:p w14:paraId="52961809">
      <w:pPr>
        <w:ind w:firstLine="480" w:firstLineChars="200"/>
        <w:rPr>
          <w:rFonts w:ascii="宋体" w:hAnsi="宋体"/>
          <w:sz w:val="24"/>
        </w:rPr>
      </w:pPr>
      <w:r>
        <w:rPr>
          <w:rFonts w:hint="eastAsia" w:ascii="宋体" w:hAnsi="宋体"/>
          <w:sz w:val="24"/>
        </w:rPr>
        <w:t>（</w:t>
      </w:r>
      <w:r>
        <w:rPr>
          <w:rFonts w:hint="eastAsia" w:ascii="宋体" w:hAnsi="宋体"/>
          <w:sz w:val="24"/>
          <w:lang w:val="en-US" w:eastAsia="zh-CN"/>
        </w:rPr>
        <w:t>3</w:t>
      </w:r>
      <w:r>
        <w:rPr>
          <w:rFonts w:hint="eastAsia" w:ascii="宋体" w:hAnsi="宋体"/>
          <w:sz w:val="24"/>
        </w:rPr>
        <w:t>）成交供应商放弃成交、在规定期限内不与采购人订立合同、在签订合同时向采购人提出附加条件、不按照采购文件要求递交履约保证金；</w:t>
      </w:r>
    </w:p>
    <w:p w14:paraId="6061E0E6">
      <w:pPr>
        <w:ind w:firstLine="480" w:firstLineChars="200"/>
        <w:rPr>
          <w:rFonts w:ascii="宋体" w:hAnsi="宋体"/>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）成交供应商未按照采购文件规定交纳成交服务费；</w:t>
      </w:r>
    </w:p>
    <w:p w14:paraId="0916D639">
      <w:pPr>
        <w:pStyle w:val="2"/>
        <w:ind w:firstLine="480" w:firstLineChars="200"/>
        <w:rPr>
          <w:rFonts w:ascii="宋体" w:hAnsi="宋体"/>
          <w:sz w:val="24"/>
        </w:rPr>
      </w:pPr>
      <w:r>
        <w:rPr>
          <w:rFonts w:hint="eastAsia" w:ascii="宋体" w:hAnsi="宋体"/>
          <w:sz w:val="24"/>
        </w:rPr>
        <w:t>（</w:t>
      </w:r>
      <w:r>
        <w:rPr>
          <w:rFonts w:hint="eastAsia" w:ascii="宋体" w:hAnsi="宋体"/>
          <w:sz w:val="24"/>
          <w:lang w:val="en-US" w:eastAsia="zh-CN"/>
        </w:rPr>
        <w:t>5</w:t>
      </w:r>
      <w:r>
        <w:rPr>
          <w:rFonts w:hint="eastAsia" w:ascii="宋体" w:hAnsi="宋体"/>
          <w:sz w:val="24"/>
        </w:rPr>
        <w:t>）其他可以不予退还采购保证金的情形。</w:t>
      </w:r>
    </w:p>
    <w:p w14:paraId="43BCBB7C">
      <w:pPr>
        <w:keepNext/>
        <w:keepLines/>
        <w:adjustRightInd w:val="0"/>
        <w:spacing w:before="240" w:beforeLines="100"/>
        <w:textAlignment w:val="baseline"/>
        <w:outlineLvl w:val="1"/>
        <w:rPr>
          <w:rFonts w:hint="eastAsia" w:ascii="宋体" w:hAnsi="宋体" w:eastAsia="宋体" w:cs="Times New Roman"/>
          <w:b/>
          <w:kern w:val="0"/>
          <w:sz w:val="24"/>
        </w:rPr>
      </w:pPr>
      <w:bookmarkStart w:id="82" w:name="_Toc11191"/>
      <w:r>
        <w:rPr>
          <w:rFonts w:hint="eastAsia" w:ascii="宋体" w:hAnsi="宋体" w:eastAsia="宋体" w:cs="Times New Roman"/>
          <w:b/>
          <w:kern w:val="0"/>
          <w:sz w:val="24"/>
          <w:lang w:val="en-US" w:eastAsia="zh-CN"/>
        </w:rPr>
        <w:t xml:space="preserve">4  </w:t>
      </w:r>
      <w:r>
        <w:rPr>
          <w:rFonts w:hint="eastAsia" w:ascii="宋体" w:hAnsi="宋体" w:eastAsia="宋体" w:cs="Times New Roman"/>
          <w:b/>
          <w:kern w:val="0"/>
          <w:sz w:val="24"/>
        </w:rPr>
        <w:t>相关材料的签署</w:t>
      </w:r>
      <w:bookmarkEnd w:id="82"/>
    </w:p>
    <w:p w14:paraId="0F5DC4E2">
      <w:pPr>
        <w:adjustRightInd w:val="0"/>
        <w:textAlignment w:val="baseline"/>
        <w:outlineLvl w:val="9"/>
        <w:rPr>
          <w:rFonts w:ascii="宋体" w:hAnsi="宋体"/>
          <w:color w:val="auto"/>
          <w:kern w:val="0"/>
          <w:sz w:val="24"/>
          <w:highlight w:val="none"/>
        </w:rPr>
      </w:pPr>
      <w:r>
        <w:rPr>
          <w:rFonts w:hint="eastAsia" w:ascii="宋体" w:hAnsi="宋体"/>
          <w:color w:val="auto"/>
          <w:kern w:val="0"/>
          <w:sz w:val="24"/>
          <w:highlight w:val="none"/>
        </w:rPr>
        <w:t>4.1意向供应商需打印或用不褪色墨水书写，并由法定代表人</w:t>
      </w:r>
      <w:r>
        <w:rPr>
          <w:rFonts w:hint="eastAsia" w:ascii="宋体" w:hAnsi="宋体"/>
          <w:sz w:val="24"/>
        </w:rPr>
        <w:t>（单位负责人）</w:t>
      </w:r>
      <w:r>
        <w:rPr>
          <w:rFonts w:hint="eastAsia" w:ascii="宋体" w:hAnsi="宋体"/>
          <w:color w:val="auto"/>
          <w:kern w:val="0"/>
          <w:sz w:val="24"/>
          <w:highlight w:val="none"/>
        </w:rPr>
        <w:t>或被授权委托人签字，并加盖意向供应商公章。被授权委托人签署的，须出具法定代表人</w:t>
      </w:r>
      <w:r>
        <w:rPr>
          <w:rFonts w:hint="eastAsia" w:ascii="宋体" w:hAnsi="宋体"/>
          <w:sz w:val="24"/>
        </w:rPr>
        <w:t>（单位负责人）</w:t>
      </w:r>
      <w:r>
        <w:rPr>
          <w:rFonts w:hint="eastAsia" w:ascii="宋体" w:hAnsi="宋体"/>
          <w:color w:val="auto"/>
          <w:kern w:val="0"/>
          <w:sz w:val="24"/>
          <w:highlight w:val="none"/>
        </w:rPr>
        <w:t>授权书。</w:t>
      </w:r>
    </w:p>
    <w:p w14:paraId="58D87F04">
      <w:pPr>
        <w:pStyle w:val="2"/>
        <w:ind w:firstLine="480" w:firstLineChars="200"/>
        <w:rPr>
          <w:b/>
          <w:color w:val="auto"/>
          <w:highlight w:val="none"/>
        </w:rPr>
      </w:pPr>
      <w:r>
        <w:rPr>
          <w:rFonts w:hint="eastAsia" w:ascii="宋体" w:hAnsi="宋体"/>
          <w:color w:val="auto"/>
          <w:kern w:val="0"/>
          <w:sz w:val="24"/>
          <w:highlight w:val="none"/>
        </w:rPr>
        <w:t>4.2</w:t>
      </w:r>
      <w:r>
        <w:rPr>
          <w:rFonts w:hint="eastAsia" w:ascii="宋体" w:hAnsi="宋体"/>
          <w:color w:val="auto"/>
          <w:kern w:val="0"/>
          <w:sz w:val="24"/>
          <w:highlight w:val="none"/>
          <w:lang w:val="en-US" w:eastAsia="zh-CN"/>
        </w:rPr>
        <w:t>相关材料文件</w:t>
      </w:r>
      <w:r>
        <w:rPr>
          <w:rFonts w:hint="eastAsia" w:ascii="宋体" w:hAnsi="宋体"/>
          <w:sz w:val="24"/>
        </w:rPr>
        <w:t>应尽量避免涂改、行间插字或删除。如果出现上述情况，改动之处应由意向供应商的法定代表人（单位负责人）或其授权的代理人签字或加盖单位公章。</w:t>
      </w:r>
    </w:p>
    <w:bookmarkEnd w:id="66"/>
    <w:bookmarkEnd w:id="67"/>
    <w:p w14:paraId="25A0FEF1">
      <w:pPr>
        <w:keepNext/>
        <w:keepLines/>
        <w:adjustRightInd w:val="0"/>
        <w:spacing w:before="240" w:beforeLines="100"/>
        <w:textAlignment w:val="baseline"/>
        <w:outlineLvl w:val="1"/>
        <w:rPr>
          <w:rFonts w:ascii="宋体" w:hAnsi="宋体"/>
          <w:b/>
          <w:kern w:val="0"/>
          <w:sz w:val="24"/>
        </w:rPr>
      </w:pPr>
      <w:bookmarkStart w:id="83" w:name="_Toc19279"/>
      <w:bookmarkStart w:id="84" w:name="_Toc5277"/>
      <w:bookmarkStart w:id="85" w:name="_Toc63587079"/>
      <w:bookmarkStart w:id="86" w:name="_Toc79761669"/>
      <w:r>
        <w:rPr>
          <w:rFonts w:hint="eastAsia" w:ascii="宋体" w:hAnsi="宋体"/>
          <w:b/>
          <w:kern w:val="0"/>
          <w:sz w:val="24"/>
          <w:lang w:val="en-US" w:eastAsia="zh-CN"/>
        </w:rPr>
        <w:t>5</w:t>
      </w:r>
      <w:r>
        <w:rPr>
          <w:rFonts w:ascii="宋体" w:hAnsi="宋体"/>
          <w:b/>
          <w:kern w:val="0"/>
          <w:sz w:val="24"/>
        </w:rPr>
        <w:t xml:space="preserve">  </w:t>
      </w:r>
      <w:r>
        <w:rPr>
          <w:rFonts w:hint="eastAsia" w:ascii="宋体" w:hAnsi="宋体"/>
          <w:b/>
          <w:kern w:val="0"/>
          <w:sz w:val="24"/>
        </w:rPr>
        <w:t>意向供应商报价</w:t>
      </w:r>
      <w:bookmarkEnd w:id="83"/>
      <w:bookmarkEnd w:id="84"/>
      <w:bookmarkEnd w:id="85"/>
      <w:bookmarkEnd w:id="86"/>
    </w:p>
    <w:p w14:paraId="31E3842B">
      <w:pPr>
        <w:rPr>
          <w:rFonts w:ascii="宋体" w:hAnsi="宋体"/>
          <w:b/>
          <w:sz w:val="24"/>
        </w:rPr>
      </w:pPr>
      <w:r>
        <w:rPr>
          <w:rFonts w:hint="eastAsia" w:ascii="宋体" w:hAnsi="宋体"/>
          <w:b/>
          <w:sz w:val="24"/>
          <w:lang w:val="en-US" w:eastAsia="zh-CN"/>
        </w:rPr>
        <w:t>5</w:t>
      </w:r>
      <w:r>
        <w:rPr>
          <w:rFonts w:ascii="宋体" w:hAnsi="宋体"/>
          <w:b/>
          <w:sz w:val="24"/>
        </w:rPr>
        <w:t>.1</w:t>
      </w:r>
      <w:r>
        <w:rPr>
          <w:rFonts w:hint="eastAsia" w:ascii="宋体" w:hAnsi="宋体"/>
          <w:b/>
          <w:sz w:val="24"/>
        </w:rPr>
        <w:t xml:space="preserve"> 报价要求</w:t>
      </w:r>
    </w:p>
    <w:p w14:paraId="0C2F43A9">
      <w:pPr>
        <w:rPr>
          <w:rFonts w:ascii="宋体" w:hAnsi="宋体"/>
          <w:sz w:val="24"/>
        </w:rPr>
      </w:pPr>
      <w:r>
        <w:rPr>
          <w:rFonts w:hint="eastAsia" w:ascii="宋体" w:hAnsi="宋体"/>
          <w:sz w:val="24"/>
          <w:lang w:val="en-US" w:eastAsia="zh-CN"/>
        </w:rPr>
        <w:t>5</w:t>
      </w:r>
      <w:r>
        <w:rPr>
          <w:rFonts w:ascii="宋体" w:hAnsi="宋体"/>
          <w:sz w:val="24"/>
        </w:rPr>
        <w:t>.1.1</w:t>
      </w:r>
      <w:r>
        <w:rPr>
          <w:rFonts w:hint="eastAsia" w:ascii="宋体" w:hAnsi="宋体"/>
          <w:sz w:val="24"/>
        </w:rPr>
        <w:t>报价应为包含国家规定的增值税税金在内的含税价格。</w:t>
      </w:r>
    </w:p>
    <w:p w14:paraId="4B1CC06E">
      <w:pPr>
        <w:pStyle w:val="2"/>
        <w:rPr>
          <w:rFonts w:ascii="宋体" w:hAnsi="宋体"/>
          <w:sz w:val="24"/>
        </w:rPr>
      </w:pPr>
      <w:r>
        <w:rPr>
          <w:rFonts w:hint="eastAsia" w:ascii="宋体" w:hAnsi="宋体"/>
          <w:sz w:val="24"/>
          <w:lang w:val="en-US" w:eastAsia="zh-CN"/>
        </w:rPr>
        <w:t>5</w:t>
      </w:r>
      <w:r>
        <w:rPr>
          <w:rFonts w:ascii="宋体" w:hAnsi="宋体"/>
          <w:sz w:val="24"/>
        </w:rPr>
        <w:t>.1.2</w:t>
      </w:r>
      <w:r>
        <w:rPr>
          <w:rFonts w:hint="eastAsia" w:ascii="宋体" w:hAnsi="宋体"/>
          <w:sz w:val="24"/>
        </w:rPr>
        <w:t>意向供应商应充分了解采购项目的总体情况以及影响报价的其他要素。</w:t>
      </w:r>
    </w:p>
    <w:p w14:paraId="3882B3CB">
      <w:pPr>
        <w:rPr>
          <w:rFonts w:ascii="宋体" w:hAnsi="宋体"/>
          <w:b/>
          <w:sz w:val="24"/>
        </w:rPr>
      </w:pPr>
      <w:bookmarkStart w:id="87" w:name="_Toc16277"/>
      <w:r>
        <w:rPr>
          <w:rFonts w:hint="eastAsia" w:ascii="宋体" w:hAnsi="宋体"/>
          <w:b/>
          <w:sz w:val="24"/>
          <w:lang w:val="en-US" w:eastAsia="zh-CN"/>
        </w:rPr>
        <w:t>5</w:t>
      </w:r>
      <w:r>
        <w:rPr>
          <w:rFonts w:ascii="宋体" w:hAnsi="宋体"/>
          <w:b/>
          <w:sz w:val="24"/>
        </w:rPr>
        <w:t xml:space="preserve">.2 </w:t>
      </w:r>
      <w:r>
        <w:rPr>
          <w:rFonts w:hint="eastAsia" w:ascii="宋体" w:hAnsi="宋体"/>
          <w:b/>
          <w:sz w:val="24"/>
        </w:rPr>
        <w:t>报价有效期</w:t>
      </w:r>
      <w:bookmarkEnd w:id="87"/>
    </w:p>
    <w:p w14:paraId="336FCF3C">
      <w:pPr>
        <w:rPr>
          <w:rFonts w:ascii="宋体" w:hAnsi="宋体"/>
          <w:color w:val="auto"/>
          <w:sz w:val="24"/>
          <w:highlight w:val="none"/>
        </w:rPr>
      </w:pPr>
      <w:r>
        <w:rPr>
          <w:rFonts w:hint="eastAsia" w:ascii="宋体" w:hAnsi="宋体"/>
          <w:sz w:val="24"/>
          <w:lang w:val="en-US" w:eastAsia="zh-CN"/>
        </w:rPr>
        <w:t>5</w:t>
      </w:r>
      <w:r>
        <w:rPr>
          <w:rFonts w:ascii="宋体" w:hAnsi="宋体"/>
          <w:sz w:val="24"/>
        </w:rPr>
        <w:t>.2.1</w:t>
      </w:r>
      <w:r>
        <w:rPr>
          <w:rFonts w:hint="eastAsia" w:ascii="宋体" w:hAnsi="宋体"/>
          <w:sz w:val="24"/>
        </w:rPr>
        <w:t>意向供应商的竞价报价有效期为</w:t>
      </w:r>
      <w:r>
        <w:rPr>
          <w:rFonts w:ascii="宋体" w:hAnsi="宋体"/>
          <w:sz w:val="24"/>
        </w:rPr>
        <w:t>30</w:t>
      </w:r>
      <w:r>
        <w:rPr>
          <w:rFonts w:hint="eastAsia" w:ascii="宋体" w:hAnsi="宋体"/>
          <w:sz w:val="24"/>
        </w:rPr>
        <w:t>日，从竞价开始时间计算。</w:t>
      </w:r>
    </w:p>
    <w:p w14:paraId="0AC037E8">
      <w:pPr>
        <w:pStyle w:val="2"/>
        <w:rPr>
          <w:rFonts w:ascii="宋体" w:hAnsi="宋体"/>
          <w:sz w:val="24"/>
        </w:rPr>
      </w:pPr>
      <w:r>
        <w:rPr>
          <w:rFonts w:hint="eastAsia" w:ascii="宋体" w:hAnsi="宋体"/>
          <w:sz w:val="24"/>
          <w:lang w:val="en-US" w:eastAsia="zh-CN"/>
        </w:rPr>
        <w:t>5</w:t>
      </w:r>
      <w:r>
        <w:rPr>
          <w:rFonts w:ascii="宋体" w:hAnsi="宋体"/>
          <w:sz w:val="24"/>
        </w:rPr>
        <w:t>.2.2</w:t>
      </w:r>
      <w:r>
        <w:rPr>
          <w:rFonts w:hint="eastAsia" w:ascii="宋体" w:hAnsi="宋体"/>
          <w:sz w:val="24"/>
        </w:rPr>
        <w:t>出现特殊情况需要延长竞价报价有效期的，采购人以书面形式通知所有意向供应商延长竞价报价有效期，意向供应商应予以书面答复。同意延长的，应相应延长其采购保证金的有效期，但不得修改其报价；拒绝延长的，其报价失败，但意向供应商有权收回其采购保证金。</w:t>
      </w:r>
    </w:p>
    <w:p w14:paraId="170993D9">
      <w:pPr>
        <w:rPr>
          <w:rFonts w:ascii="宋体" w:hAnsi="宋体"/>
          <w:b/>
          <w:sz w:val="24"/>
        </w:rPr>
      </w:pPr>
      <w:bookmarkStart w:id="88" w:name="_Toc63273574"/>
      <w:r>
        <w:rPr>
          <w:rFonts w:hint="eastAsia" w:ascii="宋体" w:hAnsi="宋体"/>
          <w:b/>
          <w:sz w:val="24"/>
          <w:lang w:val="en-US" w:eastAsia="zh-CN"/>
        </w:rPr>
        <w:t>5</w:t>
      </w:r>
      <w:r>
        <w:rPr>
          <w:rFonts w:ascii="宋体" w:hAnsi="宋体"/>
          <w:b/>
          <w:sz w:val="24"/>
        </w:rPr>
        <w:t xml:space="preserve">.3 </w:t>
      </w:r>
      <w:bookmarkEnd w:id="88"/>
      <w:r>
        <w:rPr>
          <w:rFonts w:hint="eastAsia" w:ascii="宋体" w:hAnsi="宋体"/>
          <w:b/>
          <w:sz w:val="24"/>
        </w:rPr>
        <w:t>竞价时间及竞价规则</w:t>
      </w:r>
    </w:p>
    <w:p w14:paraId="640BC453">
      <w:pPr>
        <w:snapToGrid w:val="0"/>
        <w:ind w:right="-2"/>
        <w:rPr>
          <w:rFonts w:ascii="宋体" w:hAnsi="宋体"/>
          <w:color w:val="auto"/>
          <w:sz w:val="24"/>
          <w:highlight w:val="none"/>
        </w:rPr>
      </w:pPr>
      <w:r>
        <w:rPr>
          <w:rFonts w:hint="eastAsia" w:ascii="宋体" w:hAnsi="宋体"/>
          <w:sz w:val="24"/>
          <w:lang w:val="en-US" w:eastAsia="zh-CN"/>
        </w:rPr>
        <w:t>5</w:t>
      </w:r>
      <w:r>
        <w:rPr>
          <w:rFonts w:ascii="宋体" w:hAnsi="宋体"/>
          <w:sz w:val="24"/>
        </w:rPr>
        <w:t>.3.1</w:t>
      </w:r>
      <w:r>
        <w:rPr>
          <w:rFonts w:hint="eastAsia" w:ascii="宋体" w:hAnsi="宋体"/>
          <w:sz w:val="24"/>
        </w:rPr>
        <w:t>报价方式：进入网络报价环节的意向供应商，以电子竞价平台服务器时间为基准时间，按规定时间登陆电子竞价平台进行报价。报价</w:t>
      </w:r>
      <w:r>
        <w:rPr>
          <w:rFonts w:ascii="宋体" w:hAnsi="宋体"/>
          <w:sz w:val="24"/>
        </w:rPr>
        <w:t>按照“时间优先、价格优先”的原则，首次报价不能</w:t>
      </w:r>
      <w:r>
        <w:rPr>
          <w:rFonts w:hint="eastAsia" w:ascii="宋体" w:hAnsi="宋体"/>
          <w:sz w:val="24"/>
        </w:rPr>
        <w:t>高于采购预算</w:t>
      </w:r>
      <w:r>
        <w:rPr>
          <w:rFonts w:ascii="宋体" w:hAnsi="宋体"/>
          <w:sz w:val="24"/>
        </w:rPr>
        <w:t>，下次报价须</w:t>
      </w:r>
      <w:r>
        <w:rPr>
          <w:rFonts w:hint="eastAsia" w:ascii="宋体" w:hAnsi="宋体"/>
          <w:sz w:val="24"/>
        </w:rPr>
        <w:t>低</w:t>
      </w:r>
      <w:r>
        <w:rPr>
          <w:rFonts w:hint="eastAsia" w:ascii="宋体" w:hAnsi="宋体"/>
          <w:sz w:val="24"/>
          <w:lang w:val="en-US" w:eastAsia="zh-CN"/>
        </w:rPr>
        <w:t>于</w:t>
      </w:r>
      <w:r>
        <w:rPr>
          <w:rFonts w:ascii="宋体" w:hAnsi="宋体"/>
          <w:sz w:val="24"/>
        </w:rPr>
        <w:t>上次报价，每次有效报价的</w:t>
      </w:r>
      <w:r>
        <w:rPr>
          <w:rFonts w:hint="eastAsia" w:ascii="宋体" w:hAnsi="宋体"/>
          <w:sz w:val="24"/>
        </w:rPr>
        <w:t>减</w:t>
      </w:r>
      <w:r>
        <w:rPr>
          <w:rFonts w:ascii="宋体" w:hAnsi="宋体"/>
          <w:sz w:val="24"/>
        </w:rPr>
        <w:t>价幅度应是报价阶梯的整数倍。</w:t>
      </w:r>
    </w:p>
    <w:p w14:paraId="692DCCA5">
      <w:pPr>
        <w:rPr>
          <w:rFonts w:ascii="宋体" w:hAnsi="宋体"/>
          <w:color w:val="auto"/>
          <w:sz w:val="24"/>
          <w:highlight w:val="none"/>
        </w:rPr>
      </w:pPr>
      <w:r>
        <w:rPr>
          <w:rFonts w:hint="eastAsia" w:ascii="宋体" w:hAnsi="宋体"/>
          <w:color w:val="auto"/>
          <w:sz w:val="24"/>
          <w:highlight w:val="none"/>
          <w:lang w:val="en-US" w:eastAsia="zh-CN"/>
        </w:rPr>
        <w:t>5</w:t>
      </w:r>
      <w:r>
        <w:rPr>
          <w:rFonts w:ascii="宋体" w:hAnsi="宋体"/>
          <w:color w:val="auto"/>
          <w:sz w:val="24"/>
          <w:highlight w:val="none"/>
        </w:rPr>
        <w:t xml:space="preserve">.3.2 </w:t>
      </w:r>
      <w:r>
        <w:rPr>
          <w:rFonts w:hint="eastAsia" w:ascii="宋体" w:hAnsi="宋体"/>
          <w:color w:val="auto"/>
          <w:sz w:val="24"/>
          <w:highlight w:val="none"/>
        </w:rPr>
        <w:t>减价幅度：</w:t>
      </w:r>
      <w:r>
        <w:rPr>
          <w:rFonts w:hint="eastAsia" w:ascii="宋体" w:hAnsi="宋体"/>
          <w:color w:val="auto"/>
          <w:sz w:val="24"/>
          <w:highlight w:val="none"/>
          <w:lang w:val="en-US" w:eastAsia="zh-CN"/>
        </w:rPr>
        <w:t>详见竞价采购公告</w:t>
      </w:r>
    </w:p>
    <w:p w14:paraId="727F8EDB">
      <w:pPr>
        <w:rPr>
          <w:rFonts w:ascii="宋体" w:hAnsi="宋体"/>
          <w:color w:val="auto"/>
          <w:sz w:val="24"/>
          <w:highlight w:val="none"/>
        </w:rPr>
      </w:pPr>
      <w:r>
        <w:rPr>
          <w:rFonts w:hint="eastAsia" w:ascii="宋体" w:hAnsi="宋体"/>
          <w:color w:val="auto"/>
          <w:sz w:val="24"/>
          <w:highlight w:val="none"/>
          <w:lang w:val="en-US" w:eastAsia="zh-CN"/>
        </w:rPr>
        <w:t>5</w:t>
      </w:r>
      <w:r>
        <w:rPr>
          <w:rFonts w:ascii="宋体" w:hAnsi="宋体"/>
          <w:color w:val="auto"/>
          <w:sz w:val="24"/>
          <w:highlight w:val="none"/>
        </w:rPr>
        <w:t xml:space="preserve">.3.3 </w:t>
      </w:r>
      <w:r>
        <w:rPr>
          <w:rFonts w:hint="eastAsia" w:ascii="宋体" w:hAnsi="宋体"/>
          <w:color w:val="auto"/>
          <w:sz w:val="24"/>
          <w:highlight w:val="none"/>
        </w:rPr>
        <w:t>竞价时间</w:t>
      </w:r>
    </w:p>
    <w:p w14:paraId="68EEC320">
      <w:pPr>
        <w:snapToGrid w:val="0"/>
        <w:ind w:right="-2" w:firstLine="480" w:firstLineChars="200"/>
        <w:rPr>
          <w:rFonts w:hint="eastAsia" w:ascii="宋体" w:hAnsi="宋体" w:eastAsia="宋体" w:cs="Times New Roman"/>
          <w:sz w:val="24"/>
        </w:rPr>
      </w:pPr>
      <w:r>
        <w:rPr>
          <w:rFonts w:hint="eastAsia" w:ascii="宋体" w:hAnsi="宋体" w:eastAsia="宋体" w:cs="Times New Roman"/>
          <w:sz w:val="24"/>
        </w:rPr>
        <w:t>本次网络报价分为自由报价期和延时报价期两个阶段：</w:t>
      </w:r>
    </w:p>
    <w:p w14:paraId="7DBFA6EC">
      <w:pPr>
        <w:snapToGrid w:val="0"/>
        <w:ind w:right="-2" w:firstLine="480" w:firstLineChars="200"/>
        <w:rPr>
          <w:rFonts w:ascii="宋体" w:hAnsi="宋体"/>
          <w:color w:val="auto"/>
          <w:sz w:val="24"/>
          <w:highlight w:val="none"/>
        </w:rPr>
      </w:pPr>
      <w:r>
        <w:rPr>
          <w:rFonts w:hint="eastAsia" w:ascii="宋体" w:hAnsi="宋体" w:eastAsia="宋体" w:cs="Times New Roman"/>
          <w:sz w:val="24"/>
        </w:rPr>
        <w:t>竞价期起止时间以竞价系统显示时间为准，竞价期最后1分钟有一人或多人报价的，则进入</w:t>
      </w:r>
      <w:r>
        <w:rPr>
          <w:rFonts w:hint="eastAsia" w:ascii="宋体" w:hAnsi="宋体"/>
          <w:color w:val="auto"/>
          <w:sz w:val="24"/>
          <w:highlight w:val="none"/>
        </w:rPr>
        <w:t>延时竞价期，延时竞价期可由多个延时竞价周期组成，每个延时竞价周期为1分钟。在一个延时竞价周期内如未出现新的有效报价，则当前有效报价方成为该次网络竞价活动的最终报价方。</w:t>
      </w:r>
    </w:p>
    <w:p w14:paraId="66851D5D">
      <w:pPr>
        <w:widowControl/>
        <w:adjustRightInd w:val="0"/>
        <w:snapToGrid w:val="0"/>
        <w:spacing w:line="336" w:lineRule="auto"/>
        <w:jc w:val="left"/>
        <w:rPr>
          <w:rFonts w:ascii="宋体" w:hAnsi="宋体"/>
          <w:b/>
          <w:kern w:val="0"/>
          <w:sz w:val="24"/>
        </w:rPr>
      </w:pPr>
      <w:r>
        <w:rPr>
          <w:rFonts w:hint="eastAsia" w:ascii="宋体" w:hAnsi="宋体"/>
          <w:b/>
          <w:kern w:val="0"/>
          <w:sz w:val="24"/>
          <w:lang w:val="en-US" w:eastAsia="zh-CN"/>
        </w:rPr>
        <w:t>5</w:t>
      </w:r>
      <w:r>
        <w:rPr>
          <w:rFonts w:ascii="宋体" w:hAnsi="宋体"/>
          <w:b/>
          <w:kern w:val="0"/>
          <w:sz w:val="24"/>
        </w:rPr>
        <w:t>.4</w:t>
      </w:r>
      <w:r>
        <w:rPr>
          <w:rFonts w:hint="eastAsia" w:ascii="宋体" w:hAnsi="宋体"/>
          <w:b/>
          <w:kern w:val="0"/>
          <w:sz w:val="24"/>
        </w:rPr>
        <w:t xml:space="preserve"> </w:t>
      </w:r>
      <w:r>
        <w:rPr>
          <w:rFonts w:ascii="宋体" w:hAnsi="宋体"/>
          <w:b/>
          <w:kern w:val="0"/>
          <w:sz w:val="24"/>
        </w:rPr>
        <w:t>注意事项</w:t>
      </w:r>
    </w:p>
    <w:p w14:paraId="0B703218">
      <w:pPr>
        <w:widowControl/>
        <w:adjustRightInd w:val="0"/>
        <w:snapToGrid w:val="0"/>
        <w:spacing w:line="336" w:lineRule="auto"/>
        <w:jc w:val="left"/>
        <w:rPr>
          <w:rFonts w:hint="eastAsia" w:ascii="宋体" w:hAnsi="宋体"/>
          <w:color w:val="auto"/>
          <w:kern w:val="0"/>
          <w:sz w:val="24"/>
          <w:highlight w:val="none"/>
        </w:rPr>
      </w:pPr>
      <w:r>
        <w:rPr>
          <w:rFonts w:hint="eastAsia" w:ascii="宋体" w:hAnsi="宋体"/>
          <w:kern w:val="0"/>
          <w:sz w:val="24"/>
          <w:lang w:val="en-US" w:eastAsia="zh-CN"/>
        </w:rPr>
        <w:t>5</w:t>
      </w:r>
      <w:r>
        <w:rPr>
          <w:rFonts w:ascii="宋体" w:hAnsi="宋体"/>
          <w:kern w:val="0"/>
          <w:sz w:val="24"/>
        </w:rPr>
        <w:t>.4.1</w:t>
      </w:r>
      <w:r>
        <w:rPr>
          <w:rFonts w:hint="eastAsia" w:ascii="宋体" w:hAnsi="宋体"/>
          <w:color w:val="auto"/>
          <w:kern w:val="0"/>
          <w:sz w:val="24"/>
          <w:highlight w:val="none"/>
        </w:rPr>
        <w:t>确认采购保证金有效须同时满足以下</w:t>
      </w:r>
      <w:r>
        <w:rPr>
          <w:rFonts w:hint="eastAsia" w:ascii="宋体" w:hAnsi="宋体"/>
          <w:color w:val="auto"/>
          <w:kern w:val="0"/>
          <w:sz w:val="24"/>
          <w:highlight w:val="none"/>
          <w:lang w:val="en-US" w:eastAsia="zh-CN"/>
        </w:rPr>
        <w:t>四</w:t>
      </w:r>
      <w:r>
        <w:rPr>
          <w:rFonts w:hint="eastAsia" w:ascii="宋体" w:hAnsi="宋体"/>
          <w:color w:val="auto"/>
          <w:kern w:val="0"/>
          <w:sz w:val="24"/>
          <w:highlight w:val="none"/>
        </w:rPr>
        <w:t>个条件：</w:t>
      </w:r>
    </w:p>
    <w:p w14:paraId="3C9E5367">
      <w:pPr>
        <w:widowControl/>
        <w:adjustRightInd w:val="0"/>
        <w:snapToGrid w:val="0"/>
        <w:spacing w:line="336" w:lineRule="auto"/>
        <w:jc w:val="left"/>
        <w:rPr>
          <w:rFonts w:hint="eastAsia" w:ascii="宋体" w:hAnsi="宋体"/>
          <w:color w:val="auto"/>
          <w:kern w:val="0"/>
          <w:sz w:val="24"/>
          <w:highlight w:val="none"/>
        </w:rPr>
      </w:pPr>
      <w:r>
        <w:rPr>
          <w:rFonts w:hint="eastAsia" w:ascii="宋体" w:hAnsi="宋体"/>
          <w:color w:val="auto"/>
          <w:kern w:val="0"/>
          <w:sz w:val="24"/>
          <w:highlight w:val="none"/>
        </w:rPr>
        <w:t>（1）采购保证金付款账户必须是意向供应商</w:t>
      </w:r>
      <w:r>
        <w:rPr>
          <w:rFonts w:hint="eastAsia" w:ascii="宋体" w:hAnsi="宋体"/>
          <w:color w:val="auto"/>
          <w:kern w:val="0"/>
          <w:sz w:val="24"/>
          <w:highlight w:val="none"/>
          <w:lang w:val="en-US" w:eastAsia="zh-CN"/>
        </w:rPr>
        <w:t>的</w:t>
      </w:r>
      <w:r>
        <w:rPr>
          <w:rFonts w:hint="eastAsia" w:ascii="宋体" w:hAnsi="宋体"/>
          <w:color w:val="auto"/>
          <w:kern w:val="0"/>
          <w:sz w:val="24"/>
          <w:highlight w:val="none"/>
        </w:rPr>
        <w:t>银行</w:t>
      </w:r>
      <w:r>
        <w:rPr>
          <w:rFonts w:hint="eastAsia" w:ascii="宋体" w:hAnsi="宋体"/>
          <w:color w:val="auto"/>
          <w:kern w:val="0"/>
          <w:sz w:val="24"/>
          <w:highlight w:val="none"/>
          <w:lang w:val="en-US" w:eastAsia="zh-CN"/>
        </w:rPr>
        <w:t>对公</w:t>
      </w:r>
      <w:r>
        <w:rPr>
          <w:rFonts w:hint="eastAsia" w:ascii="宋体" w:hAnsi="宋体"/>
          <w:color w:val="auto"/>
          <w:kern w:val="0"/>
          <w:sz w:val="24"/>
          <w:highlight w:val="none"/>
        </w:rPr>
        <w:t>账户；</w:t>
      </w:r>
    </w:p>
    <w:p w14:paraId="3E12BB7A">
      <w:pPr>
        <w:widowControl/>
        <w:adjustRightInd w:val="0"/>
        <w:snapToGrid w:val="0"/>
        <w:spacing w:line="336" w:lineRule="auto"/>
        <w:jc w:val="left"/>
        <w:rPr>
          <w:rFonts w:hint="eastAsia" w:ascii="宋体" w:hAnsi="宋体"/>
          <w:color w:val="auto"/>
          <w:kern w:val="0"/>
          <w:sz w:val="24"/>
          <w:highlight w:val="none"/>
        </w:rPr>
      </w:pPr>
      <w:r>
        <w:rPr>
          <w:rFonts w:hint="eastAsia" w:ascii="宋体" w:hAnsi="宋体"/>
          <w:color w:val="auto"/>
          <w:kern w:val="0"/>
          <w:sz w:val="24"/>
          <w:highlight w:val="none"/>
        </w:rPr>
        <w:t>（2）采购保证金收款账户必须是黑龙江农村产权交易中心指定的银行账号；</w:t>
      </w:r>
    </w:p>
    <w:p w14:paraId="13B9C838">
      <w:pPr>
        <w:widowControl/>
        <w:adjustRightInd w:val="0"/>
        <w:snapToGrid w:val="0"/>
        <w:spacing w:line="336" w:lineRule="auto"/>
        <w:jc w:val="left"/>
        <w:rPr>
          <w:rFonts w:hint="eastAsia" w:ascii="宋体" w:hAnsi="宋体"/>
          <w:color w:val="auto"/>
          <w:kern w:val="0"/>
          <w:sz w:val="24"/>
          <w:highlight w:val="none"/>
        </w:rPr>
      </w:pPr>
      <w:r>
        <w:rPr>
          <w:rFonts w:hint="eastAsia" w:ascii="宋体" w:hAnsi="宋体"/>
          <w:color w:val="auto"/>
          <w:kern w:val="0"/>
          <w:sz w:val="24"/>
          <w:highlight w:val="none"/>
        </w:rPr>
        <w:t>（3）交纳的采购保证金金额必须为竞价采购公告要求的采购保证金数额。</w:t>
      </w:r>
    </w:p>
    <w:p w14:paraId="3CAED36B">
      <w:pPr>
        <w:widowControl/>
        <w:adjustRightInd w:val="0"/>
        <w:snapToGrid w:val="0"/>
        <w:spacing w:line="336" w:lineRule="auto"/>
        <w:jc w:val="left"/>
        <w:rPr>
          <w:rFonts w:hint="eastAsia" w:ascii="宋体" w:hAnsi="宋体"/>
          <w:color w:val="auto"/>
          <w:kern w:val="0"/>
          <w:sz w:val="24"/>
          <w:highlight w:val="none"/>
        </w:rPr>
      </w:pPr>
      <w:r>
        <w:rPr>
          <w:rFonts w:hint="eastAsia" w:ascii="宋体" w:hAnsi="宋体"/>
          <w:color w:val="auto"/>
          <w:kern w:val="0"/>
          <w:sz w:val="24"/>
          <w:highlight w:val="none"/>
          <w:lang w:eastAsia="zh-CN"/>
        </w:rPr>
        <w:t>（</w:t>
      </w:r>
      <w:r>
        <w:rPr>
          <w:rFonts w:hint="eastAsia" w:ascii="宋体" w:hAnsi="宋体"/>
          <w:color w:val="auto"/>
          <w:kern w:val="0"/>
          <w:sz w:val="24"/>
          <w:highlight w:val="none"/>
          <w:lang w:val="en-US" w:eastAsia="zh-CN"/>
        </w:rPr>
        <w:t>4</w:t>
      </w:r>
      <w:r>
        <w:rPr>
          <w:rFonts w:hint="eastAsia" w:ascii="宋体" w:hAnsi="宋体"/>
          <w:color w:val="auto"/>
          <w:kern w:val="0"/>
          <w:sz w:val="24"/>
          <w:highlight w:val="none"/>
          <w:lang w:eastAsia="zh-CN"/>
        </w:rPr>
        <w:t>）</w:t>
      </w:r>
      <w:r>
        <w:rPr>
          <w:rFonts w:hint="eastAsia" w:ascii="宋体" w:hAnsi="宋体"/>
          <w:color w:val="auto"/>
          <w:kern w:val="0"/>
          <w:sz w:val="24"/>
          <w:highlight w:val="none"/>
        </w:rPr>
        <w:t>采购保证金</w:t>
      </w:r>
      <w:r>
        <w:rPr>
          <w:rFonts w:hint="eastAsia" w:ascii="宋体" w:hAnsi="宋体"/>
          <w:color w:val="auto"/>
          <w:kern w:val="0"/>
          <w:sz w:val="24"/>
          <w:highlight w:val="none"/>
          <w:lang w:val="en-US" w:eastAsia="zh-CN"/>
        </w:rPr>
        <w:t>必须</w:t>
      </w:r>
      <w:r>
        <w:rPr>
          <w:rFonts w:hint="eastAsia" w:ascii="宋体" w:hAnsi="宋体"/>
          <w:color w:val="auto"/>
          <w:kern w:val="0"/>
          <w:sz w:val="24"/>
          <w:highlight w:val="none"/>
          <w:lang w:eastAsia="zh-CN"/>
        </w:rPr>
        <w:t>在规定时间到账。</w:t>
      </w:r>
    </w:p>
    <w:p w14:paraId="1B1A3616">
      <w:pPr>
        <w:widowControl/>
        <w:adjustRightInd w:val="0"/>
        <w:snapToGrid w:val="0"/>
        <w:spacing w:line="336" w:lineRule="auto"/>
        <w:jc w:val="left"/>
        <w:rPr>
          <w:rFonts w:hint="eastAsia" w:ascii="宋体" w:hAnsi="宋体"/>
          <w:color w:val="auto"/>
          <w:kern w:val="0"/>
          <w:sz w:val="24"/>
          <w:highlight w:val="none"/>
        </w:rPr>
      </w:pPr>
      <w:r>
        <w:rPr>
          <w:rFonts w:hint="eastAsia" w:ascii="宋体" w:hAnsi="宋体"/>
          <w:color w:val="auto"/>
          <w:kern w:val="0"/>
          <w:sz w:val="24"/>
          <w:highlight w:val="none"/>
        </w:rPr>
        <w:t>不满足以上条件的操作将导致采购保证金无效，无法参与竞价，由此产生的一切后果自负。</w:t>
      </w:r>
    </w:p>
    <w:p w14:paraId="203E966A">
      <w:pPr>
        <w:widowControl/>
        <w:numPr>
          <w:ilvl w:val="0"/>
          <w:numId w:val="0"/>
        </w:numPr>
        <w:adjustRightInd w:val="0"/>
        <w:snapToGrid w:val="0"/>
        <w:spacing w:line="336" w:lineRule="auto"/>
        <w:jc w:val="left"/>
        <w:rPr>
          <w:rFonts w:hint="eastAsia" w:ascii="宋体" w:hAnsi="宋体"/>
          <w:color w:val="auto"/>
          <w:kern w:val="0"/>
          <w:sz w:val="24"/>
          <w:highlight w:val="none"/>
        </w:rPr>
      </w:pPr>
      <w:r>
        <w:rPr>
          <w:rFonts w:hint="eastAsia" w:ascii="宋体" w:hAnsi="宋体"/>
          <w:color w:val="auto"/>
          <w:kern w:val="0"/>
          <w:sz w:val="24"/>
          <w:highlight w:val="none"/>
          <w:lang w:val="en-US" w:eastAsia="zh-CN"/>
        </w:rPr>
        <w:t>5.4.2</w:t>
      </w:r>
      <w:r>
        <w:rPr>
          <w:rFonts w:hint="eastAsia" w:ascii="宋体" w:hAnsi="宋体"/>
          <w:color w:val="auto"/>
          <w:kern w:val="0"/>
          <w:sz w:val="24"/>
          <w:highlight w:val="none"/>
        </w:rPr>
        <w:t>意向供应商交纳采购保证金1小时后请及时与竞价采购公告中项目负责人联系，查询到账情况。</w:t>
      </w:r>
    </w:p>
    <w:p w14:paraId="2D3088ED">
      <w:pPr>
        <w:widowControl/>
        <w:adjustRightInd w:val="0"/>
        <w:snapToGrid w:val="0"/>
        <w:spacing w:line="336" w:lineRule="auto"/>
        <w:jc w:val="left"/>
        <w:rPr>
          <w:rFonts w:hint="eastAsia" w:ascii="宋体" w:hAnsi="宋体" w:eastAsia="宋体" w:cs="Times New Roman"/>
          <w:color w:val="auto"/>
          <w:kern w:val="0"/>
          <w:sz w:val="24"/>
          <w:highlight w:val="none"/>
          <w:lang w:val="en-US" w:eastAsia="zh-CN"/>
        </w:rPr>
      </w:pPr>
      <w:r>
        <w:rPr>
          <w:rFonts w:hint="eastAsia" w:ascii="宋体" w:hAnsi="宋体"/>
          <w:color w:val="auto"/>
          <w:kern w:val="0"/>
          <w:sz w:val="24"/>
          <w:highlight w:val="none"/>
          <w:lang w:val="en-US" w:eastAsia="zh-CN"/>
        </w:rPr>
        <w:t>5.4.3</w:t>
      </w:r>
      <w:r>
        <w:rPr>
          <w:rFonts w:ascii="宋体" w:hAnsi="宋体"/>
          <w:color w:val="auto"/>
          <w:kern w:val="0"/>
          <w:sz w:val="24"/>
          <w:highlight w:val="none"/>
        </w:rPr>
        <w:t>意向</w:t>
      </w:r>
      <w:r>
        <w:rPr>
          <w:rFonts w:hint="eastAsia" w:ascii="宋体" w:hAnsi="宋体"/>
          <w:color w:val="auto"/>
          <w:kern w:val="0"/>
          <w:sz w:val="24"/>
          <w:highlight w:val="none"/>
        </w:rPr>
        <w:t>供应商</w:t>
      </w:r>
      <w:r>
        <w:rPr>
          <w:rFonts w:ascii="宋体" w:hAnsi="宋体"/>
          <w:color w:val="auto"/>
          <w:kern w:val="0"/>
          <w:sz w:val="24"/>
          <w:highlight w:val="none"/>
        </w:rPr>
        <w:t>应慎重报价，报价指令输入网络报价系统并确认后即刻生效，不能更改或撤回</w:t>
      </w:r>
      <w:r>
        <w:rPr>
          <w:rFonts w:hint="eastAsia" w:ascii="宋体" w:hAnsi="宋体"/>
          <w:color w:val="auto"/>
          <w:kern w:val="0"/>
          <w:sz w:val="24"/>
          <w:highlight w:val="none"/>
          <w:lang w:val="en-US" w:eastAsia="zh-CN"/>
        </w:rPr>
        <w:t>。</w:t>
      </w:r>
    </w:p>
    <w:p w14:paraId="182E691A">
      <w:pPr>
        <w:widowControl/>
        <w:adjustRightInd w:val="0"/>
        <w:snapToGrid w:val="0"/>
        <w:spacing w:line="336" w:lineRule="auto"/>
        <w:jc w:val="left"/>
        <w:rPr>
          <w:rFonts w:hint="eastAsia" w:ascii="宋体" w:hAnsi="宋体" w:eastAsia="宋体" w:cs="Times New Roman"/>
          <w:color w:val="auto"/>
          <w:kern w:val="0"/>
          <w:sz w:val="24"/>
          <w:highlight w:val="none"/>
          <w:lang w:val="en-US" w:eastAsia="zh-CN"/>
        </w:rPr>
      </w:pPr>
      <w:r>
        <w:rPr>
          <w:rFonts w:hint="eastAsia" w:ascii="宋体" w:hAnsi="宋体" w:eastAsia="宋体" w:cs="Times New Roman"/>
          <w:color w:val="auto"/>
          <w:kern w:val="0"/>
          <w:sz w:val="24"/>
          <w:highlight w:val="none"/>
          <w:lang w:val="en-US" w:eastAsia="zh-CN"/>
        </w:rPr>
        <w:t>5.4.4意向供应商报价为当前最低报价时，意向供应商仍可对标的进行减价。</w:t>
      </w:r>
    </w:p>
    <w:p w14:paraId="41D11E11">
      <w:pPr>
        <w:widowControl/>
        <w:adjustRightInd w:val="0"/>
        <w:snapToGrid w:val="0"/>
        <w:spacing w:line="336" w:lineRule="auto"/>
        <w:jc w:val="left"/>
        <w:rPr>
          <w:rFonts w:hint="eastAsia" w:ascii="宋体" w:hAnsi="宋体"/>
          <w:color w:val="auto"/>
          <w:kern w:val="0"/>
          <w:sz w:val="24"/>
          <w:highlight w:val="none"/>
          <w:lang w:val="en-US" w:eastAsia="zh-CN"/>
        </w:rPr>
      </w:pPr>
      <w:r>
        <w:rPr>
          <w:rFonts w:hint="eastAsia" w:ascii="宋体" w:hAnsi="宋体" w:eastAsia="宋体" w:cs="Times New Roman"/>
          <w:color w:val="auto"/>
          <w:kern w:val="0"/>
          <w:sz w:val="24"/>
          <w:highlight w:val="none"/>
          <w:lang w:val="en-US" w:eastAsia="zh-CN"/>
        </w:rPr>
        <w:t>5.4.5最低报价的结果以系统纪录数据为准。报价系统显示“本次报价结束”</w:t>
      </w:r>
      <w:r>
        <w:rPr>
          <w:rFonts w:hint="eastAsia" w:ascii="宋体" w:hAnsi="宋体"/>
          <w:color w:val="auto"/>
          <w:kern w:val="0"/>
          <w:sz w:val="24"/>
          <w:highlight w:val="none"/>
          <w:lang w:val="en-US" w:eastAsia="zh-CN"/>
        </w:rPr>
        <w:t>时，本次报价活动结束。</w:t>
      </w:r>
    </w:p>
    <w:p w14:paraId="5BAB9273">
      <w:pPr>
        <w:widowControl/>
        <w:adjustRightInd w:val="0"/>
        <w:snapToGrid w:val="0"/>
        <w:spacing w:line="336" w:lineRule="auto"/>
        <w:jc w:val="left"/>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5</w:t>
      </w:r>
      <w:r>
        <w:rPr>
          <w:rFonts w:ascii="宋体" w:hAnsi="宋体"/>
          <w:color w:val="auto"/>
          <w:kern w:val="0"/>
          <w:sz w:val="24"/>
          <w:highlight w:val="none"/>
        </w:rPr>
        <w:t>.4.</w:t>
      </w:r>
      <w:r>
        <w:rPr>
          <w:rFonts w:hint="eastAsia" w:ascii="宋体" w:hAnsi="宋体"/>
          <w:color w:val="auto"/>
          <w:kern w:val="0"/>
          <w:sz w:val="24"/>
          <w:highlight w:val="none"/>
          <w:lang w:val="en-US" w:eastAsia="zh-CN"/>
        </w:rPr>
        <w:t>6</w:t>
      </w:r>
      <w:r>
        <w:rPr>
          <w:rFonts w:ascii="宋体" w:hAnsi="宋体"/>
          <w:color w:val="auto"/>
          <w:kern w:val="0"/>
          <w:sz w:val="24"/>
          <w:highlight w:val="none"/>
        </w:rPr>
        <w:t>意向</w:t>
      </w:r>
      <w:r>
        <w:rPr>
          <w:rFonts w:hint="eastAsia" w:ascii="宋体" w:hAnsi="宋体"/>
          <w:color w:val="auto"/>
          <w:kern w:val="0"/>
          <w:sz w:val="24"/>
          <w:highlight w:val="none"/>
        </w:rPr>
        <w:t>供应商</w:t>
      </w:r>
      <w:r>
        <w:rPr>
          <w:rFonts w:ascii="宋体" w:hAnsi="宋体"/>
          <w:color w:val="auto"/>
          <w:kern w:val="0"/>
          <w:sz w:val="24"/>
          <w:highlight w:val="none"/>
        </w:rPr>
        <w:t>对注册用户名和密码、竞价账号和密码的安全负责，任何使用意向</w:t>
      </w:r>
      <w:r>
        <w:rPr>
          <w:rFonts w:hint="eastAsia" w:ascii="宋体" w:hAnsi="宋体"/>
          <w:color w:val="auto"/>
          <w:kern w:val="0"/>
          <w:sz w:val="24"/>
          <w:highlight w:val="none"/>
        </w:rPr>
        <w:t>供应商</w:t>
      </w:r>
      <w:r>
        <w:rPr>
          <w:rFonts w:ascii="宋体" w:hAnsi="宋体"/>
          <w:color w:val="auto"/>
          <w:kern w:val="0"/>
          <w:sz w:val="24"/>
          <w:highlight w:val="none"/>
        </w:rPr>
        <w:t>的注册用户名或竞价账号登陆的用户在报价系统的一切行为均视为该意向</w:t>
      </w:r>
      <w:r>
        <w:rPr>
          <w:rFonts w:hint="eastAsia" w:ascii="宋体" w:hAnsi="宋体"/>
          <w:color w:val="auto"/>
          <w:kern w:val="0"/>
          <w:sz w:val="24"/>
          <w:highlight w:val="none"/>
        </w:rPr>
        <w:t>供应商</w:t>
      </w:r>
      <w:r>
        <w:rPr>
          <w:rFonts w:ascii="宋体" w:hAnsi="宋体"/>
          <w:color w:val="auto"/>
          <w:kern w:val="0"/>
          <w:sz w:val="24"/>
          <w:highlight w:val="none"/>
        </w:rPr>
        <w:t>本人的行为，由意向</w:t>
      </w:r>
      <w:r>
        <w:rPr>
          <w:rFonts w:hint="eastAsia" w:ascii="宋体" w:hAnsi="宋体"/>
          <w:color w:val="auto"/>
          <w:kern w:val="0"/>
          <w:sz w:val="24"/>
          <w:highlight w:val="none"/>
        </w:rPr>
        <w:t>供应商</w:t>
      </w:r>
      <w:r>
        <w:rPr>
          <w:rFonts w:ascii="宋体" w:hAnsi="宋体"/>
          <w:color w:val="auto"/>
          <w:kern w:val="0"/>
          <w:sz w:val="24"/>
          <w:highlight w:val="none"/>
        </w:rPr>
        <w:t>负责，</w:t>
      </w:r>
      <w:r>
        <w:rPr>
          <w:rFonts w:hint="eastAsia" w:ascii="宋体" w:hAnsi="宋体"/>
          <w:color w:val="auto"/>
          <w:kern w:val="0"/>
          <w:sz w:val="24"/>
          <w:highlight w:val="none"/>
          <w:lang w:val="en-US" w:eastAsia="zh-CN"/>
        </w:rPr>
        <w:t>黑龙江农村产权交易中心不承担任何责任。</w:t>
      </w:r>
    </w:p>
    <w:p w14:paraId="3F9A2D6A">
      <w:pPr>
        <w:widowControl/>
        <w:adjustRightInd w:val="0"/>
        <w:snapToGrid w:val="0"/>
        <w:spacing w:line="336" w:lineRule="auto"/>
        <w:jc w:val="left"/>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5.4.7通过公共环境参与报价活动的意向供应商应注意账号安全，离开终端时应及时退出网络报价系统。</w:t>
      </w:r>
    </w:p>
    <w:p w14:paraId="35479B4E">
      <w:pPr>
        <w:widowControl/>
        <w:adjustRightInd w:val="0"/>
        <w:snapToGrid w:val="0"/>
        <w:spacing w:line="336" w:lineRule="auto"/>
        <w:jc w:val="left"/>
        <w:rPr>
          <w:rFonts w:ascii="宋体" w:hAnsi="宋体"/>
          <w:color w:val="auto"/>
          <w:kern w:val="0"/>
          <w:sz w:val="24"/>
          <w:highlight w:val="none"/>
        </w:rPr>
      </w:pPr>
      <w:r>
        <w:rPr>
          <w:rFonts w:hint="eastAsia" w:ascii="宋体" w:hAnsi="宋体"/>
          <w:color w:val="auto"/>
          <w:kern w:val="0"/>
          <w:sz w:val="24"/>
          <w:highlight w:val="none"/>
          <w:lang w:val="en-US" w:eastAsia="zh-CN"/>
        </w:rPr>
        <w:t>5.4.8鉴于互联网环境可能存在的时延等不可抗因素，意向供应商应尽量在自由报价期内充分出价，在延时报价期内及时出价。</w:t>
      </w:r>
    </w:p>
    <w:p w14:paraId="61354D66">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5</w:t>
      </w:r>
      <w:r>
        <w:rPr>
          <w:rFonts w:ascii="宋体" w:hAnsi="宋体"/>
          <w:b/>
          <w:color w:val="auto"/>
          <w:kern w:val="0"/>
          <w:sz w:val="24"/>
          <w:highlight w:val="none"/>
        </w:rPr>
        <w:t>.5 免责条款</w:t>
      </w:r>
    </w:p>
    <w:p w14:paraId="3DDAAFF7">
      <w:pPr>
        <w:widowControl/>
        <w:adjustRightInd w:val="0"/>
        <w:snapToGrid w:val="0"/>
        <w:ind w:firstLine="480" w:firstLineChars="200"/>
        <w:jc w:val="left"/>
        <w:rPr>
          <w:rFonts w:ascii="宋体" w:hAnsi="宋体"/>
          <w:kern w:val="0"/>
          <w:sz w:val="24"/>
          <w:highlight w:val="none"/>
        </w:rPr>
      </w:pPr>
      <w:bookmarkStart w:id="89" w:name="_Toc79761670"/>
      <w:bookmarkStart w:id="90" w:name="_Toc63273575"/>
      <w:bookmarkStart w:id="91" w:name="_Toc63587080"/>
      <w:r>
        <w:rPr>
          <w:rFonts w:ascii="宋体" w:hAnsi="宋体"/>
          <w:kern w:val="0"/>
          <w:sz w:val="24"/>
          <w:highlight w:val="none"/>
        </w:rPr>
        <w:t>出现以下情况，</w:t>
      </w:r>
      <w:r>
        <w:rPr>
          <w:rFonts w:hint="eastAsia" w:ascii="宋体" w:hAnsi="宋体"/>
          <w:kern w:val="0"/>
          <w:sz w:val="24"/>
          <w:highlight w:val="none"/>
          <w:lang w:eastAsia="zh-CN"/>
        </w:rPr>
        <w:t>黑龙江</w:t>
      </w:r>
      <w:r>
        <w:rPr>
          <w:rFonts w:hint="eastAsia" w:ascii="宋体" w:hAnsi="宋体"/>
          <w:kern w:val="0"/>
          <w:sz w:val="24"/>
          <w:highlight w:val="none"/>
          <w:lang w:val="en-US" w:eastAsia="zh-CN"/>
        </w:rPr>
        <w:t>省</w:t>
      </w:r>
      <w:r>
        <w:rPr>
          <w:rFonts w:hint="eastAsia" w:ascii="宋体" w:hAnsi="宋体"/>
          <w:kern w:val="0"/>
          <w:sz w:val="24"/>
          <w:highlight w:val="none"/>
          <w:lang w:eastAsia="zh-CN"/>
        </w:rPr>
        <w:t>农村</w:t>
      </w:r>
      <w:r>
        <w:rPr>
          <w:rFonts w:hint="eastAsia" w:ascii="宋体" w:hAnsi="宋体"/>
          <w:kern w:val="0"/>
          <w:sz w:val="24"/>
          <w:highlight w:val="none"/>
          <w:lang w:val="en-US" w:eastAsia="zh-CN"/>
        </w:rPr>
        <w:t>集体</w:t>
      </w:r>
      <w:r>
        <w:rPr>
          <w:rFonts w:hint="eastAsia" w:ascii="宋体" w:hAnsi="宋体"/>
          <w:kern w:val="0"/>
          <w:sz w:val="24"/>
          <w:highlight w:val="none"/>
          <w:lang w:eastAsia="zh-CN"/>
        </w:rPr>
        <w:t>产权交易</w:t>
      </w:r>
      <w:r>
        <w:rPr>
          <w:rFonts w:hint="eastAsia" w:ascii="宋体" w:hAnsi="宋体"/>
          <w:kern w:val="0"/>
          <w:sz w:val="24"/>
          <w:highlight w:val="none"/>
          <w:lang w:val="en-US" w:eastAsia="zh-CN"/>
        </w:rPr>
        <w:t>平台</w:t>
      </w:r>
      <w:r>
        <w:rPr>
          <w:rFonts w:hint="eastAsia" w:ascii="宋体" w:hAnsi="宋体"/>
          <w:kern w:val="0"/>
          <w:sz w:val="24"/>
          <w:highlight w:val="none"/>
        </w:rPr>
        <w:t>、采购人及代理机构</w:t>
      </w:r>
      <w:r>
        <w:rPr>
          <w:rFonts w:ascii="宋体" w:hAnsi="宋体"/>
          <w:kern w:val="0"/>
          <w:sz w:val="24"/>
          <w:highlight w:val="none"/>
        </w:rPr>
        <w:t>不承担任何责任：</w:t>
      </w:r>
    </w:p>
    <w:p w14:paraId="70DD75A9">
      <w:pPr>
        <w:widowControl/>
        <w:adjustRightInd w:val="0"/>
        <w:snapToGrid w:val="0"/>
        <w:spacing w:line="336" w:lineRule="auto"/>
        <w:jc w:val="left"/>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（1）意向供应商注册报名时所填写内容不真实、不完善、不准确而导致自身未通过资格条件审核的；</w:t>
      </w:r>
    </w:p>
    <w:p w14:paraId="29EC4951">
      <w:pPr>
        <w:widowControl/>
        <w:adjustRightInd w:val="0"/>
        <w:snapToGrid w:val="0"/>
        <w:spacing w:line="336" w:lineRule="auto"/>
        <w:jc w:val="left"/>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（2）交纳采购保证金无效的；</w:t>
      </w:r>
    </w:p>
    <w:p w14:paraId="4B9AE507">
      <w:pPr>
        <w:widowControl/>
        <w:adjustRightInd w:val="0"/>
        <w:snapToGrid w:val="0"/>
        <w:spacing w:line="336" w:lineRule="auto"/>
        <w:jc w:val="left"/>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（3）意向供应商自身终端设备时间与网络报价系统时间不符而导致未按时参与报价的;</w:t>
      </w:r>
    </w:p>
    <w:p w14:paraId="2321DD5D">
      <w:pPr>
        <w:widowControl/>
        <w:adjustRightInd w:val="0"/>
        <w:snapToGrid w:val="0"/>
        <w:spacing w:line="336" w:lineRule="auto"/>
        <w:jc w:val="left"/>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（4）意向供应商因自身原因导致其注册用户名或竞价账号信息泄露而造成的一切后果；</w:t>
      </w:r>
    </w:p>
    <w:p w14:paraId="6094C11E">
      <w:pPr>
        <w:widowControl/>
        <w:adjustRightInd w:val="0"/>
        <w:snapToGrid w:val="0"/>
        <w:spacing w:line="336" w:lineRule="auto"/>
        <w:jc w:val="left"/>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（5）意向供应商遗忘密码、自身终端设备或网络异常导致不能正常报价的；</w:t>
      </w:r>
    </w:p>
    <w:p w14:paraId="4CDA43CB">
      <w:pPr>
        <w:widowControl/>
        <w:adjustRightInd w:val="0"/>
        <w:snapToGrid w:val="0"/>
        <w:spacing w:line="336" w:lineRule="auto"/>
        <w:jc w:val="left"/>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（6）未及时关注在</w:t>
      </w:r>
      <w:r>
        <w:rPr>
          <w:rFonts w:hint="eastAsia" w:ascii="宋体" w:hAnsi="宋体"/>
          <w:kern w:val="0"/>
          <w:sz w:val="24"/>
          <w:highlight w:val="none"/>
          <w:lang w:eastAsia="zh-CN"/>
        </w:rPr>
        <w:t>黑龙江</w:t>
      </w:r>
      <w:r>
        <w:rPr>
          <w:rFonts w:hint="eastAsia" w:ascii="宋体" w:hAnsi="宋体"/>
          <w:kern w:val="0"/>
          <w:sz w:val="24"/>
          <w:highlight w:val="none"/>
          <w:lang w:val="en-US" w:eastAsia="zh-CN"/>
        </w:rPr>
        <w:t>省</w:t>
      </w:r>
      <w:r>
        <w:rPr>
          <w:rFonts w:hint="eastAsia" w:ascii="宋体" w:hAnsi="宋体"/>
          <w:kern w:val="0"/>
          <w:sz w:val="24"/>
          <w:highlight w:val="none"/>
          <w:lang w:eastAsia="zh-CN"/>
        </w:rPr>
        <w:t>农村</w:t>
      </w:r>
      <w:r>
        <w:rPr>
          <w:rFonts w:hint="eastAsia" w:ascii="宋体" w:hAnsi="宋体"/>
          <w:kern w:val="0"/>
          <w:sz w:val="24"/>
          <w:highlight w:val="none"/>
          <w:lang w:val="en-US" w:eastAsia="zh-CN"/>
        </w:rPr>
        <w:t>集体</w:t>
      </w:r>
      <w:r>
        <w:rPr>
          <w:rFonts w:hint="eastAsia" w:ascii="宋体" w:hAnsi="宋体"/>
          <w:kern w:val="0"/>
          <w:sz w:val="24"/>
          <w:highlight w:val="none"/>
          <w:lang w:eastAsia="zh-CN"/>
        </w:rPr>
        <w:t>产权交易</w:t>
      </w:r>
      <w:r>
        <w:rPr>
          <w:rFonts w:hint="eastAsia" w:ascii="宋体" w:hAnsi="宋体"/>
          <w:kern w:val="0"/>
          <w:sz w:val="24"/>
          <w:highlight w:val="none"/>
          <w:lang w:val="en-US" w:eastAsia="zh-CN"/>
        </w:rPr>
        <w:t>平台</w:t>
      </w:r>
      <w:r>
        <w:rPr>
          <w:rFonts w:hint="eastAsia" w:ascii="宋体" w:hAnsi="宋体"/>
          <w:color w:val="auto"/>
          <w:kern w:val="0"/>
          <w:sz w:val="24"/>
          <w:highlight w:val="none"/>
          <w:lang w:val="en-US" w:eastAsia="zh-CN"/>
        </w:rPr>
        <w:t>发布的相关报价活动信息的；</w:t>
      </w:r>
    </w:p>
    <w:p w14:paraId="14A86F24">
      <w:pPr>
        <w:widowControl/>
        <w:adjustRightInd w:val="0"/>
        <w:snapToGrid w:val="0"/>
        <w:spacing w:line="336" w:lineRule="auto"/>
        <w:jc w:val="left"/>
        <w:rPr>
          <w:rFonts w:hint="eastAsia" w:ascii="宋体" w:hAnsi="宋体"/>
          <w:b/>
          <w:color w:val="auto"/>
          <w:kern w:val="0"/>
          <w:sz w:val="24"/>
          <w:highlight w:val="none"/>
          <w:lang w:val="en-US" w:eastAsia="zh-CN"/>
        </w:rPr>
      </w:pPr>
      <w:r>
        <w:rPr>
          <w:rFonts w:hint="eastAsia" w:ascii="宋体" w:hAnsi="宋体"/>
          <w:color w:val="auto"/>
          <w:kern w:val="0"/>
          <w:sz w:val="24"/>
          <w:highlight w:val="none"/>
          <w:lang w:val="en-US" w:eastAsia="zh-CN"/>
        </w:rPr>
        <w:t>（7）因不可抗力、软硬件故障、非法入侵、恶意攻击导致系统故障无法继续报价的，或者司法部门、政府监管部门紧急要求停止报价等原因导致报价中断的。采购人将重新组织报价活动，具体情况在黑龙江农村产权交易中心网站予以公告。</w:t>
      </w:r>
    </w:p>
    <w:p w14:paraId="6F96BCD2">
      <w:pPr>
        <w:keepNext/>
        <w:keepLines/>
        <w:adjustRightInd w:val="0"/>
        <w:spacing w:before="240" w:beforeLines="100"/>
        <w:textAlignment w:val="baseline"/>
        <w:outlineLvl w:val="1"/>
        <w:rPr>
          <w:rFonts w:hint="eastAsia" w:ascii="宋体" w:hAnsi="宋体" w:cs="Times New Roman"/>
          <w:b/>
          <w:color w:val="auto"/>
          <w:kern w:val="0"/>
          <w:sz w:val="24"/>
          <w:highlight w:val="none"/>
        </w:rPr>
      </w:pPr>
      <w:bookmarkStart w:id="92" w:name="_Toc10003"/>
      <w:r>
        <w:rPr>
          <w:rFonts w:hint="eastAsia" w:ascii="宋体" w:hAnsi="宋体" w:cs="Times New Roman"/>
          <w:b/>
          <w:color w:val="auto"/>
          <w:kern w:val="0"/>
          <w:sz w:val="24"/>
          <w:highlight w:val="none"/>
          <w:lang w:val="en-US" w:eastAsia="zh-CN"/>
        </w:rPr>
        <w:t>6</w:t>
      </w:r>
      <w:r>
        <w:rPr>
          <w:rFonts w:hint="eastAsia" w:ascii="宋体" w:hAnsi="宋体" w:cs="Times New Roman"/>
          <w:b/>
          <w:color w:val="auto"/>
          <w:kern w:val="0"/>
          <w:sz w:val="24"/>
          <w:highlight w:val="none"/>
        </w:rPr>
        <w:t xml:space="preserve">  合同授予</w:t>
      </w:r>
      <w:bookmarkEnd w:id="89"/>
      <w:bookmarkEnd w:id="90"/>
      <w:bookmarkEnd w:id="91"/>
      <w:bookmarkEnd w:id="92"/>
    </w:p>
    <w:p w14:paraId="021D6996">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6</w:t>
      </w:r>
      <w:r>
        <w:rPr>
          <w:rFonts w:ascii="宋体" w:hAnsi="宋体"/>
          <w:b/>
          <w:color w:val="auto"/>
          <w:kern w:val="0"/>
          <w:sz w:val="24"/>
          <w:highlight w:val="none"/>
        </w:rPr>
        <w:t xml:space="preserve">.1 </w:t>
      </w:r>
      <w:r>
        <w:rPr>
          <w:rFonts w:hint="eastAsia" w:ascii="宋体" w:hAnsi="宋体"/>
          <w:b/>
          <w:color w:val="auto"/>
          <w:kern w:val="0"/>
          <w:sz w:val="24"/>
          <w:highlight w:val="none"/>
        </w:rPr>
        <w:t>确定成交供应商</w:t>
      </w:r>
    </w:p>
    <w:p w14:paraId="51E9B478">
      <w:pPr>
        <w:rPr>
          <w:rFonts w:ascii="宋体" w:hAnsi="宋体"/>
          <w:color w:val="auto"/>
          <w:sz w:val="24"/>
          <w:highlight w:val="none"/>
        </w:rPr>
      </w:pPr>
      <w:r>
        <w:rPr>
          <w:rFonts w:hint="eastAsia" w:ascii="宋体" w:hAnsi="宋体"/>
          <w:color w:val="auto"/>
          <w:sz w:val="24"/>
          <w:highlight w:val="none"/>
          <w:lang w:val="en-US" w:eastAsia="zh-CN"/>
        </w:rPr>
        <w:t>6</w:t>
      </w:r>
      <w:r>
        <w:rPr>
          <w:rFonts w:ascii="宋体" w:hAnsi="宋体"/>
          <w:color w:val="auto"/>
          <w:sz w:val="24"/>
          <w:highlight w:val="none"/>
        </w:rPr>
        <w:t>.1.1</w:t>
      </w:r>
      <w:r>
        <w:rPr>
          <w:rFonts w:hint="eastAsia" w:ascii="宋体" w:hAnsi="宋体"/>
          <w:color w:val="auto"/>
          <w:sz w:val="24"/>
          <w:highlight w:val="none"/>
        </w:rPr>
        <w:t>采购人按照报价最低原则确定成交供应商，如只有一家意向供应商参与报价且其报价没有超过采购预算，采购人即可将其确定为成交供应商。</w:t>
      </w:r>
    </w:p>
    <w:p w14:paraId="17266829">
      <w:pPr>
        <w:rPr>
          <w:rFonts w:ascii="宋体" w:hAnsi="宋体"/>
          <w:color w:val="auto"/>
          <w:sz w:val="24"/>
          <w:highlight w:val="none"/>
        </w:rPr>
      </w:pPr>
      <w:r>
        <w:rPr>
          <w:rFonts w:hint="eastAsia" w:ascii="宋体" w:hAnsi="宋体"/>
          <w:color w:val="auto"/>
          <w:sz w:val="24"/>
          <w:highlight w:val="none"/>
          <w:lang w:val="en-US" w:eastAsia="zh-CN"/>
        </w:rPr>
        <w:t>6</w:t>
      </w:r>
      <w:r>
        <w:rPr>
          <w:rFonts w:ascii="宋体" w:hAnsi="宋体"/>
          <w:color w:val="auto"/>
          <w:sz w:val="24"/>
          <w:highlight w:val="none"/>
        </w:rPr>
        <w:t>.1.2</w:t>
      </w:r>
      <w:r>
        <w:rPr>
          <w:rFonts w:hint="eastAsia" w:ascii="宋体" w:hAnsi="宋体"/>
          <w:color w:val="auto"/>
          <w:sz w:val="24"/>
          <w:highlight w:val="none"/>
        </w:rPr>
        <w:t>报价最低的供应商放弃成交</w:t>
      </w:r>
      <w:r>
        <w:rPr>
          <w:rFonts w:hint="eastAsia" w:ascii="宋体" w:hAnsi="宋体"/>
          <w:color w:val="auto"/>
          <w:sz w:val="24"/>
          <w:highlight w:val="none"/>
          <w:lang w:val="en-US" w:eastAsia="zh-CN"/>
        </w:rPr>
        <w:t>或采购人审核结论为不合格的</w:t>
      </w:r>
      <w:r>
        <w:rPr>
          <w:rFonts w:hint="eastAsia" w:ascii="宋体" w:hAnsi="宋体"/>
          <w:color w:val="auto"/>
          <w:sz w:val="24"/>
          <w:highlight w:val="none"/>
        </w:rPr>
        <w:t>，其交纳的采购保证金不予退还并作为违约金，代理机构留取成交服务费后，剩余部分违约金转至采购人指定账户。采购人可依次确定报价次低的供应商为成交供应商，以此类推</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也可重新组织采购</w:t>
      </w:r>
      <w:r>
        <w:rPr>
          <w:rFonts w:hint="eastAsia" w:ascii="宋体" w:hAnsi="宋体"/>
          <w:color w:val="auto"/>
          <w:sz w:val="24"/>
          <w:highlight w:val="none"/>
        </w:rPr>
        <w:t>。对意向供应商失信行为的惩戒措施按采购人企业管理制度及黑龙江</w:t>
      </w:r>
      <w:r>
        <w:rPr>
          <w:rFonts w:hint="eastAsia" w:ascii="宋体" w:hAnsi="宋体"/>
          <w:color w:val="auto"/>
          <w:sz w:val="24"/>
          <w:highlight w:val="none"/>
          <w:lang w:val="en-US" w:eastAsia="zh-CN"/>
        </w:rPr>
        <w:t>农村产权交易中心有限公司</w:t>
      </w:r>
      <w:r>
        <w:rPr>
          <w:rFonts w:hint="eastAsia" w:ascii="宋体" w:hAnsi="宋体"/>
          <w:color w:val="auto"/>
          <w:sz w:val="24"/>
          <w:highlight w:val="none"/>
        </w:rPr>
        <w:t>的相关规定执行。</w:t>
      </w:r>
    </w:p>
    <w:p w14:paraId="634FF975">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6</w:t>
      </w:r>
      <w:r>
        <w:rPr>
          <w:rFonts w:ascii="宋体" w:hAnsi="宋体"/>
          <w:b/>
          <w:color w:val="auto"/>
          <w:kern w:val="0"/>
          <w:sz w:val="24"/>
          <w:highlight w:val="none"/>
        </w:rPr>
        <w:t xml:space="preserve">.2 </w:t>
      </w:r>
      <w:r>
        <w:rPr>
          <w:rFonts w:hint="eastAsia" w:ascii="宋体" w:hAnsi="宋体"/>
          <w:b/>
          <w:color w:val="auto"/>
          <w:kern w:val="0"/>
          <w:sz w:val="24"/>
          <w:highlight w:val="none"/>
        </w:rPr>
        <w:t>发布成交结果公告、成交通知书</w:t>
      </w:r>
    </w:p>
    <w:p w14:paraId="0DDF886F">
      <w:pPr>
        <w:snapToGrid w:val="0"/>
        <w:ind w:right="-58"/>
        <w:rPr>
          <w:rFonts w:ascii="宋体" w:hAnsi="宋体"/>
          <w:color w:val="auto"/>
          <w:sz w:val="24"/>
          <w:highlight w:val="none"/>
        </w:rPr>
      </w:pPr>
      <w:r>
        <w:rPr>
          <w:rFonts w:hint="eastAsia" w:ascii="宋体" w:hAnsi="宋体"/>
          <w:color w:val="auto"/>
          <w:sz w:val="24"/>
          <w:highlight w:val="none"/>
          <w:lang w:val="en-US" w:eastAsia="zh-CN"/>
        </w:rPr>
        <w:t>6.</w:t>
      </w:r>
      <w:r>
        <w:rPr>
          <w:rFonts w:hint="eastAsia" w:ascii="宋体" w:hAnsi="宋体"/>
          <w:color w:val="auto"/>
          <w:sz w:val="24"/>
          <w:highlight w:val="none"/>
        </w:rPr>
        <w:t>2.1采购人确定成交供应商后，将按照采购公告规定的公示媒介发布成交结果公告，并向成交供应商发出成交通知书</w:t>
      </w:r>
      <w:r>
        <w:rPr>
          <w:rFonts w:ascii="宋体" w:hAnsi="宋体"/>
          <w:color w:val="auto"/>
          <w:sz w:val="24"/>
          <w:highlight w:val="none"/>
        </w:rPr>
        <w:t>。</w:t>
      </w:r>
    </w:p>
    <w:p w14:paraId="2CD606AF">
      <w:pPr>
        <w:pStyle w:val="2"/>
        <w:rPr>
          <w:rFonts w:ascii="宋体" w:hAnsi="宋体"/>
          <w:color w:val="auto"/>
          <w:sz w:val="24"/>
          <w:highlight w:val="none"/>
        </w:rPr>
      </w:pPr>
      <w:r>
        <w:rPr>
          <w:rFonts w:hint="eastAsia" w:ascii="宋体" w:hAnsi="宋体"/>
          <w:color w:val="auto"/>
          <w:sz w:val="24"/>
          <w:highlight w:val="none"/>
          <w:lang w:val="en-US" w:eastAsia="zh-CN"/>
        </w:rPr>
        <w:t>6</w:t>
      </w:r>
      <w:r>
        <w:rPr>
          <w:rFonts w:hint="eastAsia" w:ascii="宋体" w:hAnsi="宋体"/>
          <w:color w:val="auto"/>
          <w:sz w:val="24"/>
          <w:highlight w:val="none"/>
        </w:rPr>
        <w:t>.2.</w:t>
      </w:r>
      <w:r>
        <w:rPr>
          <w:rFonts w:ascii="宋体" w:hAnsi="宋体"/>
          <w:color w:val="auto"/>
          <w:sz w:val="24"/>
          <w:highlight w:val="none"/>
        </w:rPr>
        <w:t>2</w:t>
      </w:r>
      <w:r>
        <w:rPr>
          <w:rFonts w:hint="eastAsia" w:ascii="宋体" w:hAnsi="宋体"/>
          <w:color w:val="auto"/>
          <w:sz w:val="24"/>
          <w:highlight w:val="none"/>
        </w:rPr>
        <w:t>成交通知书是签订采购合同的前提条件及采购合同的组成部分。</w:t>
      </w:r>
    </w:p>
    <w:p w14:paraId="6F0F5B69">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6</w:t>
      </w:r>
      <w:r>
        <w:rPr>
          <w:rFonts w:ascii="宋体" w:hAnsi="宋体"/>
          <w:b/>
          <w:color w:val="auto"/>
          <w:kern w:val="0"/>
          <w:sz w:val="24"/>
          <w:highlight w:val="none"/>
        </w:rPr>
        <w:t xml:space="preserve">.3 </w:t>
      </w:r>
      <w:r>
        <w:rPr>
          <w:rFonts w:hint="eastAsia" w:ascii="宋体" w:hAnsi="宋体"/>
          <w:b/>
          <w:color w:val="auto"/>
          <w:kern w:val="0"/>
          <w:sz w:val="24"/>
          <w:highlight w:val="none"/>
        </w:rPr>
        <w:t>履约保证金</w:t>
      </w:r>
    </w:p>
    <w:p w14:paraId="137D14B1">
      <w:pPr>
        <w:pStyle w:val="2"/>
        <w:ind w:firstLine="480" w:firstLineChars="200"/>
        <w:rPr>
          <w:rFonts w:ascii="宋体" w:hAnsi="宋体"/>
          <w:color w:val="auto"/>
          <w:sz w:val="24"/>
          <w:highlight w:val="none"/>
        </w:rPr>
      </w:pPr>
      <w:r>
        <w:rPr>
          <w:rFonts w:hint="eastAsia" w:ascii="宋体" w:hAnsi="宋体"/>
          <w:color w:val="auto"/>
          <w:sz w:val="24"/>
          <w:highlight w:val="none"/>
        </w:rPr>
        <w:t>采购公告规定递交履约保证金的，成交供应商应按采购公告规定的形式、有效期限和递交时间向采购人递交履约保证金。</w:t>
      </w:r>
    </w:p>
    <w:p w14:paraId="3734E4BB">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6</w:t>
      </w:r>
      <w:r>
        <w:rPr>
          <w:rFonts w:ascii="宋体" w:hAnsi="宋体"/>
          <w:b/>
          <w:color w:val="auto"/>
          <w:kern w:val="0"/>
          <w:sz w:val="24"/>
          <w:highlight w:val="none"/>
        </w:rPr>
        <w:t xml:space="preserve">.4 </w:t>
      </w:r>
      <w:r>
        <w:rPr>
          <w:rFonts w:hint="eastAsia" w:ascii="宋体" w:hAnsi="宋体"/>
          <w:b/>
          <w:color w:val="auto"/>
          <w:kern w:val="0"/>
          <w:sz w:val="24"/>
          <w:highlight w:val="none"/>
        </w:rPr>
        <w:t>签订合同</w:t>
      </w:r>
    </w:p>
    <w:p w14:paraId="6A27CAE0">
      <w:pPr>
        <w:rPr>
          <w:rFonts w:ascii="宋体" w:hAnsi="宋体"/>
          <w:color w:val="auto"/>
          <w:sz w:val="24"/>
          <w:highlight w:val="none"/>
        </w:rPr>
      </w:pPr>
      <w:r>
        <w:rPr>
          <w:rFonts w:hint="eastAsia" w:ascii="宋体" w:hAnsi="宋体"/>
          <w:color w:val="auto"/>
          <w:sz w:val="24"/>
          <w:highlight w:val="none"/>
          <w:lang w:val="en-US" w:eastAsia="zh-CN"/>
        </w:rPr>
        <w:t>6</w:t>
      </w:r>
      <w:r>
        <w:rPr>
          <w:rFonts w:ascii="宋体" w:hAnsi="宋体"/>
          <w:color w:val="auto"/>
          <w:sz w:val="24"/>
          <w:highlight w:val="none"/>
        </w:rPr>
        <w:t xml:space="preserve">.4.1 </w:t>
      </w:r>
      <w:r>
        <w:rPr>
          <w:rFonts w:hint="eastAsia" w:ascii="宋体" w:hAnsi="宋体"/>
          <w:color w:val="auto"/>
          <w:sz w:val="24"/>
          <w:highlight w:val="none"/>
        </w:rPr>
        <w:t>采购人和成交供应商应当在成交通知书发出之日起</w:t>
      </w:r>
      <w:r>
        <w:rPr>
          <w:rFonts w:ascii="宋体" w:hAnsi="宋体"/>
          <w:color w:val="auto"/>
          <w:sz w:val="24"/>
          <w:highlight w:val="none"/>
        </w:rPr>
        <w:t>30</w:t>
      </w:r>
      <w:r>
        <w:rPr>
          <w:rFonts w:hint="eastAsia" w:ascii="宋体" w:hAnsi="宋体"/>
          <w:color w:val="auto"/>
          <w:sz w:val="24"/>
          <w:highlight w:val="none"/>
        </w:rPr>
        <w:t>日内，根据采购文件和成交供应商的资格申请文件订立书面合同。成交供应商无正当理由拒绝签订合同，在签订合同时向采购人提出附加条件，或者不按照采购文件要求递交履约保证金的，采购人取消其成交资格，其采购保证金不予退还并作为违约金，代理机构留取成交服务费后，剩余部分违约金转至采购人指定账户；给采购人造成的损失超过采购保证金数额的，成交供应商还应当对超过部分予以赔偿。采购人无正当理由拒签合同的，采购人向成交供应商退还采购保证金；给成交供应商造成损失的，还应当赔偿损失。</w:t>
      </w:r>
    </w:p>
    <w:p w14:paraId="247FC331">
      <w:pPr>
        <w:pStyle w:val="2"/>
        <w:rPr>
          <w:rFonts w:ascii="宋体" w:hAnsi="宋体"/>
          <w:color w:val="auto"/>
          <w:sz w:val="24"/>
          <w:highlight w:val="none"/>
        </w:rPr>
      </w:pPr>
      <w:r>
        <w:rPr>
          <w:rFonts w:hint="eastAsia" w:ascii="宋体" w:hAnsi="宋体"/>
          <w:color w:val="auto"/>
          <w:sz w:val="24"/>
          <w:highlight w:val="none"/>
          <w:lang w:val="en-US" w:eastAsia="zh-CN"/>
        </w:rPr>
        <w:t>6</w:t>
      </w:r>
      <w:r>
        <w:rPr>
          <w:rFonts w:ascii="宋体" w:hAnsi="宋体"/>
          <w:color w:val="auto"/>
          <w:sz w:val="24"/>
          <w:highlight w:val="none"/>
        </w:rPr>
        <w:t>.4.2</w:t>
      </w:r>
      <w:r>
        <w:rPr>
          <w:rFonts w:hint="eastAsia" w:ascii="宋体" w:hAnsi="宋体"/>
          <w:color w:val="auto"/>
          <w:sz w:val="24"/>
          <w:highlight w:val="none"/>
        </w:rPr>
        <w:t>签署采购合同时，成交供应商须提供最终分项报价表，所报单价不得高于采购人给出的控制单价，分项报价表合计金额必须与成交金额一致。分项报价表作为采购合同的组成部分。</w:t>
      </w:r>
    </w:p>
    <w:p w14:paraId="02949EB6">
      <w:pPr>
        <w:keepNext/>
        <w:keepLines/>
        <w:adjustRightInd w:val="0"/>
        <w:spacing w:before="240" w:beforeLines="100"/>
        <w:textAlignment w:val="baseline"/>
        <w:outlineLvl w:val="1"/>
        <w:rPr>
          <w:rFonts w:ascii="宋体" w:hAnsi="宋体"/>
          <w:b/>
          <w:color w:val="auto"/>
          <w:kern w:val="0"/>
          <w:sz w:val="24"/>
          <w:highlight w:val="none"/>
        </w:rPr>
      </w:pPr>
      <w:bookmarkStart w:id="93" w:name="_Toc63273576"/>
      <w:bookmarkStart w:id="94" w:name="_Toc4893"/>
      <w:bookmarkStart w:id="95" w:name="_Toc79761671"/>
      <w:bookmarkStart w:id="96" w:name="_Toc63587081"/>
      <w:bookmarkStart w:id="97" w:name="_Toc5255"/>
      <w:r>
        <w:rPr>
          <w:rFonts w:hint="eastAsia" w:ascii="宋体" w:hAnsi="宋体"/>
          <w:b/>
          <w:color w:val="auto"/>
          <w:kern w:val="0"/>
          <w:sz w:val="24"/>
          <w:highlight w:val="none"/>
          <w:lang w:val="en-US" w:eastAsia="zh-CN"/>
        </w:rPr>
        <w:t>7</w:t>
      </w:r>
      <w:r>
        <w:rPr>
          <w:rFonts w:ascii="宋体" w:hAnsi="宋体"/>
          <w:b/>
          <w:color w:val="auto"/>
          <w:kern w:val="0"/>
          <w:sz w:val="24"/>
          <w:highlight w:val="none"/>
        </w:rPr>
        <w:t xml:space="preserve">  </w:t>
      </w:r>
      <w:r>
        <w:rPr>
          <w:rFonts w:hint="eastAsia" w:ascii="宋体" w:hAnsi="宋体"/>
          <w:b/>
          <w:color w:val="auto"/>
          <w:kern w:val="0"/>
          <w:sz w:val="24"/>
          <w:highlight w:val="none"/>
        </w:rPr>
        <w:t>纪律要求</w:t>
      </w:r>
      <w:bookmarkEnd w:id="93"/>
      <w:bookmarkEnd w:id="94"/>
      <w:bookmarkEnd w:id="95"/>
      <w:bookmarkEnd w:id="96"/>
      <w:bookmarkEnd w:id="97"/>
    </w:p>
    <w:p w14:paraId="6DD61904">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7</w:t>
      </w:r>
      <w:r>
        <w:rPr>
          <w:rFonts w:ascii="宋体" w:hAnsi="宋体"/>
          <w:b/>
          <w:color w:val="auto"/>
          <w:kern w:val="0"/>
          <w:sz w:val="24"/>
          <w:highlight w:val="none"/>
        </w:rPr>
        <w:t xml:space="preserve">.1 </w:t>
      </w:r>
      <w:r>
        <w:rPr>
          <w:rFonts w:hint="eastAsia" w:ascii="宋体" w:hAnsi="宋体"/>
          <w:b/>
          <w:color w:val="auto"/>
          <w:kern w:val="0"/>
          <w:sz w:val="24"/>
          <w:highlight w:val="none"/>
        </w:rPr>
        <w:t>对采购人的纪律要求</w:t>
      </w:r>
    </w:p>
    <w:p w14:paraId="45EF4629">
      <w:pPr>
        <w:pStyle w:val="2"/>
        <w:ind w:firstLine="480" w:firstLineChars="200"/>
        <w:rPr>
          <w:rFonts w:ascii="宋体" w:hAnsi="宋体"/>
          <w:color w:val="auto"/>
          <w:sz w:val="24"/>
          <w:highlight w:val="none"/>
        </w:rPr>
      </w:pPr>
      <w:r>
        <w:rPr>
          <w:rFonts w:hint="eastAsia" w:ascii="宋体" w:hAnsi="宋体"/>
          <w:color w:val="auto"/>
          <w:sz w:val="24"/>
          <w:highlight w:val="none"/>
        </w:rPr>
        <w:t>采购人不得泄露采购活动中应当保密的情况和资料，不得与意向供应商串通损害国家利益、社会公共利益或者他人合法权益。</w:t>
      </w:r>
    </w:p>
    <w:p w14:paraId="3552839C">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7</w:t>
      </w:r>
      <w:r>
        <w:rPr>
          <w:rFonts w:ascii="宋体" w:hAnsi="宋体"/>
          <w:b/>
          <w:color w:val="auto"/>
          <w:kern w:val="0"/>
          <w:sz w:val="24"/>
          <w:highlight w:val="none"/>
        </w:rPr>
        <w:t xml:space="preserve">.2 </w:t>
      </w:r>
      <w:r>
        <w:rPr>
          <w:rFonts w:hint="eastAsia" w:ascii="宋体" w:hAnsi="宋体"/>
          <w:b/>
          <w:color w:val="auto"/>
          <w:kern w:val="0"/>
          <w:sz w:val="24"/>
          <w:highlight w:val="none"/>
        </w:rPr>
        <w:t>对供应商的纪律要求</w:t>
      </w:r>
    </w:p>
    <w:p w14:paraId="69E1F73C">
      <w:pPr>
        <w:pStyle w:val="2"/>
        <w:ind w:firstLine="480" w:firstLineChars="200"/>
        <w:rPr>
          <w:rFonts w:ascii="宋体" w:hAnsi="宋体"/>
          <w:color w:val="auto"/>
          <w:sz w:val="24"/>
          <w:highlight w:val="none"/>
        </w:rPr>
      </w:pPr>
      <w:r>
        <w:rPr>
          <w:rFonts w:hint="eastAsia" w:ascii="宋体" w:hAnsi="宋体"/>
          <w:color w:val="auto"/>
          <w:sz w:val="24"/>
          <w:highlight w:val="none"/>
        </w:rPr>
        <w:t>供应商不得互相串通或者与采购人串通，不得向采购人或者审核小组成员行贿，不得以他人名义参加采购活动或者以其他方法弄虚作假；供应商不得以任何方式干扰、影响审核工作。</w:t>
      </w:r>
    </w:p>
    <w:p w14:paraId="7333ACDE">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7</w:t>
      </w:r>
      <w:r>
        <w:rPr>
          <w:rFonts w:ascii="宋体" w:hAnsi="宋体"/>
          <w:b/>
          <w:color w:val="auto"/>
          <w:kern w:val="0"/>
          <w:sz w:val="24"/>
          <w:highlight w:val="none"/>
        </w:rPr>
        <w:t xml:space="preserve">.3 </w:t>
      </w:r>
      <w:r>
        <w:rPr>
          <w:rFonts w:hint="eastAsia" w:ascii="宋体" w:hAnsi="宋体"/>
          <w:b/>
          <w:color w:val="auto"/>
          <w:kern w:val="0"/>
          <w:sz w:val="24"/>
          <w:highlight w:val="none"/>
        </w:rPr>
        <w:t>对审核小组成员的纪律要求</w:t>
      </w:r>
    </w:p>
    <w:p w14:paraId="4D344862">
      <w:pPr>
        <w:pStyle w:val="2"/>
        <w:ind w:firstLine="480" w:firstLineChars="200"/>
        <w:rPr>
          <w:rFonts w:ascii="宋体" w:hAnsi="宋体"/>
          <w:color w:val="auto"/>
          <w:sz w:val="24"/>
          <w:highlight w:val="none"/>
        </w:rPr>
      </w:pPr>
      <w:r>
        <w:rPr>
          <w:rFonts w:hint="eastAsia" w:ascii="宋体" w:hAnsi="宋体"/>
          <w:color w:val="auto"/>
          <w:sz w:val="24"/>
          <w:highlight w:val="none"/>
        </w:rPr>
        <w:t>审核小组成员不得收受他人的财物或者其他好处，不得向他人透露对资格申请文件的审核和比较情况以及审核有关的其他情况。在审核活动中，审核小组成员应当客观、公正地履行职责，遵守职业道德，不得擅离职守，影响审核工作正常进行，不得使用采购文件中没有规定的审核因素和标准进行审核。</w:t>
      </w:r>
    </w:p>
    <w:p w14:paraId="4570A521">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7</w:t>
      </w:r>
      <w:r>
        <w:rPr>
          <w:rFonts w:ascii="宋体" w:hAnsi="宋体"/>
          <w:b/>
          <w:color w:val="auto"/>
          <w:kern w:val="0"/>
          <w:sz w:val="24"/>
          <w:highlight w:val="none"/>
        </w:rPr>
        <w:t xml:space="preserve">.4 </w:t>
      </w:r>
      <w:r>
        <w:rPr>
          <w:rFonts w:hint="eastAsia" w:ascii="宋体" w:hAnsi="宋体"/>
          <w:b/>
          <w:color w:val="auto"/>
          <w:kern w:val="0"/>
          <w:sz w:val="24"/>
          <w:highlight w:val="none"/>
        </w:rPr>
        <w:t>对与采购活动有关的工作人员的纪律要求</w:t>
      </w:r>
    </w:p>
    <w:p w14:paraId="3441B0EF">
      <w:pPr>
        <w:pStyle w:val="2"/>
        <w:ind w:firstLine="480" w:firstLineChars="200"/>
        <w:rPr>
          <w:rFonts w:ascii="宋体" w:hAnsi="宋体"/>
          <w:color w:val="auto"/>
          <w:sz w:val="24"/>
          <w:highlight w:val="none"/>
        </w:rPr>
      </w:pPr>
      <w:r>
        <w:rPr>
          <w:rFonts w:hint="eastAsia" w:ascii="宋体" w:hAnsi="宋体"/>
          <w:color w:val="auto"/>
          <w:sz w:val="24"/>
          <w:highlight w:val="none"/>
        </w:rPr>
        <w:t>与采购活动有关的工作人员不得收受他人的财物或者其他好处，不得向他人透露对资格申请文件的审核和比较情况以及审核有关的其他情况。在采购活动中，与采购活动有关的工作人员不得擅离职守，影响审核工作正常进行。</w:t>
      </w:r>
    </w:p>
    <w:p w14:paraId="174A3B01">
      <w:pPr>
        <w:keepNext/>
        <w:keepLines/>
        <w:adjustRightInd w:val="0"/>
        <w:spacing w:before="240" w:beforeLines="100"/>
        <w:textAlignment w:val="baseline"/>
        <w:outlineLvl w:val="1"/>
        <w:rPr>
          <w:rFonts w:ascii="宋体" w:hAnsi="宋体"/>
          <w:b/>
          <w:color w:val="auto"/>
          <w:kern w:val="0"/>
          <w:sz w:val="24"/>
          <w:highlight w:val="none"/>
        </w:rPr>
      </w:pPr>
      <w:bookmarkStart w:id="98" w:name="_Toc79761672"/>
      <w:bookmarkStart w:id="99" w:name="_Toc1285"/>
      <w:bookmarkStart w:id="100" w:name="_Toc63273577"/>
      <w:bookmarkStart w:id="101" w:name="_Toc25749"/>
      <w:bookmarkStart w:id="102" w:name="_Toc32739"/>
      <w:bookmarkStart w:id="103" w:name="_Toc63587082"/>
      <w:bookmarkStart w:id="104" w:name="_Toc44225742"/>
      <w:bookmarkStart w:id="105" w:name="_Toc41591633"/>
      <w:bookmarkStart w:id="106" w:name="_Toc10030"/>
      <w:bookmarkStart w:id="107" w:name="_Toc401"/>
      <w:bookmarkStart w:id="108" w:name="_Toc30121"/>
      <w:r>
        <w:rPr>
          <w:rFonts w:hint="eastAsia" w:ascii="宋体" w:hAnsi="宋体"/>
          <w:b/>
          <w:color w:val="auto"/>
          <w:kern w:val="0"/>
          <w:sz w:val="24"/>
          <w:highlight w:val="none"/>
          <w:lang w:val="en-US" w:eastAsia="zh-CN"/>
        </w:rPr>
        <w:t>8</w:t>
      </w:r>
      <w:r>
        <w:rPr>
          <w:rFonts w:ascii="宋体" w:hAnsi="宋体"/>
          <w:b/>
          <w:color w:val="auto"/>
          <w:kern w:val="0"/>
          <w:sz w:val="24"/>
          <w:highlight w:val="none"/>
        </w:rPr>
        <w:t xml:space="preserve">  </w:t>
      </w:r>
      <w:r>
        <w:rPr>
          <w:rFonts w:hint="eastAsia" w:ascii="宋体" w:hAnsi="宋体"/>
          <w:b/>
          <w:color w:val="auto"/>
          <w:kern w:val="0"/>
          <w:sz w:val="24"/>
          <w:highlight w:val="none"/>
        </w:rPr>
        <w:t>对意向供应商失信行为的惩戒措施</w:t>
      </w:r>
      <w:bookmarkEnd w:id="98"/>
      <w:bookmarkEnd w:id="99"/>
      <w:bookmarkEnd w:id="100"/>
      <w:bookmarkEnd w:id="101"/>
      <w:bookmarkEnd w:id="102"/>
      <w:bookmarkEnd w:id="103"/>
      <w:bookmarkEnd w:id="104"/>
      <w:bookmarkEnd w:id="105"/>
      <w:bookmarkEnd w:id="106"/>
      <w:bookmarkEnd w:id="107"/>
      <w:bookmarkEnd w:id="108"/>
    </w:p>
    <w:p w14:paraId="36FAF889">
      <w:pPr>
        <w:pStyle w:val="2"/>
        <w:ind w:firstLine="480" w:firstLineChars="200"/>
        <w:rPr>
          <w:rFonts w:hint="eastAsia" w:ascii="宋体" w:hAnsi="宋体"/>
          <w:color w:val="auto"/>
          <w:sz w:val="24"/>
          <w:highlight w:val="none"/>
        </w:rPr>
      </w:pPr>
      <w:r>
        <w:rPr>
          <w:rFonts w:hint="eastAsia" w:ascii="宋体" w:hAnsi="宋体"/>
          <w:color w:val="auto"/>
          <w:sz w:val="24"/>
          <w:highlight w:val="none"/>
        </w:rPr>
        <w:t>意向供应商所供标的及服务若未按采购文件要求或未完全满足采购文件要求的，将会列入采购人诚信评价体系。对意向供应商失信行为的惩戒措施按采购人企业管理制度及黑龙江</w:t>
      </w:r>
      <w:r>
        <w:rPr>
          <w:rFonts w:hint="eastAsia" w:ascii="宋体" w:hAnsi="宋体"/>
          <w:color w:val="auto"/>
          <w:sz w:val="24"/>
          <w:highlight w:val="none"/>
          <w:lang w:val="en-US" w:eastAsia="zh-CN"/>
        </w:rPr>
        <w:t>农村产权交易中心有限公司</w:t>
      </w:r>
      <w:r>
        <w:rPr>
          <w:rFonts w:hint="eastAsia" w:ascii="宋体" w:hAnsi="宋体"/>
          <w:color w:val="auto"/>
          <w:sz w:val="24"/>
          <w:highlight w:val="none"/>
        </w:rPr>
        <w:t>的相关规定执行。</w:t>
      </w:r>
    </w:p>
    <w:p w14:paraId="1BF036D6">
      <w:pPr>
        <w:keepNext/>
        <w:keepLines/>
        <w:pageBreakBefore w:val="0"/>
        <w:kinsoku/>
        <w:overflowPunct/>
        <w:bidi w:val="0"/>
        <w:adjustRightInd w:val="0"/>
        <w:spacing w:line="360" w:lineRule="auto"/>
        <w:ind w:left="0" w:leftChars="0" w:right="0"/>
        <w:textAlignment w:val="baseline"/>
        <w:outlineLvl w:val="1"/>
        <w:rPr>
          <w:rFonts w:ascii="宋体" w:hAnsi="宋体"/>
          <w:b/>
          <w:color w:val="auto"/>
          <w:kern w:val="0"/>
          <w:sz w:val="24"/>
          <w:highlight w:val="none"/>
        </w:rPr>
      </w:pPr>
      <w:r>
        <w:rPr>
          <w:rFonts w:hint="eastAsia" w:ascii="宋体" w:hAnsi="宋体"/>
          <w:b/>
          <w:color w:val="auto"/>
          <w:kern w:val="0"/>
          <w:sz w:val="24"/>
          <w:highlight w:val="none"/>
          <w:lang w:val="en-US" w:eastAsia="zh-CN"/>
        </w:rPr>
        <w:t>9  异议</w:t>
      </w:r>
      <w:r>
        <w:rPr>
          <w:rFonts w:hint="eastAsia" w:ascii="宋体" w:hAnsi="宋体" w:cs="宋体"/>
          <w:color w:val="auto"/>
          <w:sz w:val="21"/>
          <w:szCs w:val="21"/>
          <w:highlight w:val="none"/>
          <w:lang w:val="en-US" w:eastAsia="zh-CN"/>
        </w:rPr>
        <w:t xml:space="preserve"> </w:t>
      </w:r>
    </w:p>
    <w:p w14:paraId="09D403E0">
      <w:pPr>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9.1</w:t>
      </w:r>
      <w:r>
        <w:rPr>
          <w:rFonts w:hint="eastAsia" w:ascii="宋体" w:hAnsi="宋体" w:eastAsia="宋体" w:cs="Times New Roman"/>
          <w:color w:val="auto"/>
          <w:sz w:val="24"/>
          <w:highlight w:val="none"/>
          <w:lang w:val="en-US" w:eastAsia="zh-CN"/>
        </w:rPr>
        <w:t>对采购文件有异议的供应商应在项目报名截止时间前提出异议。</w:t>
      </w:r>
    </w:p>
    <w:p w14:paraId="56B5A9BD">
      <w:pPr>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9.2</w:t>
      </w:r>
      <w:r>
        <w:rPr>
          <w:rFonts w:hint="eastAsia" w:ascii="宋体" w:hAnsi="宋体" w:eastAsia="宋体" w:cs="Times New Roman"/>
          <w:color w:val="auto"/>
          <w:sz w:val="24"/>
          <w:highlight w:val="none"/>
          <w:lang w:val="en-US" w:eastAsia="zh-CN"/>
        </w:rPr>
        <w:t>对成交结果有异议的供应商应在成交结果公告发布之日起3日内提出异议。</w:t>
      </w:r>
    </w:p>
    <w:p w14:paraId="18804135">
      <w:pPr>
        <w:rPr>
          <w:rFonts w:hint="eastAsia" w:ascii="宋体" w:hAnsi="宋体" w:eastAsia="宋体" w:cs="Times New Roman"/>
          <w:color w:val="auto"/>
          <w:sz w:val="24"/>
          <w:highlight w:val="none"/>
        </w:rPr>
      </w:pPr>
      <w:r>
        <w:rPr>
          <w:rFonts w:hint="eastAsia" w:ascii="宋体" w:hAnsi="宋体" w:cs="Times New Roman"/>
          <w:color w:val="auto"/>
          <w:sz w:val="24"/>
          <w:highlight w:val="none"/>
          <w:lang w:val="en-US" w:eastAsia="zh-CN"/>
        </w:rPr>
        <w:t>9.3</w:t>
      </w:r>
      <w:r>
        <w:rPr>
          <w:rFonts w:hint="eastAsia" w:ascii="宋体" w:hAnsi="宋体" w:eastAsia="宋体" w:cs="Times New Roman"/>
          <w:color w:val="auto"/>
          <w:sz w:val="24"/>
          <w:highlight w:val="none"/>
          <w:lang w:val="en-US" w:eastAsia="zh-CN"/>
        </w:rPr>
        <w:t>供应商</w:t>
      </w:r>
      <w:r>
        <w:rPr>
          <w:rFonts w:hint="eastAsia" w:ascii="宋体" w:hAnsi="宋体" w:eastAsia="宋体" w:cs="Times New Roman"/>
          <w:color w:val="auto"/>
          <w:sz w:val="24"/>
          <w:highlight w:val="none"/>
        </w:rPr>
        <w:t>应以书面形式向</w:t>
      </w:r>
      <w:r>
        <w:rPr>
          <w:rFonts w:hint="eastAsia" w:ascii="宋体" w:hAnsi="宋体" w:cs="Times New Roman"/>
          <w:color w:val="auto"/>
          <w:sz w:val="24"/>
          <w:highlight w:val="none"/>
          <w:lang w:eastAsia="zh-CN"/>
        </w:rPr>
        <w:t>采购人</w:t>
      </w:r>
      <w:r>
        <w:rPr>
          <w:rFonts w:hint="eastAsia" w:ascii="宋体" w:hAnsi="宋体" w:eastAsia="宋体" w:cs="Times New Roman"/>
          <w:color w:val="auto"/>
          <w:sz w:val="24"/>
          <w:highlight w:val="none"/>
        </w:rPr>
        <w:t>提出异议，书面异议材料递交应加盖</w:t>
      </w:r>
      <w:r>
        <w:rPr>
          <w:rFonts w:hint="eastAsia" w:ascii="宋体" w:hAnsi="宋体" w:eastAsia="宋体" w:cs="Times New Roman"/>
          <w:color w:val="auto"/>
          <w:sz w:val="24"/>
          <w:highlight w:val="none"/>
          <w:lang w:eastAsia="zh-CN"/>
        </w:rPr>
        <w:t>供应商</w:t>
      </w:r>
      <w:r>
        <w:rPr>
          <w:rFonts w:hint="eastAsia" w:ascii="宋体" w:hAnsi="宋体" w:eastAsia="宋体" w:cs="Times New Roman"/>
          <w:color w:val="auto"/>
          <w:sz w:val="24"/>
          <w:highlight w:val="none"/>
        </w:rPr>
        <w:t>公章、法定代表人或授权代表签字或盖章；由授权代表签署的，还应附法定代表人签署的授权委托书原件；</w:t>
      </w:r>
    </w:p>
    <w:p w14:paraId="085DC463">
      <w:pPr>
        <w:rPr>
          <w:rFonts w:hint="eastAsia" w:ascii="宋体" w:hAnsi="宋体" w:eastAsia="宋体" w:cs="Times New Roman"/>
          <w:color w:val="auto"/>
          <w:sz w:val="24"/>
          <w:highlight w:val="none"/>
        </w:rPr>
      </w:pPr>
      <w:r>
        <w:rPr>
          <w:rFonts w:hint="eastAsia" w:ascii="宋体" w:hAnsi="宋体" w:cs="Times New Roman"/>
          <w:color w:val="auto"/>
          <w:sz w:val="24"/>
          <w:highlight w:val="none"/>
          <w:lang w:val="en-US" w:eastAsia="zh-CN"/>
        </w:rPr>
        <w:t>9</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rPr>
        <w:t>异议书的内容要真实清楚，一次性全部提出，必须提供相关证据、依据和其他证明材料，明确表达诉求和主张；</w:t>
      </w:r>
    </w:p>
    <w:p w14:paraId="54CF1DC3">
      <w:pPr>
        <w:rPr>
          <w:rFonts w:hint="eastAsia" w:ascii="宋体" w:hAnsi="宋体" w:eastAsia="宋体" w:cs="Times New Roman"/>
          <w:color w:val="auto"/>
          <w:sz w:val="24"/>
          <w:highlight w:val="none"/>
        </w:rPr>
      </w:pPr>
      <w:r>
        <w:rPr>
          <w:rFonts w:hint="eastAsia" w:ascii="宋体" w:hAnsi="宋体" w:cs="Times New Roman"/>
          <w:color w:val="auto"/>
          <w:sz w:val="24"/>
          <w:highlight w:val="none"/>
          <w:lang w:val="en-US" w:eastAsia="zh-CN"/>
        </w:rPr>
        <w:t>9</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rPr>
        <w:t>异议书应当包括下列内容：</w:t>
      </w:r>
    </w:p>
    <w:p w14:paraId="5132B46B">
      <w:pP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eastAsia="zh-CN"/>
        </w:rPr>
        <w:t>供应商</w:t>
      </w:r>
      <w:r>
        <w:rPr>
          <w:rFonts w:hint="eastAsia" w:ascii="宋体" w:hAnsi="宋体" w:eastAsia="宋体" w:cs="Times New Roman"/>
          <w:color w:val="auto"/>
          <w:sz w:val="24"/>
          <w:highlight w:val="none"/>
        </w:rPr>
        <w:t>的名称、地址、邮编、联系人及联系电话；</w:t>
      </w:r>
    </w:p>
    <w:p w14:paraId="28E37B89">
      <w:pP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rPr>
        <w:t>）异议项目的名称、编号、已获取</w:t>
      </w:r>
      <w:r>
        <w:rPr>
          <w:rFonts w:hint="eastAsia" w:ascii="宋体" w:hAnsi="宋体" w:eastAsia="宋体" w:cs="Times New Roman"/>
          <w:color w:val="auto"/>
          <w:sz w:val="24"/>
          <w:highlight w:val="none"/>
          <w:lang w:val="en-US" w:eastAsia="zh-CN"/>
        </w:rPr>
        <w:t>采购</w:t>
      </w:r>
      <w:r>
        <w:rPr>
          <w:rFonts w:hint="eastAsia" w:ascii="宋体" w:hAnsi="宋体" w:eastAsia="宋体" w:cs="Times New Roman"/>
          <w:color w:val="auto"/>
          <w:sz w:val="24"/>
          <w:highlight w:val="none"/>
        </w:rPr>
        <w:t>文件的证明材料；</w:t>
      </w:r>
    </w:p>
    <w:p w14:paraId="1EB5FE82">
      <w:pP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rPr>
        <w:t>）具体、明确的异议事项和与异议事项相关的请求；</w:t>
      </w:r>
    </w:p>
    <w:p w14:paraId="6724B7CA">
      <w:pP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rPr>
        <w:t>）事实依据；</w:t>
      </w:r>
    </w:p>
    <w:p w14:paraId="6B089E07">
      <w:pP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rPr>
        <w:t>）提出异议的日期。</w:t>
      </w:r>
    </w:p>
    <w:p w14:paraId="701A60DB">
      <w:pPr>
        <w:rPr>
          <w:rFonts w:hint="eastAsia" w:ascii="宋体" w:hAnsi="宋体" w:eastAsia="宋体" w:cs="Times New Roman"/>
          <w:color w:val="auto"/>
          <w:sz w:val="24"/>
          <w:highlight w:val="none"/>
          <w:lang w:eastAsia="en-US"/>
        </w:rPr>
      </w:pPr>
      <w:r>
        <w:rPr>
          <w:rFonts w:hint="eastAsia" w:ascii="宋体" w:hAnsi="宋体" w:eastAsia="宋体" w:cs="Times New Roman"/>
          <w:color w:val="auto"/>
          <w:sz w:val="24"/>
          <w:highlight w:val="none"/>
          <w:lang w:eastAsia="en-US"/>
        </w:rPr>
        <w:t>不符合上述情形之一的，</w:t>
      </w:r>
      <w:r>
        <w:rPr>
          <w:rFonts w:hint="eastAsia" w:ascii="宋体" w:hAnsi="宋体" w:cs="Times New Roman"/>
          <w:color w:val="auto"/>
          <w:sz w:val="24"/>
          <w:highlight w:val="none"/>
          <w:lang w:val="en-US" w:eastAsia="zh-CN"/>
        </w:rPr>
        <w:t>采购人</w:t>
      </w:r>
      <w:r>
        <w:rPr>
          <w:rFonts w:hint="eastAsia" w:ascii="宋体" w:hAnsi="宋体" w:eastAsia="宋体" w:cs="Times New Roman"/>
          <w:color w:val="auto"/>
          <w:sz w:val="24"/>
          <w:highlight w:val="none"/>
          <w:lang w:eastAsia="en-US"/>
        </w:rPr>
        <w:t>不予受理。</w:t>
      </w:r>
    </w:p>
    <w:p w14:paraId="21CA396A">
      <w:pPr>
        <w:rPr>
          <w:rFonts w:hint="eastAsia" w:ascii="宋体" w:hAnsi="宋体" w:eastAsia="宋体" w:cs="Times New Roman"/>
          <w:color w:val="auto"/>
          <w:sz w:val="24"/>
          <w:highlight w:val="none"/>
        </w:rPr>
      </w:pPr>
      <w:r>
        <w:rPr>
          <w:rFonts w:hint="eastAsia" w:ascii="宋体" w:hAnsi="宋体" w:cs="Times New Roman"/>
          <w:color w:val="auto"/>
          <w:sz w:val="24"/>
          <w:highlight w:val="none"/>
          <w:lang w:val="en-US" w:eastAsia="zh-CN"/>
        </w:rPr>
        <w:t>9</w:t>
      </w:r>
      <w:r>
        <w:rPr>
          <w:rFonts w:hint="eastAsia" w:ascii="宋体" w:hAnsi="宋体" w:eastAsia="宋体" w:cs="Times New Roman"/>
          <w:color w:val="auto"/>
          <w:sz w:val="24"/>
          <w:highlight w:val="none"/>
          <w:lang w:val="en-US" w:eastAsia="zh-CN"/>
        </w:rPr>
        <w:t>.6</w:t>
      </w:r>
      <w:r>
        <w:rPr>
          <w:rFonts w:hint="eastAsia" w:ascii="宋体" w:hAnsi="宋体" w:eastAsia="宋体" w:cs="Times New Roman"/>
          <w:color w:val="auto"/>
          <w:sz w:val="24"/>
          <w:highlight w:val="none"/>
        </w:rPr>
        <w:t>异议事项不得超出</w:t>
      </w:r>
      <w:r>
        <w:rPr>
          <w:rFonts w:hint="eastAsia" w:ascii="宋体" w:hAnsi="宋体" w:cs="Times New Roman"/>
          <w:color w:val="auto"/>
          <w:sz w:val="24"/>
          <w:highlight w:val="none"/>
          <w:lang w:val="en-US" w:eastAsia="zh-CN"/>
        </w:rPr>
        <w:t>采购文件的</w:t>
      </w:r>
      <w:r>
        <w:rPr>
          <w:rFonts w:hint="eastAsia" w:ascii="宋体" w:hAnsi="宋体" w:eastAsia="宋体" w:cs="Times New Roman"/>
          <w:color w:val="auto"/>
          <w:sz w:val="24"/>
          <w:highlight w:val="none"/>
        </w:rPr>
        <w:t>要求。</w:t>
      </w:r>
    </w:p>
    <w:p w14:paraId="4B37E1A1">
      <w:r>
        <w:rPr>
          <w:rFonts w:hint="eastAsia" w:ascii="宋体" w:hAnsi="宋体" w:cs="Times New Roman"/>
          <w:color w:val="auto"/>
          <w:sz w:val="24"/>
          <w:highlight w:val="none"/>
          <w:lang w:val="en-US" w:eastAsia="zh-CN"/>
        </w:rPr>
        <w:t>9</w:t>
      </w:r>
      <w:r>
        <w:rPr>
          <w:rFonts w:hint="eastAsia" w:ascii="宋体" w:hAnsi="宋体" w:eastAsia="宋体" w:cs="Times New Roman"/>
          <w:color w:val="auto"/>
          <w:sz w:val="24"/>
          <w:highlight w:val="none"/>
          <w:lang w:val="en-US" w:eastAsia="zh-CN"/>
        </w:rPr>
        <w:t>.7</w:t>
      </w:r>
      <w:r>
        <w:rPr>
          <w:rFonts w:hint="eastAsia" w:ascii="宋体" w:hAnsi="宋体" w:eastAsia="宋体" w:cs="Times New Roman"/>
          <w:color w:val="auto"/>
          <w:sz w:val="24"/>
          <w:highlight w:val="none"/>
        </w:rPr>
        <w:t>异议书可按以下联系方式书面递交至本项目的</w:t>
      </w:r>
      <w:r>
        <w:rPr>
          <w:rFonts w:hint="eastAsia" w:ascii="宋体" w:hAnsi="宋体" w:cs="Times New Roman"/>
          <w:color w:val="auto"/>
          <w:sz w:val="24"/>
          <w:highlight w:val="none"/>
          <w:lang w:eastAsia="zh-CN"/>
        </w:rPr>
        <w:t>采购人</w:t>
      </w:r>
      <w:r>
        <w:rPr>
          <w:rFonts w:hint="eastAsia" w:ascii="宋体" w:hAnsi="宋体" w:eastAsia="宋体" w:cs="Times New Roman"/>
          <w:color w:val="auto"/>
          <w:sz w:val="24"/>
          <w:highlight w:val="none"/>
        </w:rPr>
        <w:t>，</w:t>
      </w:r>
      <w:r>
        <w:rPr>
          <w:rFonts w:hint="eastAsia" w:ascii="宋体" w:hAnsi="宋体" w:cs="Times New Roman"/>
          <w:color w:val="auto"/>
          <w:sz w:val="24"/>
          <w:highlight w:val="none"/>
          <w:lang w:val="en-US" w:eastAsia="zh-CN"/>
        </w:rPr>
        <w:t>采购人</w:t>
      </w:r>
      <w:r>
        <w:rPr>
          <w:rFonts w:hint="eastAsia" w:ascii="宋体" w:hAnsi="宋体" w:eastAsia="宋体" w:cs="Times New Roman"/>
          <w:color w:val="auto"/>
          <w:sz w:val="24"/>
          <w:highlight w:val="none"/>
        </w:rPr>
        <w:t>在收到</w:t>
      </w:r>
      <w:r>
        <w:rPr>
          <w:rFonts w:hint="eastAsia" w:ascii="宋体" w:hAnsi="宋体" w:eastAsia="宋体" w:cs="Times New Roman"/>
          <w:color w:val="auto"/>
          <w:sz w:val="24"/>
          <w:highlight w:val="none"/>
          <w:lang w:eastAsia="zh-CN"/>
        </w:rPr>
        <w:t>供应商</w:t>
      </w:r>
      <w:r>
        <w:rPr>
          <w:rFonts w:hint="eastAsia" w:ascii="宋体" w:hAnsi="宋体" w:eastAsia="宋体" w:cs="Times New Roman"/>
          <w:color w:val="auto"/>
          <w:sz w:val="24"/>
          <w:highlight w:val="none"/>
        </w:rPr>
        <w:t>的书面异议后3个工作日做出答复。</w:t>
      </w:r>
    </w:p>
    <w:p w14:paraId="7DCDA3BB">
      <w:pPr>
        <w:keepNext/>
        <w:keepLines/>
        <w:adjustRightInd w:val="0"/>
        <w:spacing w:before="240" w:beforeLines="100"/>
        <w:textAlignment w:val="baseline"/>
        <w:outlineLvl w:val="1"/>
        <w:rPr>
          <w:rFonts w:ascii="宋体" w:hAnsi="宋体"/>
          <w:b/>
          <w:color w:val="auto"/>
          <w:kern w:val="0"/>
          <w:sz w:val="24"/>
          <w:highlight w:val="none"/>
        </w:rPr>
      </w:pPr>
      <w:bookmarkStart w:id="109" w:name="_Toc79761673"/>
      <w:bookmarkStart w:id="110" w:name="_Toc24086"/>
      <w:bookmarkStart w:id="111" w:name="_Toc30113"/>
      <w:bookmarkStart w:id="112" w:name="_Toc63273578"/>
      <w:bookmarkStart w:id="113" w:name="_Toc63587083"/>
      <w:r>
        <w:rPr>
          <w:rFonts w:hint="eastAsia" w:ascii="宋体" w:hAnsi="宋体"/>
          <w:b/>
          <w:color w:val="auto"/>
          <w:kern w:val="0"/>
          <w:sz w:val="24"/>
          <w:highlight w:val="none"/>
          <w:lang w:val="en-US" w:eastAsia="zh-CN"/>
        </w:rPr>
        <w:t>10</w:t>
      </w:r>
      <w:r>
        <w:rPr>
          <w:rFonts w:ascii="宋体" w:hAnsi="宋体"/>
          <w:b/>
          <w:color w:val="auto"/>
          <w:kern w:val="0"/>
          <w:sz w:val="24"/>
          <w:highlight w:val="none"/>
        </w:rPr>
        <w:t xml:space="preserve">  </w:t>
      </w:r>
      <w:r>
        <w:rPr>
          <w:rFonts w:hint="eastAsia" w:ascii="宋体" w:hAnsi="宋体"/>
          <w:b/>
          <w:color w:val="auto"/>
          <w:kern w:val="0"/>
          <w:sz w:val="24"/>
          <w:highlight w:val="none"/>
        </w:rPr>
        <w:t>需要补充的其他内容</w:t>
      </w:r>
      <w:bookmarkEnd w:id="109"/>
      <w:bookmarkEnd w:id="110"/>
      <w:bookmarkEnd w:id="111"/>
      <w:bookmarkEnd w:id="112"/>
      <w:bookmarkEnd w:id="113"/>
    </w:p>
    <w:p w14:paraId="3AC86F36">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10</w:t>
      </w:r>
      <w:r>
        <w:rPr>
          <w:rFonts w:ascii="宋体" w:hAnsi="宋体"/>
          <w:b/>
          <w:color w:val="auto"/>
          <w:kern w:val="0"/>
          <w:sz w:val="24"/>
          <w:highlight w:val="none"/>
        </w:rPr>
        <w:t xml:space="preserve">.1 </w:t>
      </w:r>
      <w:r>
        <w:rPr>
          <w:rFonts w:hint="eastAsia" w:ascii="宋体" w:hAnsi="宋体"/>
          <w:b/>
          <w:color w:val="auto"/>
          <w:kern w:val="0"/>
          <w:sz w:val="24"/>
          <w:highlight w:val="none"/>
        </w:rPr>
        <w:t>成交服务费</w:t>
      </w:r>
    </w:p>
    <w:p w14:paraId="2C16D012">
      <w:pPr>
        <w:rPr>
          <w:rFonts w:ascii="宋体" w:hAnsi="宋体"/>
          <w:color w:val="auto"/>
          <w:sz w:val="24"/>
          <w:highlight w:val="none"/>
        </w:rPr>
      </w:pPr>
      <w:r>
        <w:rPr>
          <w:rFonts w:hint="eastAsia" w:ascii="宋体" w:hAnsi="宋体"/>
          <w:color w:val="auto"/>
          <w:sz w:val="24"/>
          <w:highlight w:val="none"/>
          <w:lang w:val="en-US" w:eastAsia="zh-CN"/>
        </w:rPr>
        <w:t>10</w:t>
      </w:r>
      <w:r>
        <w:rPr>
          <w:rFonts w:ascii="宋体" w:hAnsi="宋体"/>
          <w:color w:val="auto"/>
          <w:sz w:val="24"/>
          <w:highlight w:val="none"/>
        </w:rPr>
        <w:t>.1.1</w:t>
      </w:r>
      <w:r>
        <w:rPr>
          <w:rFonts w:hint="eastAsia" w:ascii="宋体" w:hAnsi="宋体"/>
          <w:color w:val="auto"/>
          <w:sz w:val="24"/>
          <w:highlight w:val="none"/>
        </w:rPr>
        <w:t>成交供应商领取成交通知书时，代理机构向成交供应商收取成交服务费。</w:t>
      </w:r>
    </w:p>
    <w:p w14:paraId="275702A8">
      <w:pPr>
        <w:tabs>
          <w:tab w:val="left" w:pos="720"/>
          <w:tab w:val="left" w:pos="900"/>
          <w:tab w:val="left" w:pos="966"/>
        </w:tabs>
        <w:outlineLvl w:val="9"/>
        <w:rPr>
          <w:rFonts w:ascii="宋体" w:hAnsi="宋体"/>
          <w:color w:val="auto"/>
          <w:sz w:val="24"/>
          <w:highlight w:val="none"/>
        </w:rPr>
      </w:pPr>
      <w:r>
        <w:rPr>
          <w:rFonts w:hint="eastAsia" w:ascii="宋体" w:hAnsi="宋体"/>
          <w:color w:val="auto"/>
          <w:sz w:val="24"/>
          <w:highlight w:val="none"/>
          <w:lang w:val="en-US" w:eastAsia="zh-CN"/>
        </w:rPr>
        <w:t>10</w:t>
      </w:r>
      <w:r>
        <w:rPr>
          <w:rFonts w:ascii="宋体" w:hAnsi="宋体"/>
          <w:color w:val="auto"/>
          <w:sz w:val="24"/>
          <w:highlight w:val="none"/>
        </w:rPr>
        <w:t>.1.2</w:t>
      </w:r>
      <w:r>
        <w:rPr>
          <w:rFonts w:hint="eastAsia" w:ascii="宋体" w:hAnsi="宋体"/>
          <w:color w:val="auto"/>
          <w:sz w:val="24"/>
          <w:highlight w:val="none"/>
        </w:rPr>
        <w:t>成交服务费收取标准：</w:t>
      </w:r>
    </w:p>
    <w:p w14:paraId="55F291F2">
      <w:pPr>
        <w:tabs>
          <w:tab w:val="left" w:pos="720"/>
          <w:tab w:val="left" w:pos="900"/>
          <w:tab w:val="left" w:pos="966"/>
        </w:tabs>
        <w:outlineLvl w:val="9"/>
        <w:rPr>
          <w:rFonts w:ascii="宋体" w:hAnsi="宋体"/>
          <w:color w:val="auto"/>
          <w:sz w:val="24"/>
          <w:highlight w:val="none"/>
        </w:rPr>
      </w:pPr>
      <w:r>
        <w:rPr>
          <w:rFonts w:hint="eastAsia" w:ascii="宋体" w:hAnsi="宋体"/>
          <w:color w:val="auto"/>
          <w:sz w:val="24"/>
          <w:highlight w:val="none"/>
          <w:lang w:val="en-US" w:eastAsia="zh-CN"/>
        </w:rPr>
        <w:t>10</w:t>
      </w:r>
      <w:r>
        <w:rPr>
          <w:rFonts w:ascii="宋体" w:hAnsi="宋体"/>
          <w:color w:val="auto"/>
          <w:sz w:val="24"/>
          <w:highlight w:val="none"/>
        </w:rPr>
        <w:t>.</w:t>
      </w:r>
      <w:r>
        <w:rPr>
          <w:rFonts w:hint="eastAsia" w:ascii="宋体" w:hAnsi="宋体"/>
          <w:color w:val="auto"/>
          <w:sz w:val="24"/>
          <w:highlight w:val="none"/>
        </w:rPr>
        <w:t>1.2.1以成交通知中确定的成交金额作为收费的计算基数；</w:t>
      </w:r>
    </w:p>
    <w:p w14:paraId="08C3E9B9">
      <w:pPr>
        <w:tabs>
          <w:tab w:val="left" w:pos="720"/>
          <w:tab w:val="left" w:pos="900"/>
          <w:tab w:val="left" w:pos="966"/>
        </w:tabs>
        <w:outlineLvl w:val="9"/>
        <w:rPr>
          <w:rFonts w:ascii="宋体" w:hAnsi="宋体"/>
          <w:color w:val="auto"/>
          <w:sz w:val="24"/>
          <w:highlight w:val="none"/>
        </w:rPr>
      </w:pPr>
      <w:r>
        <w:rPr>
          <w:rFonts w:hint="eastAsia" w:ascii="宋体" w:hAnsi="宋体"/>
          <w:color w:val="auto"/>
          <w:sz w:val="24"/>
          <w:highlight w:val="none"/>
          <w:lang w:val="en-US" w:eastAsia="zh-CN"/>
        </w:rPr>
        <w:t>10</w:t>
      </w:r>
      <w:r>
        <w:rPr>
          <w:rFonts w:ascii="宋体" w:hAnsi="宋体"/>
          <w:color w:val="auto"/>
          <w:sz w:val="24"/>
          <w:highlight w:val="none"/>
        </w:rPr>
        <w:t>.</w:t>
      </w:r>
      <w:r>
        <w:rPr>
          <w:rFonts w:hint="eastAsia" w:ascii="宋体" w:hAnsi="宋体"/>
          <w:color w:val="auto"/>
          <w:sz w:val="24"/>
          <w:highlight w:val="none"/>
        </w:rPr>
        <w:t>1.2.2成交供应商按成交金额的</w:t>
      </w:r>
      <w:r>
        <w:rPr>
          <w:rFonts w:hint="eastAsia" w:ascii="宋体" w:hAnsi="宋体"/>
          <w:color w:val="auto"/>
          <w:sz w:val="24"/>
          <w:highlight w:val="none"/>
          <w:lang w:val="en-US" w:eastAsia="zh-CN"/>
        </w:rPr>
        <w:t>2</w:t>
      </w:r>
      <w:r>
        <w:rPr>
          <w:rFonts w:hint="eastAsia" w:ascii="宋体" w:hAnsi="宋体"/>
          <w:color w:val="auto"/>
          <w:sz w:val="24"/>
          <w:highlight w:val="none"/>
        </w:rPr>
        <w:t>%比例金额向代理机构支付成交服务费。</w:t>
      </w:r>
    </w:p>
    <w:p w14:paraId="00A7B76E">
      <w:pPr>
        <w:tabs>
          <w:tab w:val="left" w:pos="720"/>
          <w:tab w:val="left" w:pos="900"/>
          <w:tab w:val="left" w:pos="966"/>
        </w:tabs>
        <w:ind w:firstLine="482" w:firstLineChars="200"/>
        <w:rPr>
          <w:rFonts w:ascii="宋体" w:hAnsi="宋体"/>
          <w:b/>
          <w:color w:val="auto"/>
          <w:sz w:val="24"/>
          <w:highlight w:val="none"/>
        </w:rPr>
      </w:pPr>
      <w:r>
        <w:rPr>
          <w:rFonts w:hint="eastAsia" w:ascii="宋体" w:hAnsi="宋体"/>
          <w:b/>
          <w:color w:val="auto"/>
          <w:sz w:val="24"/>
          <w:highlight w:val="none"/>
        </w:rPr>
        <w:t>汇款信息：</w:t>
      </w:r>
    </w:p>
    <w:p w14:paraId="47F2D41A">
      <w:pPr>
        <w:tabs>
          <w:tab w:val="left" w:pos="720"/>
          <w:tab w:val="left" w:pos="900"/>
          <w:tab w:val="left" w:pos="966"/>
        </w:tabs>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rPr>
        <w:t>单位名</w:t>
      </w:r>
      <w:r>
        <w:rPr>
          <w:rFonts w:hint="eastAsia" w:ascii="宋体" w:hAnsi="宋体"/>
          <w:color w:val="auto"/>
          <w:sz w:val="24"/>
          <w:highlight w:val="none"/>
          <w:lang w:val="en-US" w:eastAsia="zh-CN"/>
        </w:rPr>
        <w:t>称：黑龙江农村产权交易中心有限公司</w:t>
      </w:r>
    </w:p>
    <w:p w14:paraId="547E4687">
      <w:pPr>
        <w:tabs>
          <w:tab w:val="left" w:pos="720"/>
          <w:tab w:val="left" w:pos="900"/>
          <w:tab w:val="left" w:pos="966"/>
        </w:tabs>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开 户 行：中国邮政储蓄银行股份有限公司哈尔滨市泰山路支行</w:t>
      </w:r>
    </w:p>
    <w:p w14:paraId="26CC56A2">
      <w:pPr>
        <w:tabs>
          <w:tab w:val="left" w:pos="720"/>
          <w:tab w:val="left" w:pos="900"/>
          <w:tab w:val="left" w:pos="966"/>
        </w:tabs>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行    号：403261001555</w:t>
      </w:r>
    </w:p>
    <w:p w14:paraId="198A0A48">
      <w:pPr>
        <w:tabs>
          <w:tab w:val="left" w:pos="720"/>
          <w:tab w:val="left" w:pos="900"/>
          <w:tab w:val="left" w:pos="966"/>
        </w:tabs>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账    号：923000010016950027</w:t>
      </w:r>
    </w:p>
    <w:p w14:paraId="162821BD">
      <w:pPr>
        <w:tabs>
          <w:tab w:val="left" w:pos="720"/>
          <w:tab w:val="left" w:pos="900"/>
          <w:tab w:val="left" w:pos="966"/>
        </w:tabs>
        <w:ind w:firstLine="480" w:firstLineChars="200"/>
        <w:rPr>
          <w:rFonts w:ascii="宋体" w:hAnsi="宋体"/>
          <w:color w:val="auto"/>
          <w:sz w:val="24"/>
          <w:highlight w:val="none"/>
        </w:rPr>
      </w:pPr>
      <w:r>
        <w:rPr>
          <w:rFonts w:hint="eastAsia" w:ascii="宋体" w:hAnsi="宋体"/>
          <w:color w:val="auto"/>
          <w:sz w:val="24"/>
          <w:highlight w:val="none"/>
          <w:lang w:val="en-US" w:eastAsia="zh-CN"/>
        </w:rPr>
        <w:t>地    址：哈尔滨市南岗区汉水路182</w:t>
      </w:r>
      <w:r>
        <w:rPr>
          <w:rFonts w:hint="eastAsia" w:ascii="宋体" w:hAnsi="宋体"/>
          <w:color w:val="auto"/>
          <w:sz w:val="24"/>
          <w:highlight w:val="none"/>
        </w:rPr>
        <w:t>号</w:t>
      </w:r>
    </w:p>
    <w:p w14:paraId="7581850A">
      <w:pPr>
        <w:tabs>
          <w:tab w:val="left" w:pos="720"/>
          <w:tab w:val="left" w:pos="900"/>
          <w:tab w:val="left" w:pos="966"/>
        </w:tabs>
        <w:ind w:firstLine="480" w:firstLineChars="200"/>
        <w:rPr>
          <w:rFonts w:hint="default" w:ascii="宋体" w:hAnsi="宋体"/>
          <w:color w:val="auto"/>
          <w:sz w:val="24"/>
          <w:highlight w:val="none"/>
          <w:lang w:val="en-US"/>
        </w:rPr>
      </w:pPr>
      <w:r>
        <w:rPr>
          <w:rFonts w:hint="eastAsia" w:ascii="宋体" w:hAnsi="宋体"/>
          <w:color w:val="auto"/>
          <w:sz w:val="24"/>
          <w:highlight w:val="none"/>
        </w:rPr>
        <w:t>电    话：0451-872001</w:t>
      </w:r>
      <w:r>
        <w:rPr>
          <w:rFonts w:hint="eastAsia" w:ascii="宋体" w:hAnsi="宋体"/>
          <w:color w:val="auto"/>
          <w:sz w:val="24"/>
          <w:highlight w:val="none"/>
          <w:lang w:val="en-US" w:eastAsia="zh-CN"/>
        </w:rPr>
        <w:t>70</w:t>
      </w:r>
    </w:p>
    <w:p w14:paraId="3DA640C1">
      <w:pPr>
        <w:pStyle w:val="2"/>
        <w:ind w:firstLine="482" w:firstLineChars="200"/>
        <w:rPr>
          <w:rFonts w:ascii="宋体" w:hAnsi="宋体"/>
          <w:color w:val="auto"/>
          <w:sz w:val="24"/>
          <w:highlight w:val="none"/>
        </w:rPr>
      </w:pPr>
      <w:r>
        <w:rPr>
          <w:rFonts w:hint="eastAsia"/>
          <w:b/>
          <w:color w:val="auto"/>
          <w:sz w:val="24"/>
          <w:highlight w:val="none"/>
        </w:rPr>
        <w:t>备注：汇款时请注明该笔费用为“服务费”，并备注上“项目名称（标段号）”、“项目编号”。</w:t>
      </w:r>
      <w:r>
        <w:rPr>
          <w:rFonts w:hint="eastAsia" w:ascii="宋体" w:hAnsi="宋体"/>
          <w:b/>
          <w:color w:val="auto"/>
          <w:sz w:val="24"/>
          <w:highlight w:val="none"/>
          <w:lang w:eastAsia="zh-CN"/>
        </w:rPr>
        <w:t>（</w:t>
      </w:r>
      <w:r>
        <w:rPr>
          <w:rFonts w:hint="eastAsia" w:ascii="宋体" w:hAnsi="宋体"/>
          <w:b/>
          <w:color w:val="auto"/>
          <w:sz w:val="24"/>
          <w:highlight w:val="none"/>
          <w:lang w:val="en-US" w:eastAsia="zh-CN"/>
        </w:rPr>
        <w:t>备注摘要中项目名称过长可简写</w:t>
      </w:r>
      <w:r>
        <w:rPr>
          <w:rFonts w:hint="eastAsia" w:ascii="宋体" w:hAnsi="宋体"/>
          <w:b/>
          <w:color w:val="auto"/>
          <w:sz w:val="24"/>
          <w:highlight w:val="none"/>
          <w:lang w:eastAsia="zh-CN"/>
        </w:rPr>
        <w:t>）</w:t>
      </w:r>
    </w:p>
    <w:p w14:paraId="43A2003C">
      <w:pPr>
        <w:widowControl/>
        <w:adjustRightInd w:val="0"/>
        <w:snapToGrid w:val="0"/>
        <w:spacing w:line="336" w:lineRule="auto"/>
        <w:jc w:val="left"/>
        <w:rPr>
          <w:rFonts w:ascii="宋体" w:hAnsi="宋体"/>
          <w:b/>
          <w:color w:val="auto"/>
          <w:kern w:val="0"/>
          <w:sz w:val="24"/>
          <w:highlight w:val="none"/>
        </w:rPr>
      </w:pPr>
      <w:r>
        <w:rPr>
          <w:rFonts w:hint="eastAsia" w:ascii="宋体" w:hAnsi="宋体"/>
          <w:b/>
          <w:color w:val="auto"/>
          <w:kern w:val="0"/>
          <w:sz w:val="24"/>
          <w:highlight w:val="none"/>
          <w:lang w:val="en-US" w:eastAsia="zh-CN"/>
        </w:rPr>
        <w:t>10.</w:t>
      </w:r>
      <w:r>
        <w:rPr>
          <w:rFonts w:ascii="宋体" w:hAnsi="宋体"/>
          <w:b/>
          <w:color w:val="auto"/>
          <w:kern w:val="0"/>
          <w:sz w:val="24"/>
          <w:highlight w:val="none"/>
        </w:rPr>
        <w:t xml:space="preserve">2 </w:t>
      </w:r>
      <w:r>
        <w:rPr>
          <w:rFonts w:hint="eastAsia" w:ascii="宋体" w:hAnsi="宋体"/>
          <w:b/>
          <w:color w:val="auto"/>
          <w:kern w:val="0"/>
          <w:sz w:val="24"/>
          <w:highlight w:val="none"/>
        </w:rPr>
        <w:t>其他</w:t>
      </w:r>
    </w:p>
    <w:p w14:paraId="5C5320CB">
      <w:pPr>
        <w:rPr>
          <w:rFonts w:hint="eastAsia" w:ascii="宋体" w:hAnsi="宋体"/>
          <w:color w:val="auto"/>
          <w:sz w:val="24"/>
          <w:highlight w:val="none"/>
        </w:rPr>
      </w:pPr>
      <w:r>
        <w:rPr>
          <w:rFonts w:hint="eastAsia" w:ascii="宋体" w:hAnsi="宋体"/>
          <w:color w:val="auto"/>
          <w:sz w:val="24"/>
          <w:highlight w:val="none"/>
        </w:rPr>
        <w:t>需要补充的其他内容：无。</w:t>
      </w:r>
      <w:r>
        <w:rPr>
          <w:rFonts w:hint="eastAsia" w:ascii="宋体" w:hAnsi="宋体"/>
          <w:color w:val="auto"/>
          <w:sz w:val="24"/>
          <w:highlight w:val="none"/>
        </w:rPr>
        <w:br w:type="page"/>
      </w:r>
    </w:p>
    <w:p w14:paraId="187B3C9E">
      <w:pPr>
        <w:pStyle w:val="3"/>
        <w:rPr>
          <w:color w:val="auto"/>
          <w:highlight w:val="none"/>
        </w:rPr>
      </w:pPr>
    </w:p>
    <w:bookmarkEnd w:id="3"/>
    <w:bookmarkEnd w:id="4"/>
    <w:bookmarkEnd w:id="5"/>
    <w:bookmarkEnd w:id="6"/>
    <w:bookmarkEnd w:id="7"/>
    <w:bookmarkEnd w:id="8"/>
    <w:bookmarkEnd w:id="68"/>
    <w:bookmarkEnd w:id="69"/>
    <w:p w14:paraId="45CE360A">
      <w:pPr>
        <w:spacing w:before="120" w:after="120"/>
        <w:jc w:val="center"/>
        <w:outlineLvl w:val="0"/>
        <w:rPr>
          <w:rFonts w:ascii="宋体" w:hAnsi="宋体"/>
          <w:b/>
          <w:color w:val="auto"/>
          <w:sz w:val="32"/>
          <w:szCs w:val="32"/>
          <w:highlight w:val="none"/>
        </w:rPr>
      </w:pPr>
      <w:bookmarkStart w:id="114" w:name="_Toc28758"/>
      <w:bookmarkStart w:id="115" w:name="_Toc21641"/>
      <w:bookmarkStart w:id="116" w:name="_Toc201565768"/>
      <w:bookmarkStart w:id="117" w:name="_Toc232685412"/>
      <w:bookmarkStart w:id="118" w:name="_Toc211570251"/>
      <w:bookmarkStart w:id="119" w:name="_Toc233359815"/>
      <w:bookmarkStart w:id="120" w:name="_Toc266870957"/>
      <w:r>
        <w:rPr>
          <w:rFonts w:hint="eastAsia" w:ascii="宋体" w:hAnsi="宋体"/>
          <w:b/>
          <w:color w:val="auto"/>
          <w:sz w:val="32"/>
          <w:szCs w:val="32"/>
          <w:highlight w:val="none"/>
        </w:rPr>
        <w:t xml:space="preserve">第三章 </w:t>
      </w:r>
      <w:r>
        <w:rPr>
          <w:rFonts w:ascii="宋体" w:hAnsi="宋体"/>
          <w:b/>
          <w:color w:val="auto"/>
          <w:sz w:val="32"/>
          <w:szCs w:val="32"/>
          <w:highlight w:val="none"/>
        </w:rPr>
        <w:t xml:space="preserve"> </w:t>
      </w:r>
      <w:r>
        <w:rPr>
          <w:rFonts w:hint="eastAsia" w:ascii="宋体" w:hAnsi="宋体"/>
          <w:b/>
          <w:color w:val="auto"/>
          <w:sz w:val="32"/>
          <w:szCs w:val="32"/>
          <w:highlight w:val="none"/>
        </w:rPr>
        <w:t>合同条款及格式</w:t>
      </w:r>
      <w:bookmarkEnd w:id="114"/>
      <w:bookmarkEnd w:id="115"/>
    </w:p>
    <w:p w14:paraId="616D02D0">
      <w:pPr>
        <w:jc w:val="center"/>
        <w:rPr>
          <w:rFonts w:ascii="宋体" w:hAnsi="宋体"/>
          <w:color w:val="auto"/>
          <w:sz w:val="24"/>
          <w:highlight w:val="none"/>
        </w:rPr>
        <w:sectPr>
          <w:headerReference r:id="rId14" w:type="default"/>
          <w:footerReference r:id="rId15" w:type="default"/>
          <w:pgSz w:w="11906" w:h="16838"/>
          <w:pgMar w:top="1701" w:right="1418" w:bottom="851" w:left="1701" w:header="1091" w:footer="624" w:gutter="0"/>
          <w:pgNumType w:fmt="decimal" w:start="1"/>
          <w:cols w:space="425" w:num="1"/>
          <w:docGrid w:linePitch="312" w:charSpace="0"/>
        </w:sectPr>
      </w:pPr>
      <w:r>
        <w:rPr>
          <w:rFonts w:hint="eastAsia" w:ascii="宋体" w:hAnsi="宋体"/>
          <w:color w:val="auto"/>
          <w:sz w:val="24"/>
          <w:highlight w:val="none"/>
        </w:rPr>
        <w:t>（按采购人指定合同范本执行）</w:t>
      </w:r>
    </w:p>
    <w:p w14:paraId="0521BBC0">
      <w:pPr>
        <w:spacing w:after="240" w:afterLines="100" w:line="300" w:lineRule="auto"/>
        <w:rPr>
          <w:rFonts w:hint="eastAsia" w:ascii="宋体" w:hAnsi="宋体" w:eastAsia="宋体"/>
          <w:b/>
          <w:color w:val="auto"/>
          <w:sz w:val="24"/>
          <w:highlight w:val="none"/>
          <w:lang w:eastAsia="zh-CN"/>
        </w:rPr>
      </w:pPr>
      <w:r>
        <w:rPr>
          <w:rFonts w:hint="eastAsia" w:ascii="宋体" w:hAnsi="宋体"/>
          <w:b/>
          <w:color w:val="auto"/>
          <w:sz w:val="24"/>
          <w:highlight w:val="none"/>
        </w:rPr>
        <w:t>合同附件</w:t>
      </w:r>
      <w:r>
        <w:rPr>
          <w:rFonts w:hint="eastAsia" w:ascii="宋体" w:hAnsi="宋体"/>
          <w:b/>
          <w:color w:val="auto"/>
          <w:sz w:val="24"/>
          <w:highlight w:val="none"/>
          <w:lang w:eastAsia="zh-CN"/>
        </w:rPr>
        <w:t>（</w:t>
      </w:r>
      <w:r>
        <w:rPr>
          <w:rFonts w:hint="eastAsia" w:ascii="宋体" w:hAnsi="宋体"/>
          <w:b/>
          <w:color w:val="auto"/>
          <w:sz w:val="24"/>
          <w:highlight w:val="none"/>
          <w:lang w:val="en-US" w:eastAsia="zh-CN"/>
        </w:rPr>
        <w:t>参考</w:t>
      </w:r>
      <w:r>
        <w:rPr>
          <w:rFonts w:hint="eastAsia" w:ascii="宋体" w:hAnsi="宋体"/>
          <w:b/>
          <w:color w:val="auto"/>
          <w:sz w:val="24"/>
          <w:highlight w:val="none"/>
          <w:lang w:eastAsia="zh-CN"/>
        </w:rPr>
        <w:t>）</w:t>
      </w:r>
    </w:p>
    <w:p w14:paraId="6A73C3AA">
      <w:pPr>
        <w:spacing w:after="240" w:afterLines="100" w:line="300" w:lineRule="auto"/>
        <w:ind w:firstLine="643" w:firstLineChars="200"/>
        <w:jc w:val="center"/>
        <w:rPr>
          <w:rFonts w:ascii="宋体" w:hAnsi="宋体"/>
          <w:b/>
          <w:color w:val="auto"/>
          <w:sz w:val="32"/>
          <w:szCs w:val="32"/>
          <w:highlight w:val="none"/>
        </w:rPr>
      </w:pPr>
      <w:r>
        <w:rPr>
          <w:rFonts w:hint="eastAsia" w:ascii="宋体" w:hAnsi="宋体"/>
          <w:b/>
          <w:color w:val="auto"/>
          <w:sz w:val="32"/>
          <w:szCs w:val="32"/>
          <w:highlight w:val="none"/>
        </w:rPr>
        <w:t>最终分项报价表</w:t>
      </w:r>
    </w:p>
    <w:p w14:paraId="2A89263E">
      <w:pPr>
        <w:keepNext w:val="0"/>
        <w:keepLines w:val="0"/>
        <w:pageBreakBefore w:val="0"/>
        <w:widowControl w:val="0"/>
        <w:kinsoku/>
        <w:wordWrap/>
        <w:overflowPunct/>
        <w:topLinePunct w:val="0"/>
        <w:autoSpaceDE/>
        <w:autoSpaceDN/>
        <w:bidi w:val="0"/>
        <w:adjustRightInd/>
        <w:snapToGrid/>
        <w:spacing w:after="240" w:afterLines="100" w:line="240" w:lineRule="auto"/>
        <w:ind w:firstLine="643" w:firstLineChars="200"/>
        <w:jc w:val="center"/>
        <w:textAlignment w:val="auto"/>
        <w:rPr>
          <w:rFonts w:ascii="宋体" w:hAnsi="宋体"/>
          <w:b/>
          <w:color w:val="auto"/>
          <w:sz w:val="32"/>
          <w:szCs w:val="32"/>
          <w:highlight w:val="none"/>
        </w:rPr>
      </w:pPr>
      <w:r>
        <w:rPr>
          <w:rFonts w:hint="eastAsia" w:ascii="宋体" w:hAnsi="宋体"/>
          <w:b/>
          <w:color w:val="auto"/>
          <w:sz w:val="32"/>
          <w:szCs w:val="32"/>
          <w:highlight w:val="none"/>
        </w:rPr>
        <w:t>（本表为成交后签订合同签时提供）</w:t>
      </w:r>
    </w:p>
    <w:p w14:paraId="61D7115D">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b/>
          <w:color w:val="auto"/>
          <w:sz w:val="24"/>
          <w:highlight w:val="none"/>
        </w:rPr>
      </w:pPr>
      <w:r>
        <w:rPr>
          <w:rFonts w:hint="eastAsia" w:ascii="宋体" w:hAnsi="宋体"/>
          <w:b/>
          <w:color w:val="auto"/>
          <w:sz w:val="24"/>
          <w:highlight w:val="none"/>
        </w:rPr>
        <w:t>签署采购合同时，成交供应商</w:t>
      </w:r>
      <w:r>
        <w:rPr>
          <w:rFonts w:hint="eastAsia" w:ascii="宋体" w:hAnsi="宋体"/>
          <w:b/>
          <w:color w:val="auto"/>
          <w:sz w:val="24"/>
          <w:highlight w:val="none"/>
          <w:lang w:val="en-US" w:eastAsia="zh-CN"/>
        </w:rPr>
        <w:t>可</w:t>
      </w:r>
      <w:r>
        <w:rPr>
          <w:rFonts w:hint="eastAsia" w:ascii="宋体" w:hAnsi="宋体"/>
          <w:b/>
          <w:color w:val="auto"/>
          <w:sz w:val="24"/>
          <w:highlight w:val="none"/>
        </w:rPr>
        <w:t>提供最终分项报价表，所报单价不得高于采购人给出的控制单价，分项报价表合计金额必须与成交金额一致。分项报价表</w:t>
      </w:r>
      <w:r>
        <w:rPr>
          <w:rFonts w:hint="eastAsia" w:ascii="宋体" w:hAnsi="宋体"/>
          <w:b/>
          <w:color w:val="auto"/>
          <w:sz w:val="24"/>
          <w:highlight w:val="none"/>
          <w:lang w:val="en-US" w:eastAsia="zh-CN"/>
        </w:rPr>
        <w:t>可</w:t>
      </w:r>
      <w:r>
        <w:rPr>
          <w:rFonts w:hint="eastAsia" w:ascii="宋体" w:hAnsi="宋体"/>
          <w:b/>
          <w:color w:val="auto"/>
          <w:sz w:val="24"/>
          <w:highlight w:val="none"/>
        </w:rPr>
        <w:t>作为采购合同的组成部分。</w:t>
      </w:r>
    </w:p>
    <w:tbl>
      <w:tblPr>
        <w:tblStyle w:val="27"/>
        <w:tblW w:w="14230"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398"/>
        <w:gridCol w:w="1854"/>
        <w:gridCol w:w="2262"/>
        <w:gridCol w:w="4436"/>
        <w:gridCol w:w="2038"/>
      </w:tblGrid>
      <w:tr w14:paraId="6B61B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1242" w:type="dxa"/>
            <w:noWrap w:val="0"/>
            <w:vAlign w:val="center"/>
          </w:tcPr>
          <w:p w14:paraId="5B7B695D">
            <w:pPr>
              <w:spacing w:line="240" w:lineRule="auto"/>
              <w:jc w:val="center"/>
              <w:rPr>
                <w:rFonts w:ascii="宋体" w:hAnsi="宋体"/>
                <w:sz w:val="24"/>
                <w:highlight w:val="none"/>
              </w:rPr>
            </w:pPr>
            <w:r>
              <w:rPr>
                <w:rFonts w:ascii="宋体" w:hAnsi="宋体"/>
                <w:sz w:val="24"/>
                <w:highlight w:val="none"/>
              </w:rPr>
              <w:t>序号</w:t>
            </w:r>
          </w:p>
        </w:tc>
        <w:tc>
          <w:tcPr>
            <w:tcW w:w="2398" w:type="dxa"/>
            <w:noWrap w:val="0"/>
            <w:vAlign w:val="center"/>
          </w:tcPr>
          <w:p w14:paraId="66BC4729">
            <w:pPr>
              <w:spacing w:line="240" w:lineRule="auto"/>
              <w:jc w:val="center"/>
              <w:rPr>
                <w:rFonts w:hint="default" w:ascii="宋体" w:hAnsi="宋体" w:eastAsia="宋体"/>
                <w:sz w:val="24"/>
                <w:highlight w:val="none"/>
                <w:lang w:val="en-US" w:eastAsia="zh-CN"/>
              </w:rPr>
            </w:pPr>
            <w:r>
              <w:rPr>
                <w:rFonts w:hint="eastAsia" w:ascii="宋体" w:hAnsi="宋体"/>
                <w:sz w:val="24"/>
                <w:highlight w:val="none"/>
                <w:lang w:val="en-US" w:eastAsia="zh-CN"/>
              </w:rPr>
              <w:t>采购内容</w:t>
            </w:r>
          </w:p>
        </w:tc>
        <w:tc>
          <w:tcPr>
            <w:tcW w:w="1854" w:type="dxa"/>
            <w:noWrap w:val="0"/>
            <w:vAlign w:val="center"/>
          </w:tcPr>
          <w:p w14:paraId="19AC6931">
            <w:pPr>
              <w:spacing w:line="240" w:lineRule="auto"/>
              <w:jc w:val="center"/>
              <w:rPr>
                <w:rFonts w:hint="eastAsia" w:ascii="宋体" w:hAnsi="宋体" w:eastAsia="宋体"/>
                <w:sz w:val="24"/>
                <w:highlight w:val="none"/>
                <w:lang w:eastAsia="zh-CN"/>
              </w:rPr>
            </w:pPr>
            <w:r>
              <w:rPr>
                <w:rFonts w:hint="eastAsia" w:ascii="宋体" w:hAnsi="宋体"/>
                <w:sz w:val="24"/>
                <w:highlight w:val="none"/>
                <w:lang w:val="en-US" w:eastAsia="zh-CN"/>
              </w:rPr>
              <w:t>单位</w:t>
            </w:r>
          </w:p>
        </w:tc>
        <w:tc>
          <w:tcPr>
            <w:tcW w:w="2262" w:type="dxa"/>
            <w:noWrap w:val="0"/>
            <w:vAlign w:val="center"/>
          </w:tcPr>
          <w:p w14:paraId="2F0E49A8">
            <w:pPr>
              <w:spacing w:line="240" w:lineRule="auto"/>
              <w:jc w:val="center"/>
              <w:rPr>
                <w:rFonts w:ascii="宋体" w:hAnsi="宋体"/>
                <w:sz w:val="24"/>
                <w:highlight w:val="none"/>
              </w:rPr>
            </w:pPr>
            <w:r>
              <w:rPr>
                <w:rFonts w:hint="eastAsia" w:ascii="宋体" w:hAnsi="宋体"/>
                <w:sz w:val="24"/>
                <w:highlight w:val="none"/>
              </w:rPr>
              <w:t>数量</w:t>
            </w:r>
          </w:p>
        </w:tc>
        <w:tc>
          <w:tcPr>
            <w:tcW w:w="4436" w:type="dxa"/>
            <w:noWrap w:val="0"/>
            <w:vAlign w:val="center"/>
          </w:tcPr>
          <w:p w14:paraId="73791560">
            <w:pPr>
              <w:spacing w:line="240" w:lineRule="auto"/>
              <w:jc w:val="center"/>
              <w:rPr>
                <w:rFonts w:hint="eastAsia" w:ascii="宋体" w:hAnsi="宋体" w:eastAsia="宋体"/>
                <w:sz w:val="24"/>
                <w:highlight w:val="none"/>
                <w:lang w:eastAsia="zh-CN"/>
              </w:rPr>
            </w:pPr>
            <w:r>
              <w:rPr>
                <w:rFonts w:hint="eastAsia" w:ascii="宋体" w:hAnsi="宋体"/>
                <w:sz w:val="24"/>
                <w:highlight w:val="none"/>
              </w:rPr>
              <w:t>所报单价</w:t>
            </w:r>
            <w:r>
              <w:rPr>
                <w:rFonts w:hint="eastAsia" w:ascii="宋体" w:hAnsi="宋体"/>
                <w:sz w:val="24"/>
                <w:highlight w:val="none"/>
                <w:lang w:eastAsia="zh-CN"/>
              </w:rPr>
              <w:t>（</w:t>
            </w:r>
            <w:r>
              <w:rPr>
                <w:rFonts w:hint="eastAsia" w:ascii="宋体" w:hAnsi="宋体"/>
                <w:sz w:val="24"/>
                <w:highlight w:val="none"/>
                <w:lang w:val="en-US" w:eastAsia="zh-CN"/>
              </w:rPr>
              <w:t>元</w:t>
            </w:r>
            <w:r>
              <w:rPr>
                <w:rFonts w:hint="eastAsia" w:ascii="宋体" w:hAnsi="宋体"/>
                <w:sz w:val="24"/>
                <w:highlight w:val="none"/>
                <w:lang w:eastAsia="zh-CN"/>
              </w:rPr>
              <w:t>）</w:t>
            </w:r>
          </w:p>
        </w:tc>
        <w:tc>
          <w:tcPr>
            <w:tcW w:w="2038" w:type="dxa"/>
            <w:noWrap w:val="0"/>
            <w:vAlign w:val="center"/>
          </w:tcPr>
          <w:p w14:paraId="4BC7A5F5">
            <w:pPr>
              <w:spacing w:line="240" w:lineRule="auto"/>
              <w:jc w:val="center"/>
              <w:rPr>
                <w:rFonts w:hint="default" w:ascii="宋体" w:hAnsi="宋体" w:eastAsia="宋体"/>
                <w:sz w:val="24"/>
                <w:highlight w:val="none"/>
                <w:lang w:val="en-US" w:eastAsia="zh-CN"/>
              </w:rPr>
            </w:pPr>
            <w:r>
              <w:rPr>
                <w:rFonts w:hint="eastAsia" w:ascii="宋体" w:hAnsi="宋体"/>
                <w:sz w:val="24"/>
                <w:highlight w:val="none"/>
                <w:lang w:val="en-US" w:eastAsia="zh-CN"/>
              </w:rPr>
              <w:t>单价合计（元）</w:t>
            </w:r>
          </w:p>
        </w:tc>
      </w:tr>
      <w:tr w14:paraId="1733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1242" w:type="dxa"/>
            <w:noWrap w:val="0"/>
            <w:vAlign w:val="center"/>
          </w:tcPr>
          <w:p w14:paraId="49A886FF">
            <w:pPr>
              <w:spacing w:line="240" w:lineRule="auto"/>
              <w:jc w:val="center"/>
              <w:rPr>
                <w:rFonts w:ascii="宋体" w:hAnsi="宋体"/>
                <w:sz w:val="24"/>
                <w:highlight w:val="none"/>
              </w:rPr>
            </w:pPr>
            <w:r>
              <w:rPr>
                <w:rFonts w:hint="eastAsia" w:ascii="宋体" w:hAnsi="宋体"/>
                <w:sz w:val="24"/>
                <w:highlight w:val="none"/>
              </w:rPr>
              <w:t>1</w:t>
            </w:r>
          </w:p>
        </w:tc>
        <w:tc>
          <w:tcPr>
            <w:tcW w:w="2398" w:type="dxa"/>
            <w:noWrap w:val="0"/>
            <w:vAlign w:val="center"/>
          </w:tcPr>
          <w:p w14:paraId="6AE26A12">
            <w:pPr>
              <w:spacing w:line="240" w:lineRule="auto"/>
              <w:rPr>
                <w:rFonts w:ascii="宋体" w:hAnsi="宋体"/>
                <w:sz w:val="24"/>
                <w:highlight w:val="none"/>
              </w:rPr>
            </w:pPr>
          </w:p>
        </w:tc>
        <w:tc>
          <w:tcPr>
            <w:tcW w:w="1854" w:type="dxa"/>
            <w:noWrap w:val="0"/>
            <w:vAlign w:val="center"/>
          </w:tcPr>
          <w:p w14:paraId="720C90A5">
            <w:pPr>
              <w:spacing w:line="240" w:lineRule="auto"/>
              <w:jc w:val="center"/>
              <w:rPr>
                <w:rFonts w:ascii="宋体" w:hAnsi="宋体"/>
                <w:sz w:val="24"/>
                <w:highlight w:val="none"/>
              </w:rPr>
            </w:pPr>
          </w:p>
        </w:tc>
        <w:tc>
          <w:tcPr>
            <w:tcW w:w="2262" w:type="dxa"/>
            <w:noWrap w:val="0"/>
            <w:vAlign w:val="top"/>
          </w:tcPr>
          <w:p w14:paraId="24FF0225">
            <w:pPr>
              <w:spacing w:line="240" w:lineRule="auto"/>
              <w:jc w:val="center"/>
              <w:rPr>
                <w:rFonts w:ascii="宋体" w:hAnsi="宋体"/>
                <w:sz w:val="24"/>
                <w:highlight w:val="none"/>
              </w:rPr>
            </w:pPr>
          </w:p>
        </w:tc>
        <w:tc>
          <w:tcPr>
            <w:tcW w:w="4436" w:type="dxa"/>
            <w:noWrap w:val="0"/>
            <w:vAlign w:val="center"/>
          </w:tcPr>
          <w:p w14:paraId="740D6113">
            <w:pPr>
              <w:spacing w:line="240" w:lineRule="auto"/>
              <w:jc w:val="center"/>
              <w:rPr>
                <w:rFonts w:ascii="宋体" w:hAnsi="宋体"/>
                <w:sz w:val="24"/>
                <w:highlight w:val="none"/>
              </w:rPr>
            </w:pPr>
          </w:p>
        </w:tc>
        <w:tc>
          <w:tcPr>
            <w:tcW w:w="2038" w:type="dxa"/>
            <w:noWrap w:val="0"/>
            <w:vAlign w:val="top"/>
          </w:tcPr>
          <w:p w14:paraId="1E513C1C">
            <w:pPr>
              <w:spacing w:line="240" w:lineRule="auto"/>
              <w:jc w:val="center"/>
              <w:rPr>
                <w:rFonts w:ascii="宋体" w:hAnsi="宋体"/>
                <w:sz w:val="24"/>
                <w:highlight w:val="none"/>
              </w:rPr>
            </w:pPr>
          </w:p>
        </w:tc>
      </w:tr>
      <w:tr w14:paraId="5DB85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1242" w:type="dxa"/>
            <w:noWrap w:val="0"/>
            <w:vAlign w:val="center"/>
          </w:tcPr>
          <w:p w14:paraId="3419784E">
            <w:pPr>
              <w:spacing w:line="240" w:lineRule="auto"/>
              <w:jc w:val="center"/>
              <w:rPr>
                <w:rFonts w:ascii="宋体" w:hAnsi="宋体"/>
                <w:sz w:val="24"/>
                <w:highlight w:val="none"/>
              </w:rPr>
            </w:pPr>
            <w:r>
              <w:rPr>
                <w:rFonts w:hint="eastAsia" w:ascii="宋体" w:hAnsi="宋体"/>
                <w:sz w:val="24"/>
                <w:highlight w:val="none"/>
              </w:rPr>
              <w:t>2</w:t>
            </w:r>
          </w:p>
        </w:tc>
        <w:tc>
          <w:tcPr>
            <w:tcW w:w="2398" w:type="dxa"/>
            <w:noWrap w:val="0"/>
            <w:vAlign w:val="center"/>
          </w:tcPr>
          <w:p w14:paraId="4FD2F2BE">
            <w:pPr>
              <w:spacing w:line="240" w:lineRule="auto"/>
              <w:rPr>
                <w:rFonts w:ascii="宋体" w:hAnsi="宋体"/>
                <w:sz w:val="24"/>
                <w:highlight w:val="none"/>
              </w:rPr>
            </w:pPr>
          </w:p>
        </w:tc>
        <w:tc>
          <w:tcPr>
            <w:tcW w:w="1854" w:type="dxa"/>
            <w:noWrap w:val="0"/>
            <w:vAlign w:val="center"/>
          </w:tcPr>
          <w:p w14:paraId="2BD916D8">
            <w:pPr>
              <w:spacing w:line="240" w:lineRule="auto"/>
              <w:jc w:val="center"/>
              <w:rPr>
                <w:rFonts w:ascii="宋体" w:hAnsi="宋体"/>
                <w:sz w:val="24"/>
                <w:highlight w:val="none"/>
              </w:rPr>
            </w:pPr>
          </w:p>
        </w:tc>
        <w:tc>
          <w:tcPr>
            <w:tcW w:w="2262" w:type="dxa"/>
            <w:noWrap w:val="0"/>
            <w:vAlign w:val="top"/>
          </w:tcPr>
          <w:p w14:paraId="350062EE">
            <w:pPr>
              <w:spacing w:line="240" w:lineRule="auto"/>
              <w:jc w:val="center"/>
              <w:rPr>
                <w:rFonts w:ascii="宋体" w:hAnsi="宋体"/>
                <w:sz w:val="24"/>
                <w:highlight w:val="none"/>
              </w:rPr>
            </w:pPr>
          </w:p>
        </w:tc>
        <w:tc>
          <w:tcPr>
            <w:tcW w:w="4436" w:type="dxa"/>
            <w:noWrap w:val="0"/>
            <w:vAlign w:val="center"/>
          </w:tcPr>
          <w:p w14:paraId="03D79D66">
            <w:pPr>
              <w:spacing w:line="240" w:lineRule="auto"/>
              <w:jc w:val="center"/>
              <w:rPr>
                <w:rFonts w:ascii="宋体" w:hAnsi="宋体"/>
                <w:sz w:val="24"/>
                <w:highlight w:val="none"/>
              </w:rPr>
            </w:pPr>
          </w:p>
        </w:tc>
        <w:tc>
          <w:tcPr>
            <w:tcW w:w="2038" w:type="dxa"/>
            <w:noWrap w:val="0"/>
            <w:vAlign w:val="top"/>
          </w:tcPr>
          <w:p w14:paraId="66CB72F7">
            <w:pPr>
              <w:spacing w:line="240" w:lineRule="auto"/>
              <w:jc w:val="center"/>
              <w:rPr>
                <w:rFonts w:ascii="宋体" w:hAnsi="宋体"/>
                <w:sz w:val="24"/>
                <w:highlight w:val="none"/>
              </w:rPr>
            </w:pPr>
          </w:p>
        </w:tc>
      </w:tr>
      <w:tr w14:paraId="2C5D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1242" w:type="dxa"/>
            <w:noWrap w:val="0"/>
            <w:vAlign w:val="center"/>
          </w:tcPr>
          <w:p w14:paraId="00AC0A11">
            <w:pPr>
              <w:spacing w:line="240" w:lineRule="auto"/>
              <w:jc w:val="center"/>
              <w:rPr>
                <w:rFonts w:ascii="宋体" w:hAnsi="宋体"/>
                <w:sz w:val="24"/>
                <w:highlight w:val="none"/>
              </w:rPr>
            </w:pPr>
            <w:r>
              <w:rPr>
                <w:rFonts w:hint="eastAsia" w:ascii="宋体" w:hAnsi="宋体"/>
                <w:sz w:val="24"/>
                <w:highlight w:val="none"/>
              </w:rPr>
              <w:t>3</w:t>
            </w:r>
          </w:p>
        </w:tc>
        <w:tc>
          <w:tcPr>
            <w:tcW w:w="2398" w:type="dxa"/>
            <w:noWrap w:val="0"/>
            <w:vAlign w:val="center"/>
          </w:tcPr>
          <w:p w14:paraId="25C95E37">
            <w:pPr>
              <w:spacing w:line="240" w:lineRule="auto"/>
              <w:rPr>
                <w:rFonts w:ascii="宋体" w:hAnsi="宋体"/>
                <w:sz w:val="24"/>
                <w:highlight w:val="none"/>
              </w:rPr>
            </w:pPr>
          </w:p>
        </w:tc>
        <w:tc>
          <w:tcPr>
            <w:tcW w:w="1854" w:type="dxa"/>
            <w:noWrap w:val="0"/>
            <w:vAlign w:val="center"/>
          </w:tcPr>
          <w:p w14:paraId="72B387C2">
            <w:pPr>
              <w:spacing w:line="240" w:lineRule="auto"/>
              <w:jc w:val="center"/>
              <w:rPr>
                <w:rFonts w:ascii="宋体" w:hAnsi="宋体"/>
                <w:sz w:val="24"/>
                <w:highlight w:val="none"/>
              </w:rPr>
            </w:pPr>
          </w:p>
        </w:tc>
        <w:tc>
          <w:tcPr>
            <w:tcW w:w="2262" w:type="dxa"/>
            <w:noWrap w:val="0"/>
            <w:vAlign w:val="top"/>
          </w:tcPr>
          <w:p w14:paraId="6850E711">
            <w:pPr>
              <w:spacing w:line="240" w:lineRule="auto"/>
              <w:jc w:val="center"/>
              <w:rPr>
                <w:rFonts w:ascii="宋体" w:hAnsi="宋体"/>
                <w:sz w:val="24"/>
                <w:highlight w:val="none"/>
              </w:rPr>
            </w:pPr>
          </w:p>
        </w:tc>
        <w:tc>
          <w:tcPr>
            <w:tcW w:w="4436" w:type="dxa"/>
            <w:noWrap w:val="0"/>
            <w:vAlign w:val="center"/>
          </w:tcPr>
          <w:p w14:paraId="0D8B9DEC">
            <w:pPr>
              <w:spacing w:line="240" w:lineRule="auto"/>
              <w:jc w:val="center"/>
              <w:rPr>
                <w:rFonts w:ascii="宋体" w:hAnsi="宋体"/>
                <w:sz w:val="24"/>
                <w:highlight w:val="none"/>
              </w:rPr>
            </w:pPr>
          </w:p>
        </w:tc>
        <w:tc>
          <w:tcPr>
            <w:tcW w:w="2038" w:type="dxa"/>
            <w:noWrap w:val="0"/>
            <w:vAlign w:val="top"/>
          </w:tcPr>
          <w:p w14:paraId="36A4CB0D">
            <w:pPr>
              <w:spacing w:line="240" w:lineRule="auto"/>
              <w:jc w:val="center"/>
              <w:rPr>
                <w:rFonts w:ascii="宋体" w:hAnsi="宋体"/>
                <w:sz w:val="24"/>
                <w:highlight w:val="none"/>
              </w:rPr>
            </w:pPr>
          </w:p>
        </w:tc>
      </w:tr>
      <w:tr w14:paraId="3208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1242" w:type="dxa"/>
            <w:noWrap w:val="0"/>
            <w:vAlign w:val="center"/>
          </w:tcPr>
          <w:p w14:paraId="2E802C53">
            <w:pPr>
              <w:spacing w:line="240" w:lineRule="auto"/>
              <w:jc w:val="center"/>
              <w:rPr>
                <w:rFonts w:ascii="宋体" w:hAnsi="宋体"/>
                <w:sz w:val="24"/>
                <w:highlight w:val="none"/>
              </w:rPr>
            </w:pPr>
            <w:r>
              <w:rPr>
                <w:rFonts w:ascii="宋体" w:hAnsi="宋体"/>
                <w:sz w:val="24"/>
                <w:highlight w:val="none"/>
              </w:rPr>
              <w:t>……</w:t>
            </w:r>
          </w:p>
        </w:tc>
        <w:tc>
          <w:tcPr>
            <w:tcW w:w="2398" w:type="dxa"/>
            <w:noWrap w:val="0"/>
            <w:vAlign w:val="center"/>
          </w:tcPr>
          <w:p w14:paraId="58C7BBEB">
            <w:pPr>
              <w:spacing w:line="240" w:lineRule="auto"/>
              <w:rPr>
                <w:rFonts w:ascii="宋体" w:hAnsi="宋体"/>
                <w:sz w:val="24"/>
                <w:highlight w:val="none"/>
              </w:rPr>
            </w:pPr>
            <w:r>
              <w:rPr>
                <w:rFonts w:ascii="宋体" w:hAnsi="宋体"/>
                <w:sz w:val="24"/>
                <w:highlight w:val="none"/>
              </w:rPr>
              <w:t>………</w:t>
            </w:r>
          </w:p>
        </w:tc>
        <w:tc>
          <w:tcPr>
            <w:tcW w:w="1854" w:type="dxa"/>
            <w:noWrap w:val="0"/>
            <w:vAlign w:val="center"/>
          </w:tcPr>
          <w:p w14:paraId="62DB338B">
            <w:pPr>
              <w:spacing w:line="240" w:lineRule="auto"/>
              <w:jc w:val="center"/>
              <w:rPr>
                <w:rFonts w:ascii="宋体" w:hAnsi="宋体"/>
                <w:sz w:val="24"/>
                <w:highlight w:val="none"/>
              </w:rPr>
            </w:pPr>
          </w:p>
        </w:tc>
        <w:tc>
          <w:tcPr>
            <w:tcW w:w="2262" w:type="dxa"/>
            <w:noWrap w:val="0"/>
            <w:vAlign w:val="top"/>
          </w:tcPr>
          <w:p w14:paraId="13FA31D5">
            <w:pPr>
              <w:spacing w:line="240" w:lineRule="auto"/>
              <w:jc w:val="center"/>
              <w:rPr>
                <w:rFonts w:ascii="宋体" w:hAnsi="宋体"/>
                <w:sz w:val="24"/>
                <w:highlight w:val="none"/>
              </w:rPr>
            </w:pPr>
          </w:p>
        </w:tc>
        <w:tc>
          <w:tcPr>
            <w:tcW w:w="4436" w:type="dxa"/>
            <w:noWrap w:val="0"/>
            <w:vAlign w:val="center"/>
          </w:tcPr>
          <w:p w14:paraId="105BC040">
            <w:pPr>
              <w:spacing w:line="240" w:lineRule="auto"/>
              <w:jc w:val="center"/>
              <w:rPr>
                <w:rFonts w:ascii="宋体" w:hAnsi="宋体"/>
                <w:sz w:val="24"/>
                <w:highlight w:val="none"/>
              </w:rPr>
            </w:pPr>
          </w:p>
        </w:tc>
        <w:tc>
          <w:tcPr>
            <w:tcW w:w="2038" w:type="dxa"/>
            <w:noWrap w:val="0"/>
            <w:vAlign w:val="top"/>
          </w:tcPr>
          <w:p w14:paraId="11B38AF5">
            <w:pPr>
              <w:spacing w:line="240" w:lineRule="auto"/>
              <w:jc w:val="center"/>
              <w:rPr>
                <w:rFonts w:ascii="宋体" w:hAnsi="宋体"/>
                <w:sz w:val="24"/>
                <w:highlight w:val="none"/>
              </w:rPr>
            </w:pPr>
          </w:p>
        </w:tc>
      </w:tr>
      <w:tr w14:paraId="22F9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trPr>
        <w:tc>
          <w:tcPr>
            <w:tcW w:w="7756" w:type="dxa"/>
            <w:gridSpan w:val="4"/>
            <w:noWrap w:val="0"/>
            <w:vAlign w:val="center"/>
          </w:tcPr>
          <w:p w14:paraId="6801D564">
            <w:pPr>
              <w:spacing w:line="240" w:lineRule="auto"/>
              <w:jc w:val="center"/>
              <w:rPr>
                <w:rFonts w:ascii="宋体" w:hAnsi="宋体"/>
                <w:b/>
                <w:sz w:val="24"/>
                <w:highlight w:val="none"/>
              </w:rPr>
            </w:pPr>
            <w:r>
              <w:rPr>
                <w:rFonts w:hint="eastAsia" w:ascii="宋体" w:hAnsi="宋体"/>
                <w:b/>
                <w:sz w:val="24"/>
                <w:highlight w:val="none"/>
              </w:rPr>
              <w:t>最终报价（大写：</w:t>
            </w:r>
            <w:r>
              <w:rPr>
                <w:rFonts w:hint="eastAsia" w:ascii="宋体" w:hAnsi="宋体"/>
                <w:b/>
                <w:sz w:val="24"/>
                <w:highlight w:val="none"/>
                <w:u w:val="single"/>
              </w:rPr>
              <w:t xml:space="preserve"> </w:t>
            </w:r>
            <w:r>
              <w:rPr>
                <w:rFonts w:ascii="宋体" w:hAnsi="宋体"/>
                <w:b/>
                <w:sz w:val="24"/>
                <w:highlight w:val="none"/>
                <w:u w:val="single"/>
              </w:rPr>
              <w:t xml:space="preserve">                       </w:t>
            </w:r>
            <w:r>
              <w:rPr>
                <w:rFonts w:hint="eastAsia" w:ascii="宋体" w:hAnsi="宋体"/>
                <w:b/>
                <w:sz w:val="24"/>
                <w:highlight w:val="none"/>
              </w:rPr>
              <w:t>）</w:t>
            </w:r>
          </w:p>
        </w:tc>
        <w:tc>
          <w:tcPr>
            <w:tcW w:w="6474" w:type="dxa"/>
            <w:gridSpan w:val="2"/>
            <w:noWrap w:val="0"/>
            <w:vAlign w:val="center"/>
          </w:tcPr>
          <w:p w14:paraId="43754052">
            <w:pPr>
              <w:spacing w:line="240" w:lineRule="auto"/>
              <w:jc w:val="left"/>
              <w:rPr>
                <w:rFonts w:ascii="宋体" w:hAnsi="宋体"/>
                <w:b/>
                <w:sz w:val="24"/>
                <w:highlight w:val="none"/>
                <w:u w:val="single"/>
              </w:rPr>
            </w:pPr>
            <w:r>
              <w:rPr>
                <w:rFonts w:hint="eastAsia" w:ascii="宋体" w:hAnsi="宋体"/>
                <w:b/>
                <w:sz w:val="24"/>
                <w:highlight w:val="none"/>
              </w:rPr>
              <w:t>小写：</w:t>
            </w:r>
            <w:r>
              <w:rPr>
                <w:rFonts w:hint="eastAsia" w:ascii="宋体" w:hAnsi="宋体"/>
                <w:b/>
                <w:sz w:val="24"/>
                <w:highlight w:val="none"/>
                <w:u w:val="single"/>
              </w:rPr>
              <w:t xml:space="preserve"> </w:t>
            </w:r>
            <w:r>
              <w:rPr>
                <w:rFonts w:ascii="宋体" w:hAnsi="宋体"/>
                <w:b/>
                <w:sz w:val="24"/>
                <w:highlight w:val="none"/>
                <w:u w:val="single"/>
              </w:rPr>
              <w:t xml:space="preserve">                       </w:t>
            </w:r>
          </w:p>
        </w:tc>
      </w:tr>
    </w:tbl>
    <w:p w14:paraId="46400188">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eastAsia" w:ascii="宋体" w:hAnsi="宋体"/>
          <w:b/>
          <w:color w:val="auto"/>
          <w:sz w:val="24"/>
          <w:highlight w:val="none"/>
        </w:rPr>
      </w:pPr>
    </w:p>
    <w:p w14:paraId="68756480">
      <w:pPr>
        <w:snapToGrid w:val="0"/>
        <w:ind w:firstLine="960" w:firstLineChars="400"/>
        <w:rPr>
          <w:rFonts w:ascii="宋体" w:hAnsi="宋体"/>
          <w:color w:val="auto"/>
          <w:sz w:val="24"/>
          <w:highlight w:val="none"/>
          <w:u w:val="single"/>
        </w:rPr>
      </w:pPr>
      <w:r>
        <w:rPr>
          <w:rFonts w:hint="eastAsia" w:ascii="宋体" w:hAnsi="宋体"/>
          <w:color w:val="auto"/>
          <w:sz w:val="24"/>
          <w:highlight w:val="none"/>
        </w:rPr>
        <w:t>意向供应商名称：</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（盖单位公章）</w:t>
      </w:r>
    </w:p>
    <w:p w14:paraId="60B2027F">
      <w:pPr>
        <w:snapToGrid w:val="0"/>
        <w:ind w:firstLine="960" w:firstLineChars="400"/>
        <w:rPr>
          <w:rFonts w:ascii="宋体" w:hAnsi="宋体"/>
          <w:color w:val="auto"/>
          <w:sz w:val="24"/>
          <w:highlight w:val="none"/>
          <w:u w:val="single"/>
        </w:rPr>
      </w:pPr>
      <w:r>
        <w:rPr>
          <w:rFonts w:hint="eastAsia" w:ascii="宋体" w:hAnsi="宋体"/>
          <w:color w:val="auto"/>
          <w:sz w:val="24"/>
          <w:highlight w:val="none"/>
        </w:rPr>
        <w:t>法定代表人（单位负责人）或其授权的代理人：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（签字或盖章）</w:t>
      </w:r>
    </w:p>
    <w:p w14:paraId="333F2A85">
      <w:pPr>
        <w:snapToGrid w:val="0"/>
        <w:ind w:firstLine="960" w:firstLineChars="400"/>
        <w:rPr>
          <w:rFonts w:ascii="宋体" w:hAnsi="宋体"/>
          <w:color w:val="auto"/>
          <w:sz w:val="32"/>
          <w:szCs w:val="32"/>
          <w:highlight w:val="none"/>
        </w:rPr>
        <w:sectPr>
          <w:pgSz w:w="16838" w:h="11906" w:orient="landscape"/>
          <w:pgMar w:top="1701" w:right="1701" w:bottom="1418" w:left="1134" w:header="1091" w:footer="624" w:gutter="0"/>
          <w:pgNumType w:fmt="decimal"/>
          <w:cols w:space="425" w:num="1"/>
          <w:docGrid w:linePitch="312" w:charSpace="0"/>
        </w:sectPr>
      </w:pPr>
      <w:r>
        <w:rPr>
          <w:rFonts w:hint="eastAsia" w:ascii="宋体" w:hAnsi="宋体"/>
          <w:color w:val="auto"/>
          <w:sz w:val="24"/>
          <w:highlight w:val="none"/>
        </w:rPr>
        <w:t xml:space="preserve">日 </w:t>
      </w:r>
      <w:r>
        <w:rPr>
          <w:rFonts w:ascii="宋体" w:hAnsi="宋体"/>
          <w:color w:val="auto"/>
          <w:sz w:val="24"/>
          <w:highlight w:val="none"/>
        </w:rPr>
        <w:t xml:space="preserve">   </w:t>
      </w:r>
      <w:r>
        <w:rPr>
          <w:rFonts w:hint="eastAsia" w:ascii="宋体" w:hAnsi="宋体"/>
          <w:color w:val="auto"/>
          <w:sz w:val="24"/>
          <w:highlight w:val="none"/>
        </w:rPr>
        <w:t>期：</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32"/>
          <w:szCs w:val="32"/>
          <w:highlight w:val="none"/>
        </w:rPr>
        <w:tab/>
      </w:r>
    </w:p>
    <w:p w14:paraId="4A1573E2">
      <w:pPr>
        <w:spacing w:before="120" w:after="120"/>
        <w:jc w:val="center"/>
        <w:outlineLvl w:val="0"/>
        <w:rPr>
          <w:rFonts w:ascii="宋体" w:hAnsi="宋体"/>
          <w:b/>
          <w:color w:val="auto"/>
          <w:sz w:val="32"/>
          <w:szCs w:val="32"/>
          <w:highlight w:val="none"/>
        </w:rPr>
      </w:pPr>
      <w:bookmarkStart w:id="121" w:name="_Toc10697"/>
      <w:bookmarkStart w:id="122" w:name="_Toc18939"/>
      <w:r>
        <w:rPr>
          <w:rFonts w:hint="eastAsia" w:ascii="宋体" w:hAnsi="宋体"/>
          <w:b/>
          <w:color w:val="auto"/>
          <w:sz w:val="32"/>
          <w:szCs w:val="32"/>
          <w:highlight w:val="none"/>
        </w:rPr>
        <w:t xml:space="preserve">第四章 </w:t>
      </w:r>
      <w:r>
        <w:rPr>
          <w:rFonts w:ascii="宋体" w:hAnsi="宋体"/>
          <w:b/>
          <w:color w:val="auto"/>
          <w:sz w:val="32"/>
          <w:szCs w:val="32"/>
          <w:highlight w:val="none"/>
        </w:rPr>
        <w:t xml:space="preserve"> </w:t>
      </w:r>
      <w:r>
        <w:rPr>
          <w:rFonts w:hint="eastAsia" w:ascii="宋体" w:hAnsi="宋体"/>
          <w:b/>
          <w:color w:val="auto"/>
          <w:sz w:val="32"/>
          <w:szCs w:val="32"/>
          <w:highlight w:val="none"/>
        </w:rPr>
        <w:t>采购需求</w:t>
      </w:r>
      <w:bookmarkEnd w:id="121"/>
      <w:bookmarkEnd w:id="122"/>
    </w:p>
    <w:p w14:paraId="267DC02D">
      <w:pPr>
        <w:widowControl/>
        <w:spacing w:line="240" w:lineRule="auto"/>
        <w:jc w:val="left"/>
        <w:rPr>
          <w:rFonts w:hint="eastAsia"/>
        </w:rPr>
      </w:pPr>
      <w:r>
        <w:rPr>
          <w:rFonts w:hint="eastAsia" w:ascii="宋体" w:hAnsi="宋体" w:eastAsia="宋体" w:cs="宋体"/>
          <w:b/>
          <w:color w:val="auto"/>
          <w:sz w:val="24"/>
          <w:highlight w:val="none"/>
        </w:rPr>
        <w:t>Ⅰ</w:t>
      </w:r>
      <w:r>
        <w:rPr>
          <w:rFonts w:hint="eastAsia" w:ascii="宋体" w:hAnsi="宋体" w:cs="宋体"/>
          <w:b/>
          <w:color w:val="auto"/>
          <w:sz w:val="24"/>
          <w:highlight w:val="none"/>
          <w:lang w:eastAsia="zh-CN"/>
        </w:rPr>
        <w:t>、</w:t>
      </w:r>
      <w:r>
        <w:rPr>
          <w:rFonts w:ascii="宋体" w:hAnsi="宋体"/>
          <w:b/>
          <w:color w:val="auto"/>
          <w:sz w:val="24"/>
          <w:highlight w:val="none"/>
        </w:rPr>
        <w:t>货物需求一览表</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109"/>
        <w:gridCol w:w="1213"/>
        <w:gridCol w:w="1319"/>
        <w:gridCol w:w="1786"/>
        <w:gridCol w:w="1871"/>
      </w:tblGrid>
      <w:tr w14:paraId="5FDED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0" w:type="auto"/>
            <w:noWrap w:val="0"/>
            <w:vAlign w:val="center"/>
          </w:tcPr>
          <w:p w14:paraId="5CDB5B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2109" w:type="dxa"/>
            <w:noWrap w:val="0"/>
            <w:vAlign w:val="center"/>
          </w:tcPr>
          <w:p w14:paraId="5D2F30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商品名称</w:t>
            </w:r>
          </w:p>
        </w:tc>
        <w:tc>
          <w:tcPr>
            <w:tcW w:w="1213" w:type="dxa"/>
            <w:noWrap w:val="0"/>
            <w:vAlign w:val="center"/>
          </w:tcPr>
          <w:p w14:paraId="0F51BD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单位</w:t>
            </w:r>
          </w:p>
        </w:tc>
        <w:tc>
          <w:tcPr>
            <w:tcW w:w="1319" w:type="dxa"/>
            <w:noWrap w:val="0"/>
            <w:vAlign w:val="center"/>
          </w:tcPr>
          <w:p w14:paraId="62275E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数量</w:t>
            </w:r>
          </w:p>
        </w:tc>
        <w:tc>
          <w:tcPr>
            <w:tcW w:w="1786" w:type="dxa"/>
            <w:noWrap w:val="0"/>
            <w:vAlign w:val="center"/>
          </w:tcPr>
          <w:p w14:paraId="081A7B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cs="宋体"/>
                <w:b/>
                <w:bCs/>
                <w:color w:val="auto"/>
                <w:sz w:val="24"/>
                <w:szCs w:val="24"/>
                <w:highlight w:val="none"/>
                <w:lang w:val="en-US" w:eastAsia="zh-CN"/>
              </w:rPr>
              <w:t>控制单价（元）</w:t>
            </w:r>
          </w:p>
        </w:tc>
        <w:tc>
          <w:tcPr>
            <w:tcW w:w="1871" w:type="dxa"/>
            <w:noWrap w:val="0"/>
            <w:vAlign w:val="center"/>
          </w:tcPr>
          <w:p w14:paraId="1FFA12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合计金额（元）</w:t>
            </w:r>
          </w:p>
        </w:tc>
      </w:tr>
      <w:tr w14:paraId="3CCE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0" w:type="auto"/>
            <w:noWrap w:val="0"/>
            <w:vAlign w:val="center"/>
          </w:tcPr>
          <w:p w14:paraId="73C8ED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109" w:type="dxa"/>
            <w:noWrap w:val="0"/>
            <w:vAlign w:val="center"/>
          </w:tcPr>
          <w:p w14:paraId="282BFC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szCs w:val="24"/>
                <w:highlight w:val="none"/>
                <w:lang w:val="en-US" w:eastAsia="zh-CN"/>
              </w:rPr>
            </w:pPr>
            <w:r>
              <w:rPr>
                <w:rFonts w:hint="default" w:ascii="宋体" w:hAnsi="宋体" w:cs="宋体"/>
                <w:color w:val="auto"/>
                <w:sz w:val="24"/>
                <w:szCs w:val="24"/>
                <w:highlight w:val="none"/>
                <w:lang w:val="en-US" w:eastAsia="zh-CN"/>
              </w:rPr>
              <w:t>太阳能路灯</w:t>
            </w:r>
          </w:p>
        </w:tc>
        <w:tc>
          <w:tcPr>
            <w:tcW w:w="1213" w:type="dxa"/>
            <w:noWrap w:val="0"/>
            <w:vAlign w:val="center"/>
          </w:tcPr>
          <w:p w14:paraId="356FF5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盏</w:t>
            </w:r>
            <w:bookmarkStart w:id="127" w:name="_GoBack"/>
            <w:bookmarkEnd w:id="127"/>
          </w:p>
        </w:tc>
        <w:tc>
          <w:tcPr>
            <w:tcW w:w="1319" w:type="dxa"/>
            <w:noWrap w:val="0"/>
            <w:vAlign w:val="center"/>
          </w:tcPr>
          <w:p w14:paraId="1F9C84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1786" w:type="dxa"/>
            <w:noWrap w:val="0"/>
            <w:vAlign w:val="center"/>
          </w:tcPr>
          <w:p w14:paraId="065CEA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szCs w:val="24"/>
                <w:highlight w:val="yellow"/>
                <w:shd w:val="clear" w:color="FFFFFF" w:fill="D9D9D9"/>
                <w:lang w:val="en-US" w:eastAsia="zh-CN"/>
              </w:rPr>
            </w:pPr>
            <w:r>
              <w:rPr>
                <w:rFonts w:hint="default" w:ascii="宋体" w:hAnsi="宋体" w:cs="宋体"/>
                <w:color w:val="auto"/>
                <w:sz w:val="24"/>
                <w:szCs w:val="24"/>
                <w:highlight w:val="none"/>
                <w:shd w:val="clear" w:color="auto" w:fill="auto"/>
                <w:lang w:val="en-US" w:eastAsia="zh-CN"/>
              </w:rPr>
              <w:t>3317.16</w:t>
            </w:r>
          </w:p>
        </w:tc>
        <w:tc>
          <w:tcPr>
            <w:tcW w:w="1871" w:type="dxa"/>
            <w:noWrap w:val="0"/>
            <w:vAlign w:val="center"/>
          </w:tcPr>
          <w:p w14:paraId="44198C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szCs w:val="24"/>
                <w:highlight w:val="none"/>
                <w:lang w:val="en-US" w:eastAsia="zh-CN"/>
              </w:rPr>
            </w:pPr>
            <w:r>
              <w:rPr>
                <w:rFonts w:hint="eastAsia" w:ascii="宋体" w:hAnsi="宋体" w:eastAsia="宋体" w:cs="宋体"/>
                <w:b w:val="0"/>
                <w:bCs w:val="0"/>
                <w:color w:val="000000"/>
                <w:sz w:val="21"/>
                <w:szCs w:val="21"/>
              </w:rPr>
              <w:t>331716</w:t>
            </w:r>
            <w:r>
              <w:rPr>
                <w:rFonts w:hint="eastAsia" w:ascii="宋体" w:hAnsi="宋体" w:cs="宋体"/>
                <w:b w:val="0"/>
                <w:bCs w:val="0"/>
                <w:color w:val="000000"/>
                <w:sz w:val="21"/>
                <w:szCs w:val="21"/>
                <w:lang w:val="en-US" w:eastAsia="zh-CN"/>
              </w:rPr>
              <w:t>.00</w:t>
            </w:r>
          </w:p>
        </w:tc>
      </w:tr>
      <w:tr w14:paraId="4E71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339" w:type="dxa"/>
            <w:gridSpan w:val="4"/>
            <w:tcBorders>
              <w:top w:val="single" w:color="auto" w:sz="4" w:space="0"/>
              <w:left w:val="single" w:color="auto" w:sz="4" w:space="0"/>
              <w:bottom w:val="single" w:color="auto" w:sz="4" w:space="0"/>
            </w:tcBorders>
            <w:noWrap w:val="0"/>
            <w:vAlign w:val="center"/>
          </w:tcPr>
          <w:p w14:paraId="31F028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采购预算（含税、含运输、含安装</w:t>
            </w:r>
            <w:r>
              <w:rPr>
                <w:rFonts w:hint="eastAsia" w:ascii="宋体" w:hAnsi="宋体" w:cs="宋体"/>
                <w:b/>
                <w:bCs/>
                <w:color w:val="auto"/>
                <w:sz w:val="24"/>
                <w:szCs w:val="24"/>
                <w:highlight w:val="none"/>
                <w:lang w:val="en-US" w:eastAsia="zh-CN"/>
              </w:rPr>
              <w:t>等一切费用</w:t>
            </w:r>
            <w:r>
              <w:rPr>
                <w:rFonts w:hint="eastAsia" w:ascii="宋体" w:hAnsi="宋体" w:eastAsia="宋体" w:cs="宋体"/>
                <w:b/>
                <w:bCs/>
                <w:color w:val="auto"/>
                <w:sz w:val="24"/>
                <w:szCs w:val="24"/>
                <w:highlight w:val="none"/>
                <w:lang w:val="en-US" w:eastAsia="zh-CN"/>
              </w:rPr>
              <w:t>）</w:t>
            </w:r>
          </w:p>
        </w:tc>
        <w:tc>
          <w:tcPr>
            <w:tcW w:w="3657" w:type="dxa"/>
            <w:gridSpan w:val="2"/>
            <w:tcBorders>
              <w:top w:val="single" w:color="auto" w:sz="4" w:space="0"/>
              <w:left w:val="single" w:color="auto" w:sz="4" w:space="0"/>
              <w:bottom w:val="single" w:color="auto" w:sz="4" w:space="0"/>
            </w:tcBorders>
            <w:noWrap w:val="0"/>
            <w:vAlign w:val="center"/>
          </w:tcPr>
          <w:p w14:paraId="0EFB2C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331716.00</w:t>
            </w:r>
          </w:p>
        </w:tc>
      </w:tr>
    </w:tbl>
    <w:p w14:paraId="4D0968E5">
      <w:pPr>
        <w:widowControl/>
        <w:numPr>
          <w:ilvl w:val="0"/>
          <w:numId w:val="0"/>
        </w:numPr>
        <w:adjustRightInd w:val="0"/>
        <w:snapToGrid w:val="0"/>
        <w:spacing w:line="360" w:lineRule="auto"/>
        <w:jc w:val="both"/>
        <w:rPr>
          <w:rFonts w:hint="eastAsia" w:ascii="宋体" w:hAnsi="宋体" w:eastAsia="宋体" w:cs="宋体"/>
          <w:b/>
          <w:bCs/>
          <w:sz w:val="24"/>
          <w:szCs w:val="24"/>
          <w:highlight w:val="none"/>
        </w:rPr>
      </w:pPr>
    </w:p>
    <w:p w14:paraId="10C3C80C">
      <w:pPr>
        <w:widowControl/>
        <w:numPr>
          <w:ilvl w:val="0"/>
          <w:numId w:val="0"/>
        </w:numPr>
        <w:adjustRightInd w:val="0"/>
        <w:snapToGrid w:val="0"/>
        <w:spacing w:line="360" w:lineRule="auto"/>
        <w:jc w:val="both"/>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Ⅱ</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货物的详细规格参数</w:t>
      </w:r>
      <w:r>
        <w:rPr>
          <w:rFonts w:hint="eastAsia" w:ascii="宋体" w:hAnsi="宋体" w:eastAsia="宋体" w:cs="宋体"/>
          <w:b/>
          <w:bCs/>
          <w:sz w:val="24"/>
          <w:szCs w:val="24"/>
          <w:highlight w:val="none"/>
          <w:lang w:eastAsia="zh-CN"/>
        </w:rPr>
        <w:t>：</w:t>
      </w:r>
    </w:p>
    <w:p w14:paraId="76BF8011">
      <w:pPr>
        <w:pStyle w:val="26"/>
        <w:rPr>
          <w:rFonts w:hint="eastAsia"/>
          <w:lang w:val="en-US" w:eastAsia="zh-CN"/>
        </w:rPr>
      </w:pPr>
      <w:r>
        <w:rPr>
          <w:rFonts w:hint="eastAsia"/>
          <w:lang w:val="en-US" w:eastAsia="zh-CN"/>
        </w:rPr>
        <w:t>一、灯杆参数：</w:t>
      </w:r>
    </w:p>
    <w:p w14:paraId="25D6F899">
      <w:pPr>
        <w:pStyle w:val="26"/>
        <w:rPr>
          <w:rFonts w:hint="eastAsia"/>
          <w:lang w:val="en-US" w:eastAsia="zh-CN"/>
        </w:rPr>
      </w:pPr>
      <w:r>
        <w:rPr>
          <w:rFonts w:hint="eastAsia"/>
          <w:lang w:val="en-US" w:eastAsia="zh-CN"/>
        </w:rPr>
        <w:t>圆杆高度6米，上口120mm，下口120mm，灯杆壁厚2.5，灯杆底盘大于等于 245mm*245mm*10mm。灯杆材质采用 Q235 碳钢内外镀锌表面喷塑防腐处理，喷塑表面应光滑</w:t>
      </w:r>
      <w:r>
        <w:rPr>
          <w:rFonts w:hint="eastAsia"/>
          <w:lang w:val="en-US" w:eastAsia="zh-CN"/>
        </w:rPr>
        <w:br w:type="textWrapping"/>
      </w:r>
      <w:r>
        <w:rPr>
          <w:rFonts w:hint="eastAsia"/>
          <w:lang w:val="en-US" w:eastAsia="zh-CN"/>
        </w:rPr>
        <w:t>美观,镀锌层厚度不小于 0.9mm. 产品出厂前，对产品进行质量检查，对焊接质量、尺寸偏差和表面质量进行全面检查。产品保证灯杆满足当地风压要求，保证灯杆正常使用。</w:t>
      </w:r>
    </w:p>
    <w:p w14:paraId="69E45C1A">
      <w:pPr>
        <w:pStyle w:val="26"/>
        <w:rPr>
          <w:rFonts w:hint="eastAsia"/>
          <w:lang w:val="en-US" w:eastAsia="zh-CN"/>
        </w:rPr>
      </w:pPr>
      <w:r>
        <w:rPr>
          <w:rFonts w:hint="eastAsia"/>
          <w:lang w:val="en-US" w:eastAsia="zh-CN"/>
        </w:rPr>
        <w:t>二、太阳能路灯专用耐低温锂电池</w:t>
      </w:r>
      <w:r>
        <w:rPr>
          <w:rFonts w:hint="eastAsia"/>
          <w:lang w:val="en-US" w:eastAsia="zh-CN"/>
        </w:rPr>
        <w:br w:type="textWrapping"/>
      </w:r>
      <w:r>
        <w:rPr>
          <w:rFonts w:hint="eastAsia"/>
          <w:lang w:val="en-US" w:eastAsia="zh-CN"/>
        </w:rPr>
        <w:t>(1)、规格型号:太阳能路灯专用耐低温锂电池储控系统(电池容量=70 安时)。</w:t>
      </w:r>
      <w:r>
        <w:rPr>
          <w:rFonts w:hint="eastAsia"/>
          <w:lang w:val="en-US" w:eastAsia="zh-CN"/>
        </w:rPr>
        <w:br w:type="textWrapping"/>
      </w:r>
      <w:r>
        <w:rPr>
          <w:rFonts w:hint="eastAsia"/>
          <w:lang w:val="en-US" w:eastAsia="zh-CN"/>
        </w:rPr>
        <w:t>(2)、技术要求:</w:t>
      </w:r>
    </w:p>
    <w:p w14:paraId="0B82D172">
      <w:pPr>
        <w:pStyle w:val="26"/>
        <w:rPr>
          <w:rFonts w:hint="eastAsia"/>
          <w:lang w:val="en-US" w:eastAsia="zh-CN"/>
        </w:rPr>
      </w:pPr>
      <w:r>
        <w:rPr>
          <w:rFonts w:hint="eastAsia"/>
          <w:lang w:val="en-US" w:eastAsia="zh-CN"/>
        </w:rPr>
        <w:t>&lt;1&gt;蓄电池</w:t>
      </w:r>
      <w:r>
        <w:rPr>
          <w:rFonts w:hint="eastAsia"/>
          <w:lang w:val="en-US" w:eastAsia="zh-CN"/>
        </w:rPr>
        <w:br w:type="textWrapping"/>
      </w:r>
      <w:r>
        <w:rPr>
          <w:rFonts w:hint="eastAsia"/>
          <w:lang w:val="en-US" w:eastAsia="zh-CN"/>
        </w:rPr>
        <w:t>①使用温度范围满足零下-40℃至+55℃。</w:t>
      </w:r>
      <w:r>
        <w:rPr>
          <w:rFonts w:hint="eastAsia"/>
          <w:lang w:val="en-US" w:eastAsia="zh-CN"/>
        </w:rPr>
        <w:br w:type="textWrapping"/>
      </w:r>
      <w:r>
        <w:rPr>
          <w:rFonts w:hint="eastAsia"/>
          <w:lang w:val="en-US" w:eastAsia="zh-CN"/>
        </w:rPr>
        <w:t>②具有防水、防潮、防腐、保温隔热等功能。</w:t>
      </w:r>
      <w:r>
        <w:rPr>
          <w:rFonts w:hint="eastAsia"/>
          <w:lang w:val="en-US" w:eastAsia="zh-CN"/>
        </w:rPr>
        <w:br w:type="textWrapping"/>
      </w:r>
      <w:r>
        <w:rPr>
          <w:rFonts w:hint="eastAsia"/>
          <w:lang w:val="en-US" w:eastAsia="zh-CN"/>
        </w:rPr>
        <w:t>③产品出厂时采用标准接头，具有防反接和防错接等功能，防护等级 IP67。</w:t>
      </w:r>
    </w:p>
    <w:p w14:paraId="59BC8C5E">
      <w:pPr>
        <w:pStyle w:val="26"/>
        <w:rPr>
          <w:rFonts w:hint="eastAsia"/>
          <w:lang w:val="en-US" w:eastAsia="zh-CN"/>
        </w:rPr>
      </w:pPr>
      <w:r>
        <w:rPr>
          <w:rFonts w:hint="eastAsia"/>
          <w:lang w:val="en-US" w:eastAsia="zh-CN"/>
        </w:rPr>
        <w:t>&lt;2&gt;控制器（太阳能专用控制器）</w:t>
      </w:r>
      <w:r>
        <w:rPr>
          <w:rFonts w:hint="eastAsia"/>
          <w:lang w:val="en-US" w:eastAsia="zh-CN"/>
        </w:rPr>
        <w:br w:type="textWrapping"/>
      </w:r>
      <w:r>
        <w:rPr>
          <w:rFonts w:hint="eastAsia"/>
          <w:lang w:val="en-US" w:eastAsia="zh-CN"/>
        </w:rPr>
        <w:t>①工作电压:DC3.2V</w:t>
      </w:r>
      <w:r>
        <w:rPr>
          <w:rFonts w:hint="eastAsia"/>
          <w:lang w:val="en-US" w:eastAsia="zh-CN"/>
        </w:rPr>
        <w:br w:type="textWrapping"/>
      </w:r>
      <w:r>
        <w:rPr>
          <w:rFonts w:hint="eastAsia"/>
          <w:lang w:val="en-US" w:eastAsia="zh-CN"/>
        </w:rPr>
        <w:t>②采用单片机实现对锂电池的保护。基本功能必须具备过充保护、过放保</w:t>
      </w:r>
      <w:r>
        <w:rPr>
          <w:rFonts w:hint="eastAsia"/>
          <w:lang w:val="en-US" w:eastAsia="zh-CN"/>
        </w:rPr>
        <w:br w:type="textWrapping"/>
      </w:r>
      <w:r>
        <w:rPr>
          <w:rFonts w:hint="eastAsia"/>
          <w:lang w:val="en-US" w:eastAsia="zh-CN"/>
        </w:rPr>
        <w:t>护、光控、时、防反接、充电涓流保护、欠压保护、过压保护、短路保护、</w:t>
      </w:r>
      <w:r>
        <w:rPr>
          <w:rFonts w:hint="eastAsia"/>
          <w:lang w:val="en-US" w:eastAsia="zh-CN"/>
        </w:rPr>
        <w:br w:type="textWrapping"/>
      </w:r>
      <w:r>
        <w:rPr>
          <w:rFonts w:hint="eastAsia"/>
          <w:lang w:val="en-US" w:eastAsia="zh-CN"/>
        </w:rPr>
        <w:t>防水保护等。</w:t>
      </w:r>
      <w:r>
        <w:rPr>
          <w:rFonts w:hint="eastAsia"/>
          <w:lang w:val="en-US" w:eastAsia="zh-CN"/>
        </w:rPr>
        <w:br w:type="textWrapping"/>
      </w:r>
      <w:r>
        <w:rPr>
          <w:rFonts w:hint="eastAsia"/>
          <w:lang w:val="en-US" w:eastAsia="zh-CN"/>
        </w:rPr>
        <w:t>③采用双保护系统，确保锂电池使用安全，防止易燃易爆。</w:t>
      </w:r>
      <w:r>
        <w:rPr>
          <w:rFonts w:hint="eastAsia"/>
          <w:lang w:val="en-US" w:eastAsia="zh-CN"/>
        </w:rPr>
        <w:br w:type="textWrapping"/>
      </w:r>
      <w:r>
        <w:rPr>
          <w:rFonts w:hint="eastAsia"/>
          <w:lang w:val="en-US" w:eastAsia="zh-CN"/>
        </w:rPr>
        <w:t>④具备单节独立电压检测与保护功能。</w:t>
      </w:r>
      <w:r>
        <w:rPr>
          <w:rFonts w:hint="eastAsia"/>
          <w:lang w:val="en-US" w:eastAsia="zh-CN"/>
        </w:rPr>
        <w:br w:type="textWrapping"/>
      </w:r>
      <w:r>
        <w:rPr>
          <w:rFonts w:hint="eastAsia"/>
          <w:lang w:val="en-US" w:eastAsia="zh-CN"/>
        </w:rPr>
        <w:t>⑤短路保护电流 40A,反应时间 0.8ms。</w:t>
      </w:r>
      <w:r>
        <w:rPr>
          <w:rFonts w:hint="eastAsia"/>
          <w:lang w:val="en-US" w:eastAsia="zh-CN"/>
        </w:rPr>
        <w:br w:type="textWrapping"/>
      </w:r>
      <w:r>
        <w:rPr>
          <w:rFonts w:hint="eastAsia"/>
          <w:lang w:val="en-US" w:eastAsia="zh-CN"/>
        </w:rPr>
        <w:t xml:space="preserve">⑥过流保护电流 20A,反应时间小于 25. </w:t>
      </w:r>
    </w:p>
    <w:p w14:paraId="118D6EB9">
      <w:pPr>
        <w:pStyle w:val="26"/>
        <w:rPr>
          <w:rFonts w:hint="eastAsia"/>
          <w:lang w:val="en-US" w:eastAsia="zh-CN"/>
        </w:rPr>
      </w:pPr>
      <w:r>
        <w:rPr>
          <w:rFonts w:hint="eastAsia"/>
          <w:lang w:val="en-US" w:eastAsia="zh-CN"/>
        </w:rPr>
        <w:t>⑦控制方式:智能光控+时控，全天候工作无人值守。</w:t>
      </w:r>
      <w:r>
        <w:rPr>
          <w:rFonts w:hint="eastAsia"/>
          <w:lang w:val="en-US" w:eastAsia="zh-CN"/>
        </w:rPr>
        <w:br w:type="textWrapping"/>
      </w:r>
      <w:r>
        <w:rPr>
          <w:rFonts w:hint="eastAsia"/>
          <w:lang w:val="en-US" w:eastAsia="zh-CN"/>
        </w:rPr>
        <w:t>⑧每晚 8 小时亮灯确保连续工作 7 个阴雨天及以上。</w:t>
      </w:r>
      <w:r>
        <w:rPr>
          <w:rFonts w:hint="eastAsia"/>
          <w:lang w:val="en-US" w:eastAsia="zh-CN"/>
        </w:rPr>
        <w:br w:type="textWrapping"/>
      </w:r>
      <w:r>
        <w:rPr>
          <w:rFonts w:hint="eastAsia"/>
          <w:lang w:val="en-US" w:eastAsia="zh-CN"/>
        </w:rPr>
        <w:t>三、灯具及 LED 光源：</w:t>
      </w:r>
      <w:r>
        <w:rPr>
          <w:rFonts w:hint="eastAsia"/>
          <w:lang w:val="en-US" w:eastAsia="zh-CN"/>
        </w:rPr>
        <w:br w:type="textWrapping"/>
      </w:r>
      <w:r>
        <w:rPr>
          <w:rFonts w:hint="eastAsia"/>
          <w:lang w:val="en-US" w:eastAsia="zh-CN"/>
        </w:rPr>
        <w:t>规格型号:LED 路灯光源功率大于等于 150W 晶元芯片，技术要求宏钜地图灯头，5050 珠108-190LM。</w:t>
      </w:r>
    </w:p>
    <w:p w14:paraId="1ADDFE7B">
      <w:pPr>
        <w:pStyle w:val="26"/>
        <w:rPr>
          <w:rFonts w:hint="eastAsia"/>
          <w:lang w:val="en-US" w:eastAsia="zh-CN"/>
        </w:rPr>
      </w:pPr>
      <w:r>
        <w:rPr>
          <w:rFonts w:hint="eastAsia"/>
          <w:lang w:val="en-US" w:eastAsia="zh-CN"/>
        </w:rPr>
        <w:t>&lt;1&gt;灯具:</w:t>
      </w:r>
      <w:r>
        <w:rPr>
          <w:rFonts w:hint="eastAsia"/>
          <w:lang w:val="en-US" w:eastAsia="zh-CN"/>
        </w:rPr>
        <w:br w:type="textWrapping"/>
      </w:r>
      <w:r>
        <w:rPr>
          <w:rFonts w:hint="eastAsia"/>
          <w:lang w:val="en-US" w:eastAsia="zh-CN"/>
        </w:rPr>
        <w:t>①LED 路灯灯具安装仰角采用可调式或固定式;保证灯具与灯杆安装后协</w:t>
      </w:r>
      <w:r>
        <w:rPr>
          <w:rFonts w:hint="eastAsia"/>
          <w:lang w:val="en-US" w:eastAsia="zh-CN"/>
        </w:rPr>
        <w:br w:type="textWrapping"/>
      </w:r>
      <w:r>
        <w:rPr>
          <w:rFonts w:hint="eastAsia"/>
          <w:lang w:val="en-US" w:eastAsia="zh-CN"/>
        </w:rPr>
        <w:t>调美观。</w:t>
      </w:r>
      <w:r>
        <w:rPr>
          <w:rFonts w:hint="eastAsia"/>
          <w:lang w:val="en-US" w:eastAsia="zh-CN"/>
        </w:rPr>
        <w:br w:type="textWrapping"/>
      </w:r>
      <w:r>
        <w:rPr>
          <w:rFonts w:hint="eastAsia"/>
          <w:lang w:val="en-US" w:eastAsia="zh-CN"/>
        </w:rPr>
        <w:t>②灯具效能≥140(lm/W)- ③灯具适应环境温度:-35℃至+55℃:正常工作时外表温升≤30℃，结温≤85℃</w:t>
      </w:r>
      <w:r>
        <w:rPr>
          <w:rFonts w:hint="eastAsia"/>
          <w:lang w:val="en-US" w:eastAsia="zh-CN"/>
        </w:rPr>
        <w:br w:type="textWrapping"/>
      </w:r>
      <w:r>
        <w:rPr>
          <w:rFonts w:hint="eastAsia"/>
          <w:lang w:val="en-US" w:eastAsia="zh-CN"/>
        </w:rPr>
        <w:t>④灯具防水等级不低于 IPX4:防护性能采用硅橡胶密封圈。</w:t>
      </w:r>
      <w:r>
        <w:rPr>
          <w:rFonts w:hint="eastAsia"/>
          <w:lang w:val="en-US" w:eastAsia="zh-CN"/>
        </w:rPr>
        <w:br w:type="textWrapping"/>
      </w:r>
      <w:r>
        <w:rPr>
          <w:rFonts w:hint="eastAsia"/>
          <w:lang w:val="en-US" w:eastAsia="zh-CN"/>
        </w:rPr>
        <w:t>⑤LED 路灯功率因数&gt;0.9，灯具驱动功耗小于&lt;10%。</w:t>
      </w:r>
      <w:r>
        <w:rPr>
          <w:rFonts w:hint="eastAsia"/>
          <w:lang w:val="en-US" w:eastAsia="zh-CN"/>
        </w:rPr>
        <w:br w:type="textWrapping"/>
      </w:r>
      <w:r>
        <w:rPr>
          <w:rFonts w:hint="eastAsia"/>
          <w:lang w:val="en-US" w:eastAsia="zh-CN"/>
        </w:rPr>
        <w:t>&lt;2&gt;光源</w:t>
      </w:r>
    </w:p>
    <w:p w14:paraId="571E5AD1">
      <w:pPr>
        <w:pStyle w:val="26"/>
        <w:rPr>
          <w:rFonts w:hint="eastAsia"/>
          <w:lang w:val="en-US" w:eastAsia="zh-CN"/>
        </w:rPr>
      </w:pPr>
      <w:r>
        <w:rPr>
          <w:rFonts w:hint="eastAsia"/>
          <w:lang w:val="en-US" w:eastAsia="zh-CN"/>
        </w:rPr>
        <w:t>①LED 光源</w:t>
      </w:r>
      <w:r>
        <w:rPr>
          <w:rFonts w:hint="eastAsia"/>
          <w:lang w:val="en-US" w:eastAsia="zh-CN"/>
        </w:rPr>
        <w:br w:type="textWrapping"/>
      </w:r>
      <w:r>
        <w:rPr>
          <w:rFonts w:hint="eastAsia"/>
          <w:lang w:val="en-US" w:eastAsia="zh-CN"/>
        </w:rPr>
        <w:t>②用高光效光源芯片。</w:t>
      </w:r>
      <w:r>
        <w:rPr>
          <w:rFonts w:hint="eastAsia"/>
          <w:lang w:val="en-US" w:eastAsia="zh-CN"/>
        </w:rPr>
        <w:br w:type="textWrapping"/>
      </w:r>
      <w:r>
        <w:rPr>
          <w:rFonts w:hint="eastAsia"/>
          <w:lang w:val="en-US" w:eastAsia="zh-CN"/>
        </w:rPr>
        <w:t>③LED 寿命≥55000h(光衰 30%，85°C 结温)</w:t>
      </w:r>
      <w:r>
        <w:rPr>
          <w:rFonts w:hint="eastAsia"/>
          <w:lang w:val="en-US" w:eastAsia="zh-CN"/>
        </w:rPr>
        <w:br w:type="textWrapping"/>
      </w:r>
      <w:r>
        <w:rPr>
          <w:rFonts w:hint="eastAsia"/>
          <w:lang w:val="en-US" w:eastAsia="zh-CN"/>
        </w:rPr>
        <w:t>④LED 灯具 10000 小时,光衰&lt;3%</w:t>
      </w:r>
      <w:r>
        <w:rPr>
          <w:rFonts w:hint="eastAsia"/>
          <w:lang w:val="en-US" w:eastAsia="zh-CN"/>
        </w:rPr>
        <w:br w:type="textWrapping"/>
      </w:r>
      <w:r>
        <w:rPr>
          <w:rFonts w:hint="eastAsia"/>
          <w:lang w:val="en-US" w:eastAsia="zh-CN"/>
        </w:rPr>
        <w:t>⑤色温 6500K,显色指数&gt;73。</w:t>
      </w:r>
      <w:r>
        <w:rPr>
          <w:rFonts w:hint="eastAsia"/>
          <w:lang w:val="en-US" w:eastAsia="zh-CN"/>
        </w:rPr>
        <w:br w:type="textWrapping"/>
      </w:r>
      <w:r>
        <w:rPr>
          <w:rFonts w:hint="eastAsia"/>
          <w:lang w:val="en-US" w:eastAsia="zh-CN"/>
        </w:rPr>
        <w:t>⑥质保期 5 年。</w:t>
      </w:r>
      <w:r>
        <w:rPr>
          <w:rFonts w:hint="eastAsia"/>
          <w:lang w:val="en-US" w:eastAsia="zh-CN"/>
        </w:rPr>
        <w:br w:type="textWrapping"/>
      </w:r>
      <w:r>
        <w:rPr>
          <w:rFonts w:hint="eastAsia"/>
          <w:lang w:val="en-US" w:eastAsia="zh-CN"/>
        </w:rPr>
        <w:t>四、太阳能电池板规格型号:</w:t>
      </w:r>
      <w:r>
        <w:rPr>
          <w:rFonts w:hint="eastAsia"/>
          <w:lang w:val="en-US" w:eastAsia="zh-CN"/>
        </w:rPr>
        <w:br w:type="textWrapping"/>
      </w:r>
      <w:r>
        <w:rPr>
          <w:rFonts w:hint="eastAsia"/>
          <w:lang w:val="en-US" w:eastAsia="zh-CN"/>
        </w:rPr>
        <w:t>(1)太阳能电池组件功率=70Wp.（尺寸670mm*700mm）</w:t>
      </w:r>
    </w:p>
    <w:p w14:paraId="1F8B0121">
      <w:pPr>
        <w:pStyle w:val="26"/>
        <w:rPr>
          <w:rFonts w:hint="eastAsia"/>
          <w:lang w:val="en-US" w:eastAsia="zh-CN"/>
        </w:rPr>
      </w:pPr>
      <w:r>
        <w:rPr>
          <w:rFonts w:hint="eastAsia"/>
          <w:lang w:val="en-US" w:eastAsia="zh-CN"/>
        </w:rPr>
        <w:t>(2)技术要求:</w:t>
      </w:r>
      <w:r>
        <w:rPr>
          <w:rFonts w:hint="eastAsia"/>
          <w:lang w:val="en-US" w:eastAsia="zh-CN"/>
        </w:rPr>
        <w:br w:type="textWrapping"/>
      </w:r>
      <w:r>
        <w:rPr>
          <w:rFonts w:hint="eastAsia"/>
          <w:lang w:val="en-US" w:eastAsia="zh-CN"/>
        </w:rPr>
        <w:t>①采用高效单晶硅太阳能电池片，电池片效率达 20%以上;采用高强度，高</w:t>
      </w:r>
      <w:r>
        <w:rPr>
          <w:rFonts w:hint="eastAsia"/>
          <w:lang w:val="en-US" w:eastAsia="zh-CN"/>
        </w:rPr>
        <w:br w:type="textWrapping"/>
      </w:r>
      <w:r>
        <w:rPr>
          <w:rFonts w:hint="eastAsia"/>
          <w:lang w:val="en-US" w:eastAsia="zh-CN"/>
        </w:rPr>
        <w:t>透光率的低铁、绒面钢化玻璃，增加阳光辐射量,透光率 92%以上。</w:t>
      </w:r>
      <w:r>
        <w:rPr>
          <w:rFonts w:hint="eastAsia"/>
          <w:lang w:val="en-US" w:eastAsia="zh-CN"/>
        </w:rPr>
        <w:br w:type="textWrapping"/>
      </w:r>
      <w:r>
        <w:rPr>
          <w:rFonts w:hint="eastAsia"/>
          <w:lang w:val="en-US" w:eastAsia="zh-CN"/>
        </w:rPr>
        <w:t>②由抗老化的 EVA 树脂，耐候性优良的 TPT 复合膜层压而成。</w:t>
      </w:r>
      <w:r>
        <w:rPr>
          <w:rFonts w:hint="eastAsia"/>
          <w:lang w:val="en-US" w:eastAsia="zh-CN"/>
        </w:rPr>
        <w:br w:type="textWrapping"/>
      </w:r>
      <w:r>
        <w:rPr>
          <w:rFonts w:hint="eastAsia"/>
          <w:lang w:val="en-US" w:eastAsia="zh-CN"/>
        </w:rPr>
        <w:t>③使用寿命 25 年以上;衰减率;25 年&lt;20%。</w:t>
      </w:r>
      <w:r>
        <w:rPr>
          <w:rFonts w:hint="eastAsia"/>
          <w:lang w:val="en-US" w:eastAsia="zh-CN"/>
        </w:rPr>
        <w:br w:type="textWrapping"/>
      </w:r>
      <w:r>
        <w:rPr>
          <w:rFonts w:hint="eastAsia"/>
          <w:lang w:val="en-US" w:eastAsia="zh-CN"/>
        </w:rPr>
        <w:t>④阳极氧化铝边框，机械强度高，具有抗风，防雹防腐等性能。</w:t>
      </w:r>
      <w:r>
        <w:rPr>
          <w:rFonts w:hint="eastAsia"/>
          <w:lang w:val="en-US" w:eastAsia="zh-CN"/>
        </w:rPr>
        <w:br w:type="textWrapping"/>
      </w:r>
      <w:r>
        <w:rPr>
          <w:rFonts w:hint="eastAsia"/>
          <w:lang w:val="en-US" w:eastAsia="zh-CN"/>
        </w:rPr>
        <w:t>⑤输出采用密封防水，高可靠性多功能接线盒，可适应各种复杂恶劣气候</w:t>
      </w:r>
      <w:r>
        <w:rPr>
          <w:rFonts w:hint="eastAsia"/>
          <w:lang w:val="en-US" w:eastAsia="zh-CN"/>
        </w:rPr>
        <w:br w:type="textWrapping"/>
      </w:r>
      <w:r>
        <w:rPr>
          <w:rFonts w:hint="eastAsia"/>
          <w:lang w:val="en-US" w:eastAsia="zh-CN"/>
        </w:rPr>
        <w:t>条件下的使用。</w:t>
      </w:r>
      <w:r>
        <w:rPr>
          <w:rFonts w:hint="eastAsia"/>
          <w:lang w:val="en-US" w:eastAsia="zh-CN"/>
        </w:rPr>
        <w:br w:type="textWrapping"/>
      </w:r>
      <w:r>
        <w:rPr>
          <w:rFonts w:hint="eastAsia"/>
          <w:lang w:val="en-US" w:eastAsia="zh-CN"/>
        </w:rPr>
        <w:t>⑥接线盒内应安装两只以上防止热斑效应的旁路二极管。</w:t>
      </w:r>
      <w:r>
        <w:rPr>
          <w:rFonts w:hint="eastAsia"/>
          <w:lang w:val="en-US" w:eastAsia="zh-CN"/>
        </w:rPr>
        <w:br w:type="textWrapping"/>
      </w:r>
      <w:r>
        <w:rPr>
          <w:rFonts w:hint="eastAsia"/>
          <w:lang w:val="en-US" w:eastAsia="zh-CN"/>
        </w:rPr>
        <w:t>⑦连接端采用易操作的专用公母插头，使用安全，方便，可靠。</w:t>
      </w:r>
      <w:r>
        <w:rPr>
          <w:rFonts w:hint="eastAsia"/>
          <w:lang w:val="en-US" w:eastAsia="zh-CN"/>
        </w:rPr>
        <w:br w:type="textWrapping"/>
      </w:r>
      <w:r>
        <w:rPr>
          <w:rFonts w:hint="eastAsia"/>
          <w:lang w:val="en-US" w:eastAsia="zh-CN"/>
        </w:rPr>
        <w:t>⑧太阳能光伏连接器采用镀银接头。</w:t>
      </w:r>
      <w:r>
        <w:rPr>
          <w:rFonts w:hint="eastAsia"/>
          <w:lang w:val="en-US" w:eastAsia="zh-CN"/>
        </w:rPr>
        <w:br w:type="textWrapping"/>
      </w:r>
      <w:r>
        <w:rPr>
          <w:rFonts w:hint="eastAsia"/>
          <w:lang w:val="en-US" w:eastAsia="zh-CN"/>
        </w:rPr>
        <w:t>五、预埋件:M16 圆钢，对角 260mm*260mm,预埋件高度 600mm。</w:t>
      </w:r>
      <w:r>
        <w:rPr>
          <w:rFonts w:hint="eastAsia"/>
          <w:lang w:val="en-US" w:eastAsia="zh-CN"/>
        </w:rPr>
        <w:br w:type="textWrapping"/>
      </w:r>
      <w:r>
        <w:rPr>
          <w:rFonts w:hint="eastAsia"/>
          <w:lang w:val="en-US" w:eastAsia="zh-CN"/>
        </w:rPr>
        <w:t>六、基础安装：因施工地址特殊，详细参数需与村里沟通</w:t>
      </w:r>
    </w:p>
    <w:p w14:paraId="12227412">
      <w:pPr>
        <w:pStyle w:val="26"/>
        <w:rPr>
          <w:rFonts w:hint="eastAsia"/>
          <w:lang w:val="en-US" w:eastAsia="zh-CN"/>
        </w:rPr>
      </w:pPr>
    </w:p>
    <w:p w14:paraId="2F58DE79">
      <w:pPr>
        <w:numPr>
          <w:ilvl w:val="0"/>
          <w:numId w:val="0"/>
        </w:numPr>
        <w:snapToGrid w:val="0"/>
        <w:ind w:leftChars="0" w:right="-1" w:rightChars="0"/>
        <w:rPr>
          <w:rFonts w:hint="eastAsia" w:eastAsia="宋体"/>
          <w:color w:val="auto"/>
          <w:highlight w:val="none"/>
          <w:lang w:eastAsia="zh-CN"/>
        </w:rPr>
      </w:pPr>
      <w:r>
        <w:rPr>
          <w:rFonts w:hint="eastAsia" w:ascii="宋体" w:hAnsi="宋体"/>
          <w:b/>
          <w:color w:val="auto"/>
          <w:sz w:val="24"/>
          <w:highlight w:val="none"/>
        </w:rPr>
        <w:t>注：以上</w:t>
      </w:r>
      <w:r>
        <w:rPr>
          <w:rFonts w:hint="eastAsia" w:ascii="宋体" w:hAnsi="宋体"/>
          <w:b/>
          <w:color w:val="auto"/>
          <w:sz w:val="24"/>
          <w:highlight w:val="none"/>
          <w:lang w:val="en-US" w:eastAsia="zh-CN"/>
        </w:rPr>
        <w:t>服务及所提供货物</w:t>
      </w:r>
      <w:r>
        <w:rPr>
          <w:rFonts w:hint="eastAsia" w:ascii="宋体" w:hAnsi="宋体"/>
          <w:b/>
          <w:color w:val="auto"/>
          <w:sz w:val="24"/>
          <w:highlight w:val="none"/>
        </w:rPr>
        <w:t>符合国家及行业现行标准。进入报价环节且出价的意向供应商即视为完全同意并响应采购公告、采购文件的全部内容，无任何负偏离。成交供应商所供</w:t>
      </w:r>
      <w:r>
        <w:rPr>
          <w:rFonts w:hint="eastAsia" w:ascii="宋体" w:hAnsi="宋体"/>
          <w:b/>
          <w:color w:val="auto"/>
          <w:sz w:val="24"/>
          <w:highlight w:val="none"/>
          <w:lang w:val="en-US" w:eastAsia="zh-CN"/>
        </w:rPr>
        <w:t>服务</w:t>
      </w:r>
      <w:r>
        <w:rPr>
          <w:rFonts w:hint="eastAsia" w:ascii="宋体" w:hAnsi="宋体"/>
          <w:b/>
          <w:color w:val="auto"/>
          <w:sz w:val="24"/>
          <w:highlight w:val="none"/>
        </w:rPr>
        <w:t>必须实质性满足采购公告、采购文件的全部需求，若不满足上述要求，其采购保证金将不予退还并作为违约金，代理机构留取成交服务费后，剩余部分违约金转至采购人指定账户。采购人可依次对报价次低的供应商进行审核，如果符合条件可将其确定为成交供应商，以此类推</w:t>
      </w:r>
      <w:r>
        <w:rPr>
          <w:rFonts w:hint="eastAsia" w:ascii="宋体" w:hAnsi="宋体"/>
          <w:b/>
          <w:color w:val="auto"/>
          <w:sz w:val="24"/>
          <w:highlight w:val="none"/>
          <w:lang w:eastAsia="zh-CN"/>
        </w:rPr>
        <w:t>，</w:t>
      </w:r>
      <w:r>
        <w:rPr>
          <w:rFonts w:hint="eastAsia" w:ascii="宋体" w:hAnsi="宋体"/>
          <w:b/>
          <w:color w:val="auto"/>
          <w:sz w:val="24"/>
          <w:highlight w:val="none"/>
          <w:lang w:val="en-US" w:eastAsia="zh-CN"/>
        </w:rPr>
        <w:t>也可重新组织采购</w:t>
      </w:r>
      <w:r>
        <w:rPr>
          <w:rFonts w:hint="eastAsia" w:ascii="宋体" w:hAnsi="宋体"/>
          <w:b/>
          <w:color w:val="auto"/>
          <w:sz w:val="24"/>
          <w:highlight w:val="none"/>
        </w:rPr>
        <w:t>。若未按采购文件要求或未完全满足采购文件要求的，将会列入采购人诚信评价体系。对意向供应商失信行为的惩戒措施按采购人企业管理制度及</w:t>
      </w:r>
      <w:r>
        <w:rPr>
          <w:rFonts w:hint="eastAsia" w:ascii="宋体" w:hAnsi="宋体"/>
          <w:b/>
          <w:color w:val="auto"/>
          <w:sz w:val="24"/>
          <w:highlight w:val="none"/>
          <w:lang w:eastAsia="zh-CN"/>
        </w:rPr>
        <w:t>黑龙江农村产权交易中心</w:t>
      </w:r>
      <w:r>
        <w:rPr>
          <w:rFonts w:hint="eastAsia" w:ascii="宋体" w:hAnsi="宋体"/>
          <w:b/>
          <w:color w:val="auto"/>
          <w:sz w:val="24"/>
          <w:highlight w:val="none"/>
        </w:rPr>
        <w:t>的相关规定执行</w:t>
      </w:r>
      <w:r>
        <w:rPr>
          <w:rFonts w:hint="eastAsia" w:ascii="宋体" w:hAnsi="宋体"/>
          <w:b/>
          <w:color w:val="auto"/>
          <w:sz w:val="24"/>
          <w:highlight w:val="none"/>
          <w:lang w:eastAsia="zh-CN"/>
        </w:rPr>
        <w:t>。</w:t>
      </w:r>
    </w:p>
    <w:p w14:paraId="015A25D4">
      <w:pPr>
        <w:numPr>
          <w:ilvl w:val="0"/>
          <w:numId w:val="0"/>
        </w:numPr>
        <w:snapToGrid w:val="0"/>
        <w:ind w:leftChars="0" w:right="-1" w:rightChars="0"/>
        <w:rPr>
          <w:rFonts w:hint="eastAsia" w:eastAsia="宋体"/>
          <w:color w:val="auto"/>
          <w:highlight w:val="none"/>
          <w:lang w:eastAsia="zh-CN"/>
        </w:rPr>
      </w:pPr>
    </w:p>
    <w:bookmarkEnd w:id="116"/>
    <w:bookmarkEnd w:id="117"/>
    <w:bookmarkEnd w:id="118"/>
    <w:bookmarkEnd w:id="119"/>
    <w:bookmarkEnd w:id="120"/>
    <w:p w14:paraId="2FD9194A">
      <w:pPr>
        <w:tabs>
          <w:tab w:val="right" w:pos="8787"/>
        </w:tabs>
        <w:rPr>
          <w:rFonts w:hint="eastAsia" w:ascii="宋体" w:hAnsi="宋体" w:eastAsia="宋体"/>
          <w:color w:val="auto"/>
          <w:highlight w:val="none"/>
          <w:lang w:eastAsia="zh-CN"/>
        </w:rPr>
        <w:sectPr>
          <w:pgSz w:w="11906" w:h="16838"/>
          <w:pgMar w:top="1701" w:right="1418" w:bottom="1135" w:left="1701" w:header="1091" w:footer="629" w:gutter="0"/>
          <w:pgNumType w:fmt="decimal"/>
          <w:cols w:space="425" w:num="1"/>
          <w:docGrid w:linePitch="312" w:charSpace="0"/>
        </w:sectPr>
      </w:pPr>
    </w:p>
    <w:p w14:paraId="3358C67A">
      <w:pPr>
        <w:spacing w:before="120" w:after="120"/>
        <w:jc w:val="center"/>
        <w:outlineLvl w:val="0"/>
        <w:rPr>
          <w:rFonts w:hint="eastAsia" w:ascii="宋体" w:hAnsi="宋体" w:eastAsia="宋体" w:cs="Times New Roman"/>
          <w:b/>
          <w:color w:val="auto"/>
          <w:sz w:val="32"/>
          <w:szCs w:val="32"/>
          <w:highlight w:val="none"/>
        </w:rPr>
        <w:sectPr>
          <w:pgSz w:w="11906" w:h="16838"/>
          <w:pgMar w:top="1701" w:right="1418" w:bottom="1418" w:left="1701" w:header="1091" w:footer="753" w:gutter="0"/>
          <w:pgNumType w:fmt="decimal"/>
          <w:cols w:space="425" w:num="1"/>
          <w:docGrid w:linePitch="312" w:charSpace="0"/>
        </w:sectPr>
      </w:pPr>
      <w:bookmarkStart w:id="123" w:name="_Toc18584"/>
      <w:bookmarkStart w:id="124" w:name="_Toc13122"/>
      <w:r>
        <w:rPr>
          <w:rFonts w:hint="eastAsia" w:ascii="宋体" w:hAnsi="宋体" w:eastAsia="宋体" w:cs="Times New Roman"/>
          <w:b/>
          <w:color w:val="auto"/>
          <w:sz w:val="32"/>
          <w:szCs w:val="32"/>
          <w:highlight w:val="none"/>
        </w:rPr>
        <w:t>第</w:t>
      </w:r>
      <w:r>
        <w:rPr>
          <w:rFonts w:hint="eastAsia" w:ascii="宋体" w:hAnsi="宋体" w:eastAsia="宋体" w:cs="Times New Roman"/>
          <w:b/>
          <w:color w:val="auto"/>
          <w:sz w:val="32"/>
          <w:szCs w:val="32"/>
          <w:highlight w:val="none"/>
          <w:lang w:val="en-US" w:eastAsia="zh-CN"/>
        </w:rPr>
        <w:t>五</w:t>
      </w:r>
      <w:r>
        <w:rPr>
          <w:rFonts w:hint="eastAsia" w:ascii="宋体" w:hAnsi="宋体" w:eastAsia="宋体" w:cs="Times New Roman"/>
          <w:b/>
          <w:color w:val="auto"/>
          <w:sz w:val="32"/>
          <w:szCs w:val="32"/>
          <w:highlight w:val="none"/>
        </w:rPr>
        <w:t>章  供应商竞价指南</w:t>
      </w:r>
      <w:bookmarkEnd w:id="123"/>
      <w:bookmarkEnd w:id="124"/>
    </w:p>
    <w:p w14:paraId="10A5A3BA">
      <w:pPr>
        <w:pStyle w:val="2"/>
        <w:rPr>
          <w:color w:val="auto"/>
          <w:highlight w:val="none"/>
        </w:rPr>
      </w:pPr>
    </w:p>
    <w:p w14:paraId="47F4960A">
      <w:pPr>
        <w:jc w:val="center"/>
        <w:rPr>
          <w:rFonts w:ascii="宋体" w:hAnsi="宋体" w:cs="宋体"/>
          <w:b/>
          <w:color w:val="auto"/>
          <w:sz w:val="44"/>
          <w:szCs w:val="44"/>
          <w:highlight w:val="none"/>
        </w:rPr>
      </w:pPr>
      <w:r>
        <w:rPr>
          <w:rFonts w:hint="eastAsia" w:ascii="宋体" w:hAnsi="宋体" w:cs="宋体"/>
          <w:b/>
          <w:color w:val="auto"/>
          <w:sz w:val="44"/>
          <w:szCs w:val="44"/>
          <w:highlight w:val="none"/>
        </w:rPr>
        <w:t>供应商竞价指南</w:t>
      </w:r>
    </w:p>
    <w:p w14:paraId="54542D30">
      <w:pPr>
        <w:pStyle w:val="2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Microsoft YaHei UI" w:hAnsi="Microsoft YaHei UI" w:eastAsia="Microsoft YaHei UI" w:cs="Microsoft YaHei UI"/>
          <w:i w:val="0"/>
          <w:iCs w:val="0"/>
          <w:caps w:val="0"/>
          <w:color w:val="auto"/>
          <w:spacing w:val="8"/>
          <w:sz w:val="25"/>
          <w:szCs w:val="25"/>
          <w:highlight w:val="none"/>
        </w:rPr>
      </w:pPr>
      <w:r>
        <w:rPr>
          <w:rFonts w:hint="eastAsia" w:ascii="宋体" w:hAnsi="宋体" w:eastAsia="宋体" w:cs="Times New Roman"/>
          <w:color w:val="auto"/>
          <w:kern w:val="2"/>
          <w:sz w:val="24"/>
          <w:szCs w:val="24"/>
          <w:highlight w:val="none"/>
          <w:lang w:val="en-US" w:eastAsia="zh-CN" w:bidi="ar-SA"/>
        </w:rPr>
        <w:t>第一步：在竞价开始后可以进入竞价大厅，在电子竞价-个人中心-我竞价的项目中找到你要竞价的项目。</w:t>
      </w:r>
    </w:p>
    <w:p w14:paraId="3176CA43">
      <w:pPr>
        <w:pStyle w:val="2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Microsoft YaHei UI" w:hAnsi="Microsoft YaHei UI" w:eastAsia="Microsoft YaHei UI" w:cs="Microsoft YaHei UI"/>
          <w:i w:val="0"/>
          <w:iCs w:val="0"/>
          <w:caps w:val="0"/>
          <w:color w:val="auto"/>
          <w:spacing w:val="8"/>
          <w:sz w:val="25"/>
          <w:szCs w:val="25"/>
          <w:highlight w:val="none"/>
        </w:rPr>
      </w:pPr>
      <w:r>
        <w:rPr>
          <w:rFonts w:hint="eastAsia" w:ascii="Microsoft YaHei UI" w:hAnsi="Microsoft YaHei UI" w:eastAsia="Microsoft YaHei UI" w:cs="Microsoft YaHei UI"/>
          <w:i w:val="0"/>
          <w:iCs w:val="0"/>
          <w:caps w:val="0"/>
          <w:color w:val="auto"/>
          <w:spacing w:val="8"/>
          <w:sz w:val="25"/>
          <w:szCs w:val="25"/>
          <w:highlight w:val="none"/>
          <w:lang w:val="en-US" w:eastAsia="zh-CN"/>
        </w:rPr>
        <w:drawing>
          <wp:inline distT="0" distB="0" distL="114300" distR="114300">
            <wp:extent cx="5572760" cy="3051810"/>
            <wp:effectExtent l="0" t="0" r="8890" b="15240"/>
            <wp:docPr id="8" name="图片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
                    <pic:cNvPicPr>
                      <a:picLocks noChangeAspect="1"/>
                    </pic:cNvPicPr>
                  </pic:nvPicPr>
                  <pic:blipFill>
                    <a:blip r:embed="rId17"/>
                    <a:stretch>
                      <a:fillRect/>
                    </a:stretch>
                  </pic:blipFill>
                  <pic:spPr>
                    <a:xfrm>
                      <a:off x="0" y="0"/>
                      <a:ext cx="5572760" cy="3051810"/>
                    </a:xfrm>
                    <a:prstGeom prst="rect">
                      <a:avLst/>
                    </a:prstGeom>
                  </pic:spPr>
                </pic:pic>
              </a:graphicData>
            </a:graphic>
          </wp:inline>
        </w:drawing>
      </w:r>
    </w:p>
    <w:p w14:paraId="3BB12A9D">
      <w:pPr>
        <w:pStyle w:val="2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第二步：</w:t>
      </w:r>
      <w:r>
        <w:rPr>
          <w:rFonts w:hint="eastAsia" w:ascii="宋体" w:hAnsi="宋体" w:eastAsia="宋体" w:cs="Times New Roman"/>
          <w:color w:val="auto"/>
          <w:kern w:val="2"/>
          <w:sz w:val="24"/>
          <w:szCs w:val="24"/>
          <w:highlight w:val="none"/>
          <w:lang w:val="en-US" w:eastAsia="zh-CN" w:bidi="ar-SA"/>
        </w:rPr>
        <w:t>进入竞价大厅后，可以按照有关内容出价。</w:t>
      </w:r>
    </w:p>
    <w:p w14:paraId="5E63BADC">
      <w:pPr>
        <w:rPr>
          <w:rFonts w:ascii="宋体" w:hAnsi="宋体" w:cs="宋体"/>
          <w:color w:val="auto"/>
          <w:highlight w:val="none"/>
        </w:rPr>
      </w:pPr>
      <w:r>
        <w:rPr>
          <w:rFonts w:hint="eastAsia" w:ascii="Microsoft YaHei UI" w:hAnsi="Microsoft YaHei UI" w:eastAsia="Microsoft YaHei UI" w:cs="Microsoft YaHei UI"/>
          <w:i w:val="0"/>
          <w:iCs w:val="0"/>
          <w:caps w:val="0"/>
          <w:color w:val="auto"/>
          <w:spacing w:val="8"/>
          <w:sz w:val="25"/>
          <w:szCs w:val="25"/>
          <w:highlight w:val="none"/>
          <w:lang w:eastAsia="zh-CN"/>
        </w:rPr>
        <w:drawing>
          <wp:inline distT="0" distB="0" distL="114300" distR="114300">
            <wp:extent cx="5562600" cy="2319655"/>
            <wp:effectExtent l="0" t="0" r="0" b="4445"/>
            <wp:docPr id="11" name="图片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
                    <pic:cNvPicPr>
                      <a:picLocks noChangeAspect="1"/>
                    </pic:cNvPicPr>
                  </pic:nvPicPr>
                  <pic:blipFill>
                    <a:blip r:embed="rId18"/>
                    <a:stretch>
                      <a:fillRect/>
                    </a:stretch>
                  </pic:blipFill>
                  <pic:spPr>
                    <a:xfrm>
                      <a:off x="0" y="0"/>
                      <a:ext cx="5562600" cy="2319655"/>
                    </a:xfrm>
                    <a:prstGeom prst="rect">
                      <a:avLst/>
                    </a:prstGeom>
                  </pic:spPr>
                </pic:pic>
              </a:graphicData>
            </a:graphic>
          </wp:inline>
        </w:drawing>
      </w:r>
    </w:p>
    <w:p w14:paraId="55F40C5A">
      <w:pPr>
        <w:rPr>
          <w:color w:val="auto"/>
          <w:highlight w:val="none"/>
        </w:rPr>
      </w:pPr>
      <w:r>
        <w:rPr>
          <w:color w:val="auto"/>
          <w:highlight w:val="none"/>
        </w:rPr>
        <w:br w:type="page"/>
      </w:r>
    </w:p>
    <w:p w14:paraId="06388429">
      <w:pPr>
        <w:spacing w:before="120" w:after="120"/>
        <w:jc w:val="center"/>
        <w:outlineLvl w:val="0"/>
        <w:rPr>
          <w:rFonts w:hint="eastAsia" w:ascii="宋体" w:hAnsi="宋体" w:eastAsia="宋体" w:cs="Times New Roman"/>
          <w:b/>
          <w:color w:val="auto"/>
          <w:sz w:val="32"/>
          <w:szCs w:val="32"/>
          <w:highlight w:val="none"/>
        </w:rPr>
      </w:pPr>
      <w:bookmarkStart w:id="125" w:name="_Toc18012"/>
      <w:bookmarkStart w:id="126" w:name="_Toc2505"/>
      <w:r>
        <w:rPr>
          <w:rFonts w:hint="eastAsia" w:ascii="宋体" w:hAnsi="宋体" w:eastAsia="宋体" w:cs="Times New Roman"/>
          <w:b/>
          <w:color w:val="auto"/>
          <w:sz w:val="32"/>
          <w:szCs w:val="32"/>
          <w:highlight w:val="none"/>
          <w:lang w:val="en-US" w:eastAsia="zh-CN"/>
        </w:rPr>
        <w:t>第</w:t>
      </w:r>
      <w:r>
        <w:rPr>
          <w:rFonts w:hint="eastAsia" w:ascii="宋体" w:hAnsi="宋体" w:cs="Times New Roman"/>
          <w:b/>
          <w:color w:val="auto"/>
          <w:sz w:val="32"/>
          <w:szCs w:val="32"/>
          <w:highlight w:val="none"/>
          <w:lang w:val="en-US" w:eastAsia="zh-CN"/>
        </w:rPr>
        <w:t>六</w:t>
      </w:r>
      <w:r>
        <w:rPr>
          <w:rFonts w:hint="eastAsia" w:ascii="宋体" w:hAnsi="宋体" w:eastAsia="宋体" w:cs="Times New Roman"/>
          <w:b/>
          <w:color w:val="auto"/>
          <w:sz w:val="32"/>
          <w:szCs w:val="32"/>
          <w:highlight w:val="none"/>
          <w:lang w:val="en-US" w:eastAsia="zh-CN"/>
        </w:rPr>
        <w:t xml:space="preserve">章 </w:t>
      </w:r>
      <w:r>
        <w:rPr>
          <w:rFonts w:hint="eastAsia" w:ascii="宋体" w:hAnsi="宋体" w:eastAsia="宋体" w:cs="Times New Roman"/>
          <w:b/>
          <w:color w:val="auto"/>
          <w:sz w:val="32"/>
          <w:szCs w:val="32"/>
          <w:highlight w:val="none"/>
        </w:rPr>
        <w:t>开具</w:t>
      </w:r>
      <w:r>
        <w:rPr>
          <w:rFonts w:hint="eastAsia" w:ascii="宋体" w:hAnsi="宋体" w:eastAsia="宋体" w:cs="Times New Roman"/>
          <w:b/>
          <w:color w:val="auto"/>
          <w:sz w:val="32"/>
          <w:szCs w:val="32"/>
          <w:highlight w:val="none"/>
          <w:lang w:val="en-US" w:eastAsia="zh-CN"/>
        </w:rPr>
        <w:t>服务</w:t>
      </w:r>
      <w:r>
        <w:rPr>
          <w:rFonts w:hint="eastAsia" w:ascii="宋体" w:hAnsi="宋体" w:eastAsia="宋体" w:cs="Times New Roman"/>
          <w:b/>
          <w:color w:val="auto"/>
          <w:sz w:val="32"/>
          <w:szCs w:val="32"/>
          <w:highlight w:val="none"/>
        </w:rPr>
        <w:t>费发票所需信息</w:t>
      </w:r>
      <w:bookmarkEnd w:id="125"/>
      <w:bookmarkEnd w:id="126"/>
    </w:p>
    <w:p w14:paraId="47EF01D1">
      <w:pPr>
        <w:ind w:right="386" w:rightChars="184"/>
        <w:jc w:val="left"/>
        <w:rPr>
          <w:b/>
          <w:color w:val="auto"/>
          <w:sz w:val="24"/>
          <w:highlight w:val="none"/>
        </w:rPr>
      </w:pPr>
      <w:r>
        <w:rPr>
          <w:rFonts w:hint="eastAsia"/>
          <w:b/>
          <w:color w:val="auto"/>
          <w:sz w:val="24"/>
          <w:highlight w:val="none"/>
        </w:rPr>
        <w:t>注：</w:t>
      </w:r>
      <w:r>
        <w:rPr>
          <w:rFonts w:hint="eastAsia"/>
          <w:b/>
          <w:color w:val="auto"/>
          <w:sz w:val="24"/>
          <w:highlight w:val="none"/>
          <w:lang w:val="en-US" w:eastAsia="zh-CN"/>
        </w:rPr>
        <w:t>成交</w:t>
      </w:r>
      <w:r>
        <w:rPr>
          <w:rFonts w:hint="eastAsia"/>
          <w:b/>
          <w:color w:val="auto"/>
          <w:sz w:val="24"/>
          <w:highlight w:val="none"/>
        </w:rPr>
        <w:t>供应商请在</w:t>
      </w:r>
      <w:r>
        <w:rPr>
          <w:rFonts w:hint="eastAsia"/>
          <w:b/>
          <w:color w:val="auto"/>
          <w:sz w:val="24"/>
          <w:highlight w:val="none"/>
          <w:lang w:val="en-US" w:eastAsia="zh-CN"/>
        </w:rPr>
        <w:t>成交</w:t>
      </w:r>
      <w:r>
        <w:rPr>
          <w:rFonts w:hint="eastAsia"/>
          <w:b/>
          <w:color w:val="auto"/>
          <w:sz w:val="24"/>
          <w:highlight w:val="none"/>
        </w:rPr>
        <w:t>后，将以下开票信息表电子版发送至指定邮箱。</w:t>
      </w:r>
    </w:p>
    <w:p w14:paraId="2BC2FCED">
      <w:pPr>
        <w:jc w:val="left"/>
        <w:rPr>
          <w:b/>
          <w:color w:val="auto"/>
          <w:sz w:val="24"/>
          <w:highlight w:val="none"/>
        </w:rPr>
      </w:pPr>
    </w:p>
    <w:tbl>
      <w:tblPr>
        <w:tblStyle w:val="27"/>
        <w:tblW w:w="8364" w:type="dxa"/>
        <w:tblInd w:w="108" w:type="dxa"/>
        <w:tblLayout w:type="fixed"/>
        <w:tblCellMar>
          <w:top w:w="0" w:type="dxa"/>
          <w:left w:w="108" w:type="dxa"/>
          <w:bottom w:w="0" w:type="dxa"/>
          <w:right w:w="108" w:type="dxa"/>
        </w:tblCellMar>
      </w:tblPr>
      <w:tblGrid>
        <w:gridCol w:w="1080"/>
        <w:gridCol w:w="1785"/>
        <w:gridCol w:w="1233"/>
        <w:gridCol w:w="4266"/>
      </w:tblGrid>
      <w:tr w14:paraId="06E3632C">
        <w:tblPrEx>
          <w:tblCellMar>
            <w:top w:w="0" w:type="dxa"/>
            <w:left w:w="108" w:type="dxa"/>
            <w:bottom w:w="0" w:type="dxa"/>
            <w:right w:w="108" w:type="dxa"/>
          </w:tblCellMar>
        </w:tblPrEx>
        <w:trPr>
          <w:trHeight w:val="443" w:hRule="atLeast"/>
        </w:trPr>
        <w:tc>
          <w:tcPr>
            <w:tcW w:w="1080" w:type="dxa"/>
            <w:tcBorders>
              <w:top w:val="single" w:color="auto" w:sz="4" w:space="0"/>
              <w:left w:val="single" w:color="auto" w:sz="4" w:space="0"/>
              <w:bottom w:val="single" w:color="auto" w:sz="4" w:space="0"/>
              <w:right w:val="single" w:color="auto" w:sz="4" w:space="0"/>
            </w:tcBorders>
            <w:vAlign w:val="center"/>
          </w:tcPr>
          <w:p w14:paraId="0345DD6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项目编号</w:t>
            </w:r>
          </w:p>
        </w:tc>
        <w:tc>
          <w:tcPr>
            <w:tcW w:w="1785" w:type="dxa"/>
            <w:tcBorders>
              <w:top w:val="single" w:color="auto" w:sz="4" w:space="0"/>
              <w:left w:val="nil"/>
              <w:bottom w:val="single" w:color="auto" w:sz="4" w:space="0"/>
              <w:right w:val="single" w:color="auto" w:sz="4" w:space="0"/>
            </w:tcBorders>
            <w:vAlign w:val="center"/>
          </w:tcPr>
          <w:p w14:paraId="3415F19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JXSJGQ_CQ_2025_S_0784</w:t>
            </w:r>
          </w:p>
        </w:tc>
        <w:tc>
          <w:tcPr>
            <w:tcW w:w="1233" w:type="dxa"/>
            <w:tcBorders>
              <w:top w:val="single" w:color="auto" w:sz="4" w:space="0"/>
              <w:left w:val="nil"/>
              <w:bottom w:val="single" w:color="auto" w:sz="4" w:space="0"/>
              <w:right w:val="single" w:color="auto" w:sz="4" w:space="0"/>
            </w:tcBorders>
            <w:vAlign w:val="center"/>
          </w:tcPr>
          <w:p w14:paraId="3E04334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项目名称</w:t>
            </w:r>
          </w:p>
        </w:tc>
        <w:tc>
          <w:tcPr>
            <w:tcW w:w="4266" w:type="dxa"/>
            <w:tcBorders>
              <w:top w:val="single" w:color="auto" w:sz="4" w:space="0"/>
              <w:left w:val="nil"/>
              <w:bottom w:val="single" w:color="auto" w:sz="4" w:space="0"/>
              <w:right w:val="single" w:color="auto" w:sz="4" w:space="0"/>
            </w:tcBorders>
            <w:vAlign w:val="center"/>
          </w:tcPr>
          <w:p w14:paraId="26EB4D8C">
            <w:pPr>
              <w:widowControl/>
              <w:jc w:val="left"/>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kern w:val="0"/>
                <w:sz w:val="20"/>
                <w:szCs w:val="20"/>
                <w:highlight w:val="none"/>
                <w:lang w:eastAsia="zh-CN"/>
              </w:rPr>
              <w:t>鸡西市鸡冠区西郊乡三合村股份经济合作社</w:t>
            </w:r>
            <w:r>
              <w:rPr>
                <w:rFonts w:hint="eastAsia" w:ascii="宋体" w:hAnsi="宋体" w:eastAsia="宋体" w:cs="宋体"/>
                <w:color w:val="auto"/>
                <w:kern w:val="0"/>
                <w:sz w:val="20"/>
                <w:szCs w:val="20"/>
                <w:highlight w:val="none"/>
                <w:lang w:val="en-US" w:eastAsia="zh-CN"/>
              </w:rPr>
              <w:t>太阳能</w:t>
            </w:r>
            <w:r>
              <w:rPr>
                <w:rFonts w:hint="eastAsia" w:ascii="宋体" w:hAnsi="宋体" w:eastAsia="宋体" w:cs="宋体"/>
                <w:color w:val="auto"/>
                <w:kern w:val="0"/>
                <w:sz w:val="20"/>
                <w:szCs w:val="20"/>
                <w:highlight w:val="none"/>
                <w:lang w:eastAsia="zh-CN"/>
              </w:rPr>
              <w:t>路灯采购及安装项目</w:t>
            </w:r>
          </w:p>
        </w:tc>
      </w:tr>
      <w:tr w14:paraId="4F2939C3">
        <w:tblPrEx>
          <w:tblCellMar>
            <w:top w:w="0" w:type="dxa"/>
            <w:left w:w="108" w:type="dxa"/>
            <w:bottom w:w="0" w:type="dxa"/>
            <w:right w:w="108" w:type="dxa"/>
          </w:tblCellMar>
        </w:tblPrEx>
        <w:trPr>
          <w:trHeight w:val="420" w:hRule="atLeast"/>
        </w:trPr>
        <w:tc>
          <w:tcPr>
            <w:tcW w:w="1080" w:type="dxa"/>
            <w:tcBorders>
              <w:top w:val="nil"/>
              <w:left w:val="single" w:color="auto" w:sz="4" w:space="0"/>
              <w:bottom w:val="single" w:color="auto" w:sz="4" w:space="0"/>
              <w:right w:val="single" w:color="auto" w:sz="4" w:space="0"/>
            </w:tcBorders>
            <w:vAlign w:val="center"/>
          </w:tcPr>
          <w:p w14:paraId="79C4730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资金用途</w:t>
            </w:r>
          </w:p>
        </w:tc>
        <w:tc>
          <w:tcPr>
            <w:tcW w:w="1785" w:type="dxa"/>
            <w:tcBorders>
              <w:top w:val="nil"/>
              <w:left w:val="nil"/>
              <w:bottom w:val="single" w:color="auto" w:sz="4" w:space="0"/>
              <w:right w:val="single" w:color="auto" w:sz="4" w:space="0"/>
            </w:tcBorders>
            <w:noWrap/>
            <w:vAlign w:val="bottom"/>
          </w:tcPr>
          <w:p w14:paraId="5B19E845">
            <w:pPr>
              <w:widowControl/>
              <w:jc w:val="both"/>
              <w:rPr>
                <w:rFonts w:hint="eastAsia" w:ascii="等线" w:hAnsi="等线" w:eastAsia="宋体" w:cs="宋体"/>
                <w:color w:val="auto"/>
                <w:kern w:val="0"/>
                <w:sz w:val="22"/>
                <w:szCs w:val="22"/>
                <w:highlight w:val="none"/>
                <w:lang w:eastAsia="zh-CN"/>
              </w:rPr>
            </w:pPr>
            <w:r>
              <w:rPr>
                <w:rFonts w:hint="default" w:ascii="宋体" w:hAnsi="宋体" w:cs="宋体"/>
                <w:color w:val="auto"/>
                <w:kern w:val="0"/>
                <w:sz w:val="20"/>
                <w:szCs w:val="20"/>
                <w:highlight w:val="none"/>
                <w:lang w:val="en-US"/>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9525" cy="9525"/>
                  <wp:effectExtent l="0" t="0" r="0" b="0"/>
                  <wp:wrapNone/>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19"/>
                          <a:stretch>
                            <a:fillRect/>
                          </a:stretch>
                        </pic:blipFill>
                        <pic:spPr>
                          <a:xfrm>
                            <a:off x="0" y="0"/>
                            <a:ext cx="9525" cy="9525"/>
                          </a:xfrm>
                          <a:prstGeom prst="rect">
                            <a:avLst/>
                          </a:prstGeom>
                          <a:noFill/>
                          <a:ln>
                            <a:noFill/>
                          </a:ln>
                        </pic:spPr>
                      </pic:pic>
                    </a:graphicData>
                  </a:graphic>
                </wp:anchor>
              </w:drawing>
            </w:r>
            <w:r>
              <w:rPr>
                <w:rFonts w:hint="default" w:ascii="宋体" w:hAnsi="宋体" w:cs="宋体"/>
                <w:color w:val="auto"/>
                <w:kern w:val="0"/>
                <w:sz w:val="20"/>
                <w:szCs w:val="20"/>
                <w:highlight w:val="none"/>
                <w:lang w:val="en-US"/>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9525" cy="9525"/>
                  <wp:effectExtent l="0" t="0" r="0" b="0"/>
                  <wp:wrapNone/>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9"/>
                          <a:stretch>
                            <a:fillRect/>
                          </a:stretch>
                        </pic:blipFill>
                        <pic:spPr>
                          <a:xfrm>
                            <a:off x="0" y="0"/>
                            <a:ext cx="9525" cy="9525"/>
                          </a:xfrm>
                          <a:prstGeom prst="rect">
                            <a:avLst/>
                          </a:prstGeom>
                          <a:noFill/>
                          <a:ln>
                            <a:noFill/>
                          </a:ln>
                        </pic:spPr>
                      </pic:pic>
                    </a:graphicData>
                  </a:graphic>
                </wp:anchor>
              </w:drawing>
            </w:r>
            <w:r>
              <w:rPr>
                <w:rFonts w:hint="eastAsia" w:ascii="宋体" w:hAnsi="宋体" w:cs="宋体"/>
                <w:color w:val="auto"/>
                <w:kern w:val="0"/>
                <w:sz w:val="20"/>
                <w:szCs w:val="20"/>
                <w:highlight w:val="none"/>
                <w:lang w:val="en-US" w:eastAsia="zh-CN"/>
              </w:rPr>
              <w:t>服务费</w:t>
            </w:r>
          </w:p>
        </w:tc>
        <w:tc>
          <w:tcPr>
            <w:tcW w:w="1233" w:type="dxa"/>
            <w:tcBorders>
              <w:top w:val="nil"/>
              <w:left w:val="single" w:color="auto" w:sz="4" w:space="0"/>
              <w:bottom w:val="single" w:color="auto" w:sz="4" w:space="0"/>
              <w:right w:val="single" w:color="auto" w:sz="4" w:space="0"/>
            </w:tcBorders>
            <w:vAlign w:val="center"/>
          </w:tcPr>
          <w:p w14:paraId="64EDD33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交易类别</w:t>
            </w:r>
          </w:p>
        </w:tc>
        <w:tc>
          <w:tcPr>
            <w:tcW w:w="4266" w:type="dxa"/>
            <w:tcBorders>
              <w:top w:val="nil"/>
              <w:left w:val="nil"/>
              <w:bottom w:val="single" w:color="auto" w:sz="4" w:space="0"/>
              <w:right w:val="single" w:color="auto" w:sz="4" w:space="0"/>
            </w:tcBorders>
            <w:vAlign w:val="center"/>
          </w:tcPr>
          <w:p w14:paraId="47BB348C">
            <w:pPr>
              <w:widowControl/>
              <w:jc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服务费</w:t>
            </w:r>
          </w:p>
        </w:tc>
      </w:tr>
      <w:tr w14:paraId="50C38CFC">
        <w:tblPrEx>
          <w:tblCellMar>
            <w:top w:w="0" w:type="dxa"/>
            <w:left w:w="108" w:type="dxa"/>
            <w:bottom w:w="0" w:type="dxa"/>
            <w:right w:w="108" w:type="dxa"/>
          </w:tblCellMar>
        </w:tblPrEx>
        <w:trPr>
          <w:trHeight w:val="420" w:hRule="atLeast"/>
        </w:trPr>
        <w:tc>
          <w:tcPr>
            <w:tcW w:w="1080" w:type="dxa"/>
            <w:vMerge w:val="restart"/>
            <w:tcBorders>
              <w:top w:val="nil"/>
              <w:left w:val="single" w:color="auto" w:sz="4" w:space="0"/>
              <w:bottom w:val="single" w:color="auto" w:sz="4" w:space="0"/>
              <w:right w:val="single" w:color="auto" w:sz="4" w:space="0"/>
            </w:tcBorders>
            <w:vAlign w:val="center"/>
          </w:tcPr>
          <w:p w14:paraId="7525B71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开票信息</w:t>
            </w:r>
          </w:p>
        </w:tc>
        <w:tc>
          <w:tcPr>
            <w:tcW w:w="1785" w:type="dxa"/>
            <w:tcBorders>
              <w:top w:val="nil"/>
              <w:left w:val="nil"/>
              <w:bottom w:val="single" w:color="auto" w:sz="4" w:space="0"/>
              <w:right w:val="single" w:color="auto" w:sz="4" w:space="0"/>
            </w:tcBorders>
            <w:vAlign w:val="center"/>
          </w:tcPr>
          <w:p w14:paraId="0E0C9CD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lang w:val="en-US" w:eastAsia="zh-CN"/>
              </w:rPr>
              <w:t>服务费缴纳方式及时间</w:t>
            </w:r>
          </w:p>
        </w:tc>
        <w:tc>
          <w:tcPr>
            <w:tcW w:w="5499" w:type="dxa"/>
            <w:gridSpan w:val="2"/>
            <w:tcBorders>
              <w:top w:val="single" w:color="auto" w:sz="4" w:space="0"/>
              <w:left w:val="nil"/>
              <w:bottom w:val="single" w:color="auto" w:sz="4" w:space="0"/>
              <w:right w:val="single" w:color="auto" w:sz="4" w:space="0"/>
            </w:tcBorders>
            <w:vAlign w:val="center"/>
          </w:tcPr>
          <w:p w14:paraId="75727C63">
            <w:pPr>
              <w:widowControl/>
              <w:jc w:val="left"/>
              <w:rPr>
                <w:rFonts w:hint="eastAsia"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单独缴纳/服务费从保证金内扣除</w:t>
            </w:r>
          </w:p>
          <w:p w14:paraId="4FEE26E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lang w:val="en-US" w:eastAsia="zh-CN"/>
              </w:rPr>
              <w:t>缴纳时间：</w:t>
            </w:r>
          </w:p>
        </w:tc>
      </w:tr>
      <w:tr w14:paraId="150F2F75">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482E1B4C">
            <w:pPr>
              <w:widowControl/>
              <w:jc w:val="left"/>
              <w:rPr>
                <w:rFonts w:ascii="宋体" w:hAnsi="宋体" w:cs="宋体"/>
                <w:color w:val="auto"/>
                <w:kern w:val="0"/>
                <w:sz w:val="20"/>
                <w:szCs w:val="20"/>
                <w:highlight w:val="none"/>
              </w:rPr>
            </w:pPr>
          </w:p>
        </w:tc>
        <w:tc>
          <w:tcPr>
            <w:tcW w:w="1785" w:type="dxa"/>
            <w:tcBorders>
              <w:top w:val="nil"/>
              <w:left w:val="nil"/>
              <w:bottom w:val="single" w:color="auto" w:sz="4" w:space="0"/>
              <w:right w:val="single" w:color="auto" w:sz="4" w:space="0"/>
            </w:tcBorders>
            <w:vAlign w:val="center"/>
          </w:tcPr>
          <w:p w14:paraId="636A82A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单位名称</w:t>
            </w:r>
          </w:p>
        </w:tc>
        <w:tc>
          <w:tcPr>
            <w:tcW w:w="5499" w:type="dxa"/>
            <w:gridSpan w:val="2"/>
            <w:tcBorders>
              <w:top w:val="single" w:color="auto" w:sz="4" w:space="0"/>
              <w:left w:val="nil"/>
              <w:bottom w:val="single" w:color="auto" w:sz="4" w:space="0"/>
              <w:right w:val="single" w:color="auto" w:sz="4" w:space="0"/>
            </w:tcBorders>
            <w:vAlign w:val="center"/>
          </w:tcPr>
          <w:p w14:paraId="312F14E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mc:AlternateContent>
                <mc:Choice Requires="wps">
                  <w:drawing>
                    <wp:anchor distT="0" distB="0" distL="114300" distR="114300" simplePos="0" relativeHeight="251663360" behindDoc="0" locked="0" layoutInCell="1" allowOverlap="1">
                      <wp:simplePos x="0" y="0"/>
                      <wp:positionH relativeFrom="column">
                        <wp:posOffset>1809750</wp:posOffset>
                      </wp:positionH>
                      <wp:positionV relativeFrom="paragraph">
                        <wp:posOffset>219075</wp:posOffset>
                      </wp:positionV>
                      <wp:extent cx="635" cy="0"/>
                      <wp:effectExtent l="0" t="0" r="0" b="0"/>
                      <wp:wrapNone/>
                      <wp:docPr id="10" name="Control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wps:spPr>
                            <wps:txbx>
                              <w:txbxContent>
                                <w:p w14:paraId="790EDED0">
                                  <w:pPr>
                                    <w:jc w:val="center"/>
                                  </w:pPr>
                                </w:p>
                              </w:txbxContent>
                            </wps:txbx>
                            <wps:bodyPr upright="1"/>
                          </wps:wsp>
                        </a:graphicData>
                      </a:graphic>
                    </wp:anchor>
                  </w:drawing>
                </mc:Choice>
                <mc:Fallback>
                  <w:pict>
                    <v:rect id="Control 6" o:spid="_x0000_s1026" o:spt="1" style="position:absolute;left:0pt;margin-left:142.5pt;margin-top:17.25pt;height:0pt;width:0.05pt;z-index:251663360;mso-width-relative:page;mso-height-relative:page;" filled="f" stroked="f" coordsize="21600,21600" o:gfxdata="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Pka5NHYAAAACQEAAA8AAAAA&#10;AAAAAQAgAAAAIgAAAGRycy9kb3ducmV2LnhtbFBLAQIUABQAAAAIAIdO4kCuZl5mogEAAGYDAAAO&#10;AAAAAAAAAAEAIAAAACcBAABkcnMvZTJvRG9jLnhtbFBLBQYAAAAABgAGAFkBAAA7BQAAAAA=&#10;">
                      <v:fill on="f" focussize="0,0"/>
                      <v:stroke on="f"/>
                      <v:imagedata o:title=""/>
                      <o:lock v:ext="edit" aspectratio="t"/>
                      <v:textbox>
                        <w:txbxContent>
                          <w:p w14:paraId="790EDED0">
                            <w:pPr>
                              <w:jc w:val="center"/>
                            </w:pPr>
                          </w:p>
                        </w:txbxContent>
                      </v:textbox>
                    </v:rect>
                  </w:pict>
                </mc:Fallback>
              </mc:AlternateContent>
            </w:r>
          </w:p>
        </w:tc>
      </w:tr>
      <w:tr w14:paraId="404D6EC8">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1E4BEC59">
            <w:pPr>
              <w:widowControl/>
              <w:jc w:val="left"/>
              <w:rPr>
                <w:rFonts w:ascii="宋体" w:hAnsi="宋体" w:cs="宋体"/>
                <w:color w:val="auto"/>
                <w:kern w:val="0"/>
                <w:sz w:val="20"/>
                <w:szCs w:val="20"/>
                <w:highlight w:val="none"/>
              </w:rPr>
            </w:pPr>
          </w:p>
        </w:tc>
        <w:tc>
          <w:tcPr>
            <w:tcW w:w="1785" w:type="dxa"/>
            <w:tcBorders>
              <w:top w:val="nil"/>
              <w:left w:val="nil"/>
              <w:bottom w:val="single" w:color="auto" w:sz="4" w:space="0"/>
              <w:right w:val="single" w:color="auto" w:sz="4" w:space="0"/>
            </w:tcBorders>
            <w:vAlign w:val="center"/>
          </w:tcPr>
          <w:p w14:paraId="23D0871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纳税人识别号</w:t>
            </w:r>
          </w:p>
        </w:tc>
        <w:tc>
          <w:tcPr>
            <w:tcW w:w="5499" w:type="dxa"/>
            <w:gridSpan w:val="2"/>
            <w:tcBorders>
              <w:top w:val="single" w:color="auto" w:sz="4" w:space="0"/>
              <w:left w:val="nil"/>
              <w:bottom w:val="single" w:color="auto" w:sz="4" w:space="0"/>
              <w:right w:val="single" w:color="auto" w:sz="4" w:space="0"/>
            </w:tcBorders>
            <w:vAlign w:val="center"/>
          </w:tcPr>
          <w:p w14:paraId="4A5E3F98">
            <w:pPr>
              <w:widowControl/>
              <w:jc w:val="left"/>
              <w:rPr>
                <w:rFonts w:ascii="宋体" w:hAnsi="宋体" w:cs="宋体"/>
                <w:color w:val="auto"/>
                <w:kern w:val="0"/>
                <w:sz w:val="20"/>
                <w:szCs w:val="20"/>
                <w:highlight w:val="none"/>
              </w:rPr>
            </w:pPr>
          </w:p>
        </w:tc>
      </w:tr>
      <w:tr w14:paraId="3FD5A44D">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018404E9">
            <w:pPr>
              <w:widowControl/>
              <w:jc w:val="left"/>
              <w:rPr>
                <w:rFonts w:ascii="宋体" w:hAnsi="宋体" w:cs="宋体"/>
                <w:color w:val="auto"/>
                <w:kern w:val="0"/>
                <w:sz w:val="20"/>
                <w:szCs w:val="20"/>
                <w:highlight w:val="none"/>
              </w:rPr>
            </w:pPr>
          </w:p>
        </w:tc>
        <w:tc>
          <w:tcPr>
            <w:tcW w:w="1785" w:type="dxa"/>
            <w:tcBorders>
              <w:top w:val="nil"/>
              <w:left w:val="nil"/>
              <w:bottom w:val="single" w:color="auto" w:sz="4" w:space="0"/>
              <w:right w:val="single" w:color="auto" w:sz="4" w:space="0"/>
            </w:tcBorders>
            <w:vAlign w:val="center"/>
          </w:tcPr>
          <w:p w14:paraId="047EE8B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地址、电话</w:t>
            </w:r>
          </w:p>
        </w:tc>
        <w:tc>
          <w:tcPr>
            <w:tcW w:w="5499" w:type="dxa"/>
            <w:gridSpan w:val="2"/>
            <w:tcBorders>
              <w:top w:val="single" w:color="auto" w:sz="4" w:space="0"/>
              <w:left w:val="nil"/>
              <w:bottom w:val="single" w:color="auto" w:sz="4" w:space="0"/>
              <w:right w:val="single" w:color="auto" w:sz="4" w:space="0"/>
            </w:tcBorders>
            <w:vAlign w:val="center"/>
          </w:tcPr>
          <w:p w14:paraId="130192D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w:t>
            </w:r>
            <w:r>
              <w:rPr>
                <w:rFonts w:hint="eastAsia" w:ascii="宋体" w:hAnsi="宋体" w:cs="宋体"/>
                <w:color w:val="auto"/>
                <w:kern w:val="0"/>
                <w:sz w:val="20"/>
                <w:szCs w:val="20"/>
                <w:highlight w:val="none"/>
                <w:lang w:val="en-US" w:eastAsia="zh-CN"/>
              </w:rPr>
              <w:t>专票必填项</w:t>
            </w:r>
            <w:r>
              <w:rPr>
                <w:rFonts w:hint="eastAsia" w:ascii="宋体" w:hAnsi="宋体" w:cs="宋体"/>
                <w:color w:val="auto"/>
                <w:kern w:val="0"/>
                <w:sz w:val="20"/>
                <w:szCs w:val="20"/>
                <w:highlight w:val="none"/>
              </w:rPr>
              <w:t>）</w:t>
            </w:r>
          </w:p>
        </w:tc>
      </w:tr>
      <w:tr w14:paraId="2AB8E688">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608A5B28">
            <w:pPr>
              <w:widowControl/>
              <w:jc w:val="left"/>
              <w:rPr>
                <w:rFonts w:ascii="宋体" w:hAnsi="宋体" w:cs="宋体"/>
                <w:color w:val="auto"/>
                <w:kern w:val="0"/>
                <w:sz w:val="20"/>
                <w:szCs w:val="20"/>
                <w:highlight w:val="none"/>
              </w:rPr>
            </w:pPr>
          </w:p>
        </w:tc>
        <w:tc>
          <w:tcPr>
            <w:tcW w:w="1785" w:type="dxa"/>
            <w:vMerge w:val="restart"/>
            <w:tcBorders>
              <w:top w:val="nil"/>
              <w:left w:val="single" w:color="auto" w:sz="4" w:space="0"/>
              <w:bottom w:val="single" w:color="auto" w:sz="4" w:space="0"/>
              <w:right w:val="single" w:color="auto" w:sz="4" w:space="0"/>
            </w:tcBorders>
            <w:vAlign w:val="center"/>
          </w:tcPr>
          <w:p w14:paraId="33EB8D8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开户行、账号</w:t>
            </w:r>
          </w:p>
        </w:tc>
        <w:tc>
          <w:tcPr>
            <w:tcW w:w="5499" w:type="dxa"/>
            <w:gridSpan w:val="2"/>
            <w:vMerge w:val="restart"/>
            <w:tcBorders>
              <w:top w:val="single" w:color="auto" w:sz="4" w:space="0"/>
              <w:left w:val="single" w:color="auto" w:sz="4" w:space="0"/>
              <w:bottom w:val="single" w:color="auto" w:sz="4" w:space="0"/>
              <w:right w:val="single" w:color="auto" w:sz="4" w:space="0"/>
            </w:tcBorders>
            <w:vAlign w:val="center"/>
          </w:tcPr>
          <w:p w14:paraId="0F93F77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w:t>
            </w:r>
            <w:r>
              <w:rPr>
                <w:rFonts w:hint="eastAsia" w:ascii="宋体" w:hAnsi="宋体" w:cs="宋体"/>
                <w:color w:val="auto"/>
                <w:kern w:val="0"/>
                <w:sz w:val="20"/>
                <w:szCs w:val="20"/>
                <w:highlight w:val="none"/>
                <w:lang w:val="en-US" w:eastAsia="zh-CN"/>
              </w:rPr>
              <w:t>专票必填项</w:t>
            </w:r>
            <w:r>
              <w:rPr>
                <w:rFonts w:hint="eastAsia" w:ascii="宋体" w:hAnsi="宋体" w:cs="宋体"/>
                <w:color w:val="auto"/>
                <w:kern w:val="0"/>
                <w:sz w:val="20"/>
                <w:szCs w:val="20"/>
                <w:highlight w:val="none"/>
              </w:rPr>
              <w:t>）</w:t>
            </w:r>
          </w:p>
        </w:tc>
      </w:tr>
      <w:tr w14:paraId="3888A7B3">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6B2E3A82">
            <w:pPr>
              <w:widowControl/>
              <w:jc w:val="left"/>
              <w:rPr>
                <w:rFonts w:ascii="宋体" w:hAnsi="宋体" w:cs="宋体"/>
                <w:color w:val="auto"/>
                <w:kern w:val="0"/>
                <w:sz w:val="20"/>
                <w:szCs w:val="20"/>
                <w:highlight w:val="none"/>
              </w:rPr>
            </w:pPr>
          </w:p>
        </w:tc>
        <w:tc>
          <w:tcPr>
            <w:tcW w:w="1785" w:type="dxa"/>
            <w:vMerge w:val="continue"/>
            <w:tcBorders>
              <w:top w:val="nil"/>
              <w:left w:val="single" w:color="auto" w:sz="4" w:space="0"/>
              <w:bottom w:val="single" w:color="auto" w:sz="4" w:space="0"/>
              <w:right w:val="single" w:color="auto" w:sz="4" w:space="0"/>
            </w:tcBorders>
            <w:vAlign w:val="center"/>
          </w:tcPr>
          <w:p w14:paraId="50D5C6A3">
            <w:pPr>
              <w:widowControl/>
              <w:jc w:val="left"/>
              <w:rPr>
                <w:rFonts w:ascii="宋体" w:hAnsi="宋体" w:cs="宋体"/>
                <w:color w:val="auto"/>
                <w:kern w:val="0"/>
                <w:sz w:val="20"/>
                <w:szCs w:val="20"/>
                <w:highlight w:val="none"/>
              </w:rPr>
            </w:pPr>
          </w:p>
        </w:tc>
        <w:tc>
          <w:tcPr>
            <w:tcW w:w="5499" w:type="dxa"/>
            <w:gridSpan w:val="2"/>
            <w:vMerge w:val="continue"/>
            <w:tcBorders>
              <w:top w:val="single" w:color="auto" w:sz="4" w:space="0"/>
              <w:left w:val="single" w:color="auto" w:sz="4" w:space="0"/>
              <w:bottom w:val="single" w:color="auto" w:sz="4" w:space="0"/>
              <w:right w:val="single" w:color="auto" w:sz="4" w:space="0"/>
            </w:tcBorders>
            <w:vAlign w:val="center"/>
          </w:tcPr>
          <w:p w14:paraId="4E202DC0">
            <w:pPr>
              <w:widowControl/>
              <w:jc w:val="left"/>
              <w:rPr>
                <w:rFonts w:ascii="宋体" w:hAnsi="宋体" w:cs="宋体"/>
                <w:color w:val="auto"/>
                <w:kern w:val="0"/>
                <w:sz w:val="20"/>
                <w:szCs w:val="20"/>
                <w:highlight w:val="none"/>
              </w:rPr>
            </w:pPr>
          </w:p>
        </w:tc>
      </w:tr>
      <w:tr w14:paraId="05AF7846">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30BD5A30">
            <w:pPr>
              <w:widowControl/>
              <w:jc w:val="left"/>
              <w:rPr>
                <w:rFonts w:ascii="宋体" w:hAnsi="宋体" w:cs="宋体"/>
                <w:color w:val="auto"/>
                <w:kern w:val="0"/>
                <w:sz w:val="20"/>
                <w:szCs w:val="20"/>
                <w:highlight w:val="none"/>
              </w:rPr>
            </w:pPr>
          </w:p>
        </w:tc>
        <w:tc>
          <w:tcPr>
            <w:tcW w:w="1785" w:type="dxa"/>
            <w:tcBorders>
              <w:top w:val="nil"/>
              <w:left w:val="nil"/>
              <w:bottom w:val="single" w:color="auto" w:sz="4" w:space="0"/>
              <w:right w:val="single" w:color="auto" w:sz="4" w:space="0"/>
            </w:tcBorders>
            <w:vAlign w:val="center"/>
          </w:tcPr>
          <w:p w14:paraId="2F94AEE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已汇入账号</w:t>
            </w:r>
          </w:p>
        </w:tc>
        <w:tc>
          <w:tcPr>
            <w:tcW w:w="5499" w:type="dxa"/>
            <w:gridSpan w:val="2"/>
            <w:tcBorders>
              <w:top w:val="single" w:color="auto" w:sz="4" w:space="0"/>
              <w:left w:val="single" w:color="auto" w:sz="4" w:space="0"/>
              <w:bottom w:val="single" w:color="auto" w:sz="4" w:space="0"/>
              <w:right w:val="single" w:color="auto" w:sz="4" w:space="0"/>
            </w:tcBorders>
            <w:vAlign w:val="center"/>
          </w:tcPr>
          <w:p w14:paraId="2CF4429D">
            <w:pPr>
              <w:widowControl/>
              <w:jc w:val="center"/>
              <w:rPr>
                <w:rFonts w:ascii="宋体" w:hAnsi="宋体" w:cs="宋体"/>
                <w:color w:val="auto"/>
                <w:kern w:val="0"/>
                <w:sz w:val="20"/>
                <w:szCs w:val="20"/>
                <w:highlight w:val="none"/>
              </w:rPr>
            </w:pPr>
          </w:p>
        </w:tc>
      </w:tr>
      <w:tr w14:paraId="3CE594BA">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058D96C9">
            <w:pPr>
              <w:widowControl/>
              <w:jc w:val="left"/>
              <w:rPr>
                <w:rFonts w:ascii="宋体" w:hAnsi="宋体" w:cs="宋体"/>
                <w:color w:val="auto"/>
                <w:kern w:val="0"/>
                <w:sz w:val="20"/>
                <w:szCs w:val="20"/>
                <w:highlight w:val="none"/>
              </w:rPr>
            </w:pPr>
          </w:p>
        </w:tc>
        <w:tc>
          <w:tcPr>
            <w:tcW w:w="1785" w:type="dxa"/>
            <w:tcBorders>
              <w:top w:val="nil"/>
              <w:left w:val="nil"/>
              <w:bottom w:val="single" w:color="auto" w:sz="4" w:space="0"/>
              <w:right w:val="single" w:color="auto" w:sz="4" w:space="0"/>
            </w:tcBorders>
            <w:vAlign w:val="center"/>
          </w:tcPr>
          <w:p w14:paraId="00F0D51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lang w:val="en-US" w:eastAsia="zh-CN"/>
              </w:rPr>
              <w:t>服务</w:t>
            </w:r>
            <w:r>
              <w:rPr>
                <w:rFonts w:hint="eastAsia" w:ascii="宋体" w:hAnsi="宋体" w:cs="宋体"/>
                <w:color w:val="auto"/>
                <w:kern w:val="0"/>
                <w:sz w:val="20"/>
                <w:szCs w:val="20"/>
                <w:highlight w:val="none"/>
              </w:rPr>
              <w:t>费金额</w:t>
            </w:r>
          </w:p>
        </w:tc>
        <w:tc>
          <w:tcPr>
            <w:tcW w:w="5499" w:type="dxa"/>
            <w:gridSpan w:val="2"/>
            <w:tcBorders>
              <w:top w:val="single" w:color="auto" w:sz="4" w:space="0"/>
              <w:left w:val="nil"/>
              <w:bottom w:val="single" w:color="auto" w:sz="4" w:space="0"/>
              <w:right w:val="single" w:color="auto" w:sz="4" w:space="0"/>
            </w:tcBorders>
            <w:vAlign w:val="center"/>
          </w:tcPr>
          <w:p w14:paraId="7E5F6242">
            <w:pPr>
              <w:widowControl/>
              <w:jc w:val="left"/>
              <w:rPr>
                <w:rFonts w:ascii="宋体" w:hAnsi="宋体" w:cs="宋体"/>
                <w:color w:val="auto"/>
                <w:kern w:val="0"/>
                <w:sz w:val="20"/>
                <w:szCs w:val="20"/>
                <w:highlight w:val="none"/>
              </w:rPr>
            </w:pPr>
          </w:p>
        </w:tc>
      </w:tr>
      <w:tr w14:paraId="5079CFA8">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550AD928">
            <w:pPr>
              <w:widowControl/>
              <w:jc w:val="left"/>
              <w:rPr>
                <w:rFonts w:ascii="宋体" w:hAnsi="宋体" w:cs="宋体"/>
                <w:color w:val="auto"/>
                <w:kern w:val="0"/>
                <w:sz w:val="20"/>
                <w:szCs w:val="20"/>
                <w:highlight w:val="none"/>
              </w:rPr>
            </w:pPr>
          </w:p>
        </w:tc>
        <w:tc>
          <w:tcPr>
            <w:tcW w:w="1785" w:type="dxa"/>
            <w:tcBorders>
              <w:top w:val="nil"/>
              <w:left w:val="nil"/>
              <w:bottom w:val="single" w:color="auto" w:sz="4" w:space="0"/>
              <w:right w:val="single" w:color="auto" w:sz="4" w:space="0"/>
            </w:tcBorders>
            <w:vAlign w:val="center"/>
          </w:tcPr>
          <w:p w14:paraId="4A99413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联系人</w:t>
            </w:r>
          </w:p>
        </w:tc>
        <w:tc>
          <w:tcPr>
            <w:tcW w:w="5499" w:type="dxa"/>
            <w:gridSpan w:val="2"/>
            <w:tcBorders>
              <w:top w:val="single" w:color="auto" w:sz="4" w:space="0"/>
              <w:left w:val="nil"/>
              <w:bottom w:val="single" w:color="auto" w:sz="4" w:space="0"/>
              <w:right w:val="single" w:color="auto" w:sz="4" w:space="0"/>
            </w:tcBorders>
            <w:vAlign w:val="center"/>
          </w:tcPr>
          <w:p w14:paraId="5F78CCFE">
            <w:pPr>
              <w:widowControl/>
              <w:jc w:val="left"/>
              <w:rPr>
                <w:rFonts w:ascii="宋体" w:hAnsi="宋体" w:cs="宋体"/>
                <w:color w:val="auto"/>
                <w:kern w:val="0"/>
                <w:sz w:val="20"/>
                <w:szCs w:val="20"/>
                <w:highlight w:val="none"/>
              </w:rPr>
            </w:pPr>
          </w:p>
        </w:tc>
      </w:tr>
      <w:tr w14:paraId="78010DDB">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7776D647">
            <w:pPr>
              <w:widowControl/>
              <w:jc w:val="left"/>
              <w:rPr>
                <w:rFonts w:ascii="宋体" w:hAnsi="宋体" w:cs="宋体"/>
                <w:color w:val="auto"/>
                <w:kern w:val="0"/>
                <w:sz w:val="20"/>
                <w:szCs w:val="20"/>
                <w:highlight w:val="none"/>
              </w:rPr>
            </w:pPr>
          </w:p>
        </w:tc>
        <w:tc>
          <w:tcPr>
            <w:tcW w:w="1785" w:type="dxa"/>
            <w:tcBorders>
              <w:top w:val="nil"/>
              <w:left w:val="nil"/>
              <w:bottom w:val="single" w:color="auto" w:sz="4" w:space="0"/>
              <w:right w:val="single" w:color="auto" w:sz="4" w:space="0"/>
            </w:tcBorders>
            <w:vAlign w:val="center"/>
          </w:tcPr>
          <w:p w14:paraId="5EEDD2F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联系方式</w:t>
            </w:r>
          </w:p>
        </w:tc>
        <w:tc>
          <w:tcPr>
            <w:tcW w:w="5499" w:type="dxa"/>
            <w:gridSpan w:val="2"/>
            <w:tcBorders>
              <w:top w:val="single" w:color="auto" w:sz="4" w:space="0"/>
              <w:left w:val="nil"/>
              <w:bottom w:val="single" w:color="auto" w:sz="4" w:space="0"/>
              <w:right w:val="single" w:color="auto" w:sz="4" w:space="0"/>
            </w:tcBorders>
            <w:vAlign w:val="center"/>
          </w:tcPr>
          <w:p w14:paraId="5FFC4671">
            <w:pPr>
              <w:widowControl/>
              <w:rPr>
                <w:rFonts w:ascii="宋体" w:hAnsi="宋体" w:cs="宋体"/>
                <w:color w:val="auto"/>
                <w:kern w:val="0"/>
                <w:sz w:val="20"/>
                <w:szCs w:val="20"/>
                <w:highlight w:val="none"/>
              </w:rPr>
            </w:pPr>
          </w:p>
        </w:tc>
      </w:tr>
      <w:tr w14:paraId="12ACC2F1">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16A0DC59">
            <w:pPr>
              <w:widowControl/>
              <w:jc w:val="left"/>
              <w:rPr>
                <w:rFonts w:ascii="宋体" w:hAnsi="宋体" w:cs="宋体"/>
                <w:color w:val="auto"/>
                <w:kern w:val="0"/>
                <w:sz w:val="20"/>
                <w:szCs w:val="20"/>
                <w:highlight w:val="none"/>
              </w:rPr>
            </w:pPr>
          </w:p>
        </w:tc>
        <w:tc>
          <w:tcPr>
            <w:tcW w:w="1785" w:type="dxa"/>
            <w:vMerge w:val="restart"/>
            <w:tcBorders>
              <w:top w:val="nil"/>
              <w:left w:val="single" w:color="auto" w:sz="4" w:space="0"/>
              <w:bottom w:val="single" w:color="auto" w:sz="4" w:space="0"/>
              <w:right w:val="single" w:color="auto" w:sz="4" w:space="0"/>
            </w:tcBorders>
            <w:vAlign w:val="center"/>
          </w:tcPr>
          <w:p w14:paraId="3ECF50B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备注</w:t>
            </w:r>
          </w:p>
        </w:tc>
        <w:tc>
          <w:tcPr>
            <w:tcW w:w="5499" w:type="dxa"/>
            <w:gridSpan w:val="2"/>
            <w:tcBorders>
              <w:top w:val="single" w:color="auto" w:sz="4" w:space="0"/>
              <w:left w:val="nil"/>
              <w:bottom w:val="single" w:color="auto" w:sz="4" w:space="0"/>
              <w:right w:val="single" w:color="auto" w:sz="4" w:space="0"/>
            </w:tcBorders>
            <w:vAlign w:val="center"/>
          </w:tcPr>
          <w:p w14:paraId="66B4FC99">
            <w:pPr>
              <w:widowControl/>
              <w:rPr>
                <w:rFonts w:ascii="宋体" w:hAnsi="宋体" w:cs="宋体"/>
                <w:color w:val="auto"/>
                <w:kern w:val="0"/>
                <w:sz w:val="20"/>
                <w:szCs w:val="20"/>
                <w:highlight w:val="none"/>
              </w:rPr>
            </w:pPr>
            <w:r>
              <w:rPr>
                <w:rFonts w:hint="eastAsia" w:ascii="宋体" w:hAnsi="宋体" w:cs="宋体"/>
                <w:color w:val="auto"/>
                <w:kern w:val="0"/>
                <w:sz w:val="20"/>
                <w:szCs w:val="20"/>
                <w:highlight w:val="none"/>
              </w:rPr>
              <w:t>1、发票类型为增值税</w:t>
            </w:r>
            <w:r>
              <w:rPr>
                <w:rFonts w:hint="eastAsia" w:ascii="宋体" w:hAnsi="宋体" w:cs="宋体"/>
                <w:color w:val="auto"/>
                <w:kern w:val="0"/>
                <w:sz w:val="20"/>
                <w:szCs w:val="20"/>
                <w:highlight w:val="none"/>
                <w:lang w:eastAsia="zh-CN"/>
              </w:rPr>
              <w:t>（</w:t>
            </w:r>
            <w:r>
              <w:rPr>
                <w:rFonts w:hint="eastAsia" w:ascii="宋体" w:hAnsi="宋体" w:cs="宋体"/>
                <w:color w:val="auto"/>
                <w:kern w:val="0"/>
                <w:sz w:val="20"/>
                <w:szCs w:val="20"/>
                <w:highlight w:val="none"/>
              </w:rPr>
              <w:t>普通</w:t>
            </w:r>
            <w:r>
              <w:rPr>
                <w:rFonts w:hint="eastAsia" w:ascii="宋体" w:hAnsi="宋体" w:cs="宋体"/>
                <w:color w:val="auto"/>
                <w:kern w:val="0"/>
                <w:sz w:val="20"/>
                <w:szCs w:val="20"/>
                <w:highlight w:val="none"/>
                <w:lang w:val="en-US" w:eastAsia="zh-CN"/>
              </w:rPr>
              <w:t>/专用</w:t>
            </w:r>
            <w:r>
              <w:rPr>
                <w:rFonts w:hint="eastAsia" w:ascii="宋体" w:hAnsi="宋体" w:cs="宋体"/>
                <w:color w:val="auto"/>
                <w:kern w:val="0"/>
                <w:sz w:val="20"/>
                <w:szCs w:val="20"/>
                <w:highlight w:val="none"/>
                <w:lang w:eastAsia="zh-CN"/>
              </w:rPr>
              <w:t>）</w:t>
            </w:r>
            <w:r>
              <w:rPr>
                <w:rFonts w:hint="eastAsia" w:ascii="宋体" w:hAnsi="宋体" w:cs="宋体"/>
                <w:color w:val="auto"/>
                <w:kern w:val="0"/>
                <w:sz w:val="20"/>
                <w:szCs w:val="20"/>
                <w:highlight w:val="none"/>
              </w:rPr>
              <w:t>发票</w:t>
            </w:r>
          </w:p>
        </w:tc>
      </w:tr>
      <w:tr w14:paraId="4EF89306">
        <w:tblPrEx>
          <w:tblCellMar>
            <w:top w:w="0" w:type="dxa"/>
            <w:left w:w="108" w:type="dxa"/>
            <w:bottom w:w="0" w:type="dxa"/>
            <w:right w:w="108" w:type="dxa"/>
          </w:tblCellMar>
        </w:tblPrEx>
        <w:trPr>
          <w:trHeight w:val="420" w:hRule="atLeast"/>
        </w:trPr>
        <w:tc>
          <w:tcPr>
            <w:tcW w:w="1080" w:type="dxa"/>
            <w:vMerge w:val="continue"/>
            <w:tcBorders>
              <w:top w:val="nil"/>
              <w:left w:val="single" w:color="auto" w:sz="4" w:space="0"/>
              <w:bottom w:val="single" w:color="auto" w:sz="4" w:space="0"/>
              <w:right w:val="single" w:color="auto" w:sz="4" w:space="0"/>
            </w:tcBorders>
            <w:vAlign w:val="center"/>
          </w:tcPr>
          <w:p w14:paraId="174A07F1">
            <w:pPr>
              <w:widowControl/>
              <w:jc w:val="left"/>
              <w:rPr>
                <w:rFonts w:ascii="宋体" w:hAnsi="宋体" w:cs="宋体"/>
                <w:color w:val="auto"/>
                <w:kern w:val="0"/>
                <w:sz w:val="20"/>
                <w:szCs w:val="20"/>
                <w:highlight w:val="none"/>
              </w:rPr>
            </w:pPr>
          </w:p>
        </w:tc>
        <w:tc>
          <w:tcPr>
            <w:tcW w:w="1785" w:type="dxa"/>
            <w:vMerge w:val="continue"/>
            <w:tcBorders>
              <w:top w:val="nil"/>
              <w:left w:val="single" w:color="auto" w:sz="4" w:space="0"/>
              <w:bottom w:val="single" w:color="auto" w:sz="4" w:space="0"/>
              <w:right w:val="single" w:color="auto" w:sz="4" w:space="0"/>
            </w:tcBorders>
            <w:vAlign w:val="center"/>
          </w:tcPr>
          <w:p w14:paraId="2082ED40">
            <w:pPr>
              <w:widowControl/>
              <w:jc w:val="left"/>
              <w:rPr>
                <w:rFonts w:ascii="宋体" w:hAnsi="宋体" w:cs="宋体"/>
                <w:color w:val="auto"/>
                <w:kern w:val="0"/>
                <w:sz w:val="20"/>
                <w:szCs w:val="20"/>
                <w:highlight w:val="none"/>
              </w:rPr>
            </w:pPr>
          </w:p>
        </w:tc>
        <w:tc>
          <w:tcPr>
            <w:tcW w:w="5499" w:type="dxa"/>
            <w:gridSpan w:val="2"/>
            <w:tcBorders>
              <w:top w:val="single" w:color="auto" w:sz="4" w:space="0"/>
              <w:left w:val="nil"/>
              <w:bottom w:val="single" w:color="auto" w:sz="4" w:space="0"/>
              <w:right w:val="single" w:color="auto" w:sz="4" w:space="0"/>
            </w:tcBorders>
            <w:vAlign w:val="center"/>
          </w:tcPr>
          <w:p w14:paraId="0ACF92B4">
            <w:pPr>
              <w:widowControl/>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2、全部内容填完后发至邮箱：</w:t>
            </w:r>
            <w:r>
              <w:rPr>
                <w:rFonts w:hint="eastAsia" w:ascii="宋体" w:hAnsi="宋体" w:cs="宋体"/>
                <w:b/>
                <w:color w:val="auto"/>
                <w:kern w:val="0"/>
                <w:sz w:val="20"/>
                <w:szCs w:val="20"/>
                <w:highlight w:val="none"/>
                <w:lang w:val="en-US" w:eastAsia="zh-CN"/>
              </w:rPr>
              <w:t>snccqjy</w:t>
            </w:r>
            <w:r>
              <w:rPr>
                <w:rFonts w:hint="eastAsia" w:ascii="宋体" w:hAnsi="宋体" w:cs="宋体"/>
                <w:b/>
                <w:color w:val="auto"/>
                <w:kern w:val="0"/>
                <w:sz w:val="20"/>
                <w:szCs w:val="20"/>
                <w:highlight w:val="none"/>
              </w:rPr>
              <w:t>@163.com</w:t>
            </w:r>
          </w:p>
        </w:tc>
      </w:tr>
      <w:tr w14:paraId="0DD754F2">
        <w:tblPrEx>
          <w:tblCellMar>
            <w:top w:w="0" w:type="dxa"/>
            <w:left w:w="108" w:type="dxa"/>
            <w:bottom w:w="0" w:type="dxa"/>
            <w:right w:w="108" w:type="dxa"/>
          </w:tblCellMar>
        </w:tblPrEx>
        <w:trPr>
          <w:trHeight w:val="420" w:hRule="atLeast"/>
        </w:trPr>
        <w:tc>
          <w:tcPr>
            <w:tcW w:w="1080" w:type="dxa"/>
            <w:vMerge w:val="restart"/>
            <w:tcBorders>
              <w:top w:val="single" w:color="auto" w:sz="4" w:space="0"/>
              <w:left w:val="single" w:color="auto" w:sz="4" w:space="0"/>
              <w:right w:val="single" w:color="auto" w:sz="4" w:space="0"/>
            </w:tcBorders>
            <w:vAlign w:val="center"/>
          </w:tcPr>
          <w:p w14:paraId="684D9E08">
            <w:pPr>
              <w:widowControl/>
              <w:jc w:val="left"/>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邮寄信息</w:t>
            </w:r>
          </w:p>
        </w:tc>
        <w:tc>
          <w:tcPr>
            <w:tcW w:w="1785" w:type="dxa"/>
            <w:tcBorders>
              <w:top w:val="single" w:color="auto" w:sz="4" w:space="0"/>
              <w:left w:val="single" w:color="auto" w:sz="4" w:space="0"/>
              <w:bottom w:val="single" w:color="auto" w:sz="4" w:space="0"/>
              <w:right w:val="single" w:color="auto" w:sz="4" w:space="0"/>
            </w:tcBorders>
            <w:vAlign w:val="center"/>
          </w:tcPr>
          <w:p w14:paraId="0A560774">
            <w:pPr>
              <w:widowControl/>
              <w:jc w:val="left"/>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邮寄地址</w:t>
            </w:r>
          </w:p>
        </w:tc>
        <w:tc>
          <w:tcPr>
            <w:tcW w:w="5499" w:type="dxa"/>
            <w:gridSpan w:val="2"/>
            <w:tcBorders>
              <w:top w:val="single" w:color="auto" w:sz="4" w:space="0"/>
              <w:left w:val="single" w:color="auto" w:sz="4" w:space="0"/>
              <w:bottom w:val="single" w:color="auto" w:sz="4" w:space="0"/>
              <w:right w:val="single" w:color="auto" w:sz="4" w:space="0"/>
            </w:tcBorders>
            <w:vAlign w:val="center"/>
          </w:tcPr>
          <w:p w14:paraId="623875A5">
            <w:pPr>
              <w:widowControl/>
              <w:rPr>
                <w:rFonts w:hint="eastAsia" w:ascii="宋体" w:hAnsi="宋体" w:cs="宋体"/>
                <w:b/>
                <w:color w:val="auto"/>
                <w:kern w:val="0"/>
                <w:sz w:val="20"/>
                <w:szCs w:val="20"/>
                <w:highlight w:val="none"/>
              </w:rPr>
            </w:pPr>
          </w:p>
        </w:tc>
      </w:tr>
      <w:tr w14:paraId="58B33115">
        <w:tblPrEx>
          <w:tblCellMar>
            <w:top w:w="0" w:type="dxa"/>
            <w:left w:w="108" w:type="dxa"/>
            <w:bottom w:w="0" w:type="dxa"/>
            <w:right w:w="108" w:type="dxa"/>
          </w:tblCellMar>
        </w:tblPrEx>
        <w:trPr>
          <w:trHeight w:val="420" w:hRule="atLeast"/>
        </w:trPr>
        <w:tc>
          <w:tcPr>
            <w:tcW w:w="1080" w:type="dxa"/>
            <w:vMerge w:val="continue"/>
            <w:tcBorders>
              <w:left w:val="single" w:color="auto" w:sz="4" w:space="0"/>
              <w:right w:val="single" w:color="auto" w:sz="4" w:space="0"/>
            </w:tcBorders>
            <w:vAlign w:val="center"/>
          </w:tcPr>
          <w:p w14:paraId="56EFCEFD">
            <w:pPr>
              <w:widowControl/>
              <w:jc w:val="left"/>
              <w:rPr>
                <w:rFonts w:ascii="宋体" w:hAnsi="宋体" w:cs="宋体"/>
                <w:color w:val="auto"/>
                <w:kern w:val="0"/>
                <w:sz w:val="20"/>
                <w:szCs w:val="20"/>
                <w:highlight w:val="none"/>
              </w:rPr>
            </w:pPr>
          </w:p>
        </w:tc>
        <w:tc>
          <w:tcPr>
            <w:tcW w:w="1785" w:type="dxa"/>
            <w:tcBorders>
              <w:top w:val="single" w:color="auto" w:sz="4" w:space="0"/>
              <w:left w:val="single" w:color="auto" w:sz="4" w:space="0"/>
              <w:bottom w:val="single" w:color="auto" w:sz="4" w:space="0"/>
              <w:right w:val="single" w:color="auto" w:sz="4" w:space="0"/>
            </w:tcBorders>
            <w:vAlign w:val="center"/>
          </w:tcPr>
          <w:p w14:paraId="1ABA2D66">
            <w:pPr>
              <w:widowControl/>
              <w:jc w:val="left"/>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联系人、联系方式</w:t>
            </w:r>
          </w:p>
        </w:tc>
        <w:tc>
          <w:tcPr>
            <w:tcW w:w="5499" w:type="dxa"/>
            <w:gridSpan w:val="2"/>
            <w:tcBorders>
              <w:top w:val="single" w:color="auto" w:sz="4" w:space="0"/>
              <w:left w:val="single" w:color="auto" w:sz="4" w:space="0"/>
              <w:bottom w:val="single" w:color="auto" w:sz="4" w:space="0"/>
              <w:right w:val="single" w:color="auto" w:sz="4" w:space="0"/>
            </w:tcBorders>
            <w:vAlign w:val="center"/>
          </w:tcPr>
          <w:p w14:paraId="57C23DEB">
            <w:pPr>
              <w:widowControl/>
              <w:rPr>
                <w:rFonts w:hint="eastAsia" w:ascii="宋体" w:hAnsi="宋体" w:cs="宋体"/>
                <w:b/>
                <w:color w:val="auto"/>
                <w:kern w:val="0"/>
                <w:sz w:val="20"/>
                <w:szCs w:val="20"/>
                <w:highlight w:val="none"/>
              </w:rPr>
            </w:pPr>
          </w:p>
        </w:tc>
      </w:tr>
      <w:tr w14:paraId="63951B9E">
        <w:tblPrEx>
          <w:tblCellMar>
            <w:top w:w="0" w:type="dxa"/>
            <w:left w:w="108" w:type="dxa"/>
            <w:bottom w:w="0" w:type="dxa"/>
            <w:right w:w="108" w:type="dxa"/>
          </w:tblCellMar>
        </w:tblPrEx>
        <w:trPr>
          <w:trHeight w:val="420" w:hRule="atLeast"/>
        </w:trPr>
        <w:tc>
          <w:tcPr>
            <w:tcW w:w="1080" w:type="dxa"/>
            <w:vMerge w:val="continue"/>
            <w:tcBorders>
              <w:left w:val="single" w:color="auto" w:sz="4" w:space="0"/>
              <w:bottom w:val="single" w:color="auto" w:sz="4" w:space="0"/>
              <w:right w:val="single" w:color="auto" w:sz="4" w:space="0"/>
            </w:tcBorders>
            <w:vAlign w:val="center"/>
          </w:tcPr>
          <w:p w14:paraId="2FF10018">
            <w:pPr>
              <w:widowControl/>
              <w:jc w:val="left"/>
              <w:rPr>
                <w:rFonts w:ascii="宋体" w:hAnsi="宋体" w:cs="宋体"/>
                <w:color w:val="auto"/>
                <w:kern w:val="0"/>
                <w:sz w:val="20"/>
                <w:szCs w:val="20"/>
                <w:highlight w:val="none"/>
              </w:rPr>
            </w:pPr>
          </w:p>
        </w:tc>
        <w:tc>
          <w:tcPr>
            <w:tcW w:w="1785" w:type="dxa"/>
            <w:tcBorders>
              <w:top w:val="single" w:color="auto" w:sz="4" w:space="0"/>
              <w:left w:val="single" w:color="auto" w:sz="4" w:space="0"/>
              <w:bottom w:val="single" w:color="auto" w:sz="4" w:space="0"/>
              <w:right w:val="single" w:color="auto" w:sz="4" w:space="0"/>
            </w:tcBorders>
            <w:vAlign w:val="center"/>
          </w:tcPr>
          <w:p w14:paraId="0BF2C401">
            <w:pPr>
              <w:widowControl/>
              <w:jc w:val="left"/>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电子邮箱</w:t>
            </w:r>
          </w:p>
        </w:tc>
        <w:tc>
          <w:tcPr>
            <w:tcW w:w="5499" w:type="dxa"/>
            <w:gridSpan w:val="2"/>
            <w:tcBorders>
              <w:top w:val="single" w:color="auto" w:sz="4" w:space="0"/>
              <w:left w:val="single" w:color="auto" w:sz="4" w:space="0"/>
              <w:bottom w:val="single" w:color="auto" w:sz="4" w:space="0"/>
              <w:right w:val="single" w:color="auto" w:sz="4" w:space="0"/>
            </w:tcBorders>
            <w:vAlign w:val="center"/>
          </w:tcPr>
          <w:p w14:paraId="5E80C493">
            <w:pPr>
              <w:widowControl/>
              <w:rPr>
                <w:rFonts w:hint="eastAsia" w:ascii="宋体" w:hAnsi="宋体" w:cs="宋体"/>
                <w:b/>
                <w:color w:val="auto"/>
                <w:kern w:val="0"/>
                <w:sz w:val="20"/>
                <w:szCs w:val="20"/>
                <w:highlight w:val="none"/>
              </w:rPr>
            </w:pPr>
          </w:p>
        </w:tc>
      </w:tr>
    </w:tbl>
    <w:p w14:paraId="2E7F0B0A">
      <w:pPr>
        <w:pStyle w:val="26"/>
        <w:rPr>
          <w:rFonts w:hint="eastAsia"/>
          <w:color w:val="auto"/>
          <w:highlight w:val="none"/>
          <w:lang w:val="en-US" w:eastAsia="zh-CN"/>
        </w:rPr>
      </w:pPr>
    </w:p>
    <w:p w14:paraId="2F6FB94C">
      <w:pPr>
        <w:pStyle w:val="3"/>
        <w:rPr>
          <w:color w:val="auto"/>
          <w:highlight w:val="none"/>
        </w:rPr>
      </w:pPr>
    </w:p>
    <w:sectPr>
      <w:pgSz w:w="11906" w:h="16838"/>
      <w:pgMar w:top="1701" w:right="1418" w:bottom="1135" w:left="1701" w:header="1091" w:footer="629" w:gutter="0"/>
      <w:pgNumType w:fmt="decimal"/>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方正仿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 w:name="Traditional Arabic">
    <w:altName w:val="Times New Roman"/>
    <w:panose1 w:val="00000000000000000000"/>
    <w:charset w:val="00"/>
    <w:family w:val="auto"/>
    <w:pitch w:val="default"/>
    <w:sig w:usb0="00000000" w:usb1="00000000" w:usb2="00000008" w:usb3="00000000" w:csb0="00000041" w:csb1="2008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33D2E">
    <w:pPr>
      <w:pStyle w:val="17"/>
      <w:framePr w:wrap="around" w:vAnchor="text" w:hAnchor="margin" w:xAlign="center" w:y="1"/>
      <w:rPr>
        <w:rStyle w:val="30"/>
      </w:rPr>
    </w:pPr>
  </w:p>
  <w:p w14:paraId="4C7E3E22">
    <w:pPr>
      <w:pStyle w:val="1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FC308">
    <w:pPr>
      <w:pStyle w:val="17"/>
      <w:framePr w:wrap="around" w:vAnchor="text" w:hAnchor="margin" w:xAlign="center" w:y="1"/>
      <w:rPr>
        <w:rStyle w:val="30"/>
      </w:rPr>
    </w:pPr>
    <w:r>
      <w:rPr>
        <w:rStyle w:val="30"/>
      </w:rPr>
      <w:fldChar w:fldCharType="begin"/>
    </w:r>
    <w:r>
      <w:rPr>
        <w:rStyle w:val="30"/>
      </w:rPr>
      <w:instrText xml:space="preserve">PAGE  </w:instrText>
    </w:r>
    <w:r>
      <w:rPr>
        <w:rStyle w:val="30"/>
      </w:rPr>
      <w:fldChar w:fldCharType="end"/>
    </w:r>
  </w:p>
  <w:p w14:paraId="5ABEAED8">
    <w:pPr>
      <w:pStyle w:val="1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5A1F8">
    <w:pPr>
      <w:pStyle w:val="1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0E88A">
    <w:pPr>
      <w:pStyle w:val="17"/>
      <w:tabs>
        <w:tab w:val="left" w:pos="4666"/>
        <w:tab w:val="right" w:pos="8787"/>
        <w:tab w:val="clear" w:pos="4153"/>
        <w:tab w:val="clear" w:pos="8306"/>
      </w:tabs>
      <w:spacing w:line="240" w:lineRule="auto"/>
      <w:rPr>
        <w:rFonts w:ascii="楷体" w:hAnsi="楷体" w:eastAsia="楷体"/>
        <w:b/>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37B9D">
                          <w:pPr>
                            <w:pStyle w:val="17"/>
                          </w:pP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8937B9D">
                    <w:pPr>
                      <w:pStyle w:val="17"/>
                    </w:pP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p>
                </w:txbxContent>
              </v:textbox>
            </v:shape>
          </w:pict>
        </mc:Fallback>
      </mc:AlternateContent>
    </w:r>
    <w:r>
      <w:tab/>
    </w:r>
    <w:r>
      <w:tab/>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09391">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96148">
    <w:pPr>
      <w:pStyle w:val="18"/>
    </w:pPr>
    <w:r>
      <w:pict>
        <v:shape id="PowerPlusWaterMarkObject2" o:spid="_x0000_s3074" o:spt="136" type="#_x0000_t136" style="position:absolute;left:0pt;height:60pt;width:240pt;mso-position-horizontal:center;mso-position-horizontal-relative:margin;mso-position-vertical:center;mso-position-vertical-relative:margin;rotation:20643840f;z-index:-251656192;mso-width-relative:page;mso-height-relative:page;" fillcolor="#C0C0C0" filled="t" stroked="f" coordsize="21600,21600" o:allowincell="f">
          <v:path/>
          <v:fill on="t" focussize="0,0"/>
          <v:stroke on="f"/>
          <v:imagedata o:title=""/>
          <o:lock v:ext="edit"/>
          <v:textpath on="t" fitshape="t" fitpath="t" trim="f" xscale="f" string="内部审查" style="font-family:宋体;font-size:6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E85A7">
    <w:pPr>
      <w:pStyle w:val="18"/>
    </w:pPr>
    <w:r>
      <w:pict>
        <v:shape id="PowerPlusWaterMarkObject1" o:spid="_x0000_s3073" o:spt="136" type="#_x0000_t136" style="position:absolute;left:0pt;height:60pt;width:240pt;mso-position-horizontal:center;mso-position-horizontal-relative:margin;mso-position-vertical:center;mso-position-vertical-relative:margin;rotation:20643840f;z-index:-251657216;mso-width-relative:page;mso-height-relative:page;" fillcolor="#C0C0C0" filled="t" stroked="f" coordsize="21600,21600" o:allowincell="f">
          <v:path/>
          <v:fill on="t" focussize="0,0"/>
          <v:stroke on="f"/>
          <v:imagedata o:title=""/>
          <o:lock v:ext="edit"/>
          <v:textpath on="t" fitshape="t" fitpath="t" trim="f" xscale="f" string="内部审查" style="font-family:宋体;font-size:60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76629">
    <w:pPr>
      <w:pStyle w:val="18"/>
      <w:pBdr>
        <w:bottom w:val="single" w:color="auto" w:sz="6" w:space="0"/>
      </w:pBdr>
      <w:spacing w:line="240" w:lineRule="auto"/>
      <w:jc w:val="left"/>
      <w:rPr>
        <w:rFonts w:ascii="楷体" w:hAnsi="楷体" w:eastAsia="楷体"/>
        <w:sz w:val="18"/>
        <w:szCs w:val="18"/>
      </w:rPr>
    </w:pPr>
    <w:r>
      <w:rPr>
        <w:rFonts w:hint="eastAsia" w:ascii="楷体" w:hAnsi="楷体" w:eastAsia="楷体"/>
        <w:b/>
        <w:sz w:val="18"/>
        <w:szCs w:val="18"/>
        <w:lang w:eastAsia="zh-CN"/>
      </w:rPr>
      <w:t>鸡西市鸡冠区西郊乡三合村股份</w:t>
    </w:r>
    <w:r>
      <w:rPr>
        <w:rFonts w:hint="eastAsia" w:ascii="楷体" w:hAnsi="楷体" w:eastAsia="楷体"/>
        <w:b/>
        <w:sz w:val="18"/>
        <w:szCs w:val="18"/>
      </w:rPr>
      <w:t>经济合作社</w:t>
    </w:r>
    <w:r>
      <w:rPr>
        <w:rFonts w:hint="eastAsia" w:ascii="楷体" w:hAnsi="楷体" w:eastAsia="楷体"/>
        <w:b/>
        <w:sz w:val="18"/>
        <w:szCs w:val="18"/>
        <w:lang w:val="en-US" w:eastAsia="zh-CN"/>
      </w:rPr>
      <w:t>太阳能</w:t>
    </w:r>
    <w:r>
      <w:rPr>
        <w:rFonts w:hint="eastAsia" w:ascii="楷体" w:hAnsi="楷体" w:eastAsia="楷体"/>
        <w:b/>
        <w:sz w:val="18"/>
        <w:szCs w:val="18"/>
      </w:rPr>
      <w:t>路灯采购及安装项目采购文件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4E2FC">
    <w:pPr>
      <w:pStyle w:val="18"/>
    </w:pPr>
    <w:r>
      <w:pict>
        <v:shape id="PowerPlusWaterMarkObject5" o:spid="_x0000_s3076" o:spt="136" type="#_x0000_t136" style="position:absolute;left:0pt;height:60pt;width:240pt;mso-position-horizontal:center;mso-position-horizontal-relative:margin;mso-position-vertical:center;mso-position-vertical-relative:margin;rotation:20643840f;z-index:-251654144;mso-width-relative:page;mso-height-relative:page;" fillcolor="#C0C0C0" filled="t" stroked="f" coordsize="21600,21600" o:allowincell="f">
          <v:path/>
          <v:fill on="t" focussize="0,0"/>
          <v:stroke on="f"/>
          <v:imagedata o:title=""/>
          <o:lock v:ext="edit"/>
          <v:textpath on="t" fitshape="t" fitpath="t" trim="f" xscale="f" string="内部审查" style="font-family:宋体;font-size:60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FF081">
    <w:pPr>
      <w:pStyle w:val="18"/>
    </w:pPr>
    <w:r>
      <w:pict>
        <v:shape id="PowerPlusWaterMarkObject4" o:spid="_x0000_s3075" o:spt="136" type="#_x0000_t136" style="position:absolute;left:0pt;height:60pt;width:240pt;mso-position-horizontal:center;mso-position-horizontal-relative:margin;mso-position-vertical:center;mso-position-vertical-relative:margin;rotation:20643840f;z-index:-251655168;mso-width-relative:page;mso-height-relative:page;" fillcolor="#C0C0C0" filled="t" stroked="f" coordsize="21600,21600" o:allowincell="f">
          <v:path/>
          <v:fill on="t" focussize="0,0"/>
          <v:stroke on="f"/>
          <v:imagedata o:title=""/>
          <o:lock v:ext="edit"/>
          <v:textpath on="t" fitshape="t" fitpath="t" trim="f" xscale="f" string="内部审查" style="font-family:宋体;font-size:60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2BC71">
    <w:pPr>
      <w:pStyle w:val="18"/>
      <w:pBdr>
        <w:bottom w:val="single" w:color="auto" w:sz="6" w:space="0"/>
      </w:pBdr>
      <w:spacing w:line="240" w:lineRule="auto"/>
      <w:jc w:val="left"/>
      <w:rPr>
        <w:rFonts w:ascii="楷体" w:hAnsi="楷体" w:eastAsia="楷体"/>
        <w:sz w:val="18"/>
        <w:szCs w:val="18"/>
      </w:rPr>
    </w:pPr>
    <w:r>
      <w:rPr>
        <w:rFonts w:hint="eastAsia" w:ascii="楷体" w:hAnsi="楷体" w:eastAsia="楷体"/>
        <w:b/>
        <w:sz w:val="18"/>
        <w:szCs w:val="18"/>
        <w:lang w:eastAsia="zh-CN"/>
      </w:rPr>
      <w:t>鸡西市鸡冠区西郊乡三合村股份</w:t>
    </w:r>
    <w:r>
      <w:rPr>
        <w:rFonts w:hint="eastAsia" w:ascii="楷体" w:hAnsi="楷体" w:eastAsia="楷体"/>
        <w:b/>
        <w:sz w:val="18"/>
        <w:szCs w:val="18"/>
      </w:rPr>
      <w:t>经济合作社</w:t>
    </w:r>
    <w:r>
      <w:rPr>
        <w:rFonts w:hint="eastAsia" w:ascii="楷体" w:hAnsi="楷体" w:eastAsia="楷体"/>
        <w:b/>
        <w:sz w:val="18"/>
        <w:szCs w:val="18"/>
        <w:lang w:val="en-US" w:eastAsia="zh-CN"/>
      </w:rPr>
      <w:t>太阳能</w:t>
    </w:r>
    <w:r>
      <w:rPr>
        <w:rFonts w:hint="eastAsia" w:ascii="楷体" w:hAnsi="楷体" w:eastAsia="楷体"/>
        <w:b/>
        <w:sz w:val="18"/>
        <w:szCs w:val="18"/>
      </w:rPr>
      <w:t>路灯采购及安装项目采购文件</w:t>
    </w:r>
  </w:p>
  <w:p w14:paraId="6E7882BE">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305E1E"/>
    <w:multiLevelType w:val="multilevel"/>
    <w:tmpl w:val="16305E1E"/>
    <w:lvl w:ilvl="0" w:tentative="0">
      <w:start w:val="1"/>
      <w:numFmt w:val="decimal"/>
      <w:pStyle w:val="126"/>
      <w:lvlText w:val="%1"/>
      <w:lvlJc w:val="left"/>
      <w:pPr>
        <w:tabs>
          <w:tab w:val="left" w:pos="994"/>
        </w:tabs>
        <w:ind w:left="994" w:hanging="432"/>
      </w:pPr>
    </w:lvl>
    <w:lvl w:ilvl="1" w:tentative="0">
      <w:start w:val="1"/>
      <w:numFmt w:val="decimal"/>
      <w:lvlText w:val="%1.%2"/>
      <w:lvlJc w:val="left"/>
      <w:pPr>
        <w:tabs>
          <w:tab w:val="left" w:pos="1138"/>
        </w:tabs>
        <w:ind w:left="1138" w:hanging="576"/>
      </w:pPr>
    </w:lvl>
    <w:lvl w:ilvl="2" w:tentative="0">
      <w:start w:val="1"/>
      <w:numFmt w:val="decimal"/>
      <w:lvlText w:val="%1.%2.%3"/>
      <w:lvlJc w:val="left"/>
      <w:pPr>
        <w:tabs>
          <w:tab w:val="left" w:pos="1282"/>
        </w:tabs>
        <w:ind w:left="1282" w:hanging="720"/>
      </w:pPr>
    </w:lvl>
    <w:lvl w:ilvl="3" w:tentative="0">
      <w:start w:val="1"/>
      <w:numFmt w:val="decimal"/>
      <w:lvlText w:val="%1.%2.%3.%4"/>
      <w:lvlJc w:val="left"/>
      <w:pPr>
        <w:tabs>
          <w:tab w:val="left" w:pos="1426"/>
        </w:tabs>
        <w:ind w:left="1426" w:hanging="864"/>
      </w:pPr>
    </w:lvl>
    <w:lvl w:ilvl="4" w:tentative="0">
      <w:start w:val="1"/>
      <w:numFmt w:val="decimal"/>
      <w:lvlText w:val="%1.%2.%3.%4.%5"/>
      <w:lvlJc w:val="left"/>
      <w:pPr>
        <w:tabs>
          <w:tab w:val="left" w:pos="1570"/>
        </w:tabs>
        <w:ind w:left="1570" w:hanging="1008"/>
      </w:pPr>
    </w:lvl>
    <w:lvl w:ilvl="5" w:tentative="0">
      <w:start w:val="1"/>
      <w:numFmt w:val="decimal"/>
      <w:lvlText w:val="%1.%2.%3.%4.%5.%6"/>
      <w:lvlJc w:val="left"/>
      <w:pPr>
        <w:tabs>
          <w:tab w:val="left" w:pos="1714"/>
        </w:tabs>
        <w:ind w:left="1714" w:hanging="1152"/>
      </w:pPr>
    </w:lvl>
    <w:lvl w:ilvl="6" w:tentative="0">
      <w:start w:val="1"/>
      <w:numFmt w:val="decimal"/>
      <w:lvlText w:val="%1.%2.%3.%4.%5.%6.%7"/>
      <w:lvlJc w:val="left"/>
      <w:pPr>
        <w:tabs>
          <w:tab w:val="left" w:pos="1858"/>
        </w:tabs>
        <w:ind w:left="1858" w:hanging="1296"/>
      </w:pPr>
    </w:lvl>
    <w:lvl w:ilvl="7" w:tentative="0">
      <w:start w:val="1"/>
      <w:numFmt w:val="decimal"/>
      <w:lvlText w:val="%1.%2.%3.%4.%5.%6.%7.%8"/>
      <w:lvlJc w:val="left"/>
      <w:pPr>
        <w:tabs>
          <w:tab w:val="left" w:pos="2002"/>
        </w:tabs>
        <w:ind w:left="2002" w:hanging="1440"/>
      </w:pPr>
    </w:lvl>
    <w:lvl w:ilvl="8" w:tentative="0">
      <w:start w:val="1"/>
      <w:numFmt w:val="decimal"/>
      <w:lvlText w:val="%1.%2.%3.%4.%5.%6.%7.%8.%9"/>
      <w:lvlJc w:val="left"/>
      <w:pPr>
        <w:tabs>
          <w:tab w:val="left" w:pos="2146"/>
        </w:tabs>
        <w:ind w:left="2146"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jNmI1NDZiMGRlZmMyNjllMjMwYTlmNGQyZmRlMWMifQ=="/>
    <w:docVar w:name="KSO_WPS_MARK_KEY" w:val="c8de3274-f862-42be-a0a5-3359f65e31c6"/>
  </w:docVars>
  <w:rsids>
    <w:rsidRoot w:val="000F6EDE"/>
    <w:rsid w:val="0000342B"/>
    <w:rsid w:val="00004EDB"/>
    <w:rsid w:val="000057A6"/>
    <w:rsid w:val="0000620D"/>
    <w:rsid w:val="00006680"/>
    <w:rsid w:val="000074C2"/>
    <w:rsid w:val="00010CD2"/>
    <w:rsid w:val="00010D91"/>
    <w:rsid w:val="000175D7"/>
    <w:rsid w:val="0001775B"/>
    <w:rsid w:val="00023C22"/>
    <w:rsid w:val="00023E84"/>
    <w:rsid w:val="000247BD"/>
    <w:rsid w:val="00027EC9"/>
    <w:rsid w:val="0003046C"/>
    <w:rsid w:val="00031D25"/>
    <w:rsid w:val="00031FAE"/>
    <w:rsid w:val="00034F13"/>
    <w:rsid w:val="0003727F"/>
    <w:rsid w:val="00041345"/>
    <w:rsid w:val="000527B3"/>
    <w:rsid w:val="00054910"/>
    <w:rsid w:val="000551F7"/>
    <w:rsid w:val="00055CB9"/>
    <w:rsid w:val="00056F68"/>
    <w:rsid w:val="00057427"/>
    <w:rsid w:val="00064410"/>
    <w:rsid w:val="00065A39"/>
    <w:rsid w:val="000723CB"/>
    <w:rsid w:val="0007566E"/>
    <w:rsid w:val="00082B6A"/>
    <w:rsid w:val="00083039"/>
    <w:rsid w:val="00083659"/>
    <w:rsid w:val="000851E1"/>
    <w:rsid w:val="00086049"/>
    <w:rsid w:val="00087404"/>
    <w:rsid w:val="00092CC7"/>
    <w:rsid w:val="00093677"/>
    <w:rsid w:val="000936B9"/>
    <w:rsid w:val="00094F8D"/>
    <w:rsid w:val="00096CBA"/>
    <w:rsid w:val="000A3748"/>
    <w:rsid w:val="000A39BD"/>
    <w:rsid w:val="000A3E00"/>
    <w:rsid w:val="000A3FAA"/>
    <w:rsid w:val="000A6240"/>
    <w:rsid w:val="000A72E4"/>
    <w:rsid w:val="000B0461"/>
    <w:rsid w:val="000B4423"/>
    <w:rsid w:val="000B5084"/>
    <w:rsid w:val="000B55CD"/>
    <w:rsid w:val="000C080B"/>
    <w:rsid w:val="000C26EE"/>
    <w:rsid w:val="000D1338"/>
    <w:rsid w:val="000D15B5"/>
    <w:rsid w:val="000D21E2"/>
    <w:rsid w:val="000D3F1F"/>
    <w:rsid w:val="000E0AAF"/>
    <w:rsid w:val="000E38FC"/>
    <w:rsid w:val="000E4470"/>
    <w:rsid w:val="000E4957"/>
    <w:rsid w:val="000F4AD8"/>
    <w:rsid w:val="000F4C8A"/>
    <w:rsid w:val="000F52D6"/>
    <w:rsid w:val="000F6EDE"/>
    <w:rsid w:val="00102338"/>
    <w:rsid w:val="0010571C"/>
    <w:rsid w:val="001100D4"/>
    <w:rsid w:val="00110F30"/>
    <w:rsid w:val="00116556"/>
    <w:rsid w:val="00122484"/>
    <w:rsid w:val="001234DB"/>
    <w:rsid w:val="00132BD1"/>
    <w:rsid w:val="00133201"/>
    <w:rsid w:val="001362D7"/>
    <w:rsid w:val="00136D6B"/>
    <w:rsid w:val="00142C44"/>
    <w:rsid w:val="00142C69"/>
    <w:rsid w:val="00144CD3"/>
    <w:rsid w:val="0014737C"/>
    <w:rsid w:val="001511F7"/>
    <w:rsid w:val="00156C52"/>
    <w:rsid w:val="00166C3D"/>
    <w:rsid w:val="00173DF9"/>
    <w:rsid w:val="00182AA3"/>
    <w:rsid w:val="0019767D"/>
    <w:rsid w:val="001A63CC"/>
    <w:rsid w:val="001A7EA3"/>
    <w:rsid w:val="001B0C40"/>
    <w:rsid w:val="001B18ED"/>
    <w:rsid w:val="001B3EE3"/>
    <w:rsid w:val="001B72C5"/>
    <w:rsid w:val="001B7B97"/>
    <w:rsid w:val="001C184F"/>
    <w:rsid w:val="001C6474"/>
    <w:rsid w:val="001D01A8"/>
    <w:rsid w:val="001D0D28"/>
    <w:rsid w:val="001D1ACA"/>
    <w:rsid w:val="001D1C45"/>
    <w:rsid w:val="001D37B9"/>
    <w:rsid w:val="001D3EC0"/>
    <w:rsid w:val="001D602F"/>
    <w:rsid w:val="001D6A04"/>
    <w:rsid w:val="001D7BCD"/>
    <w:rsid w:val="001E1A10"/>
    <w:rsid w:val="001E35A8"/>
    <w:rsid w:val="001E3AE1"/>
    <w:rsid w:val="001E531B"/>
    <w:rsid w:val="001F4D41"/>
    <w:rsid w:val="001F70A8"/>
    <w:rsid w:val="00203000"/>
    <w:rsid w:val="00203E2E"/>
    <w:rsid w:val="002061D2"/>
    <w:rsid w:val="002174B6"/>
    <w:rsid w:val="0022311A"/>
    <w:rsid w:val="002242C2"/>
    <w:rsid w:val="00224E9B"/>
    <w:rsid w:val="00231D15"/>
    <w:rsid w:val="002327BE"/>
    <w:rsid w:val="0023359F"/>
    <w:rsid w:val="00235D85"/>
    <w:rsid w:val="00237E1D"/>
    <w:rsid w:val="002403A3"/>
    <w:rsid w:val="00243905"/>
    <w:rsid w:val="0024514B"/>
    <w:rsid w:val="00245587"/>
    <w:rsid w:val="00246E36"/>
    <w:rsid w:val="002505A7"/>
    <w:rsid w:val="00251099"/>
    <w:rsid w:val="0025173D"/>
    <w:rsid w:val="00253D52"/>
    <w:rsid w:val="00256A82"/>
    <w:rsid w:val="002570D7"/>
    <w:rsid w:val="002578AA"/>
    <w:rsid w:val="002726FB"/>
    <w:rsid w:val="00281036"/>
    <w:rsid w:val="00286B66"/>
    <w:rsid w:val="00286C60"/>
    <w:rsid w:val="0029130D"/>
    <w:rsid w:val="00292D3A"/>
    <w:rsid w:val="002945F8"/>
    <w:rsid w:val="00295DEE"/>
    <w:rsid w:val="00296A2F"/>
    <w:rsid w:val="00297723"/>
    <w:rsid w:val="00297C48"/>
    <w:rsid w:val="002A4537"/>
    <w:rsid w:val="002A4F58"/>
    <w:rsid w:val="002A5AA1"/>
    <w:rsid w:val="002A6628"/>
    <w:rsid w:val="002B041D"/>
    <w:rsid w:val="002B4513"/>
    <w:rsid w:val="002B76A2"/>
    <w:rsid w:val="002C174C"/>
    <w:rsid w:val="002C24D5"/>
    <w:rsid w:val="002C50BD"/>
    <w:rsid w:val="002C7188"/>
    <w:rsid w:val="002C75CD"/>
    <w:rsid w:val="002D08B5"/>
    <w:rsid w:val="002D3093"/>
    <w:rsid w:val="002D5548"/>
    <w:rsid w:val="002D6D95"/>
    <w:rsid w:val="002E221A"/>
    <w:rsid w:val="002E2377"/>
    <w:rsid w:val="002E2CF5"/>
    <w:rsid w:val="002E3788"/>
    <w:rsid w:val="002E7173"/>
    <w:rsid w:val="002E753D"/>
    <w:rsid w:val="002F5B46"/>
    <w:rsid w:val="00301DEF"/>
    <w:rsid w:val="00305BB6"/>
    <w:rsid w:val="00306113"/>
    <w:rsid w:val="0030656C"/>
    <w:rsid w:val="00306E9B"/>
    <w:rsid w:val="0031038F"/>
    <w:rsid w:val="0031398A"/>
    <w:rsid w:val="00317918"/>
    <w:rsid w:val="0032059E"/>
    <w:rsid w:val="00326F6A"/>
    <w:rsid w:val="00332835"/>
    <w:rsid w:val="00332D2B"/>
    <w:rsid w:val="00333551"/>
    <w:rsid w:val="00333EC6"/>
    <w:rsid w:val="0033436E"/>
    <w:rsid w:val="00336036"/>
    <w:rsid w:val="003363F7"/>
    <w:rsid w:val="00336E5F"/>
    <w:rsid w:val="0034226D"/>
    <w:rsid w:val="00343052"/>
    <w:rsid w:val="00346986"/>
    <w:rsid w:val="0035198A"/>
    <w:rsid w:val="00352265"/>
    <w:rsid w:val="003613B6"/>
    <w:rsid w:val="0036197B"/>
    <w:rsid w:val="0036369C"/>
    <w:rsid w:val="00371DA4"/>
    <w:rsid w:val="00374A3E"/>
    <w:rsid w:val="00376159"/>
    <w:rsid w:val="0038435D"/>
    <w:rsid w:val="00390B63"/>
    <w:rsid w:val="0039239D"/>
    <w:rsid w:val="003959B7"/>
    <w:rsid w:val="003A2146"/>
    <w:rsid w:val="003A36C0"/>
    <w:rsid w:val="003A5E43"/>
    <w:rsid w:val="003B0627"/>
    <w:rsid w:val="003B2652"/>
    <w:rsid w:val="003B4C68"/>
    <w:rsid w:val="003B69CA"/>
    <w:rsid w:val="003C3281"/>
    <w:rsid w:val="003C5030"/>
    <w:rsid w:val="003C57B4"/>
    <w:rsid w:val="003D6952"/>
    <w:rsid w:val="003D7C47"/>
    <w:rsid w:val="003E1D4A"/>
    <w:rsid w:val="003E4C8F"/>
    <w:rsid w:val="003F347B"/>
    <w:rsid w:val="003F53FF"/>
    <w:rsid w:val="003F5E8C"/>
    <w:rsid w:val="003F6365"/>
    <w:rsid w:val="00402BEE"/>
    <w:rsid w:val="00403D61"/>
    <w:rsid w:val="004112C6"/>
    <w:rsid w:val="00413FF1"/>
    <w:rsid w:val="00415294"/>
    <w:rsid w:val="00415934"/>
    <w:rsid w:val="00416CEB"/>
    <w:rsid w:val="00420DC3"/>
    <w:rsid w:val="00422509"/>
    <w:rsid w:val="0042306A"/>
    <w:rsid w:val="00426602"/>
    <w:rsid w:val="004272B7"/>
    <w:rsid w:val="00431827"/>
    <w:rsid w:val="0043298B"/>
    <w:rsid w:val="0043744A"/>
    <w:rsid w:val="00437604"/>
    <w:rsid w:val="00440DBA"/>
    <w:rsid w:val="00443466"/>
    <w:rsid w:val="004520CA"/>
    <w:rsid w:val="0045260C"/>
    <w:rsid w:val="00453BB1"/>
    <w:rsid w:val="00454EFA"/>
    <w:rsid w:val="00461A5D"/>
    <w:rsid w:val="0046328C"/>
    <w:rsid w:val="004676AD"/>
    <w:rsid w:val="004676D6"/>
    <w:rsid w:val="00467771"/>
    <w:rsid w:val="004732CA"/>
    <w:rsid w:val="00476402"/>
    <w:rsid w:val="004818E1"/>
    <w:rsid w:val="00483051"/>
    <w:rsid w:val="004841B1"/>
    <w:rsid w:val="00484885"/>
    <w:rsid w:val="00491CCF"/>
    <w:rsid w:val="00491DAB"/>
    <w:rsid w:val="00491EF8"/>
    <w:rsid w:val="0049259F"/>
    <w:rsid w:val="00494D99"/>
    <w:rsid w:val="004966CC"/>
    <w:rsid w:val="004A2B06"/>
    <w:rsid w:val="004A3DB0"/>
    <w:rsid w:val="004A5082"/>
    <w:rsid w:val="004A5366"/>
    <w:rsid w:val="004A79D0"/>
    <w:rsid w:val="004B3118"/>
    <w:rsid w:val="004C16D4"/>
    <w:rsid w:val="004C6187"/>
    <w:rsid w:val="004C67D4"/>
    <w:rsid w:val="004D23BD"/>
    <w:rsid w:val="004D3F2D"/>
    <w:rsid w:val="004D49C0"/>
    <w:rsid w:val="004D4D56"/>
    <w:rsid w:val="004D52FB"/>
    <w:rsid w:val="004D6634"/>
    <w:rsid w:val="004D7BD3"/>
    <w:rsid w:val="004E0B17"/>
    <w:rsid w:val="004E2928"/>
    <w:rsid w:val="004E3F08"/>
    <w:rsid w:val="004E5A91"/>
    <w:rsid w:val="004F01E8"/>
    <w:rsid w:val="004F1855"/>
    <w:rsid w:val="004F67EA"/>
    <w:rsid w:val="004F6896"/>
    <w:rsid w:val="0050114C"/>
    <w:rsid w:val="0050311D"/>
    <w:rsid w:val="005110E0"/>
    <w:rsid w:val="00513A98"/>
    <w:rsid w:val="00514228"/>
    <w:rsid w:val="00514700"/>
    <w:rsid w:val="00517FF8"/>
    <w:rsid w:val="00521A7E"/>
    <w:rsid w:val="00523E25"/>
    <w:rsid w:val="005246DE"/>
    <w:rsid w:val="0052490B"/>
    <w:rsid w:val="00524A4D"/>
    <w:rsid w:val="00531913"/>
    <w:rsid w:val="0053198A"/>
    <w:rsid w:val="0053423F"/>
    <w:rsid w:val="005351CE"/>
    <w:rsid w:val="0053736A"/>
    <w:rsid w:val="00537A95"/>
    <w:rsid w:val="00540A13"/>
    <w:rsid w:val="005428BE"/>
    <w:rsid w:val="00543772"/>
    <w:rsid w:val="00544689"/>
    <w:rsid w:val="00546EDE"/>
    <w:rsid w:val="0055395C"/>
    <w:rsid w:val="0055426B"/>
    <w:rsid w:val="0055477A"/>
    <w:rsid w:val="0055502E"/>
    <w:rsid w:val="005554DC"/>
    <w:rsid w:val="00556DE9"/>
    <w:rsid w:val="00561197"/>
    <w:rsid w:val="00565A44"/>
    <w:rsid w:val="00567BBD"/>
    <w:rsid w:val="005700ED"/>
    <w:rsid w:val="005712EF"/>
    <w:rsid w:val="00572D12"/>
    <w:rsid w:val="0057558E"/>
    <w:rsid w:val="00575DF1"/>
    <w:rsid w:val="00584066"/>
    <w:rsid w:val="005906DD"/>
    <w:rsid w:val="0059117A"/>
    <w:rsid w:val="00592827"/>
    <w:rsid w:val="005946CE"/>
    <w:rsid w:val="005A3C7E"/>
    <w:rsid w:val="005A3E25"/>
    <w:rsid w:val="005A52DF"/>
    <w:rsid w:val="005A5C87"/>
    <w:rsid w:val="005C085B"/>
    <w:rsid w:val="005C0D4D"/>
    <w:rsid w:val="005C4CD5"/>
    <w:rsid w:val="005C64D3"/>
    <w:rsid w:val="005D23D4"/>
    <w:rsid w:val="005D376B"/>
    <w:rsid w:val="005D3F38"/>
    <w:rsid w:val="005D42BE"/>
    <w:rsid w:val="005D5A10"/>
    <w:rsid w:val="005E69CD"/>
    <w:rsid w:val="005F040B"/>
    <w:rsid w:val="005F7062"/>
    <w:rsid w:val="005F77B7"/>
    <w:rsid w:val="006006B9"/>
    <w:rsid w:val="00604CE0"/>
    <w:rsid w:val="006072E9"/>
    <w:rsid w:val="00614431"/>
    <w:rsid w:val="00614991"/>
    <w:rsid w:val="0061547A"/>
    <w:rsid w:val="006177DE"/>
    <w:rsid w:val="00621775"/>
    <w:rsid w:val="00623981"/>
    <w:rsid w:val="00623FBE"/>
    <w:rsid w:val="006244F9"/>
    <w:rsid w:val="006244FB"/>
    <w:rsid w:val="00625111"/>
    <w:rsid w:val="00625D1F"/>
    <w:rsid w:val="00626B7C"/>
    <w:rsid w:val="00626EB4"/>
    <w:rsid w:val="00640785"/>
    <w:rsid w:val="006458CB"/>
    <w:rsid w:val="006524EF"/>
    <w:rsid w:val="00652567"/>
    <w:rsid w:val="00655B3B"/>
    <w:rsid w:val="00657182"/>
    <w:rsid w:val="00660E72"/>
    <w:rsid w:val="0066108D"/>
    <w:rsid w:val="00661843"/>
    <w:rsid w:val="00661CF7"/>
    <w:rsid w:val="00670DC5"/>
    <w:rsid w:val="0067450C"/>
    <w:rsid w:val="006866A0"/>
    <w:rsid w:val="00690907"/>
    <w:rsid w:val="006961A8"/>
    <w:rsid w:val="00696424"/>
    <w:rsid w:val="006A1E21"/>
    <w:rsid w:val="006A33AC"/>
    <w:rsid w:val="006A57EF"/>
    <w:rsid w:val="006A5981"/>
    <w:rsid w:val="006A7027"/>
    <w:rsid w:val="006B010A"/>
    <w:rsid w:val="006B0682"/>
    <w:rsid w:val="006B6997"/>
    <w:rsid w:val="006C49C6"/>
    <w:rsid w:val="006C65DD"/>
    <w:rsid w:val="006D389B"/>
    <w:rsid w:val="006E1FF7"/>
    <w:rsid w:val="006E2DFF"/>
    <w:rsid w:val="006F04D3"/>
    <w:rsid w:val="00704E3C"/>
    <w:rsid w:val="0070693E"/>
    <w:rsid w:val="007128BA"/>
    <w:rsid w:val="00712FC2"/>
    <w:rsid w:val="007160E2"/>
    <w:rsid w:val="00721F7B"/>
    <w:rsid w:val="0072367C"/>
    <w:rsid w:val="007261FF"/>
    <w:rsid w:val="007354CB"/>
    <w:rsid w:val="0074171C"/>
    <w:rsid w:val="00741B90"/>
    <w:rsid w:val="007429B1"/>
    <w:rsid w:val="00746CB3"/>
    <w:rsid w:val="00751FD0"/>
    <w:rsid w:val="00754229"/>
    <w:rsid w:val="00754E8F"/>
    <w:rsid w:val="00756B56"/>
    <w:rsid w:val="007611C1"/>
    <w:rsid w:val="00761988"/>
    <w:rsid w:val="007706B8"/>
    <w:rsid w:val="00773165"/>
    <w:rsid w:val="007746C3"/>
    <w:rsid w:val="00774C43"/>
    <w:rsid w:val="00774EE2"/>
    <w:rsid w:val="00775EB8"/>
    <w:rsid w:val="0078277B"/>
    <w:rsid w:val="007866FD"/>
    <w:rsid w:val="00786958"/>
    <w:rsid w:val="00787488"/>
    <w:rsid w:val="007905F5"/>
    <w:rsid w:val="00793690"/>
    <w:rsid w:val="00793965"/>
    <w:rsid w:val="00795015"/>
    <w:rsid w:val="0079513D"/>
    <w:rsid w:val="00796D2B"/>
    <w:rsid w:val="007A10ED"/>
    <w:rsid w:val="007A2F5E"/>
    <w:rsid w:val="007A3834"/>
    <w:rsid w:val="007A3F42"/>
    <w:rsid w:val="007A6DEB"/>
    <w:rsid w:val="007A720C"/>
    <w:rsid w:val="007B1479"/>
    <w:rsid w:val="007B376E"/>
    <w:rsid w:val="007C051D"/>
    <w:rsid w:val="007C1BBC"/>
    <w:rsid w:val="007C24A4"/>
    <w:rsid w:val="007D3D32"/>
    <w:rsid w:val="007D4B75"/>
    <w:rsid w:val="007D501B"/>
    <w:rsid w:val="007D53C8"/>
    <w:rsid w:val="007D5AA9"/>
    <w:rsid w:val="007D5C85"/>
    <w:rsid w:val="007D7560"/>
    <w:rsid w:val="007E039A"/>
    <w:rsid w:val="007E0B54"/>
    <w:rsid w:val="007E5AAC"/>
    <w:rsid w:val="007E63F7"/>
    <w:rsid w:val="007F283D"/>
    <w:rsid w:val="007F3766"/>
    <w:rsid w:val="007F548F"/>
    <w:rsid w:val="007F64CC"/>
    <w:rsid w:val="007F7BF4"/>
    <w:rsid w:val="00801699"/>
    <w:rsid w:val="008016D1"/>
    <w:rsid w:val="00804719"/>
    <w:rsid w:val="00804B6B"/>
    <w:rsid w:val="008075FC"/>
    <w:rsid w:val="00811532"/>
    <w:rsid w:val="008116A0"/>
    <w:rsid w:val="008143A5"/>
    <w:rsid w:val="008152DC"/>
    <w:rsid w:val="008156DE"/>
    <w:rsid w:val="00816950"/>
    <w:rsid w:val="00821D2B"/>
    <w:rsid w:val="00823571"/>
    <w:rsid w:val="0082447E"/>
    <w:rsid w:val="0082655E"/>
    <w:rsid w:val="00826B11"/>
    <w:rsid w:val="00835CBA"/>
    <w:rsid w:val="00841ACD"/>
    <w:rsid w:val="00841D8A"/>
    <w:rsid w:val="008440BD"/>
    <w:rsid w:val="00845220"/>
    <w:rsid w:val="008453BD"/>
    <w:rsid w:val="008456D4"/>
    <w:rsid w:val="00846FEF"/>
    <w:rsid w:val="0085012F"/>
    <w:rsid w:val="00851338"/>
    <w:rsid w:val="0086071C"/>
    <w:rsid w:val="008645FD"/>
    <w:rsid w:val="008663C7"/>
    <w:rsid w:val="008668A9"/>
    <w:rsid w:val="008670C0"/>
    <w:rsid w:val="00867699"/>
    <w:rsid w:val="00870C3C"/>
    <w:rsid w:val="00872068"/>
    <w:rsid w:val="0088174F"/>
    <w:rsid w:val="00883752"/>
    <w:rsid w:val="00883DE4"/>
    <w:rsid w:val="008864D0"/>
    <w:rsid w:val="00886546"/>
    <w:rsid w:val="0088756B"/>
    <w:rsid w:val="00890553"/>
    <w:rsid w:val="008924BB"/>
    <w:rsid w:val="00893E4A"/>
    <w:rsid w:val="008A29AC"/>
    <w:rsid w:val="008A5A5E"/>
    <w:rsid w:val="008B0351"/>
    <w:rsid w:val="008B3FD2"/>
    <w:rsid w:val="008B6250"/>
    <w:rsid w:val="008B73AA"/>
    <w:rsid w:val="008B7CCD"/>
    <w:rsid w:val="008C143C"/>
    <w:rsid w:val="008C2DA8"/>
    <w:rsid w:val="008C5D5A"/>
    <w:rsid w:val="008C782F"/>
    <w:rsid w:val="008D24B2"/>
    <w:rsid w:val="008D2A6E"/>
    <w:rsid w:val="008D4D16"/>
    <w:rsid w:val="008D4F37"/>
    <w:rsid w:val="008E0FDF"/>
    <w:rsid w:val="008E32AD"/>
    <w:rsid w:val="008E45B9"/>
    <w:rsid w:val="008F04C8"/>
    <w:rsid w:val="008F1C12"/>
    <w:rsid w:val="008F4329"/>
    <w:rsid w:val="008F7740"/>
    <w:rsid w:val="00901209"/>
    <w:rsid w:val="00901DBE"/>
    <w:rsid w:val="00902090"/>
    <w:rsid w:val="009062BE"/>
    <w:rsid w:val="0091020F"/>
    <w:rsid w:val="0091220E"/>
    <w:rsid w:val="00914B1F"/>
    <w:rsid w:val="00915049"/>
    <w:rsid w:val="009163B2"/>
    <w:rsid w:val="00917B54"/>
    <w:rsid w:val="00921BA1"/>
    <w:rsid w:val="00922030"/>
    <w:rsid w:val="0092509D"/>
    <w:rsid w:val="00927263"/>
    <w:rsid w:val="00927C0C"/>
    <w:rsid w:val="00931EFD"/>
    <w:rsid w:val="00932470"/>
    <w:rsid w:val="0093283A"/>
    <w:rsid w:val="0093519C"/>
    <w:rsid w:val="00936C62"/>
    <w:rsid w:val="009412DA"/>
    <w:rsid w:val="00950ABC"/>
    <w:rsid w:val="00950AD7"/>
    <w:rsid w:val="0095251A"/>
    <w:rsid w:val="009557DB"/>
    <w:rsid w:val="009568B1"/>
    <w:rsid w:val="00956A06"/>
    <w:rsid w:val="009578E2"/>
    <w:rsid w:val="009579A2"/>
    <w:rsid w:val="00957D51"/>
    <w:rsid w:val="00960E96"/>
    <w:rsid w:val="0096129F"/>
    <w:rsid w:val="009655E0"/>
    <w:rsid w:val="00970461"/>
    <w:rsid w:val="00970898"/>
    <w:rsid w:val="009757F4"/>
    <w:rsid w:val="00981B7A"/>
    <w:rsid w:val="00984C7B"/>
    <w:rsid w:val="00984F28"/>
    <w:rsid w:val="009850F9"/>
    <w:rsid w:val="00985C58"/>
    <w:rsid w:val="009870A7"/>
    <w:rsid w:val="009911E1"/>
    <w:rsid w:val="009922BF"/>
    <w:rsid w:val="00992486"/>
    <w:rsid w:val="00992C68"/>
    <w:rsid w:val="00994CFF"/>
    <w:rsid w:val="009963AA"/>
    <w:rsid w:val="009973A3"/>
    <w:rsid w:val="009A0EF4"/>
    <w:rsid w:val="009A4EB1"/>
    <w:rsid w:val="009A583C"/>
    <w:rsid w:val="009B0AC9"/>
    <w:rsid w:val="009B47A7"/>
    <w:rsid w:val="009B6379"/>
    <w:rsid w:val="009B64E1"/>
    <w:rsid w:val="009B73F1"/>
    <w:rsid w:val="009C2C2F"/>
    <w:rsid w:val="009C4A42"/>
    <w:rsid w:val="009C5B64"/>
    <w:rsid w:val="009C68A9"/>
    <w:rsid w:val="009D0086"/>
    <w:rsid w:val="009E5D4C"/>
    <w:rsid w:val="009E60C0"/>
    <w:rsid w:val="009E61C5"/>
    <w:rsid w:val="009F2F08"/>
    <w:rsid w:val="009F6CB6"/>
    <w:rsid w:val="009F71FE"/>
    <w:rsid w:val="009F7B1F"/>
    <w:rsid w:val="00A04423"/>
    <w:rsid w:val="00A05428"/>
    <w:rsid w:val="00A059A8"/>
    <w:rsid w:val="00A16C8D"/>
    <w:rsid w:val="00A171E4"/>
    <w:rsid w:val="00A216FD"/>
    <w:rsid w:val="00A24458"/>
    <w:rsid w:val="00A2445B"/>
    <w:rsid w:val="00A32AE8"/>
    <w:rsid w:val="00A34375"/>
    <w:rsid w:val="00A34EDE"/>
    <w:rsid w:val="00A36E28"/>
    <w:rsid w:val="00A4025F"/>
    <w:rsid w:val="00A41E10"/>
    <w:rsid w:val="00A4402C"/>
    <w:rsid w:val="00A46C2E"/>
    <w:rsid w:val="00A548B2"/>
    <w:rsid w:val="00A54F14"/>
    <w:rsid w:val="00A62BDE"/>
    <w:rsid w:val="00A6379E"/>
    <w:rsid w:val="00A66961"/>
    <w:rsid w:val="00A710A8"/>
    <w:rsid w:val="00A72F3C"/>
    <w:rsid w:val="00A73F6A"/>
    <w:rsid w:val="00A7791A"/>
    <w:rsid w:val="00A811E6"/>
    <w:rsid w:val="00A84521"/>
    <w:rsid w:val="00A86C89"/>
    <w:rsid w:val="00A87F38"/>
    <w:rsid w:val="00A91693"/>
    <w:rsid w:val="00A916B4"/>
    <w:rsid w:val="00A93981"/>
    <w:rsid w:val="00A93ED6"/>
    <w:rsid w:val="00A96139"/>
    <w:rsid w:val="00A96339"/>
    <w:rsid w:val="00AA148E"/>
    <w:rsid w:val="00AA24E8"/>
    <w:rsid w:val="00AA696C"/>
    <w:rsid w:val="00AA7CA0"/>
    <w:rsid w:val="00AB1C4A"/>
    <w:rsid w:val="00AB1D22"/>
    <w:rsid w:val="00AB2651"/>
    <w:rsid w:val="00AB3957"/>
    <w:rsid w:val="00AB638A"/>
    <w:rsid w:val="00AC0EFF"/>
    <w:rsid w:val="00AC193B"/>
    <w:rsid w:val="00AC2E5E"/>
    <w:rsid w:val="00AC3457"/>
    <w:rsid w:val="00AC5F25"/>
    <w:rsid w:val="00AC6641"/>
    <w:rsid w:val="00AD19E2"/>
    <w:rsid w:val="00AD283C"/>
    <w:rsid w:val="00AD3B19"/>
    <w:rsid w:val="00AD463C"/>
    <w:rsid w:val="00AD5DB0"/>
    <w:rsid w:val="00AD6A5D"/>
    <w:rsid w:val="00AE0237"/>
    <w:rsid w:val="00AE5509"/>
    <w:rsid w:val="00AE5CAC"/>
    <w:rsid w:val="00AF2B98"/>
    <w:rsid w:val="00AF66BC"/>
    <w:rsid w:val="00AF71B6"/>
    <w:rsid w:val="00B00B92"/>
    <w:rsid w:val="00B01860"/>
    <w:rsid w:val="00B03A23"/>
    <w:rsid w:val="00B043E4"/>
    <w:rsid w:val="00B071BF"/>
    <w:rsid w:val="00B07D59"/>
    <w:rsid w:val="00B11FA0"/>
    <w:rsid w:val="00B13A22"/>
    <w:rsid w:val="00B14EB8"/>
    <w:rsid w:val="00B152B9"/>
    <w:rsid w:val="00B15F66"/>
    <w:rsid w:val="00B16882"/>
    <w:rsid w:val="00B23CBF"/>
    <w:rsid w:val="00B304D0"/>
    <w:rsid w:val="00B31DE7"/>
    <w:rsid w:val="00B33894"/>
    <w:rsid w:val="00B424FC"/>
    <w:rsid w:val="00B46F58"/>
    <w:rsid w:val="00B47E0C"/>
    <w:rsid w:val="00B54EF4"/>
    <w:rsid w:val="00B55713"/>
    <w:rsid w:val="00B568E0"/>
    <w:rsid w:val="00B56A17"/>
    <w:rsid w:val="00B60391"/>
    <w:rsid w:val="00B61418"/>
    <w:rsid w:val="00B6255D"/>
    <w:rsid w:val="00B62D3D"/>
    <w:rsid w:val="00B633AB"/>
    <w:rsid w:val="00B64EF4"/>
    <w:rsid w:val="00B675B7"/>
    <w:rsid w:val="00B72512"/>
    <w:rsid w:val="00B72CA9"/>
    <w:rsid w:val="00B73507"/>
    <w:rsid w:val="00B76336"/>
    <w:rsid w:val="00B77DD2"/>
    <w:rsid w:val="00B8478E"/>
    <w:rsid w:val="00B85054"/>
    <w:rsid w:val="00B878C8"/>
    <w:rsid w:val="00B9021C"/>
    <w:rsid w:val="00B94A48"/>
    <w:rsid w:val="00B94C1E"/>
    <w:rsid w:val="00B966F9"/>
    <w:rsid w:val="00BA0601"/>
    <w:rsid w:val="00BA0657"/>
    <w:rsid w:val="00BA2080"/>
    <w:rsid w:val="00BA4B42"/>
    <w:rsid w:val="00BA5DFF"/>
    <w:rsid w:val="00BA5F0C"/>
    <w:rsid w:val="00BC3829"/>
    <w:rsid w:val="00BC3C2C"/>
    <w:rsid w:val="00BD5BF6"/>
    <w:rsid w:val="00BE21DB"/>
    <w:rsid w:val="00BE3A53"/>
    <w:rsid w:val="00BE41E4"/>
    <w:rsid w:val="00BE72B3"/>
    <w:rsid w:val="00BF134F"/>
    <w:rsid w:val="00BF249B"/>
    <w:rsid w:val="00C00341"/>
    <w:rsid w:val="00C12BA8"/>
    <w:rsid w:val="00C12F86"/>
    <w:rsid w:val="00C13018"/>
    <w:rsid w:val="00C15461"/>
    <w:rsid w:val="00C174F2"/>
    <w:rsid w:val="00C2027C"/>
    <w:rsid w:val="00C2040A"/>
    <w:rsid w:val="00C20E01"/>
    <w:rsid w:val="00C26289"/>
    <w:rsid w:val="00C27111"/>
    <w:rsid w:val="00C27A04"/>
    <w:rsid w:val="00C31E74"/>
    <w:rsid w:val="00C344BA"/>
    <w:rsid w:val="00C34CCC"/>
    <w:rsid w:val="00C34EF5"/>
    <w:rsid w:val="00C358B7"/>
    <w:rsid w:val="00C36843"/>
    <w:rsid w:val="00C36ADD"/>
    <w:rsid w:val="00C403DD"/>
    <w:rsid w:val="00C420A6"/>
    <w:rsid w:val="00C4367E"/>
    <w:rsid w:val="00C43B56"/>
    <w:rsid w:val="00C440BD"/>
    <w:rsid w:val="00C470B6"/>
    <w:rsid w:val="00C517FE"/>
    <w:rsid w:val="00C53F1E"/>
    <w:rsid w:val="00C65B38"/>
    <w:rsid w:val="00C66E67"/>
    <w:rsid w:val="00C67F19"/>
    <w:rsid w:val="00C70313"/>
    <w:rsid w:val="00C70942"/>
    <w:rsid w:val="00C7112C"/>
    <w:rsid w:val="00C7184B"/>
    <w:rsid w:val="00C74F2D"/>
    <w:rsid w:val="00C74FF0"/>
    <w:rsid w:val="00C768FE"/>
    <w:rsid w:val="00C81594"/>
    <w:rsid w:val="00C83818"/>
    <w:rsid w:val="00C86636"/>
    <w:rsid w:val="00C8771C"/>
    <w:rsid w:val="00C905F6"/>
    <w:rsid w:val="00C94854"/>
    <w:rsid w:val="00C96BCD"/>
    <w:rsid w:val="00C978A0"/>
    <w:rsid w:val="00CA259C"/>
    <w:rsid w:val="00CA3B10"/>
    <w:rsid w:val="00CA61FD"/>
    <w:rsid w:val="00CB020D"/>
    <w:rsid w:val="00CB1860"/>
    <w:rsid w:val="00CB7183"/>
    <w:rsid w:val="00CC32E2"/>
    <w:rsid w:val="00CC5C12"/>
    <w:rsid w:val="00CC67C8"/>
    <w:rsid w:val="00CC6BAE"/>
    <w:rsid w:val="00CD03A9"/>
    <w:rsid w:val="00CD1E29"/>
    <w:rsid w:val="00CD26F3"/>
    <w:rsid w:val="00CD3BCB"/>
    <w:rsid w:val="00CD67A1"/>
    <w:rsid w:val="00CE094C"/>
    <w:rsid w:val="00CE2AE3"/>
    <w:rsid w:val="00CE6FEF"/>
    <w:rsid w:val="00CF2210"/>
    <w:rsid w:val="00CF3F72"/>
    <w:rsid w:val="00CF461C"/>
    <w:rsid w:val="00D04179"/>
    <w:rsid w:val="00D058C7"/>
    <w:rsid w:val="00D118BD"/>
    <w:rsid w:val="00D1536B"/>
    <w:rsid w:val="00D161B7"/>
    <w:rsid w:val="00D25D65"/>
    <w:rsid w:val="00D300AF"/>
    <w:rsid w:val="00D308E8"/>
    <w:rsid w:val="00D30C31"/>
    <w:rsid w:val="00D30CD0"/>
    <w:rsid w:val="00D31C60"/>
    <w:rsid w:val="00D36DA9"/>
    <w:rsid w:val="00D3739D"/>
    <w:rsid w:val="00D541AD"/>
    <w:rsid w:val="00D56EE3"/>
    <w:rsid w:val="00D57B43"/>
    <w:rsid w:val="00D612CA"/>
    <w:rsid w:val="00D62F43"/>
    <w:rsid w:val="00D651CB"/>
    <w:rsid w:val="00D663B9"/>
    <w:rsid w:val="00D66B69"/>
    <w:rsid w:val="00D71A47"/>
    <w:rsid w:val="00D72C18"/>
    <w:rsid w:val="00D7493B"/>
    <w:rsid w:val="00D771BF"/>
    <w:rsid w:val="00D77AC4"/>
    <w:rsid w:val="00D8290F"/>
    <w:rsid w:val="00D82F7A"/>
    <w:rsid w:val="00D833CA"/>
    <w:rsid w:val="00D86179"/>
    <w:rsid w:val="00D86642"/>
    <w:rsid w:val="00D901CD"/>
    <w:rsid w:val="00D911DA"/>
    <w:rsid w:val="00D9598A"/>
    <w:rsid w:val="00D96FFF"/>
    <w:rsid w:val="00DA36A6"/>
    <w:rsid w:val="00DA708C"/>
    <w:rsid w:val="00DA7390"/>
    <w:rsid w:val="00DB01F0"/>
    <w:rsid w:val="00DB4287"/>
    <w:rsid w:val="00DB4BDE"/>
    <w:rsid w:val="00DB509E"/>
    <w:rsid w:val="00DB6B38"/>
    <w:rsid w:val="00DC2D05"/>
    <w:rsid w:val="00DC4C54"/>
    <w:rsid w:val="00DC5FE6"/>
    <w:rsid w:val="00DD058D"/>
    <w:rsid w:val="00DD14FF"/>
    <w:rsid w:val="00DD4D58"/>
    <w:rsid w:val="00DD61C5"/>
    <w:rsid w:val="00DE14F0"/>
    <w:rsid w:val="00DE573B"/>
    <w:rsid w:val="00DE68CA"/>
    <w:rsid w:val="00DF29FB"/>
    <w:rsid w:val="00DF4247"/>
    <w:rsid w:val="00DF5EFD"/>
    <w:rsid w:val="00DF615F"/>
    <w:rsid w:val="00E00567"/>
    <w:rsid w:val="00E006DE"/>
    <w:rsid w:val="00E02929"/>
    <w:rsid w:val="00E04582"/>
    <w:rsid w:val="00E055B0"/>
    <w:rsid w:val="00E07661"/>
    <w:rsid w:val="00E14F03"/>
    <w:rsid w:val="00E209B9"/>
    <w:rsid w:val="00E21C15"/>
    <w:rsid w:val="00E21CAF"/>
    <w:rsid w:val="00E2469A"/>
    <w:rsid w:val="00E249D3"/>
    <w:rsid w:val="00E2579C"/>
    <w:rsid w:val="00E25A1E"/>
    <w:rsid w:val="00E27682"/>
    <w:rsid w:val="00E33FE6"/>
    <w:rsid w:val="00E353E6"/>
    <w:rsid w:val="00E36514"/>
    <w:rsid w:val="00E41BBA"/>
    <w:rsid w:val="00E4387A"/>
    <w:rsid w:val="00E440A4"/>
    <w:rsid w:val="00E52D4B"/>
    <w:rsid w:val="00E5448B"/>
    <w:rsid w:val="00E549D9"/>
    <w:rsid w:val="00E5765B"/>
    <w:rsid w:val="00E62741"/>
    <w:rsid w:val="00E657E0"/>
    <w:rsid w:val="00E66448"/>
    <w:rsid w:val="00E667E3"/>
    <w:rsid w:val="00E67136"/>
    <w:rsid w:val="00E711DC"/>
    <w:rsid w:val="00E73079"/>
    <w:rsid w:val="00E7433B"/>
    <w:rsid w:val="00E74653"/>
    <w:rsid w:val="00E76FFB"/>
    <w:rsid w:val="00E82FCC"/>
    <w:rsid w:val="00E86981"/>
    <w:rsid w:val="00E96FDE"/>
    <w:rsid w:val="00E970F3"/>
    <w:rsid w:val="00E9717F"/>
    <w:rsid w:val="00E97476"/>
    <w:rsid w:val="00EA4171"/>
    <w:rsid w:val="00EA55F3"/>
    <w:rsid w:val="00EA65E5"/>
    <w:rsid w:val="00EB719C"/>
    <w:rsid w:val="00EB76B9"/>
    <w:rsid w:val="00EC3957"/>
    <w:rsid w:val="00ED401F"/>
    <w:rsid w:val="00ED599F"/>
    <w:rsid w:val="00ED7115"/>
    <w:rsid w:val="00EE0583"/>
    <w:rsid w:val="00EE12B8"/>
    <w:rsid w:val="00EE1AD5"/>
    <w:rsid w:val="00EE48B5"/>
    <w:rsid w:val="00EE6DBD"/>
    <w:rsid w:val="00EE7114"/>
    <w:rsid w:val="00EE7C03"/>
    <w:rsid w:val="00EF165E"/>
    <w:rsid w:val="00EF29E1"/>
    <w:rsid w:val="00EF4088"/>
    <w:rsid w:val="00EF7C64"/>
    <w:rsid w:val="00F01C03"/>
    <w:rsid w:val="00F04494"/>
    <w:rsid w:val="00F116CA"/>
    <w:rsid w:val="00F127B8"/>
    <w:rsid w:val="00F155D1"/>
    <w:rsid w:val="00F16892"/>
    <w:rsid w:val="00F21472"/>
    <w:rsid w:val="00F233D3"/>
    <w:rsid w:val="00F24CDE"/>
    <w:rsid w:val="00F25EAA"/>
    <w:rsid w:val="00F2607B"/>
    <w:rsid w:val="00F270C8"/>
    <w:rsid w:val="00F31697"/>
    <w:rsid w:val="00F31A09"/>
    <w:rsid w:val="00F325E3"/>
    <w:rsid w:val="00F329BA"/>
    <w:rsid w:val="00F3587E"/>
    <w:rsid w:val="00F3640F"/>
    <w:rsid w:val="00F3761D"/>
    <w:rsid w:val="00F41775"/>
    <w:rsid w:val="00F44571"/>
    <w:rsid w:val="00F45762"/>
    <w:rsid w:val="00F46DA4"/>
    <w:rsid w:val="00F50FEC"/>
    <w:rsid w:val="00F546F5"/>
    <w:rsid w:val="00F558BF"/>
    <w:rsid w:val="00F56BEE"/>
    <w:rsid w:val="00F57BB4"/>
    <w:rsid w:val="00F617D3"/>
    <w:rsid w:val="00F617EB"/>
    <w:rsid w:val="00F66FDC"/>
    <w:rsid w:val="00F84F3F"/>
    <w:rsid w:val="00F96B25"/>
    <w:rsid w:val="00F97937"/>
    <w:rsid w:val="00FA33FB"/>
    <w:rsid w:val="00FA40C2"/>
    <w:rsid w:val="00FA6088"/>
    <w:rsid w:val="00FA671A"/>
    <w:rsid w:val="00FB6303"/>
    <w:rsid w:val="00FB7857"/>
    <w:rsid w:val="00FB7E9A"/>
    <w:rsid w:val="00FC1C2B"/>
    <w:rsid w:val="00FC1EEE"/>
    <w:rsid w:val="00FC3E24"/>
    <w:rsid w:val="00FC6927"/>
    <w:rsid w:val="00FC7977"/>
    <w:rsid w:val="00FD093B"/>
    <w:rsid w:val="00FD1E27"/>
    <w:rsid w:val="00FD36EF"/>
    <w:rsid w:val="00FD4F50"/>
    <w:rsid w:val="00FD53E2"/>
    <w:rsid w:val="00FD7E8A"/>
    <w:rsid w:val="00FE2331"/>
    <w:rsid w:val="00FE69EB"/>
    <w:rsid w:val="00FF0014"/>
    <w:rsid w:val="00FF0B70"/>
    <w:rsid w:val="00FF1CB7"/>
    <w:rsid w:val="00FF2868"/>
    <w:rsid w:val="0370464D"/>
    <w:rsid w:val="03800D34"/>
    <w:rsid w:val="03851211"/>
    <w:rsid w:val="04AB0032"/>
    <w:rsid w:val="0513500E"/>
    <w:rsid w:val="05841971"/>
    <w:rsid w:val="05C0702D"/>
    <w:rsid w:val="05D13AC9"/>
    <w:rsid w:val="061701B8"/>
    <w:rsid w:val="07F27D26"/>
    <w:rsid w:val="08F8136C"/>
    <w:rsid w:val="09552F0C"/>
    <w:rsid w:val="098F7F23"/>
    <w:rsid w:val="0A6C0264"/>
    <w:rsid w:val="0AEC68AF"/>
    <w:rsid w:val="0B5C2086"/>
    <w:rsid w:val="0B9C437D"/>
    <w:rsid w:val="0BE75B3A"/>
    <w:rsid w:val="0C8C24F7"/>
    <w:rsid w:val="0CB91DD8"/>
    <w:rsid w:val="0D55195C"/>
    <w:rsid w:val="0D7E023F"/>
    <w:rsid w:val="0EF46901"/>
    <w:rsid w:val="0F182768"/>
    <w:rsid w:val="0F2E00BA"/>
    <w:rsid w:val="0F6A2898"/>
    <w:rsid w:val="0F7D081D"/>
    <w:rsid w:val="0FE0172C"/>
    <w:rsid w:val="0FF65058"/>
    <w:rsid w:val="11A96710"/>
    <w:rsid w:val="12AD766B"/>
    <w:rsid w:val="12E51DFF"/>
    <w:rsid w:val="13A97E33"/>
    <w:rsid w:val="146C362D"/>
    <w:rsid w:val="15FF4D5C"/>
    <w:rsid w:val="181E2472"/>
    <w:rsid w:val="18363C5F"/>
    <w:rsid w:val="18876269"/>
    <w:rsid w:val="19B1359D"/>
    <w:rsid w:val="1A4D4777"/>
    <w:rsid w:val="1A75281D"/>
    <w:rsid w:val="1ACE5841"/>
    <w:rsid w:val="1ACF1846"/>
    <w:rsid w:val="1B3B0D45"/>
    <w:rsid w:val="1B427FCC"/>
    <w:rsid w:val="1BA50A2C"/>
    <w:rsid w:val="1BD970A3"/>
    <w:rsid w:val="1C1C7009"/>
    <w:rsid w:val="1C3952B1"/>
    <w:rsid w:val="1C5C2071"/>
    <w:rsid w:val="1C970128"/>
    <w:rsid w:val="1CAF68AB"/>
    <w:rsid w:val="1D03080E"/>
    <w:rsid w:val="1FB461D9"/>
    <w:rsid w:val="206E7F85"/>
    <w:rsid w:val="209C6E6C"/>
    <w:rsid w:val="2204441B"/>
    <w:rsid w:val="224126E1"/>
    <w:rsid w:val="22C0182E"/>
    <w:rsid w:val="22F445E9"/>
    <w:rsid w:val="23354961"/>
    <w:rsid w:val="233E7971"/>
    <w:rsid w:val="238028DE"/>
    <w:rsid w:val="238D507B"/>
    <w:rsid w:val="23DF6A9F"/>
    <w:rsid w:val="23FA626A"/>
    <w:rsid w:val="2408768D"/>
    <w:rsid w:val="25FD5B45"/>
    <w:rsid w:val="267B7105"/>
    <w:rsid w:val="268E7CE3"/>
    <w:rsid w:val="26B54D1B"/>
    <w:rsid w:val="26CC7C68"/>
    <w:rsid w:val="26D207A3"/>
    <w:rsid w:val="27095F54"/>
    <w:rsid w:val="27D96497"/>
    <w:rsid w:val="28263869"/>
    <w:rsid w:val="29787C34"/>
    <w:rsid w:val="29A70519"/>
    <w:rsid w:val="29FE5E2F"/>
    <w:rsid w:val="2C5C4DBC"/>
    <w:rsid w:val="2CE85CD7"/>
    <w:rsid w:val="2E5324E9"/>
    <w:rsid w:val="2EF104EA"/>
    <w:rsid w:val="2F114B85"/>
    <w:rsid w:val="2F4D3910"/>
    <w:rsid w:val="2F504284"/>
    <w:rsid w:val="2F670D61"/>
    <w:rsid w:val="2FA86D99"/>
    <w:rsid w:val="30044D5D"/>
    <w:rsid w:val="311346E6"/>
    <w:rsid w:val="318077C1"/>
    <w:rsid w:val="32272D7F"/>
    <w:rsid w:val="344A6670"/>
    <w:rsid w:val="347E1F87"/>
    <w:rsid w:val="34AF477E"/>
    <w:rsid w:val="36116694"/>
    <w:rsid w:val="374C3937"/>
    <w:rsid w:val="38561A88"/>
    <w:rsid w:val="38A535F2"/>
    <w:rsid w:val="39E5156F"/>
    <w:rsid w:val="3A5671D5"/>
    <w:rsid w:val="3AC14083"/>
    <w:rsid w:val="3AFE1F63"/>
    <w:rsid w:val="3BD97CAF"/>
    <w:rsid w:val="3C591B47"/>
    <w:rsid w:val="3E032FF4"/>
    <w:rsid w:val="3E990920"/>
    <w:rsid w:val="3F4620CA"/>
    <w:rsid w:val="3FAA4467"/>
    <w:rsid w:val="3FAD0487"/>
    <w:rsid w:val="3FB40D08"/>
    <w:rsid w:val="40B839CB"/>
    <w:rsid w:val="418B5647"/>
    <w:rsid w:val="41A966ED"/>
    <w:rsid w:val="42287F74"/>
    <w:rsid w:val="42C45559"/>
    <w:rsid w:val="436C675B"/>
    <w:rsid w:val="43E51FE4"/>
    <w:rsid w:val="43F32B2E"/>
    <w:rsid w:val="44247522"/>
    <w:rsid w:val="44953938"/>
    <w:rsid w:val="454F0F9D"/>
    <w:rsid w:val="455F22F8"/>
    <w:rsid w:val="45A007E6"/>
    <w:rsid w:val="45F4477A"/>
    <w:rsid w:val="45FA78E5"/>
    <w:rsid w:val="47EF6625"/>
    <w:rsid w:val="48D879D9"/>
    <w:rsid w:val="497B61D5"/>
    <w:rsid w:val="4ACE1952"/>
    <w:rsid w:val="4AEA0DA3"/>
    <w:rsid w:val="4B5A0828"/>
    <w:rsid w:val="4BFE0BB1"/>
    <w:rsid w:val="4CF21575"/>
    <w:rsid w:val="4DB11B4F"/>
    <w:rsid w:val="4DCD7CE8"/>
    <w:rsid w:val="4E085AB9"/>
    <w:rsid w:val="4F1E68F0"/>
    <w:rsid w:val="50A74E48"/>
    <w:rsid w:val="50D67A91"/>
    <w:rsid w:val="50DE5D2B"/>
    <w:rsid w:val="50FB2D75"/>
    <w:rsid w:val="519A5C2B"/>
    <w:rsid w:val="5245699D"/>
    <w:rsid w:val="524C37E9"/>
    <w:rsid w:val="52732B58"/>
    <w:rsid w:val="53DD59CD"/>
    <w:rsid w:val="54D04518"/>
    <w:rsid w:val="55052414"/>
    <w:rsid w:val="550A78E8"/>
    <w:rsid w:val="563C43FA"/>
    <w:rsid w:val="569D57DC"/>
    <w:rsid w:val="56FF0867"/>
    <w:rsid w:val="57915ACB"/>
    <w:rsid w:val="57BB7252"/>
    <w:rsid w:val="58BA05AD"/>
    <w:rsid w:val="58F26208"/>
    <w:rsid w:val="59EC5950"/>
    <w:rsid w:val="5B1C4D0C"/>
    <w:rsid w:val="5B2A77B3"/>
    <w:rsid w:val="5BE262DA"/>
    <w:rsid w:val="5C087D18"/>
    <w:rsid w:val="5CAB47D8"/>
    <w:rsid w:val="5DC3265D"/>
    <w:rsid w:val="5E911532"/>
    <w:rsid w:val="5EDE1AAA"/>
    <w:rsid w:val="5F2416E8"/>
    <w:rsid w:val="5F303BAB"/>
    <w:rsid w:val="5F53517B"/>
    <w:rsid w:val="60045CC3"/>
    <w:rsid w:val="605976BC"/>
    <w:rsid w:val="60880BB4"/>
    <w:rsid w:val="60EC4488"/>
    <w:rsid w:val="62730F9D"/>
    <w:rsid w:val="63CE327B"/>
    <w:rsid w:val="63DA4C55"/>
    <w:rsid w:val="640815D9"/>
    <w:rsid w:val="644A08FF"/>
    <w:rsid w:val="647F0592"/>
    <w:rsid w:val="64B77232"/>
    <w:rsid w:val="65C317C8"/>
    <w:rsid w:val="66F251B6"/>
    <w:rsid w:val="67200AA7"/>
    <w:rsid w:val="672C5386"/>
    <w:rsid w:val="67527D55"/>
    <w:rsid w:val="6784366C"/>
    <w:rsid w:val="68BC6E36"/>
    <w:rsid w:val="691341D3"/>
    <w:rsid w:val="697F382F"/>
    <w:rsid w:val="69B35D3E"/>
    <w:rsid w:val="69B905E2"/>
    <w:rsid w:val="69EB1780"/>
    <w:rsid w:val="6AA96600"/>
    <w:rsid w:val="6AEB3A02"/>
    <w:rsid w:val="6B3B3204"/>
    <w:rsid w:val="6B4F0589"/>
    <w:rsid w:val="6BC52160"/>
    <w:rsid w:val="6CBE79CE"/>
    <w:rsid w:val="6D2A6A64"/>
    <w:rsid w:val="6D3703DA"/>
    <w:rsid w:val="6DE415A2"/>
    <w:rsid w:val="6F51652A"/>
    <w:rsid w:val="6F516971"/>
    <w:rsid w:val="6FC50568"/>
    <w:rsid w:val="700752BD"/>
    <w:rsid w:val="703A7F3A"/>
    <w:rsid w:val="708E2D09"/>
    <w:rsid w:val="70A77E5F"/>
    <w:rsid w:val="71357785"/>
    <w:rsid w:val="71B82921"/>
    <w:rsid w:val="71CC7194"/>
    <w:rsid w:val="71E530F0"/>
    <w:rsid w:val="732C2EF2"/>
    <w:rsid w:val="74007F83"/>
    <w:rsid w:val="76636B42"/>
    <w:rsid w:val="76D96E05"/>
    <w:rsid w:val="76FB598F"/>
    <w:rsid w:val="77C46C67"/>
    <w:rsid w:val="77C96E79"/>
    <w:rsid w:val="785E75C1"/>
    <w:rsid w:val="78DC4193"/>
    <w:rsid w:val="78EF4CF0"/>
    <w:rsid w:val="796450AB"/>
    <w:rsid w:val="79B44CA0"/>
    <w:rsid w:val="7AD32125"/>
    <w:rsid w:val="7CC0265F"/>
    <w:rsid w:val="7CD25682"/>
    <w:rsid w:val="7DE41E10"/>
    <w:rsid w:val="7F3F488A"/>
    <w:rsid w:val="7F5A59FD"/>
    <w:rsid w:val="7F804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iPriority="99" w:name="Note Heading"/>
    <w:lsdException w:uiPriority="99" w:name="Body Text 2"/>
    <w:lsdException w:qFormat="1" w:uiPriority="0"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7"/>
    <w:autoRedefine/>
    <w:qFormat/>
    <w:uiPriority w:val="0"/>
    <w:pPr>
      <w:keepNext/>
      <w:keepLines/>
      <w:spacing w:before="400" w:after="120" w:line="480" w:lineRule="exact"/>
      <w:outlineLvl w:val="0"/>
    </w:pPr>
    <w:rPr>
      <w:rFonts w:ascii="宋体" w:hAnsi="宋体"/>
      <w:snapToGrid w:val="0"/>
      <w:spacing w:val="69"/>
      <w:kern w:val="0"/>
      <w:sz w:val="36"/>
      <w:szCs w:val="20"/>
    </w:rPr>
  </w:style>
  <w:style w:type="paragraph" w:styleId="5">
    <w:name w:val="heading 2"/>
    <w:basedOn w:val="1"/>
    <w:next w:val="1"/>
    <w:link w:val="38"/>
    <w:autoRedefine/>
    <w:qFormat/>
    <w:uiPriority w:val="9"/>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39"/>
    <w:autoRedefine/>
    <w:qFormat/>
    <w:uiPriority w:val="0"/>
    <w:pPr>
      <w:keepNext/>
      <w:keepLines/>
      <w:spacing w:before="260" w:after="260" w:line="416" w:lineRule="auto"/>
      <w:outlineLvl w:val="2"/>
    </w:pPr>
    <w:rPr>
      <w:b/>
      <w:bCs/>
      <w:sz w:val="32"/>
      <w:szCs w:val="32"/>
    </w:rPr>
  </w:style>
  <w:style w:type="paragraph" w:styleId="7">
    <w:name w:val="heading 4"/>
    <w:basedOn w:val="1"/>
    <w:next w:val="1"/>
    <w:link w:val="40"/>
    <w:autoRedefine/>
    <w:qFormat/>
    <w:uiPriority w:val="0"/>
    <w:pPr>
      <w:keepNext/>
      <w:keepLines/>
      <w:spacing w:before="280" w:after="290" w:line="376" w:lineRule="auto"/>
      <w:outlineLvl w:val="3"/>
    </w:pPr>
    <w:rPr>
      <w:rFonts w:ascii="Cambria" w:hAnsi="Cambria"/>
      <w:b/>
      <w:bCs/>
      <w:sz w:val="28"/>
      <w:szCs w:val="28"/>
    </w:rPr>
  </w:style>
  <w:style w:type="character" w:default="1" w:styleId="29">
    <w:name w:val="Default Paragraph Font"/>
    <w:autoRedefine/>
    <w:semiHidden/>
    <w:unhideWhenUsed/>
    <w:qFormat/>
    <w:uiPriority w:val="1"/>
  </w:style>
  <w:style w:type="table" w:default="1" w:styleId="2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link w:val="41"/>
    <w:autoRedefine/>
    <w:qFormat/>
    <w:uiPriority w:val="99"/>
    <w:pPr>
      <w:spacing w:after="120"/>
    </w:pPr>
  </w:style>
  <w:style w:type="paragraph" w:styleId="3">
    <w:name w:val="Date"/>
    <w:basedOn w:val="1"/>
    <w:next w:val="1"/>
    <w:link w:val="46"/>
    <w:autoRedefine/>
    <w:qFormat/>
    <w:uiPriority w:val="0"/>
    <w:pPr>
      <w:ind w:left="100" w:leftChars="2500"/>
    </w:pPr>
    <w:rPr>
      <w:kern w:val="0"/>
      <w:sz w:val="18"/>
      <w:szCs w:val="18"/>
    </w:rPr>
  </w:style>
  <w:style w:type="paragraph" w:styleId="8">
    <w:name w:val="Normal Indent"/>
    <w:basedOn w:val="1"/>
    <w:link w:val="54"/>
    <w:autoRedefine/>
    <w:qFormat/>
    <w:uiPriority w:val="0"/>
    <w:pPr>
      <w:adjustRightInd w:val="0"/>
      <w:spacing w:line="312" w:lineRule="atLeast"/>
      <w:ind w:firstLine="420"/>
      <w:textAlignment w:val="baseline"/>
    </w:pPr>
    <w:rPr>
      <w:kern w:val="0"/>
      <w:szCs w:val="20"/>
    </w:rPr>
  </w:style>
  <w:style w:type="paragraph" w:styleId="9">
    <w:name w:val="Document Map"/>
    <w:basedOn w:val="1"/>
    <w:link w:val="42"/>
    <w:autoRedefine/>
    <w:qFormat/>
    <w:uiPriority w:val="0"/>
    <w:pPr>
      <w:shd w:val="clear" w:color="auto" w:fill="000080"/>
    </w:pPr>
  </w:style>
  <w:style w:type="paragraph" w:styleId="10">
    <w:name w:val="annotation text"/>
    <w:basedOn w:val="1"/>
    <w:link w:val="43"/>
    <w:autoRedefine/>
    <w:qFormat/>
    <w:uiPriority w:val="0"/>
    <w:pPr>
      <w:jc w:val="left"/>
    </w:pPr>
  </w:style>
  <w:style w:type="paragraph" w:styleId="11">
    <w:name w:val="Body Text 3"/>
    <w:basedOn w:val="1"/>
    <w:link w:val="152"/>
    <w:autoRedefine/>
    <w:semiHidden/>
    <w:unhideWhenUsed/>
    <w:qFormat/>
    <w:uiPriority w:val="0"/>
    <w:pPr>
      <w:spacing w:after="120"/>
    </w:pPr>
    <w:rPr>
      <w:sz w:val="16"/>
      <w:szCs w:val="16"/>
    </w:rPr>
  </w:style>
  <w:style w:type="paragraph" w:styleId="12">
    <w:name w:val="Body Text Indent"/>
    <w:basedOn w:val="1"/>
    <w:next w:val="13"/>
    <w:link w:val="44"/>
    <w:autoRedefine/>
    <w:qFormat/>
    <w:uiPriority w:val="0"/>
    <w:pPr>
      <w:ind w:firstLine="420"/>
    </w:pPr>
  </w:style>
  <w:style w:type="paragraph" w:styleId="13">
    <w:name w:val="Body Text Indent 2"/>
    <w:basedOn w:val="1"/>
    <w:link w:val="47"/>
    <w:autoRedefine/>
    <w:qFormat/>
    <w:uiPriority w:val="0"/>
    <w:pPr>
      <w:widowControl/>
      <w:overflowPunct w:val="0"/>
      <w:autoSpaceDE w:val="0"/>
      <w:autoSpaceDN w:val="0"/>
      <w:adjustRightInd w:val="0"/>
      <w:ind w:firstLine="555"/>
      <w:textAlignment w:val="baseline"/>
    </w:pPr>
    <w:rPr>
      <w:rFonts w:ascii="宋体" w:hAnsi="MS Sans Serif"/>
      <w:spacing w:val="12"/>
      <w:kern w:val="0"/>
      <w:sz w:val="24"/>
      <w:szCs w:val="20"/>
    </w:rPr>
  </w:style>
  <w:style w:type="paragraph" w:styleId="14">
    <w:name w:val="toc 3"/>
    <w:basedOn w:val="1"/>
    <w:next w:val="1"/>
    <w:autoRedefine/>
    <w:qFormat/>
    <w:uiPriority w:val="39"/>
    <w:pPr>
      <w:tabs>
        <w:tab w:val="right" w:leader="dot" w:pos="9000"/>
      </w:tabs>
      <w:snapToGrid w:val="0"/>
      <w:ind w:left="400" w:leftChars="400"/>
      <w:jc w:val="left"/>
    </w:pPr>
    <w:rPr>
      <w:iCs/>
      <w:szCs w:val="20"/>
    </w:rPr>
  </w:style>
  <w:style w:type="paragraph" w:styleId="15">
    <w:name w:val="Plain Text"/>
    <w:basedOn w:val="1"/>
    <w:link w:val="45"/>
    <w:autoRedefine/>
    <w:qFormat/>
    <w:uiPriority w:val="0"/>
    <w:rPr>
      <w:rFonts w:ascii="宋体" w:hAnsi="Courier New"/>
      <w:spacing w:val="10"/>
      <w:szCs w:val="20"/>
    </w:rPr>
  </w:style>
  <w:style w:type="paragraph" w:styleId="16">
    <w:name w:val="Balloon Text"/>
    <w:basedOn w:val="1"/>
    <w:link w:val="48"/>
    <w:autoRedefine/>
    <w:qFormat/>
    <w:uiPriority w:val="0"/>
    <w:rPr>
      <w:sz w:val="18"/>
      <w:szCs w:val="18"/>
    </w:rPr>
  </w:style>
  <w:style w:type="paragraph" w:styleId="17">
    <w:name w:val="footer"/>
    <w:basedOn w:val="1"/>
    <w:link w:val="36"/>
    <w:autoRedefine/>
    <w:unhideWhenUsed/>
    <w:qFormat/>
    <w:uiPriority w:val="0"/>
    <w:pPr>
      <w:tabs>
        <w:tab w:val="center" w:pos="4153"/>
        <w:tab w:val="right" w:pos="8306"/>
      </w:tabs>
      <w:snapToGrid w:val="0"/>
      <w:jc w:val="left"/>
    </w:pPr>
    <w:rPr>
      <w:sz w:val="18"/>
      <w:szCs w:val="18"/>
    </w:rPr>
  </w:style>
  <w:style w:type="paragraph" w:styleId="18">
    <w:name w:val="header"/>
    <w:basedOn w:val="1"/>
    <w:link w:val="35"/>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tabs>
        <w:tab w:val="right" w:leader="dot" w:pos="8539"/>
      </w:tabs>
      <w:snapToGrid w:val="0"/>
      <w:ind w:right="-1"/>
      <w:jc w:val="left"/>
    </w:pPr>
    <w:rPr>
      <w:rFonts w:cs="Arial" w:asciiTheme="minorEastAsia" w:hAnsiTheme="minorEastAsia" w:eastAsiaTheme="minorEastAsia"/>
      <w:b/>
      <w:bCs/>
      <w:caps/>
    </w:rPr>
  </w:style>
  <w:style w:type="paragraph" w:styleId="20">
    <w:name w:val="Subtitle"/>
    <w:basedOn w:val="1"/>
    <w:next w:val="1"/>
    <w:link w:val="49"/>
    <w:autoRedefine/>
    <w:qFormat/>
    <w:uiPriority w:val="0"/>
    <w:pPr>
      <w:spacing w:before="240" w:after="60" w:line="312" w:lineRule="auto"/>
      <w:jc w:val="center"/>
      <w:outlineLvl w:val="1"/>
    </w:pPr>
    <w:rPr>
      <w:rFonts w:ascii="Cambria" w:hAnsi="Cambria"/>
      <w:b/>
      <w:bCs/>
      <w:kern w:val="28"/>
      <w:sz w:val="32"/>
      <w:szCs w:val="32"/>
    </w:rPr>
  </w:style>
  <w:style w:type="paragraph" w:styleId="21">
    <w:name w:val="toc 2"/>
    <w:basedOn w:val="1"/>
    <w:next w:val="1"/>
    <w:autoRedefine/>
    <w:qFormat/>
    <w:uiPriority w:val="39"/>
    <w:pPr>
      <w:tabs>
        <w:tab w:val="right" w:leader="dot" w:pos="8505"/>
      </w:tabs>
      <w:snapToGrid w:val="0"/>
      <w:ind w:left="850" w:leftChars="200" w:hanging="430" w:hangingChars="205"/>
      <w:jc w:val="left"/>
    </w:pPr>
    <w:rPr>
      <w:smallCaps/>
      <w:szCs w:val="20"/>
    </w:rPr>
  </w:style>
  <w:style w:type="paragraph" w:styleId="22">
    <w:name w:val="HTML Preformatted"/>
    <w:basedOn w:val="1"/>
    <w:link w:val="5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w:hAnsi="Arial"/>
      <w:kern w:val="0"/>
      <w:sz w:val="24"/>
    </w:rPr>
  </w:style>
  <w:style w:type="paragraph" w:styleId="23">
    <w:name w:val="Normal (Web)"/>
    <w:basedOn w:val="1"/>
    <w:autoRedefine/>
    <w:qFormat/>
    <w:uiPriority w:val="99"/>
    <w:pPr>
      <w:widowControl/>
      <w:spacing w:before="100" w:beforeAutospacing="1" w:after="100" w:afterAutospacing="1"/>
      <w:jc w:val="left"/>
    </w:pPr>
    <w:rPr>
      <w:rFonts w:ascii="宋体" w:hAnsi="宋体"/>
      <w:kern w:val="0"/>
      <w:sz w:val="24"/>
      <w:szCs w:val="20"/>
    </w:rPr>
  </w:style>
  <w:style w:type="paragraph" w:styleId="24">
    <w:name w:val="annotation subject"/>
    <w:basedOn w:val="10"/>
    <w:next w:val="10"/>
    <w:link w:val="51"/>
    <w:autoRedefine/>
    <w:qFormat/>
    <w:uiPriority w:val="0"/>
    <w:rPr>
      <w:b/>
      <w:bCs/>
    </w:rPr>
  </w:style>
  <w:style w:type="paragraph" w:styleId="25">
    <w:name w:val="Body Text First Indent"/>
    <w:basedOn w:val="2"/>
    <w:next w:val="26"/>
    <w:link w:val="52"/>
    <w:autoRedefine/>
    <w:qFormat/>
    <w:uiPriority w:val="0"/>
    <w:pPr>
      <w:spacing w:line="312" w:lineRule="auto"/>
      <w:ind w:firstLine="420"/>
    </w:pPr>
  </w:style>
  <w:style w:type="paragraph" w:styleId="26">
    <w:name w:val="Body Text First Indent 2"/>
    <w:basedOn w:val="12"/>
    <w:link w:val="53"/>
    <w:autoRedefine/>
    <w:qFormat/>
    <w:uiPriority w:val="99"/>
    <w:pPr>
      <w:ind w:firstLine="200" w:firstLineChars="200"/>
    </w:pPr>
    <w:rPr>
      <w:color w:val="000000"/>
    </w:rPr>
  </w:style>
  <w:style w:type="table" w:styleId="28">
    <w:name w:val="Table Grid"/>
    <w:basedOn w:val="27"/>
    <w:autoRedefine/>
    <w:qFormat/>
    <w:uiPriority w:val="39"/>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autoRedefine/>
    <w:qFormat/>
    <w:uiPriority w:val="0"/>
  </w:style>
  <w:style w:type="character" w:styleId="31">
    <w:name w:val="FollowedHyperlink"/>
    <w:autoRedefine/>
    <w:unhideWhenUsed/>
    <w:qFormat/>
    <w:uiPriority w:val="99"/>
    <w:rPr>
      <w:color w:val="800080"/>
      <w:u w:val="single"/>
    </w:rPr>
  </w:style>
  <w:style w:type="character" w:styleId="32">
    <w:name w:val="Hyperlink"/>
    <w:autoRedefine/>
    <w:qFormat/>
    <w:uiPriority w:val="99"/>
    <w:rPr>
      <w:color w:val="0000FF"/>
      <w:u w:val="single"/>
    </w:rPr>
  </w:style>
  <w:style w:type="character" w:styleId="33">
    <w:name w:val="annotation reference"/>
    <w:autoRedefine/>
    <w:qFormat/>
    <w:uiPriority w:val="0"/>
    <w:rPr>
      <w:sz w:val="21"/>
      <w:szCs w:val="21"/>
    </w:rPr>
  </w:style>
  <w:style w:type="paragraph" w:customStyle="1" w:styleId="34">
    <w:name w:val="章节题目"/>
    <w:next w:val="1"/>
    <w:qFormat/>
    <w:uiPriority w:val="99"/>
    <w:pPr>
      <w:keepNext/>
      <w:keepLines/>
      <w:widowControl w:val="0"/>
      <w:spacing w:before="720" w:after="400" w:line="540" w:lineRule="atLeast"/>
      <w:ind w:right="2160"/>
      <w:jc w:val="both"/>
    </w:pPr>
    <w:rPr>
      <w:rFonts w:ascii="Times New Roman" w:hAnsi="Times New Roman" w:eastAsia="宋体" w:cs="Times New Roman"/>
      <w:spacing w:val="-40"/>
      <w:kern w:val="28"/>
      <w:sz w:val="60"/>
      <w:szCs w:val="24"/>
      <w:lang w:val="en-US" w:eastAsia="zh-CN" w:bidi="ar-SA"/>
    </w:rPr>
  </w:style>
  <w:style w:type="character" w:customStyle="1" w:styleId="35">
    <w:name w:val="页眉 字符"/>
    <w:basedOn w:val="29"/>
    <w:link w:val="18"/>
    <w:autoRedefine/>
    <w:qFormat/>
    <w:uiPriority w:val="0"/>
    <w:rPr>
      <w:sz w:val="18"/>
      <w:szCs w:val="18"/>
    </w:rPr>
  </w:style>
  <w:style w:type="character" w:customStyle="1" w:styleId="36">
    <w:name w:val="页脚 字符"/>
    <w:basedOn w:val="29"/>
    <w:link w:val="17"/>
    <w:autoRedefine/>
    <w:qFormat/>
    <w:uiPriority w:val="0"/>
    <w:rPr>
      <w:sz w:val="18"/>
      <w:szCs w:val="18"/>
    </w:rPr>
  </w:style>
  <w:style w:type="character" w:customStyle="1" w:styleId="37">
    <w:name w:val="标题 1 字符"/>
    <w:basedOn w:val="29"/>
    <w:link w:val="4"/>
    <w:autoRedefine/>
    <w:qFormat/>
    <w:uiPriority w:val="0"/>
    <w:rPr>
      <w:rFonts w:ascii="宋体" w:hAnsi="宋体" w:eastAsia="宋体" w:cs="Times New Roman"/>
      <w:snapToGrid w:val="0"/>
      <w:spacing w:val="69"/>
      <w:kern w:val="0"/>
      <w:sz w:val="36"/>
      <w:szCs w:val="20"/>
    </w:rPr>
  </w:style>
  <w:style w:type="character" w:customStyle="1" w:styleId="38">
    <w:name w:val="标题 2 字符"/>
    <w:basedOn w:val="29"/>
    <w:link w:val="5"/>
    <w:autoRedefine/>
    <w:qFormat/>
    <w:uiPriority w:val="9"/>
    <w:rPr>
      <w:rFonts w:ascii="Arial" w:hAnsi="Arial" w:eastAsia="黑体" w:cs="Times New Roman"/>
      <w:b/>
      <w:bCs/>
      <w:sz w:val="32"/>
      <w:szCs w:val="32"/>
    </w:rPr>
  </w:style>
  <w:style w:type="character" w:customStyle="1" w:styleId="39">
    <w:name w:val="标题 3 字符"/>
    <w:basedOn w:val="29"/>
    <w:link w:val="6"/>
    <w:autoRedefine/>
    <w:qFormat/>
    <w:uiPriority w:val="0"/>
    <w:rPr>
      <w:rFonts w:ascii="Times New Roman" w:hAnsi="Times New Roman" w:eastAsia="宋体" w:cs="Times New Roman"/>
      <w:b/>
      <w:bCs/>
      <w:sz w:val="32"/>
      <w:szCs w:val="32"/>
    </w:rPr>
  </w:style>
  <w:style w:type="character" w:customStyle="1" w:styleId="40">
    <w:name w:val="标题 4 字符"/>
    <w:basedOn w:val="29"/>
    <w:link w:val="7"/>
    <w:autoRedefine/>
    <w:qFormat/>
    <w:uiPriority w:val="0"/>
    <w:rPr>
      <w:rFonts w:ascii="Cambria" w:hAnsi="Cambria" w:eastAsia="宋体" w:cs="Times New Roman"/>
      <w:b/>
      <w:bCs/>
      <w:sz w:val="28"/>
      <w:szCs w:val="28"/>
    </w:rPr>
  </w:style>
  <w:style w:type="character" w:customStyle="1" w:styleId="41">
    <w:name w:val="正文文本 字符"/>
    <w:basedOn w:val="29"/>
    <w:link w:val="2"/>
    <w:autoRedefine/>
    <w:qFormat/>
    <w:uiPriority w:val="99"/>
    <w:rPr>
      <w:rFonts w:ascii="Times New Roman" w:hAnsi="Times New Roman" w:eastAsia="宋体" w:cs="Times New Roman"/>
      <w:szCs w:val="24"/>
    </w:rPr>
  </w:style>
  <w:style w:type="character" w:customStyle="1" w:styleId="42">
    <w:name w:val="文档结构图 字符"/>
    <w:basedOn w:val="29"/>
    <w:link w:val="9"/>
    <w:autoRedefine/>
    <w:qFormat/>
    <w:uiPriority w:val="0"/>
    <w:rPr>
      <w:rFonts w:ascii="Times New Roman" w:hAnsi="Times New Roman" w:eastAsia="宋体" w:cs="Times New Roman"/>
      <w:szCs w:val="24"/>
      <w:shd w:val="clear" w:color="auto" w:fill="000080"/>
    </w:rPr>
  </w:style>
  <w:style w:type="character" w:customStyle="1" w:styleId="43">
    <w:name w:val="批注文字 字符"/>
    <w:basedOn w:val="29"/>
    <w:link w:val="10"/>
    <w:autoRedefine/>
    <w:qFormat/>
    <w:uiPriority w:val="0"/>
    <w:rPr>
      <w:rFonts w:ascii="Times New Roman" w:hAnsi="Times New Roman" w:eastAsia="宋体" w:cs="Times New Roman"/>
      <w:szCs w:val="24"/>
    </w:rPr>
  </w:style>
  <w:style w:type="character" w:customStyle="1" w:styleId="44">
    <w:name w:val="正文文本缩进 字符"/>
    <w:basedOn w:val="29"/>
    <w:link w:val="12"/>
    <w:autoRedefine/>
    <w:qFormat/>
    <w:uiPriority w:val="0"/>
    <w:rPr>
      <w:rFonts w:ascii="Times New Roman" w:hAnsi="Times New Roman" w:eastAsia="宋体" w:cs="Times New Roman"/>
      <w:szCs w:val="24"/>
    </w:rPr>
  </w:style>
  <w:style w:type="character" w:customStyle="1" w:styleId="45">
    <w:name w:val="纯文本 字符"/>
    <w:basedOn w:val="29"/>
    <w:link w:val="15"/>
    <w:autoRedefine/>
    <w:qFormat/>
    <w:uiPriority w:val="0"/>
    <w:rPr>
      <w:rFonts w:ascii="宋体" w:hAnsi="Courier New" w:eastAsia="宋体" w:cs="Times New Roman"/>
      <w:spacing w:val="10"/>
      <w:szCs w:val="20"/>
    </w:rPr>
  </w:style>
  <w:style w:type="character" w:customStyle="1" w:styleId="46">
    <w:name w:val="日期 字符"/>
    <w:basedOn w:val="29"/>
    <w:link w:val="3"/>
    <w:autoRedefine/>
    <w:qFormat/>
    <w:uiPriority w:val="0"/>
    <w:rPr>
      <w:rFonts w:ascii="Times New Roman" w:hAnsi="Times New Roman" w:eastAsia="宋体" w:cs="Times New Roman"/>
      <w:kern w:val="0"/>
      <w:sz w:val="18"/>
      <w:szCs w:val="18"/>
    </w:rPr>
  </w:style>
  <w:style w:type="character" w:customStyle="1" w:styleId="47">
    <w:name w:val="正文文本缩进 2 字符"/>
    <w:basedOn w:val="29"/>
    <w:link w:val="13"/>
    <w:autoRedefine/>
    <w:qFormat/>
    <w:uiPriority w:val="0"/>
    <w:rPr>
      <w:rFonts w:ascii="宋体" w:hAnsi="MS Sans Serif" w:eastAsia="宋体" w:cs="Times New Roman"/>
      <w:spacing w:val="12"/>
      <w:kern w:val="0"/>
      <w:sz w:val="24"/>
      <w:szCs w:val="20"/>
    </w:rPr>
  </w:style>
  <w:style w:type="character" w:customStyle="1" w:styleId="48">
    <w:name w:val="批注框文本 字符"/>
    <w:basedOn w:val="29"/>
    <w:link w:val="16"/>
    <w:autoRedefine/>
    <w:qFormat/>
    <w:uiPriority w:val="0"/>
    <w:rPr>
      <w:rFonts w:ascii="Times New Roman" w:hAnsi="Times New Roman" w:eastAsia="宋体" w:cs="Times New Roman"/>
      <w:sz w:val="18"/>
      <w:szCs w:val="18"/>
    </w:rPr>
  </w:style>
  <w:style w:type="character" w:customStyle="1" w:styleId="49">
    <w:name w:val="副标题 字符"/>
    <w:basedOn w:val="29"/>
    <w:link w:val="20"/>
    <w:autoRedefine/>
    <w:qFormat/>
    <w:uiPriority w:val="0"/>
    <w:rPr>
      <w:rFonts w:ascii="Cambria" w:hAnsi="Cambria" w:eastAsia="宋体" w:cs="Times New Roman"/>
      <w:b/>
      <w:bCs/>
      <w:kern w:val="28"/>
      <w:sz w:val="32"/>
      <w:szCs w:val="32"/>
    </w:rPr>
  </w:style>
  <w:style w:type="character" w:customStyle="1" w:styleId="50">
    <w:name w:val="HTML 预设格式 字符"/>
    <w:basedOn w:val="29"/>
    <w:link w:val="22"/>
    <w:autoRedefine/>
    <w:qFormat/>
    <w:uiPriority w:val="0"/>
    <w:rPr>
      <w:rFonts w:ascii="Arial" w:hAnsi="Arial" w:eastAsia="宋体" w:cs="Times New Roman"/>
      <w:kern w:val="0"/>
      <w:sz w:val="24"/>
      <w:szCs w:val="24"/>
    </w:rPr>
  </w:style>
  <w:style w:type="character" w:customStyle="1" w:styleId="51">
    <w:name w:val="批注主题 字符"/>
    <w:basedOn w:val="43"/>
    <w:link w:val="24"/>
    <w:autoRedefine/>
    <w:qFormat/>
    <w:uiPriority w:val="0"/>
    <w:rPr>
      <w:rFonts w:ascii="Times New Roman" w:hAnsi="Times New Roman" w:eastAsia="宋体" w:cs="Times New Roman"/>
      <w:b/>
      <w:bCs/>
      <w:szCs w:val="24"/>
    </w:rPr>
  </w:style>
  <w:style w:type="character" w:customStyle="1" w:styleId="52">
    <w:name w:val="正文首行缩进 字符"/>
    <w:basedOn w:val="41"/>
    <w:link w:val="25"/>
    <w:autoRedefine/>
    <w:qFormat/>
    <w:uiPriority w:val="0"/>
    <w:rPr>
      <w:rFonts w:ascii="Times New Roman" w:hAnsi="Times New Roman" w:eastAsia="宋体" w:cs="Times New Roman"/>
      <w:szCs w:val="24"/>
    </w:rPr>
  </w:style>
  <w:style w:type="character" w:customStyle="1" w:styleId="53">
    <w:name w:val="正文首行缩进 2 字符"/>
    <w:basedOn w:val="44"/>
    <w:link w:val="26"/>
    <w:autoRedefine/>
    <w:qFormat/>
    <w:uiPriority w:val="99"/>
    <w:rPr>
      <w:rFonts w:ascii="Times New Roman" w:hAnsi="Times New Roman" w:eastAsia="宋体" w:cs="Times New Roman"/>
      <w:color w:val="000000"/>
      <w:szCs w:val="24"/>
    </w:rPr>
  </w:style>
  <w:style w:type="character" w:customStyle="1" w:styleId="54">
    <w:name w:val="正文缩进 字符"/>
    <w:link w:val="8"/>
    <w:autoRedefine/>
    <w:qFormat/>
    <w:uiPriority w:val="0"/>
    <w:rPr>
      <w:rFonts w:ascii="Times New Roman" w:hAnsi="Times New Roman" w:eastAsia="宋体" w:cs="Times New Roman"/>
      <w:kern w:val="0"/>
      <w:szCs w:val="20"/>
    </w:rPr>
  </w:style>
  <w:style w:type="paragraph" w:customStyle="1" w:styleId="55">
    <w:name w:val="正文1"/>
    <w:basedOn w:val="1"/>
    <w:autoRedefine/>
    <w:qFormat/>
    <w:uiPriority w:val="0"/>
    <w:pPr>
      <w:spacing w:line="480" w:lineRule="exact"/>
      <w:ind w:firstLine="480" w:firstLineChars="200"/>
    </w:pPr>
    <w:rPr>
      <w:rFonts w:ascii="宋体"/>
      <w:sz w:val="24"/>
      <w:szCs w:val="20"/>
    </w:rPr>
  </w:style>
  <w:style w:type="paragraph" w:customStyle="1" w:styleId="56">
    <w:name w:val="Char"/>
    <w:basedOn w:val="1"/>
    <w:autoRedefine/>
    <w:qFormat/>
    <w:uiPriority w:val="0"/>
  </w:style>
  <w:style w:type="paragraph" w:styleId="57">
    <w:name w:val="List Paragraph"/>
    <w:basedOn w:val="1"/>
    <w:autoRedefine/>
    <w:qFormat/>
    <w:uiPriority w:val="34"/>
    <w:pPr>
      <w:ind w:firstLine="420" w:firstLineChars="200"/>
    </w:pPr>
  </w:style>
  <w:style w:type="paragraph" w:customStyle="1" w:styleId="58">
    <w:name w:val="2 Char Char Char Char"/>
    <w:basedOn w:val="1"/>
    <w:autoRedefine/>
    <w:qFormat/>
    <w:uiPriority w:val="0"/>
    <w:rPr>
      <w:szCs w:val="20"/>
    </w:rPr>
  </w:style>
  <w:style w:type="paragraph" w:customStyle="1" w:styleId="59">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60">
    <w:name w:val="font6"/>
    <w:basedOn w:val="1"/>
    <w:autoRedefine/>
    <w:qFormat/>
    <w:uiPriority w:val="0"/>
    <w:pPr>
      <w:widowControl/>
      <w:spacing w:before="100" w:beforeAutospacing="1" w:after="100" w:afterAutospacing="1"/>
      <w:jc w:val="left"/>
    </w:pPr>
    <w:rPr>
      <w:rFonts w:ascii="宋体" w:hAnsi="宋体" w:cs="宋体"/>
      <w:kern w:val="0"/>
      <w:sz w:val="22"/>
      <w:szCs w:val="22"/>
    </w:rPr>
  </w:style>
  <w:style w:type="paragraph" w:customStyle="1" w:styleId="61">
    <w:name w:val="font7"/>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62">
    <w:name w:val="font8"/>
    <w:basedOn w:val="1"/>
    <w:autoRedefine/>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63">
    <w:name w:val="font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64">
    <w:name w:val="font10"/>
    <w:basedOn w:val="1"/>
    <w:autoRedefine/>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65">
    <w:name w:val="font11"/>
    <w:basedOn w:val="1"/>
    <w:autoRedefine/>
    <w:qFormat/>
    <w:uiPriority w:val="0"/>
    <w:pPr>
      <w:widowControl/>
      <w:spacing w:before="100" w:beforeAutospacing="1" w:after="100" w:afterAutospacing="1"/>
      <w:jc w:val="left"/>
    </w:pPr>
    <w:rPr>
      <w:rFonts w:ascii="宋体" w:hAnsi="宋体" w:cs="宋体"/>
      <w:b/>
      <w:bCs/>
      <w:color w:val="333333"/>
      <w:kern w:val="0"/>
      <w:sz w:val="22"/>
      <w:szCs w:val="22"/>
    </w:rPr>
  </w:style>
  <w:style w:type="paragraph" w:customStyle="1" w:styleId="66">
    <w:name w:val="font12"/>
    <w:basedOn w:val="1"/>
    <w:autoRedefine/>
    <w:qFormat/>
    <w:uiPriority w:val="0"/>
    <w:pPr>
      <w:widowControl/>
      <w:spacing w:before="100" w:beforeAutospacing="1" w:after="100" w:afterAutospacing="1"/>
      <w:jc w:val="left"/>
    </w:pPr>
    <w:rPr>
      <w:rFonts w:ascii="宋体" w:hAnsi="宋体" w:cs="宋体"/>
      <w:b/>
      <w:bCs/>
      <w:color w:val="333333"/>
      <w:kern w:val="0"/>
      <w:sz w:val="22"/>
      <w:szCs w:val="22"/>
    </w:rPr>
  </w:style>
  <w:style w:type="paragraph" w:customStyle="1" w:styleId="67">
    <w:name w:val="xl69"/>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68">
    <w:name w:val="xl70"/>
    <w:basedOn w:val="1"/>
    <w:autoRedefine/>
    <w:qFormat/>
    <w:uiPriority w:val="0"/>
    <w:pPr>
      <w:widowControl/>
      <w:spacing w:before="100" w:beforeAutospacing="1" w:after="100" w:afterAutospacing="1"/>
      <w:jc w:val="center"/>
    </w:pPr>
    <w:rPr>
      <w:rFonts w:ascii="宋体" w:hAnsi="宋体" w:cs="宋体"/>
      <w:kern w:val="0"/>
      <w:sz w:val="20"/>
      <w:szCs w:val="20"/>
    </w:rPr>
  </w:style>
  <w:style w:type="paragraph" w:customStyle="1" w:styleId="69">
    <w:name w:val="xl71"/>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70">
    <w:name w:val="xl72"/>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71">
    <w:name w:val="xl73"/>
    <w:basedOn w:val="1"/>
    <w:autoRedefine/>
    <w:qFormat/>
    <w:uiPriority w:val="0"/>
    <w:pPr>
      <w:widowControl/>
      <w:spacing w:before="100" w:beforeAutospacing="1" w:after="100" w:afterAutospacing="1"/>
      <w:jc w:val="right"/>
    </w:pPr>
    <w:rPr>
      <w:rFonts w:ascii="宋体" w:hAnsi="宋体" w:cs="宋体"/>
      <w:kern w:val="0"/>
      <w:sz w:val="20"/>
      <w:szCs w:val="20"/>
    </w:rPr>
  </w:style>
  <w:style w:type="paragraph" w:customStyle="1" w:styleId="72">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73">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74">
    <w:name w:val="xl7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75">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76">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77">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rPr>
  </w:style>
  <w:style w:type="paragraph" w:customStyle="1" w:styleId="78">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79">
    <w:name w:val="xl8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80">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4"/>
    </w:rPr>
  </w:style>
  <w:style w:type="paragraph" w:customStyle="1" w:styleId="81">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82">
    <w:name w:val="xl84"/>
    <w:basedOn w:val="1"/>
    <w:autoRedefine/>
    <w:qFormat/>
    <w:uiPriority w:val="0"/>
    <w:pPr>
      <w:widowControl/>
      <w:spacing w:before="100" w:beforeAutospacing="1" w:after="100" w:afterAutospacing="1"/>
      <w:jc w:val="center"/>
    </w:pPr>
    <w:rPr>
      <w:rFonts w:ascii="宋体" w:hAnsi="宋体" w:cs="宋体"/>
      <w:kern w:val="0"/>
      <w:sz w:val="20"/>
      <w:szCs w:val="20"/>
    </w:rPr>
  </w:style>
  <w:style w:type="paragraph" w:customStyle="1" w:styleId="83">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84">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85">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86">
    <w:name w:val="xl88"/>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F2F2F2"/>
      <w:spacing w:before="100" w:beforeAutospacing="1" w:after="100" w:afterAutospacing="1"/>
      <w:jc w:val="center"/>
    </w:pPr>
    <w:rPr>
      <w:rFonts w:ascii="宋体" w:hAnsi="宋体" w:cs="宋体"/>
      <w:b/>
      <w:bCs/>
      <w:color w:val="3F3F3F"/>
      <w:kern w:val="0"/>
      <w:sz w:val="24"/>
    </w:rPr>
  </w:style>
  <w:style w:type="paragraph" w:customStyle="1" w:styleId="87">
    <w:name w:val="xl8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
    <w:name w:val="xl90"/>
    <w:basedOn w:val="1"/>
    <w:autoRedefine/>
    <w:qFormat/>
    <w:uiPriority w:val="0"/>
    <w:pPr>
      <w:widowControl/>
      <w:pBdr>
        <w:top w:val="single" w:color="333333" w:sz="4" w:space="0"/>
        <w:bottom w:val="single" w:color="333333" w:sz="4" w:space="0"/>
        <w:right w:val="single" w:color="333333" w:sz="4" w:space="0"/>
      </w:pBdr>
      <w:shd w:val="clear" w:color="000000" w:fill="F2F2F2"/>
      <w:spacing w:before="100" w:beforeAutospacing="1" w:after="100" w:afterAutospacing="1"/>
      <w:jc w:val="center"/>
    </w:pPr>
    <w:rPr>
      <w:rFonts w:ascii="宋体" w:hAnsi="宋体" w:cs="宋体"/>
      <w:b/>
      <w:bCs/>
      <w:color w:val="333333"/>
      <w:kern w:val="0"/>
      <w:sz w:val="24"/>
    </w:rPr>
  </w:style>
  <w:style w:type="paragraph" w:customStyle="1" w:styleId="89">
    <w:name w:val="xl91"/>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BCE0BF"/>
      <w:spacing w:before="100" w:beforeAutospacing="1" w:after="100" w:afterAutospacing="1"/>
      <w:jc w:val="center"/>
    </w:pPr>
    <w:rPr>
      <w:rFonts w:ascii="宋体" w:hAnsi="宋体" w:cs="宋体"/>
      <w:b/>
      <w:bCs/>
      <w:color w:val="3F3F3F"/>
      <w:kern w:val="0"/>
      <w:sz w:val="24"/>
    </w:rPr>
  </w:style>
  <w:style w:type="paragraph" w:customStyle="1" w:styleId="90">
    <w:name w:val="xl92"/>
    <w:basedOn w:val="1"/>
    <w:autoRedefine/>
    <w:qFormat/>
    <w:uiPriority w:val="0"/>
    <w:pPr>
      <w:widowControl/>
      <w:pBdr>
        <w:top w:val="single" w:color="3F3F3F" w:sz="4" w:space="0"/>
        <w:left w:val="single" w:color="3F3F3F" w:sz="4" w:space="0"/>
        <w:bottom w:val="single" w:color="3F3F3F" w:sz="4" w:space="0"/>
      </w:pBdr>
      <w:shd w:val="clear" w:color="000000" w:fill="BCE0BF"/>
      <w:spacing w:before="100" w:beforeAutospacing="1" w:after="100" w:afterAutospacing="1"/>
      <w:jc w:val="center"/>
    </w:pPr>
    <w:rPr>
      <w:rFonts w:ascii="宋体" w:hAnsi="宋体" w:cs="宋体"/>
      <w:b/>
      <w:bCs/>
      <w:color w:val="3F3F3F"/>
      <w:kern w:val="0"/>
      <w:sz w:val="24"/>
    </w:rPr>
  </w:style>
  <w:style w:type="paragraph" w:customStyle="1" w:styleId="91">
    <w:name w:val="xl93"/>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F2F2F2"/>
      <w:spacing w:before="100" w:beforeAutospacing="1" w:after="100" w:afterAutospacing="1"/>
      <w:jc w:val="center"/>
    </w:pPr>
    <w:rPr>
      <w:rFonts w:ascii="宋体" w:hAnsi="宋体" w:cs="宋体"/>
      <w:b/>
      <w:bCs/>
      <w:color w:val="3F3F3F"/>
      <w:kern w:val="0"/>
      <w:sz w:val="24"/>
    </w:rPr>
  </w:style>
  <w:style w:type="paragraph" w:customStyle="1" w:styleId="92">
    <w:name w:val="xl94"/>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F2F2F2"/>
      <w:spacing w:before="100" w:beforeAutospacing="1" w:after="100" w:afterAutospacing="1"/>
      <w:jc w:val="left"/>
    </w:pPr>
    <w:rPr>
      <w:rFonts w:ascii="宋体" w:hAnsi="宋体" w:cs="宋体"/>
      <w:b/>
      <w:bCs/>
      <w:color w:val="3F3F3F"/>
      <w:kern w:val="0"/>
      <w:sz w:val="24"/>
    </w:rPr>
  </w:style>
  <w:style w:type="paragraph" w:customStyle="1" w:styleId="93">
    <w:name w:val="xl95"/>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4">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
    <w:name w:val="xl97"/>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96">
    <w:name w:val="xl98"/>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F2F2F2"/>
      <w:spacing w:before="100" w:beforeAutospacing="1" w:after="100" w:afterAutospacing="1"/>
      <w:jc w:val="left"/>
    </w:pPr>
    <w:rPr>
      <w:rFonts w:ascii="宋体" w:hAnsi="宋体" w:cs="宋体"/>
      <w:b/>
      <w:bCs/>
      <w:color w:val="333333"/>
      <w:kern w:val="0"/>
      <w:sz w:val="20"/>
      <w:szCs w:val="20"/>
    </w:rPr>
  </w:style>
  <w:style w:type="paragraph" w:customStyle="1" w:styleId="97">
    <w:name w:val="xl99"/>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F2F2F2"/>
      <w:spacing w:before="100" w:beforeAutospacing="1" w:after="100" w:afterAutospacing="1"/>
      <w:jc w:val="center"/>
    </w:pPr>
    <w:rPr>
      <w:rFonts w:ascii="宋体" w:hAnsi="宋体" w:cs="宋体"/>
      <w:b/>
      <w:bCs/>
      <w:color w:val="333333"/>
      <w:kern w:val="0"/>
      <w:sz w:val="24"/>
    </w:rPr>
  </w:style>
  <w:style w:type="paragraph" w:customStyle="1" w:styleId="98">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9">
    <w:name w:val="xl101"/>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F2F2F2"/>
      <w:spacing w:before="100" w:beforeAutospacing="1" w:after="100" w:afterAutospacing="1"/>
      <w:jc w:val="left"/>
    </w:pPr>
    <w:rPr>
      <w:rFonts w:ascii="宋体" w:hAnsi="宋体" w:cs="宋体"/>
      <w:b/>
      <w:bCs/>
      <w:color w:val="3F3F3F"/>
      <w:kern w:val="0"/>
      <w:sz w:val="24"/>
    </w:rPr>
  </w:style>
  <w:style w:type="paragraph" w:customStyle="1" w:styleId="100">
    <w:name w:val="xl102"/>
    <w:basedOn w:val="1"/>
    <w:autoRedefine/>
    <w:qFormat/>
    <w:uiPriority w:val="0"/>
    <w:pPr>
      <w:widowControl/>
      <w:pBdr>
        <w:top w:val="single" w:color="auto" w:sz="4" w:space="0"/>
        <w:left w:val="single" w:color="auto" w:sz="4" w:space="0"/>
        <w:right w:val="single" w:color="auto" w:sz="4" w:space="0"/>
      </w:pBdr>
      <w:shd w:val="clear" w:color="000000" w:fill="F2F2F2"/>
      <w:spacing w:before="100" w:beforeAutospacing="1" w:after="100" w:afterAutospacing="1"/>
      <w:jc w:val="left"/>
    </w:pPr>
    <w:rPr>
      <w:rFonts w:ascii="宋体" w:hAnsi="宋体" w:cs="宋体"/>
      <w:b/>
      <w:bCs/>
      <w:color w:val="333333"/>
      <w:kern w:val="0"/>
      <w:sz w:val="20"/>
      <w:szCs w:val="20"/>
    </w:rPr>
  </w:style>
  <w:style w:type="paragraph" w:customStyle="1" w:styleId="101">
    <w:name w:val="xl103"/>
    <w:basedOn w:val="1"/>
    <w:autoRedefine/>
    <w:qFormat/>
    <w:uiPriority w:val="0"/>
    <w:pPr>
      <w:widowControl/>
      <w:pBdr>
        <w:left w:val="single" w:color="333333" w:sz="4" w:space="0"/>
        <w:bottom w:val="single" w:color="333333" w:sz="4" w:space="0"/>
        <w:right w:val="single" w:color="333333" w:sz="4" w:space="0"/>
      </w:pBdr>
      <w:shd w:val="clear" w:color="000000" w:fill="F2F2F2"/>
      <w:spacing w:before="100" w:beforeAutospacing="1" w:after="100" w:afterAutospacing="1"/>
      <w:jc w:val="left"/>
    </w:pPr>
    <w:rPr>
      <w:rFonts w:ascii="宋体" w:hAnsi="宋体" w:cs="宋体"/>
      <w:b/>
      <w:bCs/>
      <w:color w:val="333333"/>
      <w:kern w:val="0"/>
      <w:sz w:val="20"/>
      <w:szCs w:val="20"/>
    </w:rPr>
  </w:style>
  <w:style w:type="paragraph" w:customStyle="1" w:styleId="102">
    <w:name w:val="xl104"/>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03">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kern w:val="0"/>
      <w:sz w:val="24"/>
    </w:rPr>
  </w:style>
  <w:style w:type="paragraph" w:customStyle="1" w:styleId="104">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宋体" w:hAnsi="宋体" w:cs="宋体"/>
      <w:color w:val="000000"/>
      <w:kern w:val="0"/>
      <w:sz w:val="24"/>
    </w:rPr>
  </w:style>
  <w:style w:type="paragraph" w:customStyle="1" w:styleId="105">
    <w:name w:val="xl10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 w:val="24"/>
    </w:rPr>
  </w:style>
  <w:style w:type="paragraph" w:customStyle="1" w:styleId="106">
    <w:name w:val="xl108"/>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FFFF00"/>
      <w:spacing w:before="100" w:beforeAutospacing="1" w:after="100" w:afterAutospacing="1"/>
      <w:jc w:val="center"/>
    </w:pPr>
    <w:rPr>
      <w:rFonts w:ascii="宋体" w:hAnsi="宋体" w:cs="宋体"/>
      <w:b/>
      <w:bCs/>
      <w:color w:val="3F3F3F"/>
      <w:kern w:val="0"/>
      <w:sz w:val="24"/>
    </w:rPr>
  </w:style>
  <w:style w:type="paragraph" w:customStyle="1" w:styleId="107">
    <w:name w:val="xl10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 w:val="24"/>
    </w:rPr>
  </w:style>
  <w:style w:type="paragraph" w:customStyle="1" w:styleId="108">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right"/>
    </w:pPr>
    <w:rPr>
      <w:rFonts w:ascii="宋体" w:hAnsi="宋体" w:cs="宋体"/>
      <w:color w:val="000000"/>
      <w:kern w:val="0"/>
      <w:sz w:val="24"/>
    </w:rPr>
  </w:style>
  <w:style w:type="paragraph" w:customStyle="1" w:styleId="109">
    <w:name w:val="xl11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宋体" w:hAnsi="宋体" w:cs="宋体"/>
      <w:color w:val="000000"/>
      <w:kern w:val="0"/>
      <w:sz w:val="24"/>
    </w:rPr>
  </w:style>
  <w:style w:type="paragraph" w:customStyle="1" w:styleId="110">
    <w:name w:val="xl112"/>
    <w:basedOn w:val="1"/>
    <w:autoRedefine/>
    <w:qFormat/>
    <w:uiPriority w:val="0"/>
    <w:pPr>
      <w:widowControl/>
      <w:pBdr>
        <w:top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kern w:val="0"/>
      <w:sz w:val="24"/>
    </w:rPr>
  </w:style>
  <w:style w:type="paragraph" w:customStyle="1" w:styleId="111">
    <w:name w:val="xl113"/>
    <w:basedOn w:val="1"/>
    <w:autoRedefine/>
    <w:qFormat/>
    <w:uiPriority w:val="0"/>
    <w:pPr>
      <w:widowControl/>
      <w:shd w:val="clear" w:color="000000" w:fill="FFFF00"/>
      <w:spacing w:before="100" w:beforeAutospacing="1" w:after="100" w:afterAutospacing="1"/>
      <w:jc w:val="left"/>
    </w:pPr>
    <w:rPr>
      <w:rFonts w:ascii="宋体" w:hAnsi="宋体" w:cs="宋体"/>
      <w:kern w:val="0"/>
      <w:sz w:val="20"/>
      <w:szCs w:val="20"/>
    </w:rPr>
  </w:style>
  <w:style w:type="paragraph" w:customStyle="1" w:styleId="112">
    <w:name w:val="xl114"/>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FFFF00"/>
      <w:spacing w:before="100" w:beforeAutospacing="1" w:after="100" w:afterAutospacing="1"/>
      <w:jc w:val="center"/>
    </w:pPr>
    <w:rPr>
      <w:rFonts w:ascii="宋体" w:hAnsi="宋体" w:cs="宋体"/>
      <w:b/>
      <w:bCs/>
      <w:color w:val="3F3F3F"/>
      <w:kern w:val="0"/>
      <w:sz w:val="24"/>
    </w:rPr>
  </w:style>
  <w:style w:type="paragraph" w:customStyle="1" w:styleId="113">
    <w:name w:val="xl115"/>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FFFF00"/>
      <w:spacing w:before="100" w:beforeAutospacing="1" w:after="100" w:afterAutospacing="1"/>
      <w:jc w:val="center"/>
    </w:pPr>
    <w:rPr>
      <w:rFonts w:ascii="宋体" w:hAnsi="宋体" w:cs="宋体"/>
      <w:b/>
      <w:bCs/>
      <w:color w:val="333333"/>
      <w:kern w:val="0"/>
      <w:sz w:val="24"/>
    </w:rPr>
  </w:style>
  <w:style w:type="paragraph" w:customStyle="1" w:styleId="114">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kern w:val="0"/>
      <w:sz w:val="24"/>
    </w:rPr>
  </w:style>
  <w:style w:type="paragraph" w:customStyle="1" w:styleId="115">
    <w:name w:val="xl117"/>
    <w:basedOn w:val="1"/>
    <w:autoRedefine/>
    <w:qFormat/>
    <w:uiPriority w:val="0"/>
    <w:pPr>
      <w:widowControl/>
      <w:pBdr>
        <w:top w:val="single" w:color="333333" w:sz="4" w:space="0"/>
        <w:bottom w:val="single" w:color="333333" w:sz="4" w:space="0"/>
        <w:right w:val="single" w:color="333333" w:sz="4" w:space="0"/>
      </w:pBdr>
      <w:shd w:val="clear" w:color="000000" w:fill="FFFF00"/>
      <w:spacing w:before="100" w:beforeAutospacing="1" w:after="100" w:afterAutospacing="1"/>
      <w:jc w:val="center"/>
    </w:pPr>
    <w:rPr>
      <w:rFonts w:ascii="宋体" w:hAnsi="宋体" w:cs="宋体"/>
      <w:b/>
      <w:bCs/>
      <w:color w:val="333333"/>
      <w:kern w:val="0"/>
      <w:sz w:val="24"/>
    </w:rPr>
  </w:style>
  <w:style w:type="paragraph" w:customStyle="1" w:styleId="116">
    <w:name w:val="xl118"/>
    <w:basedOn w:val="1"/>
    <w:autoRedefine/>
    <w:qFormat/>
    <w:uiPriority w:val="0"/>
    <w:pPr>
      <w:widowControl/>
      <w:pBdr>
        <w:top w:val="single" w:color="3F3F3F" w:sz="4" w:space="0"/>
        <w:left w:val="single" w:color="3F3F3F" w:sz="4" w:space="0"/>
        <w:bottom w:val="single" w:color="3F3F3F" w:sz="4" w:space="0"/>
        <w:right w:val="single" w:color="3F3F3F" w:sz="4" w:space="0"/>
      </w:pBdr>
      <w:shd w:val="clear" w:color="000000" w:fill="FFFF00"/>
      <w:spacing w:before="100" w:beforeAutospacing="1" w:after="100" w:afterAutospacing="1"/>
      <w:jc w:val="left"/>
    </w:pPr>
    <w:rPr>
      <w:rFonts w:ascii="宋体" w:hAnsi="宋体" w:cs="宋体"/>
      <w:b/>
      <w:bCs/>
      <w:color w:val="333333"/>
      <w:kern w:val="0"/>
      <w:sz w:val="20"/>
      <w:szCs w:val="20"/>
    </w:rPr>
  </w:style>
  <w:style w:type="paragraph" w:customStyle="1" w:styleId="117">
    <w:name w:val="xl11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宋体" w:hAnsi="宋体" w:cs="宋体"/>
      <w:b/>
      <w:bCs/>
      <w:color w:val="333333"/>
      <w:kern w:val="0"/>
      <w:sz w:val="20"/>
      <w:szCs w:val="20"/>
    </w:rPr>
  </w:style>
  <w:style w:type="paragraph" w:customStyle="1" w:styleId="118">
    <w:name w:val="xl12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right"/>
    </w:pPr>
    <w:rPr>
      <w:rFonts w:ascii="宋体" w:hAnsi="宋体" w:cs="宋体"/>
      <w:kern w:val="0"/>
      <w:sz w:val="24"/>
    </w:rPr>
  </w:style>
  <w:style w:type="paragraph" w:customStyle="1" w:styleId="119">
    <w:name w:val="xl12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kern w:val="0"/>
      <w:sz w:val="24"/>
    </w:rPr>
  </w:style>
  <w:style w:type="paragraph" w:customStyle="1" w:styleId="120">
    <w:name w:val="xl122"/>
    <w:basedOn w:val="1"/>
    <w:autoRedefine/>
    <w:qFormat/>
    <w:uiPriority w:val="0"/>
    <w:pPr>
      <w:widowControl/>
      <w:pBdr>
        <w:bottom w:val="single" w:color="auto" w:sz="4" w:space="0"/>
        <w:right w:val="single" w:color="auto" w:sz="4" w:space="0"/>
      </w:pBdr>
      <w:shd w:val="clear" w:color="000000" w:fill="FFFF00"/>
      <w:spacing w:before="100" w:beforeAutospacing="1" w:after="100" w:afterAutospacing="1"/>
      <w:jc w:val="center"/>
    </w:pPr>
    <w:rPr>
      <w:rFonts w:ascii="宋体" w:hAnsi="宋体" w:cs="宋体"/>
      <w:kern w:val="0"/>
      <w:sz w:val="24"/>
    </w:rPr>
  </w:style>
  <w:style w:type="paragraph" w:customStyle="1" w:styleId="121">
    <w:name w:val="xl123"/>
    <w:basedOn w:val="1"/>
    <w:autoRedefine/>
    <w:qFormat/>
    <w:uiPriority w:val="0"/>
    <w:pPr>
      <w:widowControl/>
      <w:pBdr>
        <w:top w:val="single" w:color="333333" w:sz="4" w:space="0"/>
        <w:left w:val="single" w:color="333333" w:sz="4" w:space="0"/>
        <w:right w:val="single" w:color="333333" w:sz="4" w:space="0"/>
      </w:pBdr>
      <w:shd w:val="clear" w:color="000000" w:fill="FFFF00"/>
      <w:spacing w:before="100" w:beforeAutospacing="1" w:after="100" w:afterAutospacing="1"/>
      <w:jc w:val="left"/>
    </w:pPr>
    <w:rPr>
      <w:rFonts w:ascii="宋体" w:hAnsi="宋体" w:cs="宋体"/>
      <w:b/>
      <w:bCs/>
      <w:color w:val="333333"/>
      <w:kern w:val="0"/>
      <w:sz w:val="20"/>
      <w:szCs w:val="20"/>
    </w:rPr>
  </w:style>
  <w:style w:type="paragraph" w:customStyle="1" w:styleId="122">
    <w:name w:val="xl124"/>
    <w:basedOn w:val="1"/>
    <w:autoRedefine/>
    <w:qFormat/>
    <w:uiPriority w:val="0"/>
    <w:pPr>
      <w:widowControl/>
      <w:shd w:val="clear" w:color="000000" w:fill="FFFF00"/>
      <w:spacing w:before="100" w:beforeAutospacing="1" w:after="100" w:afterAutospacing="1"/>
      <w:jc w:val="left"/>
    </w:pPr>
    <w:rPr>
      <w:rFonts w:ascii="宋体" w:hAnsi="宋体" w:cs="宋体"/>
      <w:kern w:val="0"/>
      <w:sz w:val="24"/>
    </w:rPr>
  </w:style>
  <w:style w:type="character" w:customStyle="1" w:styleId="123">
    <w:name w:val="日期 Char1"/>
    <w:autoRedefine/>
    <w:semiHidden/>
    <w:qFormat/>
    <w:uiPriority w:val="99"/>
    <w:rPr>
      <w:kern w:val="2"/>
      <w:sz w:val="21"/>
      <w:szCs w:val="24"/>
    </w:rPr>
  </w:style>
  <w:style w:type="paragraph" w:customStyle="1" w:styleId="12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25">
    <w:name w:val="Default"/>
    <w:autoRedefine/>
    <w:qFormat/>
    <w:uiPriority w:val="0"/>
    <w:pPr>
      <w:widowControl w:val="0"/>
      <w:autoSpaceDE w:val="0"/>
      <w:autoSpaceDN w:val="0"/>
      <w:adjustRightInd w:val="0"/>
      <w:spacing w:line="360" w:lineRule="exact"/>
    </w:pPr>
    <w:rPr>
      <w:rFonts w:ascii="Times New Roman" w:hAnsi="Times New Roman" w:eastAsia="宋体" w:cs="Times New Roman"/>
      <w:color w:val="000000"/>
      <w:sz w:val="24"/>
      <w:szCs w:val="24"/>
      <w:lang w:val="en-US" w:eastAsia="zh-CN" w:bidi="ar-SA"/>
    </w:rPr>
  </w:style>
  <w:style w:type="paragraph" w:customStyle="1" w:styleId="126">
    <w:name w:val="标题一"/>
    <w:basedOn w:val="1"/>
    <w:next w:val="1"/>
    <w:autoRedefine/>
    <w:qFormat/>
    <w:uiPriority w:val="0"/>
    <w:pPr>
      <w:widowControl/>
      <w:numPr>
        <w:ilvl w:val="0"/>
        <w:numId w:val="1"/>
      </w:numPr>
      <w:tabs>
        <w:tab w:val="left" w:pos="0"/>
        <w:tab w:val="left" w:pos="420"/>
      </w:tabs>
      <w:spacing w:beforeLines="200" w:afterLines="200"/>
      <w:ind w:firstLine="200" w:firstLineChars="200"/>
      <w:outlineLvl w:val="0"/>
    </w:pPr>
    <w:rPr>
      <w:rFonts w:ascii="宋体" w:hAnsi="宋体" w:cs="宋体"/>
      <w:b/>
      <w:sz w:val="36"/>
    </w:rPr>
  </w:style>
  <w:style w:type="paragraph" w:customStyle="1" w:styleId="127">
    <w:name w:val="中文-正文"/>
    <w:basedOn w:val="1"/>
    <w:autoRedefine/>
    <w:qFormat/>
    <w:uiPriority w:val="0"/>
    <w:pPr>
      <w:spacing w:line="560" w:lineRule="exact"/>
      <w:ind w:firstLine="640" w:firstLineChars="200"/>
    </w:pPr>
    <w:rPr>
      <w:rFonts w:ascii="方正仿宋简体" w:eastAsia="方正仿宋简体"/>
      <w:sz w:val="32"/>
      <w:szCs w:val="32"/>
    </w:rPr>
  </w:style>
  <w:style w:type="paragraph" w:customStyle="1" w:styleId="128">
    <w:name w:val="附件、"/>
    <w:basedOn w:val="1"/>
    <w:autoRedefine/>
    <w:qFormat/>
    <w:uiPriority w:val="0"/>
    <w:pPr>
      <w:jc w:val="left"/>
      <w:outlineLvl w:val="0"/>
    </w:pPr>
    <w:rPr>
      <w:rFonts w:ascii="黑体" w:hAnsi="宋体" w:eastAsia="黑体"/>
      <w:sz w:val="28"/>
      <w:szCs w:val="28"/>
    </w:rPr>
  </w:style>
  <w:style w:type="paragraph" w:customStyle="1" w:styleId="129">
    <w:name w:val="xl67"/>
    <w:basedOn w:val="1"/>
    <w:autoRedefine/>
    <w:qFormat/>
    <w:uiPriority w:val="0"/>
    <w:pPr>
      <w:widowControl/>
      <w:spacing w:before="100" w:beforeAutospacing="1" w:after="100" w:afterAutospacing="1" w:line="240" w:lineRule="auto"/>
      <w:jc w:val="center"/>
      <w:textAlignment w:val="center"/>
    </w:pPr>
    <w:rPr>
      <w:rFonts w:ascii="宋体" w:hAnsi="宋体" w:cs="宋体"/>
      <w:b/>
      <w:bCs/>
      <w:kern w:val="0"/>
      <w:sz w:val="20"/>
      <w:szCs w:val="20"/>
    </w:rPr>
  </w:style>
  <w:style w:type="paragraph" w:customStyle="1" w:styleId="130">
    <w:name w:val="_Style 79"/>
    <w:basedOn w:val="1"/>
    <w:autoRedefine/>
    <w:qFormat/>
    <w:uiPriority w:val="0"/>
    <w:pPr>
      <w:spacing w:line="240" w:lineRule="auto"/>
    </w:pPr>
    <w:rPr>
      <w:kern w:val="0"/>
      <w:szCs w:val="20"/>
    </w:rPr>
  </w:style>
  <w:style w:type="paragraph" w:customStyle="1" w:styleId="131">
    <w:name w:val="Char Char Char Char Char"/>
    <w:basedOn w:val="1"/>
    <w:autoRedefine/>
    <w:qFormat/>
    <w:uiPriority w:val="0"/>
    <w:pPr>
      <w:widowControl/>
      <w:spacing w:after="160" w:line="240" w:lineRule="exact"/>
      <w:jc w:val="left"/>
    </w:pPr>
    <w:rPr>
      <w:rFonts w:ascii="Verdana" w:hAnsi="Verdana" w:cs="Verdana"/>
      <w:kern w:val="0"/>
      <w:sz w:val="20"/>
      <w:szCs w:val="20"/>
      <w:lang w:eastAsia="en-US"/>
    </w:rPr>
  </w:style>
  <w:style w:type="paragraph" w:customStyle="1" w:styleId="132">
    <w:name w:val="Char Char Char Char Char Char"/>
    <w:basedOn w:val="1"/>
    <w:autoRedefine/>
    <w:qFormat/>
    <w:uiPriority w:val="0"/>
    <w:pPr>
      <w:spacing w:line="240" w:lineRule="auto"/>
    </w:pPr>
  </w:style>
  <w:style w:type="paragraph" w:customStyle="1" w:styleId="133">
    <w:name w:val="默认段落字体 Para Char Char Char Char Char Char Char Char Char Char"/>
    <w:basedOn w:val="1"/>
    <w:autoRedefine/>
    <w:qFormat/>
    <w:uiPriority w:val="0"/>
    <w:pPr>
      <w:spacing w:line="240" w:lineRule="auto"/>
    </w:pPr>
    <w:rPr>
      <w:rFonts w:ascii="Tahoma" w:hAnsi="Tahoma"/>
      <w:sz w:val="24"/>
      <w:szCs w:val="20"/>
    </w:rPr>
  </w:style>
  <w:style w:type="character" w:customStyle="1" w:styleId="134">
    <w:name w:val="font41"/>
    <w:basedOn w:val="29"/>
    <w:autoRedefine/>
    <w:qFormat/>
    <w:uiPriority w:val="0"/>
    <w:rPr>
      <w:rFonts w:hint="eastAsia" w:ascii="宋体" w:hAnsi="宋体" w:eastAsia="宋体" w:cs="宋体"/>
      <w:b/>
      <w:color w:val="000000"/>
      <w:sz w:val="22"/>
      <w:szCs w:val="22"/>
      <w:u w:val="none"/>
    </w:rPr>
  </w:style>
  <w:style w:type="character" w:customStyle="1" w:styleId="135">
    <w:name w:val="font01"/>
    <w:basedOn w:val="29"/>
    <w:autoRedefine/>
    <w:qFormat/>
    <w:uiPriority w:val="0"/>
    <w:rPr>
      <w:rFonts w:hint="eastAsia" w:ascii="宋体" w:hAnsi="宋体" w:eastAsia="宋体" w:cs="宋体"/>
      <w:b/>
      <w:color w:val="000000"/>
      <w:sz w:val="20"/>
      <w:szCs w:val="20"/>
      <w:u w:val="none"/>
    </w:rPr>
  </w:style>
  <w:style w:type="paragraph" w:customStyle="1" w:styleId="136">
    <w:name w:val="p1"/>
    <w:basedOn w:val="1"/>
    <w:autoRedefine/>
    <w:qFormat/>
    <w:uiPriority w:val="0"/>
    <w:pPr>
      <w:ind w:firstLine="200" w:firstLineChars="200"/>
      <w:jc w:val="left"/>
    </w:pPr>
    <w:rPr>
      <w:kern w:val="0"/>
      <w:sz w:val="24"/>
    </w:rPr>
  </w:style>
  <w:style w:type="character" w:customStyle="1" w:styleId="137">
    <w:name w:val="s1"/>
    <w:basedOn w:val="29"/>
    <w:autoRedefine/>
    <w:qFormat/>
    <w:uiPriority w:val="0"/>
    <w:rPr>
      <w:rFonts w:ascii="Helvetica" w:hAnsi="Helvetica" w:eastAsia="Helvetica" w:cs="Helvetica"/>
      <w:sz w:val="24"/>
      <w:szCs w:val="24"/>
    </w:rPr>
  </w:style>
  <w:style w:type="paragraph" w:customStyle="1" w:styleId="138">
    <w:name w:val="msonormal"/>
    <w:basedOn w:val="1"/>
    <w:autoRedefine/>
    <w:qFormat/>
    <w:uiPriority w:val="0"/>
    <w:pPr>
      <w:widowControl/>
      <w:spacing w:before="100" w:beforeAutospacing="1" w:after="100" w:afterAutospacing="1" w:line="240" w:lineRule="auto"/>
      <w:jc w:val="left"/>
    </w:pPr>
    <w:rPr>
      <w:rFonts w:ascii="宋体" w:hAnsi="宋体" w:cs="宋体"/>
      <w:kern w:val="0"/>
      <w:sz w:val="24"/>
    </w:rPr>
  </w:style>
  <w:style w:type="paragraph" w:customStyle="1" w:styleId="139">
    <w:name w:val="xl65"/>
    <w:basedOn w:val="1"/>
    <w:autoRedefine/>
    <w:qFormat/>
    <w:uiPriority w:val="0"/>
    <w:pPr>
      <w:widowControl/>
      <w:spacing w:before="100" w:beforeAutospacing="1" w:after="100" w:afterAutospacing="1" w:line="240" w:lineRule="auto"/>
      <w:jc w:val="center"/>
    </w:pPr>
    <w:rPr>
      <w:rFonts w:ascii="宋体" w:hAnsi="宋体" w:cs="宋体"/>
      <w:kern w:val="0"/>
      <w:sz w:val="24"/>
    </w:rPr>
  </w:style>
  <w:style w:type="paragraph" w:customStyle="1" w:styleId="140">
    <w:name w:val="xl66"/>
    <w:basedOn w:val="1"/>
    <w:autoRedefine/>
    <w:qFormat/>
    <w:uiPriority w:val="0"/>
    <w:pPr>
      <w:widowControl/>
      <w:spacing w:before="100" w:beforeAutospacing="1" w:after="100" w:afterAutospacing="1" w:line="240" w:lineRule="auto"/>
      <w:jc w:val="center"/>
    </w:pPr>
    <w:rPr>
      <w:rFonts w:ascii="宋体" w:hAnsi="宋体" w:cs="宋体"/>
      <w:b/>
      <w:bCs/>
      <w:kern w:val="0"/>
      <w:sz w:val="24"/>
    </w:rPr>
  </w:style>
  <w:style w:type="paragraph" w:customStyle="1" w:styleId="141">
    <w:name w:val="修订1"/>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142">
    <w:name w:val="font81"/>
    <w:basedOn w:val="29"/>
    <w:autoRedefine/>
    <w:qFormat/>
    <w:uiPriority w:val="0"/>
    <w:rPr>
      <w:rFonts w:hint="eastAsia" w:ascii="宋体" w:hAnsi="宋体" w:eastAsia="宋体" w:cs="宋体"/>
      <w:color w:val="000000"/>
      <w:sz w:val="20"/>
      <w:szCs w:val="20"/>
      <w:u w:val="none"/>
    </w:rPr>
  </w:style>
  <w:style w:type="paragraph" w:customStyle="1" w:styleId="143">
    <w:name w:val="xl63"/>
    <w:basedOn w:val="1"/>
    <w:autoRedefine/>
    <w:qFormat/>
    <w:uiPriority w:val="0"/>
    <w:pPr>
      <w:widowControl/>
      <w:pBdr>
        <w:right w:val="single" w:color="auto" w:sz="8" w:space="0"/>
      </w:pBdr>
      <w:spacing w:before="100" w:beforeAutospacing="1" w:after="100" w:afterAutospacing="1" w:line="240" w:lineRule="auto"/>
      <w:jc w:val="left"/>
      <w:textAlignment w:val="center"/>
    </w:pPr>
    <w:rPr>
      <w:rFonts w:ascii="宋体" w:hAnsi="宋体" w:cs="宋体"/>
      <w:kern w:val="0"/>
      <w:sz w:val="24"/>
    </w:rPr>
  </w:style>
  <w:style w:type="paragraph" w:customStyle="1" w:styleId="144">
    <w:name w:val="xl64"/>
    <w:basedOn w:val="1"/>
    <w:autoRedefine/>
    <w:qFormat/>
    <w:uiPriority w:val="0"/>
    <w:pPr>
      <w:widowControl/>
      <w:pBdr>
        <w:bottom w:val="single" w:color="000000" w:sz="8" w:space="0"/>
        <w:right w:val="single" w:color="auto" w:sz="8" w:space="0"/>
      </w:pBdr>
      <w:spacing w:before="100" w:beforeAutospacing="1" w:after="100" w:afterAutospacing="1" w:line="240" w:lineRule="auto"/>
      <w:jc w:val="left"/>
      <w:textAlignment w:val="center"/>
    </w:pPr>
    <w:rPr>
      <w:rFonts w:ascii="宋体" w:hAnsi="宋体" w:cs="宋体"/>
      <w:kern w:val="0"/>
      <w:sz w:val="24"/>
    </w:rPr>
  </w:style>
  <w:style w:type="character" w:customStyle="1" w:styleId="145">
    <w:name w:val="font71"/>
    <w:basedOn w:val="29"/>
    <w:autoRedefine/>
    <w:qFormat/>
    <w:uiPriority w:val="0"/>
    <w:rPr>
      <w:rFonts w:ascii="Calibri" w:hAnsi="Calibri" w:cs="Calibri"/>
      <w:color w:val="000000"/>
      <w:sz w:val="20"/>
      <w:szCs w:val="20"/>
      <w:u w:val="none"/>
    </w:rPr>
  </w:style>
  <w:style w:type="character" w:customStyle="1" w:styleId="146">
    <w:name w:val="font101"/>
    <w:basedOn w:val="29"/>
    <w:autoRedefine/>
    <w:qFormat/>
    <w:uiPriority w:val="0"/>
    <w:rPr>
      <w:rFonts w:hint="default" w:ascii="Traditional Arabic" w:hAnsi="Traditional Arabic" w:eastAsia="Traditional Arabic" w:cs="Traditional Arabic"/>
      <w:color w:val="000000"/>
      <w:sz w:val="24"/>
      <w:szCs w:val="24"/>
      <w:u w:val="none"/>
    </w:rPr>
  </w:style>
  <w:style w:type="character" w:customStyle="1" w:styleId="147">
    <w:name w:val="正文文本 字符1"/>
    <w:basedOn w:val="29"/>
    <w:autoRedefine/>
    <w:qFormat/>
    <w:uiPriority w:val="99"/>
    <w:rPr>
      <w:kern w:val="2"/>
      <w:sz w:val="21"/>
      <w:szCs w:val="24"/>
    </w:rPr>
  </w:style>
  <w:style w:type="character" w:customStyle="1" w:styleId="148">
    <w:name w:val="font31"/>
    <w:basedOn w:val="29"/>
    <w:autoRedefine/>
    <w:qFormat/>
    <w:uiPriority w:val="0"/>
    <w:rPr>
      <w:rFonts w:ascii="Calibri" w:hAnsi="Calibri" w:cs="Calibri"/>
      <w:color w:val="000000"/>
      <w:sz w:val="20"/>
      <w:szCs w:val="20"/>
      <w:u w:val="none"/>
    </w:rPr>
  </w:style>
  <w:style w:type="character" w:customStyle="1" w:styleId="149">
    <w:name w:val="font21"/>
    <w:basedOn w:val="29"/>
    <w:autoRedefine/>
    <w:qFormat/>
    <w:uiPriority w:val="0"/>
    <w:rPr>
      <w:rFonts w:hint="eastAsia" w:ascii="宋体" w:hAnsi="宋体" w:eastAsia="宋体" w:cs="宋体"/>
      <w:color w:val="000000"/>
      <w:sz w:val="24"/>
      <w:szCs w:val="24"/>
      <w:u w:val="none"/>
    </w:rPr>
  </w:style>
  <w:style w:type="character" w:customStyle="1" w:styleId="150">
    <w:name w:val="font51"/>
    <w:basedOn w:val="29"/>
    <w:autoRedefine/>
    <w:qFormat/>
    <w:uiPriority w:val="0"/>
    <w:rPr>
      <w:rFonts w:hint="default" w:ascii="Traditional Arabic" w:hAnsi="Traditional Arabic" w:eastAsia="Traditional Arabic" w:cs="Traditional Arabic"/>
      <w:color w:val="000000"/>
      <w:sz w:val="24"/>
      <w:szCs w:val="24"/>
      <w:u w:val="none"/>
    </w:rPr>
  </w:style>
  <w:style w:type="paragraph" w:customStyle="1" w:styleId="151">
    <w:name w:val="Table Paragraph"/>
    <w:basedOn w:val="1"/>
    <w:qFormat/>
    <w:uiPriority w:val="1"/>
    <w:pPr>
      <w:widowControl/>
      <w:spacing w:line="240" w:lineRule="auto"/>
    </w:pPr>
    <w:rPr>
      <w:rFonts w:asciiTheme="minorHAnsi" w:hAnsiTheme="minorHAnsi" w:eastAsiaTheme="minorEastAsia" w:cstheme="minorBidi"/>
    </w:rPr>
  </w:style>
  <w:style w:type="character" w:customStyle="1" w:styleId="152">
    <w:name w:val="正文文本 3 字符"/>
    <w:basedOn w:val="29"/>
    <w:link w:val="11"/>
    <w:autoRedefine/>
    <w:semiHidden/>
    <w:qFormat/>
    <w:uiPriority w:val="0"/>
    <w:rPr>
      <w:rFonts w:ascii="Times New Roman" w:hAnsi="Times New Roman" w:eastAsia="宋体" w:cs="Times New Roman"/>
      <w:sz w:val="16"/>
      <w:szCs w:val="16"/>
    </w:rPr>
  </w:style>
  <w:style w:type="paragraph" w:customStyle="1" w:styleId="153">
    <w:name w:val="样式 10 磅3111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4">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4.xml"/><Relationship Id="rId14" Type="http://schemas.openxmlformats.org/officeDocument/2006/relationships/header" Target="header7.xml"/><Relationship Id="rId13" Type="http://schemas.openxmlformats.org/officeDocument/2006/relationships/footer" Target="footer3.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3074"/>
    <customShpInfo spid="_x0000_s3073"/>
    <customShpInfo spid="_x0000_s3076"/>
    <customShpInfo spid="_x0000_s3075"/>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9468</Words>
  <Characters>10298</Characters>
  <Lines>25</Lines>
  <Paragraphs>24</Paragraphs>
  <TotalTime>6</TotalTime>
  <ScaleCrop>false</ScaleCrop>
  <LinksUpToDate>false</LinksUpToDate>
  <CharactersWithSpaces>10750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2021-02-04T09:56:00Z</dcterms:created>
  <dc:creator>王春宇(ygcg)</dc:creator>
  <cp:lastModifiedBy>郭娜</cp:lastModifiedBy>
  <cp:lastPrinted>2021-02-07T02:36:00Z</cp:lastPrinted>
  <dcterms:modified xsi:type="dcterms:W3CDTF">2025-07-29T02:17:12Z</dcterms:modified>
  <cp:revision>937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1A812E2F6A2543C79BEC55FE4BB09397_13</vt:lpwstr>
  </property>
  <property fmtid="{D5CDD505-2E9C-101B-9397-08002B2CF9AE}" pid="4" name="KSOTemplateDocerSaveRecord">
    <vt:lpwstr>eyJoZGlkIjoiZmUyNjcwNzhjYWRmNjhlZjJmZTNhY2FiZjZmMTg2ZGQiLCJ1c2VySWQiOiIxNjgwMzg0NDc0In0=</vt:lpwstr>
  </property>
</Properties>
</file>