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06D24">
      <w:pPr>
        <w:widowControl/>
        <w:jc w:val="center"/>
        <w:rPr>
          <w:rFonts w:hint="eastAsia" w:ascii="宋体" w:hAnsi="宋体"/>
          <w:b/>
          <w:color w:val="000000" w:themeColor="text1"/>
          <w:kern w:val="0"/>
          <w:sz w:val="30"/>
          <w:szCs w:val="30"/>
          <w:highlight w:val="none"/>
          <w14:textFill>
            <w14:solidFill>
              <w14:schemeClr w14:val="tx1"/>
            </w14:solidFill>
          </w14:textFill>
        </w:rPr>
      </w:pPr>
      <w:r>
        <w:rPr>
          <w:rFonts w:hint="eastAsia" w:ascii="宋体" w:hAnsi="宋体"/>
          <w:b/>
          <w:color w:val="000000" w:themeColor="text1"/>
          <w:kern w:val="0"/>
          <w:sz w:val="30"/>
          <w:szCs w:val="30"/>
          <w:highlight w:val="none"/>
          <w14:textFill>
            <w14:solidFill>
              <w14:schemeClr w14:val="tx1"/>
            </w14:solidFill>
          </w14:textFill>
        </w:rPr>
        <w:t>中铁建工集团有限公司第二批央企在京老旧小区综合整治项目（标包一百一十八）（昌平区南口镇）工程总承包（EPC）项目</w:t>
      </w:r>
    </w:p>
    <w:p w14:paraId="0B5D042B">
      <w:pPr>
        <w:widowControl/>
        <w:jc w:val="center"/>
        <w:rPr>
          <w:rFonts w:hint="eastAsia" w:ascii="宋体" w:hAnsi="宋体"/>
          <w:b/>
          <w:color w:val="000000" w:themeColor="text1"/>
          <w:kern w:val="0"/>
          <w:sz w:val="30"/>
          <w:szCs w:val="30"/>
          <w:highlight w:val="none"/>
          <w14:textFill>
            <w14:solidFill>
              <w14:schemeClr w14:val="tx1"/>
            </w14:solidFill>
          </w14:textFill>
        </w:rPr>
      </w:pPr>
      <w:r>
        <w:rPr>
          <w:rFonts w:hint="eastAsia" w:ascii="宋体" w:hAnsi="宋体"/>
          <w:b/>
          <w:color w:val="000000" w:themeColor="text1"/>
          <w:kern w:val="0"/>
          <w:sz w:val="30"/>
          <w:szCs w:val="30"/>
          <w:highlight w:val="none"/>
          <w:lang w:val="en-US" w:eastAsia="zh-CN"/>
          <w14:textFill>
            <w14:solidFill>
              <w14:schemeClr w14:val="tx1"/>
            </w14:solidFill>
          </w14:textFill>
        </w:rPr>
        <w:t>保温板</w:t>
      </w:r>
      <w:r>
        <w:rPr>
          <w:rFonts w:hint="eastAsia" w:ascii="宋体" w:hAnsi="宋体"/>
          <w:b/>
          <w:color w:val="000000" w:themeColor="text1"/>
          <w:kern w:val="0"/>
          <w:sz w:val="30"/>
          <w:szCs w:val="30"/>
          <w:highlight w:val="none"/>
          <w14:textFill>
            <w14:solidFill>
              <w14:schemeClr w14:val="tx1"/>
            </w14:solidFill>
          </w14:textFill>
        </w:rPr>
        <w:t>招标采购公告</w:t>
      </w:r>
    </w:p>
    <w:p w14:paraId="5F95A230">
      <w:pPr>
        <w:widowControl/>
        <w:jc w:val="center"/>
        <w:rPr>
          <w:rFonts w:hint="default" w:ascii="宋体" w:hAnsi="宋体" w:eastAsia="宋体"/>
          <w:b/>
          <w:color w:val="000000" w:themeColor="text1"/>
          <w:kern w:val="0"/>
          <w:sz w:val="28"/>
          <w:szCs w:val="28"/>
          <w:highlight w:val="none"/>
          <w:lang w:val="en-US" w:eastAsia="zh-CN"/>
          <w14:textFill>
            <w14:solidFill>
              <w14:schemeClr w14:val="tx1"/>
            </w14:solidFill>
          </w14:textFill>
        </w:rPr>
      </w:pPr>
      <w:r>
        <w:rPr>
          <w:rFonts w:ascii="宋体" w:hAnsi="宋体" w:cs="宋体"/>
          <w:color w:val="000000" w:themeColor="text1"/>
          <w:kern w:val="0"/>
          <w:sz w:val="28"/>
          <w:szCs w:val="28"/>
          <w:highlight w:val="none"/>
          <w14:textFill>
            <w14:solidFill>
              <w14:schemeClr w14:val="tx1"/>
            </w14:solidFill>
          </w14:textFill>
        </w:rPr>
        <w:t>招标编号:</w:t>
      </w:r>
      <w:r>
        <w:rPr>
          <w:rFonts w:hint="eastAsia" w:ascii="宋体" w:hAnsi="宋体"/>
          <w:color w:val="000000" w:themeColor="text1"/>
          <w:sz w:val="28"/>
          <w:szCs w:val="28"/>
          <w:highlight w:val="none"/>
          <w14:textFill>
            <w14:solidFill>
              <w14:schemeClr w14:val="tx1"/>
            </w14:solidFill>
          </w14:textFill>
        </w:rPr>
        <w:t>ZTJGJTHBFGS-WZZB-2025-</w:t>
      </w:r>
      <w:r>
        <w:rPr>
          <w:rFonts w:hint="eastAsia" w:ascii="宋体" w:hAnsi="宋体"/>
          <w:color w:val="000000" w:themeColor="text1"/>
          <w:sz w:val="28"/>
          <w:szCs w:val="28"/>
          <w:highlight w:val="none"/>
          <w:lang w:val="en-US" w:eastAsia="zh-CN"/>
          <w14:textFill>
            <w14:solidFill>
              <w14:schemeClr w14:val="tx1"/>
            </w14:solidFill>
          </w14:textFill>
        </w:rPr>
        <w:t>171</w:t>
      </w:r>
    </w:p>
    <w:p w14:paraId="0A7BF670">
      <w:pPr>
        <w:pStyle w:val="9"/>
        <w:tabs>
          <w:tab w:val="left" w:pos="312"/>
        </w:tabs>
        <w:ind w:leftChars="0"/>
        <w:rPr>
          <w:rFonts w:ascii="宋体" w:hAnsi="宋体"/>
          <w:color w:val="000000" w:themeColor="text1"/>
          <w:highlight w:val="none"/>
          <w14:textFill>
            <w14:solidFill>
              <w14:schemeClr w14:val="tx1"/>
            </w14:solidFill>
          </w14:textFill>
        </w:rPr>
      </w:pPr>
      <w:bookmarkStart w:id="0" w:name="_Toc419384097"/>
      <w:bookmarkStart w:id="1" w:name="_Toc31264"/>
      <w:bookmarkStart w:id="2" w:name="_Toc201848672"/>
      <w:bookmarkStart w:id="3" w:name="_Toc419383458"/>
      <w:bookmarkStart w:id="4" w:name="_Toc408135387"/>
      <w:bookmarkStart w:id="5" w:name="_Toc419384431"/>
      <w:bookmarkStart w:id="6" w:name="_Toc416332953"/>
      <w:bookmarkStart w:id="7" w:name="OLE_LINK5"/>
      <w:bookmarkStart w:id="8" w:name="OLE_LINK4"/>
      <w:r>
        <w:rPr>
          <w:rFonts w:hint="eastAsia" w:ascii="宋体" w:hAnsi="宋体"/>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.招标条件</w:t>
      </w:r>
      <w:bookmarkEnd w:id="0"/>
      <w:bookmarkEnd w:id="1"/>
      <w:bookmarkEnd w:id="2"/>
      <w:bookmarkEnd w:id="3"/>
      <w:bookmarkEnd w:id="4"/>
      <w:bookmarkEnd w:id="5"/>
      <w:bookmarkEnd w:id="6"/>
    </w:p>
    <w:p w14:paraId="50A9E8D9">
      <w:pPr>
        <w:spacing w:line="440" w:lineRule="exact"/>
        <w:ind w:firstLine="420" w:firstLineChars="200"/>
        <w:rPr>
          <w:rFonts w:ascii="宋体" w:hAnsi="宋体"/>
          <w:color w:val="000000" w:themeColor="text1"/>
          <w:szCs w:val="21"/>
          <w:highlight w:val="none"/>
          <w14:textFill>
            <w14:solidFill>
              <w14:schemeClr w14:val="tx1"/>
            </w14:solidFill>
          </w14:textFill>
        </w:rPr>
      </w:pPr>
      <w:bookmarkStart w:id="9" w:name="_Toc285954169"/>
      <w:bookmarkStart w:id="10" w:name="_Toc286064907"/>
      <w:bookmarkStart w:id="11" w:name="_Toc238552178"/>
      <w:bookmarkStart w:id="12" w:name="_Toc286062448"/>
      <w:bookmarkStart w:id="13" w:name="_Toc243475751"/>
      <w:bookmarkStart w:id="14" w:name="_Toc238797533"/>
      <w:bookmarkStart w:id="15" w:name="_Toc259459760"/>
      <w:bookmarkStart w:id="16" w:name="_Toc416332954"/>
      <w:bookmarkStart w:id="17" w:name="_Toc419384432"/>
      <w:bookmarkStart w:id="18" w:name="_Toc419384098"/>
      <w:bookmarkStart w:id="19" w:name="_Toc408135388"/>
      <w:bookmarkStart w:id="20" w:name="_Toc419383459"/>
      <w:r>
        <w:rPr>
          <w:rFonts w:hint="eastAsia" w:ascii="宋体" w:hAnsi="宋体" w:cs="宋体"/>
          <w:color w:val="000000"/>
          <w:kern w:val="0"/>
          <w:szCs w:val="21"/>
          <w:highlight w:val="none"/>
        </w:rPr>
        <w:t>招标项目为</w:t>
      </w:r>
      <w:r>
        <w:rPr>
          <w:rFonts w:hint="eastAsia" w:ascii="宋体" w:hAnsi="宋体" w:cs="宋体"/>
          <w:color w:val="000000"/>
          <w:kern w:val="0"/>
          <w:szCs w:val="21"/>
          <w:highlight w:val="none"/>
          <w:u w:val="single"/>
        </w:rPr>
        <w:t>中铁建工集团有限公司第二批央企在京老旧小区综合整治项目（标包一百一十八）（昌平区南口镇）工程总承包（EPC）项目</w:t>
      </w:r>
      <w:r>
        <w:rPr>
          <w:rFonts w:hint="eastAsia" w:ascii="宋体" w:hAnsi="宋体" w:cs="宋体"/>
          <w:color w:val="000000"/>
          <w:kern w:val="0"/>
          <w:szCs w:val="21"/>
          <w:highlight w:val="none"/>
        </w:rPr>
        <w:t>，建设资金已落实。</w:t>
      </w:r>
      <w:r>
        <w:rPr>
          <w:rFonts w:ascii="宋体" w:hAnsi="宋体"/>
          <w:color w:val="000000" w:themeColor="text1"/>
          <w:szCs w:val="21"/>
          <w:highlight w:val="none"/>
          <w14:textFill>
            <w14:solidFill>
              <w14:schemeClr w14:val="tx1"/>
            </w14:solidFill>
          </w14:textFill>
        </w:rPr>
        <w:t>招标人为</w:t>
      </w:r>
      <w:r>
        <w:rPr>
          <w:rFonts w:hint="eastAsia" w:ascii="宋体" w:hAnsi="宋体"/>
          <w:color w:val="000000" w:themeColor="text1"/>
          <w:szCs w:val="21"/>
          <w:highlight w:val="none"/>
          <w:u w:val="single"/>
          <w14:textFill>
            <w14:solidFill>
              <w14:schemeClr w14:val="tx1"/>
            </w14:solidFill>
          </w14:textFill>
        </w:rPr>
        <w:t>中铁建工集团有限公司</w:t>
      </w:r>
      <w:r>
        <w:rPr>
          <w:rFonts w:hint="eastAsia" w:ascii="宋体" w:hAnsi="宋体"/>
          <w:color w:val="000000" w:themeColor="text1"/>
          <w:szCs w:val="21"/>
          <w:highlight w:val="none"/>
          <w14:textFill>
            <w14:solidFill>
              <w14:schemeClr w14:val="tx1"/>
            </w14:solidFill>
          </w14:textFill>
        </w:rPr>
        <w:t>，招标组织单位为</w:t>
      </w:r>
      <w:r>
        <w:rPr>
          <w:rFonts w:hint="eastAsia" w:ascii="宋体" w:hAnsi="宋体"/>
          <w:color w:val="000000" w:themeColor="text1"/>
          <w:szCs w:val="21"/>
          <w:highlight w:val="none"/>
          <w:u w:val="single"/>
          <w14:textFill>
            <w14:solidFill>
              <w14:schemeClr w14:val="tx1"/>
            </w14:solidFill>
          </w14:textFill>
        </w:rPr>
        <w:t>中铁建工集团有限公司华北分公司</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保温板</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已具备招标条件，现进行公开招标。</w:t>
      </w:r>
    </w:p>
    <w:p w14:paraId="2156B595">
      <w:pPr>
        <w:pStyle w:val="9"/>
        <w:rPr>
          <w:rFonts w:ascii="宋体" w:hAnsi="宋体"/>
          <w:color w:val="000000" w:themeColor="text1"/>
          <w:highlight w:val="none"/>
          <w14:textFill>
            <w14:solidFill>
              <w14:schemeClr w14:val="tx1"/>
            </w14:solidFill>
          </w14:textFill>
        </w:rPr>
      </w:pPr>
      <w:bookmarkStart w:id="21" w:name="_Toc201848673"/>
      <w:bookmarkStart w:id="22" w:name="_Toc9205"/>
      <w:r>
        <w:rPr>
          <w:rFonts w:hint="eastAsia" w:ascii="宋体" w:hAnsi="宋体"/>
          <w:color w:val="000000" w:themeColor="text1"/>
          <w:highlight w:val="none"/>
          <w14:textFill>
            <w14:solidFill>
              <w14:schemeClr w14:val="tx1"/>
            </w14:solidFill>
          </w14:textFill>
        </w:rPr>
        <w:t>2.项目概况与招标</w:t>
      </w:r>
      <w:bookmarkEnd w:id="9"/>
      <w:bookmarkEnd w:id="10"/>
      <w:bookmarkEnd w:id="11"/>
      <w:bookmarkEnd w:id="12"/>
      <w:bookmarkEnd w:id="13"/>
      <w:bookmarkEnd w:id="14"/>
      <w:bookmarkEnd w:id="15"/>
      <w:r>
        <w:rPr>
          <w:rFonts w:hint="eastAsia" w:ascii="宋体" w:hAnsi="宋体"/>
          <w:color w:val="000000" w:themeColor="text1"/>
          <w:highlight w:val="none"/>
          <w14:textFill>
            <w14:solidFill>
              <w14:schemeClr w14:val="tx1"/>
            </w14:solidFill>
          </w14:textFill>
        </w:rPr>
        <w:t>依据</w:t>
      </w:r>
      <w:bookmarkEnd w:id="16"/>
      <w:bookmarkEnd w:id="17"/>
      <w:bookmarkEnd w:id="18"/>
      <w:bookmarkEnd w:id="19"/>
      <w:bookmarkEnd w:id="20"/>
      <w:bookmarkEnd w:id="21"/>
      <w:bookmarkEnd w:id="22"/>
    </w:p>
    <w:p w14:paraId="1680EC6C">
      <w:pPr>
        <w:widowControl/>
        <w:spacing w:line="440" w:lineRule="exact"/>
        <w:ind w:firstLine="420" w:firstLineChars="200"/>
        <w:rPr>
          <w:rFonts w:ascii="宋体" w:hAnsi="宋体"/>
          <w:color w:val="FF0000"/>
          <w:szCs w:val="21"/>
          <w:highlight w:val="none"/>
        </w:rPr>
      </w:pPr>
      <w:bookmarkStart w:id="23" w:name="_Toc419384435"/>
      <w:bookmarkStart w:id="24" w:name="_Toc2472"/>
      <w:bookmarkStart w:id="25" w:name="_Toc419384695"/>
      <w:bookmarkStart w:id="26" w:name="_Toc419383462"/>
      <w:bookmarkStart w:id="27" w:name="_Toc419384101"/>
      <w:bookmarkStart w:id="28" w:name="_Toc419384573"/>
      <w:r>
        <w:rPr>
          <w:rFonts w:hint="eastAsia" w:ascii="宋体" w:hAnsi="宋体"/>
          <w:color w:val="000000" w:themeColor="text1"/>
          <w:szCs w:val="21"/>
          <w:highlight w:val="none"/>
          <w14:textFill>
            <w14:solidFill>
              <w14:schemeClr w14:val="tx1"/>
            </w14:solidFill>
          </w14:textFill>
        </w:rPr>
        <w:t>2.1项目概况：</w:t>
      </w:r>
      <w:bookmarkStart w:id="29" w:name="_Toc126919134"/>
      <w:bookmarkStart w:id="30" w:name="_Toc126919250"/>
      <w:bookmarkStart w:id="31" w:name="_Toc23525"/>
      <w:bookmarkStart w:id="32" w:name="_Toc1966"/>
      <w:bookmarkStart w:id="33" w:name="_Toc514656944"/>
      <w:bookmarkStart w:id="34" w:name="_Toc10811"/>
    </w:p>
    <w:p w14:paraId="6AFAB629">
      <w:pPr>
        <w:widowControl/>
        <w:spacing w:line="440" w:lineRule="exact"/>
        <w:ind w:firstLine="420" w:firstLineChars="200"/>
        <w:rPr>
          <w:rFonts w:ascii="宋体" w:hAnsi="宋体"/>
          <w:color w:val="auto"/>
          <w:highlight w:val="none"/>
        </w:rPr>
      </w:pPr>
      <w:r>
        <w:rPr>
          <w:rFonts w:hint="eastAsia" w:ascii="宋体" w:hAnsi="宋体"/>
          <w:color w:val="auto"/>
          <w:szCs w:val="21"/>
          <w:highlight w:val="none"/>
        </w:rPr>
        <w:t>工程名称：第二批央企在京老旧小区综合整治项目（标包一百一十八）（昌平区南口镇）工程总承包（EPC）。工程地点</w:t>
      </w:r>
      <w:r>
        <w:rPr>
          <w:rFonts w:hint="eastAsia" w:ascii="宋体" w:hAnsi="宋体"/>
          <w:color w:val="auto"/>
          <w:szCs w:val="21"/>
          <w:highlight w:val="none"/>
          <w:lang w:val="en-US" w:eastAsia="zh-CN"/>
        </w:rPr>
        <w:t>位于</w:t>
      </w:r>
      <w:r>
        <w:rPr>
          <w:rFonts w:hint="eastAsia" w:ascii="宋体" w:hAnsi="宋体"/>
          <w:color w:val="auto"/>
          <w:szCs w:val="21"/>
          <w:highlight w:val="none"/>
        </w:rPr>
        <w:t>北京市昌平区</w:t>
      </w:r>
      <w:r>
        <w:rPr>
          <w:rFonts w:hint="eastAsia" w:ascii="宋体" w:hAnsi="宋体"/>
          <w:color w:val="auto"/>
          <w:szCs w:val="21"/>
          <w:highlight w:val="none"/>
          <w:lang w:eastAsia="zh-CN"/>
        </w:rPr>
        <w:t>，</w:t>
      </w:r>
      <w:r>
        <w:rPr>
          <w:rFonts w:hint="eastAsia" w:ascii="宋体" w:hAnsi="宋体"/>
          <w:color w:val="auto"/>
          <w:szCs w:val="21"/>
          <w:highlight w:val="none"/>
        </w:rPr>
        <w:t>总改造建筑面积为99209.9㎡</w:t>
      </w:r>
      <w:r>
        <w:rPr>
          <w:rFonts w:hint="eastAsia" w:ascii="宋体" w:hAnsi="宋体"/>
          <w:color w:val="auto"/>
          <w:szCs w:val="21"/>
          <w:highlight w:val="none"/>
          <w:lang w:eastAsia="zh-CN"/>
        </w:rPr>
        <w:t>。</w:t>
      </w:r>
      <w:r>
        <w:rPr>
          <w:rFonts w:hint="eastAsia" w:ascii="宋体" w:hAnsi="宋体"/>
          <w:color w:val="auto"/>
          <w:szCs w:val="21"/>
          <w:highlight w:val="none"/>
        </w:rPr>
        <w:t>工程承包范围：中国中车集团南厂住宅北区（1-18号楼）、中国中车集团南厂住宅西区（1-3号楼、4号甲、4号乙、5-17号楼）的楼本体抗震及节能综合改造、室外公共区域环境整治提升等工程。</w:t>
      </w:r>
    </w:p>
    <w:p w14:paraId="2F2B3550">
      <w:pPr>
        <w:widowControl/>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highlight w:val="none"/>
        </w:rPr>
        <w:t>2.2</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Cs w:val="21"/>
          <w:highlight w:val="none"/>
          <w14:textFill>
            <w14:solidFill>
              <w14:schemeClr w14:val="tx1"/>
            </w14:solidFill>
          </w14:textFill>
        </w:rPr>
        <w:t>招标依据：</w:t>
      </w:r>
    </w:p>
    <w:p w14:paraId="27A8FFA0">
      <w:pPr>
        <w:spacing w:line="440" w:lineRule="exact"/>
        <w:ind w:firstLine="420" w:firstLineChars="200"/>
        <w:rPr>
          <w:rFonts w:ascii="宋体" w:hAnsi="宋体"/>
          <w:color w:val="000000" w:themeColor="text1"/>
          <w:highlight w:val="none"/>
          <w14:textFill>
            <w14:solidFill>
              <w14:schemeClr w14:val="tx1"/>
            </w14:solidFill>
          </w14:textFill>
        </w:rPr>
      </w:pPr>
      <w:bookmarkStart w:id="35" w:name="_Toc196813503"/>
      <w:r>
        <w:rPr>
          <w:rFonts w:hint="eastAsia" w:ascii="宋体" w:hAnsi="宋体"/>
          <w:color w:val="000000" w:themeColor="text1"/>
          <w:highlight w:val="none"/>
          <w14:textFill>
            <w14:solidFill>
              <w14:schemeClr w14:val="tx1"/>
            </w14:solidFill>
          </w14:textFill>
        </w:rPr>
        <w:t>2.2.1《中华人民共和国招标投标法》；</w:t>
      </w:r>
      <w:bookmarkEnd w:id="35"/>
    </w:p>
    <w:p w14:paraId="1963747E">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2.2.2《工程建设项目货物招标投标办法》（国家发展改革委等七部委令第27号）；</w:t>
      </w:r>
    </w:p>
    <w:p w14:paraId="1778D7AC">
      <w:pPr>
        <w:spacing w:line="440" w:lineRule="exact"/>
        <w:ind w:firstLine="420" w:firstLineChars="200"/>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2.2.3《评标委员会和评标方法暂行规定》（国家计委等七部委令第12号）</w:t>
      </w:r>
      <w:r>
        <w:rPr>
          <w:rFonts w:hint="eastAsia" w:ascii="宋体" w:hAnsi="宋体"/>
          <w:color w:val="000000" w:themeColor="text1"/>
          <w:highlight w:val="none"/>
          <w:lang w:eastAsia="zh-CN"/>
          <w14:textFill>
            <w14:solidFill>
              <w14:schemeClr w14:val="tx1"/>
            </w14:solidFill>
          </w14:textFill>
        </w:rPr>
        <w:t>。</w:t>
      </w:r>
    </w:p>
    <w:p w14:paraId="11F6A96B">
      <w:pPr>
        <w:pStyle w:val="9"/>
        <w:rPr>
          <w:rFonts w:ascii="宋体" w:hAnsi="宋体"/>
          <w:color w:val="000000" w:themeColor="text1"/>
          <w:highlight w:val="none"/>
          <w14:textFill>
            <w14:solidFill>
              <w14:schemeClr w14:val="tx1"/>
            </w14:solidFill>
          </w14:textFill>
        </w:rPr>
      </w:pPr>
      <w:bookmarkStart w:id="36" w:name="_Toc4054"/>
      <w:bookmarkStart w:id="37" w:name="_Toc416332955"/>
      <w:bookmarkStart w:id="38" w:name="_Toc419383463"/>
      <w:bookmarkStart w:id="39" w:name="_Toc419384102"/>
      <w:bookmarkStart w:id="40" w:name="_Toc201848674"/>
      <w:bookmarkStart w:id="41" w:name="_Toc408135389"/>
      <w:bookmarkStart w:id="42" w:name="_Toc419384436"/>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本次招标的范围</w:t>
      </w:r>
      <w:bookmarkEnd w:id="36"/>
      <w:bookmarkEnd w:id="37"/>
      <w:bookmarkEnd w:id="38"/>
      <w:bookmarkEnd w:id="39"/>
      <w:bookmarkEnd w:id="40"/>
      <w:bookmarkEnd w:id="41"/>
      <w:bookmarkEnd w:id="42"/>
    </w:p>
    <w:p w14:paraId="3ECE2FBC">
      <w:pPr>
        <w:adjustRightInd w:val="0"/>
        <w:spacing w:line="440" w:lineRule="exact"/>
        <w:ind w:firstLine="482"/>
        <w:rPr>
          <w:rFonts w:ascii="宋体" w:hAnsi="宋体"/>
          <w:color w:val="000000"/>
          <w:highlight w:val="none"/>
        </w:rPr>
      </w:pPr>
      <w:r>
        <w:rPr>
          <w:rFonts w:hint="eastAsia" w:ascii="宋体" w:hAnsi="宋体" w:cs="宋体"/>
          <w:color w:val="000000" w:themeColor="text1"/>
          <w:kern w:val="0"/>
          <w:szCs w:val="21"/>
          <w:highlight w:val="none"/>
          <w14:textFill>
            <w14:solidFill>
              <w14:schemeClr w14:val="tx1"/>
            </w14:solidFill>
          </w14:textFill>
        </w:rPr>
        <w:t>本次招标采购所需的</w:t>
      </w:r>
      <w:r>
        <w:rPr>
          <w:rFonts w:hint="eastAsia" w:ascii="宋体" w:hAnsi="宋体" w:cs="宋体"/>
          <w:color w:val="000000" w:themeColor="text1"/>
          <w:kern w:val="0"/>
          <w:szCs w:val="21"/>
          <w:highlight w:val="none"/>
          <w:u w:val="single"/>
          <w:lang w:val="en-US" w:eastAsia="zh-CN"/>
          <w14:textFill>
            <w14:solidFill>
              <w14:schemeClr w14:val="tx1"/>
            </w14:solidFill>
          </w14:textFill>
        </w:rPr>
        <w:t>保温板</w:t>
      </w:r>
      <w:r>
        <w:rPr>
          <w:rFonts w:hint="eastAsia" w:ascii="宋体" w:hAnsi="宋体" w:cs="宋体"/>
          <w:color w:val="000000" w:themeColor="text1"/>
          <w:kern w:val="0"/>
          <w:szCs w:val="21"/>
          <w:highlight w:val="none"/>
          <w14:textFill>
            <w14:solidFill>
              <w14:schemeClr w14:val="tx1"/>
            </w14:solidFill>
          </w14:textFill>
        </w:rPr>
        <w:t>具体数量、交货地点详见招标公告附表</w:t>
      </w:r>
      <w:r>
        <w:rPr>
          <w:rFonts w:hint="eastAsia" w:ascii="宋体" w:hAnsi="宋体" w:cs="宋体"/>
          <w:color w:val="000000"/>
          <w:kern w:val="0"/>
          <w:szCs w:val="21"/>
          <w:highlight w:val="none"/>
        </w:rPr>
        <w:t>。</w:t>
      </w:r>
    </w:p>
    <w:p w14:paraId="070A0C2D">
      <w:pPr>
        <w:pStyle w:val="9"/>
        <w:rPr>
          <w:rFonts w:ascii="宋体" w:hAnsi="宋体"/>
          <w:color w:val="000000" w:themeColor="text1"/>
          <w:highlight w:val="none"/>
          <w14:textFill>
            <w14:solidFill>
              <w14:schemeClr w14:val="tx1"/>
            </w14:solidFill>
          </w14:textFill>
        </w:rPr>
      </w:pPr>
      <w:bookmarkStart w:id="43" w:name="_Toc27524"/>
      <w:bookmarkStart w:id="44" w:name="_Toc419383464"/>
      <w:bookmarkStart w:id="45" w:name="_Toc408135390"/>
      <w:bookmarkStart w:id="46" w:name="_Toc419384437"/>
      <w:bookmarkStart w:id="47" w:name="_Toc201848675"/>
      <w:bookmarkStart w:id="48" w:name="_Toc419384103"/>
      <w:bookmarkStart w:id="49" w:name="_Toc416332956"/>
      <w:r>
        <w:rPr>
          <w:rFonts w:hint="eastAsia" w:ascii="宋体" w:hAnsi="宋体"/>
          <w:color w:val="000000" w:themeColor="text1"/>
          <w:highlight w:val="none"/>
          <w14:textFill>
            <w14:solidFill>
              <w14:schemeClr w14:val="tx1"/>
            </w14:solidFill>
          </w14:textFill>
        </w:rPr>
        <w:t>4.投标</w:t>
      </w:r>
      <w:r>
        <w:rPr>
          <w:rFonts w:ascii="宋体" w:hAnsi="宋体"/>
          <w:color w:val="000000" w:themeColor="text1"/>
          <w:highlight w:val="none"/>
          <w14:textFill>
            <w14:solidFill>
              <w14:schemeClr w14:val="tx1"/>
            </w14:solidFill>
          </w14:textFill>
        </w:rPr>
        <w:t>人资格要求</w:t>
      </w:r>
      <w:bookmarkEnd w:id="43"/>
      <w:bookmarkEnd w:id="44"/>
      <w:bookmarkEnd w:id="45"/>
      <w:bookmarkEnd w:id="46"/>
      <w:bookmarkEnd w:id="47"/>
      <w:bookmarkEnd w:id="48"/>
      <w:bookmarkEnd w:id="49"/>
    </w:p>
    <w:p w14:paraId="2781DBC3">
      <w:pPr>
        <w:widowControl/>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bookmarkStart w:id="50" w:name="_Toc419384441"/>
      <w:bookmarkStart w:id="51" w:name="_Toc419383468"/>
      <w:bookmarkStart w:id="52" w:name="_Toc408135392"/>
      <w:bookmarkStart w:id="53" w:name="_Toc416332957"/>
      <w:bookmarkStart w:id="54" w:name="_Toc419384107"/>
      <w:r>
        <w:rPr>
          <w:rFonts w:hint="eastAsia" w:ascii="宋体" w:hAnsi="宋体" w:cs="宋体"/>
          <w:color w:val="000000" w:themeColor="text1"/>
          <w:kern w:val="0"/>
          <w:szCs w:val="21"/>
          <w:highlight w:val="none"/>
          <w14:textFill>
            <w14:solidFill>
              <w14:schemeClr w14:val="tx1"/>
            </w14:solidFill>
          </w14:textFill>
        </w:rPr>
        <w:t>4.1本次招标要求投标人须具备</w:t>
      </w:r>
    </w:p>
    <w:p w14:paraId="3BD89145">
      <w:pPr>
        <w:widowControl/>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szCs w:val="21"/>
          <w:highlight w:val="none"/>
        </w:rPr>
        <w:t>4</w:t>
      </w:r>
      <w:r>
        <w:rPr>
          <w:rFonts w:hint="eastAsia" w:ascii="宋体" w:hAnsi="宋体"/>
          <w:szCs w:val="21"/>
          <w:highlight w:val="none"/>
        </w:rPr>
        <w:t>.1.1注册资质要求：</w:t>
      </w:r>
      <w:r>
        <w:rPr>
          <w:rFonts w:ascii="宋体" w:hAnsi="宋体" w:cs="宋体"/>
          <w:color w:val="000000" w:themeColor="text1"/>
          <w:kern w:val="0"/>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在中华人民共和国境内依法经国家工商、税务机关登记注册</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3</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年以上</w:t>
      </w:r>
      <w:r>
        <w:rPr>
          <w:rFonts w:hint="eastAsia" w:ascii="宋体" w:hAnsi="宋体" w:cs="宋体"/>
          <w:color w:val="000000" w:themeColor="text1"/>
          <w:kern w:val="0"/>
          <w:szCs w:val="21"/>
          <w:highlight w:val="none"/>
          <w14:textFill>
            <w14:solidFill>
              <w14:schemeClr w14:val="tx1"/>
            </w14:solidFill>
          </w14:textFill>
        </w:rPr>
        <w:t>、具有独立法人资格、一般纳税人资格，</w:t>
      </w:r>
      <w:r>
        <w:rPr>
          <w:rFonts w:ascii="宋体" w:hAnsi="宋体" w:cs="宋体"/>
          <w:color w:val="000000" w:themeColor="text1"/>
          <w:kern w:val="0"/>
          <w:szCs w:val="21"/>
          <w:highlight w:val="none"/>
          <w14:textFill>
            <w14:solidFill>
              <w14:schemeClr w14:val="tx1"/>
            </w14:solidFill>
          </w14:textFill>
        </w:rPr>
        <w:t>具有</w:t>
      </w:r>
      <w:r>
        <w:rPr>
          <w:rFonts w:hint="eastAsia" w:ascii="宋体" w:hAnsi="宋体" w:cs="宋体"/>
          <w:color w:val="000000" w:themeColor="text1"/>
          <w:kern w:val="0"/>
          <w:szCs w:val="21"/>
          <w:highlight w:val="none"/>
          <w14:textFill>
            <w14:solidFill>
              <w14:schemeClr w14:val="tx1"/>
            </w14:solidFill>
          </w14:textFill>
        </w:rPr>
        <w:t>招标物资</w:t>
      </w:r>
      <w:r>
        <w:rPr>
          <w:rFonts w:ascii="宋体" w:hAnsi="宋体" w:cs="宋体"/>
          <w:color w:val="000000" w:themeColor="text1"/>
          <w:kern w:val="0"/>
          <w:szCs w:val="21"/>
          <w:highlight w:val="none"/>
          <w14:textFill>
            <w14:solidFill>
              <w14:schemeClr w14:val="tx1"/>
            </w14:solidFill>
          </w14:textFill>
        </w:rPr>
        <w:t>供应经验</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auto"/>
          <w:kern w:val="0"/>
          <w:szCs w:val="21"/>
          <w:highlight w:val="none"/>
        </w:rPr>
        <w:t>注册资金不低于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200</w:t>
      </w:r>
      <w:r>
        <w:rPr>
          <w:rFonts w:ascii="宋体" w:hAnsi="宋体"/>
          <w:color w:val="auto"/>
          <w:szCs w:val="21"/>
          <w:highlight w:val="none"/>
          <w:u w:val="single"/>
        </w:rPr>
        <w:t xml:space="preserve"> </w:t>
      </w:r>
      <w:r>
        <w:rPr>
          <w:rFonts w:hint="eastAsia" w:ascii="宋体" w:hAnsi="宋体" w:cs="宋体"/>
          <w:color w:val="auto"/>
          <w:kern w:val="0"/>
          <w:szCs w:val="21"/>
          <w:highlight w:val="none"/>
        </w:rPr>
        <w:t>万元</w:t>
      </w:r>
      <w:r>
        <w:rPr>
          <w:rFonts w:ascii="宋体" w:hAnsi="宋体" w:cs="宋体"/>
          <w:color w:val="auto"/>
          <w:kern w:val="0"/>
          <w:szCs w:val="21"/>
          <w:highlight w:val="none"/>
        </w:rPr>
        <w:t>。</w:t>
      </w:r>
    </w:p>
    <w:p w14:paraId="48D3D542">
      <w:pPr>
        <w:spacing w:line="440" w:lineRule="exact"/>
        <w:ind w:firstLine="420" w:firstLineChars="200"/>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.1.2质量保证能力要求：</w:t>
      </w:r>
      <w:r>
        <w:rPr>
          <w:rFonts w:ascii="宋体" w:hAnsi="宋体" w:cs="Arial"/>
          <w:highlight w:val="none"/>
          <w:shd w:val="clear" w:color="auto" w:fill="FFFFFF"/>
        </w:rPr>
        <w:t>产品</w:t>
      </w:r>
      <w:r>
        <w:rPr>
          <w:rFonts w:hint="eastAsia" w:ascii="宋体" w:hAnsi="宋体"/>
          <w:color w:val="000000" w:themeColor="text1"/>
          <w:szCs w:val="21"/>
          <w:highlight w:val="none"/>
          <w14:textFill>
            <w14:solidFill>
              <w14:schemeClr w14:val="tx1"/>
            </w14:solidFill>
          </w14:textFill>
        </w:rPr>
        <w:t>质量</w:t>
      </w:r>
      <w:r>
        <w:rPr>
          <w:rFonts w:ascii="宋体" w:hAnsi="宋体"/>
          <w:color w:val="000000" w:themeColor="text1"/>
          <w:szCs w:val="21"/>
          <w:highlight w:val="none"/>
          <w14:textFill>
            <w14:solidFill>
              <w14:schemeClr w14:val="tx1"/>
            </w14:solidFill>
          </w14:textFill>
        </w:rPr>
        <w:t>应满足</w:t>
      </w:r>
      <w:r>
        <w:rPr>
          <w:rFonts w:hint="eastAsia" w:ascii="宋体" w:hAnsi="宋体"/>
          <w:color w:val="000000" w:themeColor="text1"/>
          <w:szCs w:val="21"/>
          <w:highlight w:val="none"/>
          <w14:textFill>
            <w14:solidFill>
              <w14:schemeClr w14:val="tx1"/>
            </w14:solidFill>
          </w14:textFill>
        </w:rPr>
        <w:t>第五章技术规格书</w:t>
      </w:r>
      <w:r>
        <w:rPr>
          <w:rFonts w:ascii="宋体" w:hAnsi="宋体"/>
          <w:color w:val="000000" w:themeColor="text1"/>
          <w:szCs w:val="21"/>
          <w:highlight w:val="none"/>
          <w14:textFill>
            <w14:solidFill>
              <w14:schemeClr w14:val="tx1"/>
            </w14:solidFill>
          </w14:textFill>
        </w:rPr>
        <w:t>的相关规范、标准</w:t>
      </w:r>
      <w:r>
        <w:rPr>
          <w:rFonts w:hint="eastAsia"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lang w:val="en-US" w:eastAsia="zh-CN"/>
          <w14:textFill>
            <w14:solidFill>
              <w14:schemeClr w14:val="tx1"/>
            </w14:solidFill>
          </w14:textFill>
        </w:rPr>
        <w:t>且样品验收合格</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 </w:t>
      </w:r>
      <w:r>
        <w:rPr>
          <w:rFonts w:ascii="宋体" w:hAnsi="宋体"/>
          <w:szCs w:val="21"/>
          <w:highlight w:val="none"/>
        </w:rPr>
        <w:t xml:space="preserve">   </w:t>
      </w:r>
    </w:p>
    <w:p w14:paraId="5C2695AD">
      <w:pPr>
        <w:widowControl/>
        <w:spacing w:line="440" w:lineRule="exact"/>
        <w:ind w:firstLine="420" w:firstLineChars="200"/>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.1.</w:t>
      </w:r>
      <w:r>
        <w:rPr>
          <w:rFonts w:ascii="宋体" w:hAnsi="宋体"/>
          <w:szCs w:val="21"/>
          <w:highlight w:val="none"/>
        </w:rPr>
        <w:t>3</w:t>
      </w:r>
      <w:r>
        <w:rPr>
          <w:rFonts w:hint="eastAsia" w:ascii="宋体" w:hAnsi="宋体"/>
          <w:szCs w:val="21"/>
          <w:highlight w:val="none"/>
        </w:rPr>
        <w:t>供货业绩要求：</w:t>
      </w:r>
      <w:bookmarkStart w:id="55" w:name="OLE_LINK26"/>
      <w:bookmarkStart w:id="56" w:name="OLE_LINK25"/>
      <w:bookmarkStart w:id="57" w:name="OLE_LINK14"/>
      <w:r>
        <w:rPr>
          <w:rFonts w:hint="eastAsia" w:ascii="宋体" w:hAnsi="宋体"/>
          <w:szCs w:val="21"/>
          <w:highlight w:val="none"/>
        </w:rPr>
        <w:t>提供 2022年1</w:t>
      </w:r>
      <w:r>
        <w:rPr>
          <w:rFonts w:hint="eastAsia" w:ascii="宋体" w:hAnsi="宋体"/>
          <w:szCs w:val="21"/>
          <w:highlight w:val="none"/>
          <w:lang w:val="en-US" w:eastAsia="zh-CN"/>
        </w:rPr>
        <w:t>0</w:t>
      </w:r>
      <w:r>
        <w:rPr>
          <w:rFonts w:hint="eastAsia" w:ascii="宋体" w:hAnsi="宋体"/>
          <w:szCs w:val="21"/>
          <w:highlight w:val="none"/>
        </w:rPr>
        <w:t>月1日至投标截止之日已完成、正在履行或新承接的包含本次同类标的供货的合同（不限份数），时间以合同的签订日期为准，优先提供与央国企合作的业绩。</w:t>
      </w:r>
    </w:p>
    <w:p w14:paraId="608FF713">
      <w:pPr>
        <w:spacing w:line="440" w:lineRule="exact"/>
        <w:ind w:firstLine="420" w:firstLineChars="200"/>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 xml:space="preserve">.1.4 </w:t>
      </w:r>
      <w:bookmarkEnd w:id="55"/>
      <w:bookmarkEnd w:id="56"/>
      <w:bookmarkEnd w:id="57"/>
      <w:r>
        <w:rPr>
          <w:rFonts w:hint="eastAsia" w:ascii="宋体" w:hAnsi="宋体"/>
          <w:szCs w:val="21"/>
          <w:highlight w:val="none"/>
        </w:rPr>
        <w:t xml:space="preserve">财务要求：具有良好的资金财务状况，提供2024年的财务报表（含资产负债表、现金流量表、利润表/损益表），财务报表由投标人编制或经会计事务所或审计机构出具均可。 </w:t>
      </w:r>
    </w:p>
    <w:p w14:paraId="691BDF96">
      <w:pPr>
        <w:widowControl/>
        <w:spacing w:line="440" w:lineRule="exact"/>
        <w:ind w:firstLine="420" w:firstLineChars="200"/>
        <w:jc w:val="left"/>
        <w:rPr>
          <w:rFonts w:ascii="宋体" w:hAnsi="宋体"/>
          <w:highlight w:val="none"/>
        </w:rPr>
      </w:pPr>
      <w:r>
        <w:rPr>
          <w:rFonts w:hint="eastAsia" w:ascii="宋体" w:hAnsi="宋体"/>
          <w:highlight w:val="none"/>
        </w:rPr>
        <w:t>4.</w:t>
      </w:r>
      <w:r>
        <w:rPr>
          <w:rFonts w:ascii="宋体" w:hAnsi="宋体"/>
          <w:highlight w:val="none"/>
        </w:rPr>
        <w:t>1.5</w:t>
      </w:r>
      <w:r>
        <w:rPr>
          <w:rFonts w:hint="eastAsia" w:ascii="宋体" w:hAnsi="宋体"/>
          <w:highlight w:val="none"/>
        </w:rPr>
        <w:t>履约信用要求：投标人不得存在下列情形之一：</w:t>
      </w:r>
    </w:p>
    <w:p w14:paraId="6B9F970A">
      <w:pPr>
        <w:spacing w:line="440" w:lineRule="exact"/>
        <w:ind w:firstLine="420" w:firstLineChars="200"/>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）在近三年内发生重大产品安全质量问题。</w:t>
      </w:r>
    </w:p>
    <w:p w14:paraId="0D95C939">
      <w:pPr>
        <w:spacing w:line="440" w:lineRule="exact"/>
        <w:ind w:firstLine="420" w:firstLineChars="200"/>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被最高人民法院在“信用中国”网站（www.creditchina.gov.cn）、中国执行信息公开网等各级信用信息共享平台中列入失信被执行人名单；国家企业信用信息公示系统（http://www.gsxt.gov.cn/）公示为“列入严重违法失信企业名单（黑名单）信息”且处于处罚期的供应商；国家企业信用信息公示系统（http://www.gsxt.gov.cn/）公示为“列入经营异常名录信息” 且处于处罚期的供应商。</w:t>
      </w:r>
    </w:p>
    <w:p w14:paraId="6FD18753">
      <w:pPr>
        <w:spacing w:line="440" w:lineRule="exact"/>
        <w:ind w:firstLine="420" w:firstLineChars="200"/>
        <w:rPr>
          <w:rFonts w:ascii="宋体" w:hAnsi="宋体"/>
          <w:highlight w:val="none"/>
        </w:rPr>
      </w:pPr>
      <w:r>
        <w:rPr>
          <w:rFonts w:hint="eastAsia" w:ascii="宋体" w:hAnsi="宋体"/>
          <w:highlight w:val="none"/>
        </w:rPr>
        <w:t>（3）纳税信用等级信息系统‘纳税信用等级为 C、D 级’的供应商。</w:t>
      </w:r>
    </w:p>
    <w:p w14:paraId="46554881">
      <w:pPr>
        <w:spacing w:line="440" w:lineRule="exact"/>
        <w:ind w:firstLine="420" w:firstLineChars="200"/>
        <w:rPr>
          <w:rFonts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）在近三年内投标人有行贿犯罪行为的。</w:t>
      </w:r>
    </w:p>
    <w:p w14:paraId="50CB4A90">
      <w:pPr>
        <w:spacing w:line="440" w:lineRule="exact"/>
        <w:ind w:firstLine="420" w:firstLineChars="200"/>
        <w:rPr>
          <w:rFonts w:ascii="宋体" w:hAns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）法律法规规定的其他情形。</w:t>
      </w:r>
    </w:p>
    <w:p w14:paraId="1153C408">
      <w:pPr>
        <w:spacing w:line="440" w:lineRule="exact"/>
        <w:ind w:firstLine="420" w:firstLineChars="200"/>
        <w:rPr>
          <w:rFonts w:hint="eastAsia" w:ascii="宋体" w:hAnsi="宋体"/>
          <w:highlight w:val="none"/>
          <w:lang w:eastAsia="zh-CN"/>
        </w:rPr>
      </w:pPr>
      <w:r>
        <w:rPr>
          <w:rFonts w:hint="eastAsia" w:ascii="宋体" w:hAnsi="宋体"/>
          <w:highlight w:val="none"/>
        </w:rPr>
        <w:t>（6）近三年被中国中铁股份有限公司、中铁建工集团有限公司、中铁建工集团有限公司华北分公司以各种形式披露存在不良行为记录，被限制交易在有效期内的</w:t>
      </w:r>
      <w:r>
        <w:rPr>
          <w:rFonts w:hint="eastAsia" w:ascii="宋体" w:hAnsi="宋体"/>
          <w:highlight w:val="none"/>
          <w:lang w:eastAsia="zh-CN"/>
        </w:rPr>
        <w:t>。</w:t>
      </w:r>
    </w:p>
    <w:p w14:paraId="566AD1C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 本</w:t>
      </w:r>
      <w:r>
        <w:rPr>
          <w:rFonts w:hint="eastAsia" w:ascii="宋体" w:hAnsi="宋体"/>
          <w:color w:val="000000" w:themeColor="text1"/>
          <w:szCs w:val="21"/>
          <w:highlight w:val="none"/>
          <w14:textFill>
            <w14:solidFill>
              <w14:schemeClr w14:val="tx1"/>
            </w14:solidFill>
          </w14:textFill>
        </w:rPr>
        <w:t>次招标</w:t>
      </w:r>
      <w:r>
        <w:rPr>
          <w:rFonts w:hint="eastAsia" w:ascii="宋体" w:hAnsi="宋体"/>
          <w:color w:val="000000" w:themeColor="text1"/>
          <w:szCs w:val="21"/>
          <w:highlight w:val="none"/>
          <w:u w:val="single"/>
          <w14:textFill>
            <w14:solidFill>
              <w14:schemeClr w14:val="tx1"/>
            </w14:solidFill>
          </w14:textFill>
        </w:rPr>
        <w:t>不接受</w:t>
      </w:r>
      <w:r>
        <w:rPr>
          <w:rFonts w:ascii="宋体" w:hAnsi="宋体"/>
          <w:color w:val="000000" w:themeColor="text1"/>
          <w:szCs w:val="21"/>
          <w:highlight w:val="none"/>
          <w14:textFill>
            <w14:solidFill>
              <w14:schemeClr w14:val="tx1"/>
            </w14:solidFill>
          </w14:textFill>
        </w:rPr>
        <w:t>联合体投标。</w:t>
      </w:r>
    </w:p>
    <w:p w14:paraId="47408263">
      <w:pPr>
        <w:spacing w:line="440" w:lineRule="exact"/>
        <w:ind w:firstLine="420" w:firstLineChars="200"/>
        <w:jc w:val="left"/>
        <w:rPr>
          <w:rFonts w:ascii="宋体" w:hAnsi="宋体"/>
          <w:b/>
          <w:szCs w:val="21"/>
          <w:highlight w:val="none"/>
        </w:rPr>
      </w:pPr>
      <w:r>
        <w:rPr>
          <w:rFonts w:ascii="宋体" w:hAnsi="宋体"/>
          <w:b/>
          <w:szCs w:val="21"/>
          <w:highlight w:val="none"/>
        </w:rPr>
        <w:t>4.3</w:t>
      </w:r>
      <w:r>
        <w:rPr>
          <w:rFonts w:hint="eastAsia" w:ascii="宋体" w:hAnsi="宋体"/>
          <w:b/>
          <w:szCs w:val="21"/>
          <w:highlight w:val="none"/>
        </w:rPr>
        <w:t>本次采购对投标人的资格审查采取资格后审方式。采购人有权在开、评标后组织实地考察，如发现投标人提供的供应能力、业绩、产品质量等资料与实地考察结果不一致，采购人有权根据考察报告予以否决投标人。</w:t>
      </w:r>
    </w:p>
    <w:p w14:paraId="5AFDE23B">
      <w:pPr>
        <w:pStyle w:val="9"/>
        <w:rPr>
          <w:rFonts w:ascii="宋体" w:hAnsi="宋体"/>
          <w:color w:val="000000" w:themeColor="text1"/>
          <w:highlight w:val="none"/>
          <w14:textFill>
            <w14:solidFill>
              <w14:schemeClr w14:val="tx1"/>
            </w14:solidFill>
          </w14:textFill>
        </w:rPr>
      </w:pPr>
      <w:bookmarkStart w:id="58" w:name="_Toc10297"/>
      <w:bookmarkStart w:id="59" w:name="_Toc201848676"/>
      <w:r>
        <w:rPr>
          <w:rFonts w:hint="eastAsia" w:ascii="宋体" w:hAnsi="宋体"/>
          <w:color w:val="000000" w:themeColor="text1"/>
          <w:highlight w:val="none"/>
          <w14:textFill>
            <w14:solidFill>
              <w14:schemeClr w14:val="tx1"/>
            </w14:solidFill>
          </w14:textFill>
        </w:rPr>
        <w:t>5.招标</w:t>
      </w:r>
      <w:r>
        <w:rPr>
          <w:rFonts w:ascii="宋体" w:hAnsi="宋体"/>
          <w:color w:val="000000" w:themeColor="text1"/>
          <w:highlight w:val="none"/>
          <w14:textFill>
            <w14:solidFill>
              <w14:schemeClr w14:val="tx1"/>
            </w14:solidFill>
          </w14:textFill>
        </w:rPr>
        <w:t>文件的获取</w:t>
      </w:r>
      <w:bookmarkEnd w:id="50"/>
      <w:bookmarkEnd w:id="51"/>
      <w:bookmarkEnd w:id="52"/>
      <w:bookmarkEnd w:id="53"/>
      <w:bookmarkEnd w:id="54"/>
      <w:bookmarkEnd w:id="58"/>
      <w:bookmarkEnd w:id="59"/>
    </w:p>
    <w:p w14:paraId="58DCDAB5">
      <w:pPr>
        <w:spacing w:line="440" w:lineRule="exact"/>
        <w:ind w:firstLine="420" w:firstLineChars="200"/>
        <w:rPr>
          <w:rFonts w:ascii="宋体" w:hAnsi="宋体"/>
          <w:color w:val="000000" w:themeColor="text1"/>
          <w:szCs w:val="21"/>
          <w:highlight w:val="none"/>
          <w14:textFill>
            <w14:solidFill>
              <w14:schemeClr w14:val="tx1"/>
            </w14:solidFill>
          </w14:textFill>
        </w:rPr>
      </w:pPr>
      <w:bookmarkStart w:id="60" w:name="_Toc408135393"/>
      <w:bookmarkStart w:id="61" w:name="_Toc419384447"/>
      <w:bookmarkStart w:id="62" w:name="_Toc419384113"/>
      <w:bookmarkStart w:id="63" w:name="_Toc419383474"/>
      <w:bookmarkStart w:id="64" w:name="_Toc416332958"/>
      <w:r>
        <w:rPr>
          <w:rFonts w:hint="eastAsia" w:ascii="宋体" w:hAnsi="宋体" w:cs="宋体"/>
          <w:color w:val="000000" w:themeColor="text1"/>
          <w:kern w:val="0"/>
          <w:szCs w:val="21"/>
          <w:highlight w:val="none"/>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人须登陆中国中铁采购电子商务平台（www.crecgec.com或www.lubanec.com）进行供应商注册，注册通过的供应商按中国中铁采购电子商务系统二期操作流程获取招标文件。操作流程说明：潜在投标人应在“中铁鲁班商务网-中国中铁采购电子商务平台”（www.crecgec.com）上注册认证并购买服务后才能下载招标文件（注册客服热线400-601-0100）。经认证后，潜在投标人须登录网站→企业→“供方交易系统（二期）”→点击“采购交易”→在“最新公告”列表里搜索招标项目→点击“响应”按钮→填写“联系人、联系方式”，并点击“确定”。供应商在线投标简易操作指南获取：网站首页→鲁班网校→“290在线投标操作（二期）”。</w:t>
      </w:r>
    </w:p>
    <w:p w14:paraId="203DB67A">
      <w:pPr>
        <w:widowControl/>
        <w:shd w:val="clear" w:color="auto" w:fill="FFFFFF"/>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5.2 参与招标的</w:t>
      </w:r>
      <w:r>
        <w:rPr>
          <w:rFonts w:hint="eastAsia" w:ascii="宋体" w:hAnsi="宋体"/>
          <w:color w:val="000000" w:themeColor="text1"/>
          <w:szCs w:val="21"/>
          <w:highlight w:val="none"/>
          <w14:textFill>
            <w14:solidFill>
              <w14:schemeClr w14:val="tx1"/>
            </w14:solidFill>
          </w14:textFill>
        </w:rPr>
        <w:t>潜在投标人：请于</w:t>
      </w:r>
      <w:r>
        <w:rPr>
          <w:rFonts w:hint="eastAsia" w:ascii="宋体" w:hAnsi="宋体"/>
          <w:color w:val="000000" w:themeColor="text1"/>
          <w:szCs w:val="21"/>
          <w:highlight w:val="none"/>
          <w:u w:val="single"/>
          <w:lang w:val="en-US" w:eastAsia="zh-CN"/>
          <w14:textFill>
            <w14:solidFill>
              <w14:schemeClr w14:val="tx1"/>
            </w14:solidFill>
          </w14:textFill>
        </w:rPr>
        <w:t>2025</w:t>
      </w:r>
      <w:r>
        <w:rPr>
          <w:rFonts w:hint="eastAsia" w:ascii="宋体" w:hAnsi="宋体"/>
          <w:color w:val="000000" w:themeColor="text1"/>
          <w:szCs w:val="21"/>
          <w:highlight w:val="none"/>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11</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05</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2025</w:t>
      </w:r>
      <w:r>
        <w:rPr>
          <w:rFonts w:hint="eastAsia" w:ascii="宋体" w:hAnsi="宋体"/>
          <w:color w:val="000000" w:themeColor="text1"/>
          <w:szCs w:val="21"/>
          <w:highlight w:val="none"/>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11</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10</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根据所投包件在中国中铁电子商务平台进行响应（具体响应操作指导见网上《供应商在线投标简易操作指南（新门户版）》），</w:t>
      </w:r>
      <w:r>
        <w:rPr>
          <w:rFonts w:hint="eastAsia" w:ascii="宋体" w:hAnsi="宋体"/>
          <w:color w:val="000000"/>
          <w:szCs w:val="21"/>
          <w:highlight w:val="none"/>
        </w:rPr>
        <w:t>响应后</w:t>
      </w:r>
      <w:r>
        <w:rPr>
          <w:rFonts w:hint="eastAsia" w:ascii="宋体" w:hAnsi="宋体"/>
          <w:color w:val="000000" w:themeColor="text1"/>
          <w:szCs w:val="21"/>
          <w:highlight w:val="none"/>
          <w14:textFill>
            <w14:solidFill>
              <w14:schemeClr w14:val="tx1"/>
            </w14:solidFill>
          </w14:textFill>
        </w:rPr>
        <w:t>潜在投标人才可以从中国中铁采购电子商务平台（www.lubanec.com）下载电子版招标文件。</w:t>
      </w:r>
    </w:p>
    <w:p w14:paraId="5493CA48">
      <w:pPr>
        <w:widowControl/>
        <w:shd w:val="clear" w:color="auto" w:fill="FFFFFF"/>
        <w:spacing w:line="440" w:lineRule="exact"/>
        <w:ind w:firstLine="420" w:firstLineChars="200"/>
        <w:jc w:val="left"/>
        <w:rPr>
          <w:rFonts w:ascii="宋体" w:hAnsi="宋体"/>
          <w:b/>
          <w:szCs w:val="21"/>
          <w:highlight w:val="none"/>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.3 </w:t>
      </w:r>
      <w:r>
        <w:rPr>
          <w:rFonts w:hint="eastAsia" w:ascii="宋体" w:hAnsi="宋体"/>
          <w:b/>
          <w:szCs w:val="21"/>
          <w:highlight w:val="none"/>
        </w:rPr>
        <w:t>潜在投标人请于上述招标采购文件响应时间内完成响应和下载电子版招标采购文件，如投标人未及时完成相关操作导致无法参与投标的，投标人自行承担后果。</w:t>
      </w:r>
      <w:bookmarkStart w:id="65" w:name="_Toc22533"/>
      <w:bookmarkStart w:id="66" w:name="_Toc201848677"/>
      <w:r>
        <w:rPr>
          <w:rFonts w:hint="eastAsia" w:ascii="宋体" w:hAnsi="宋体"/>
          <w:b/>
          <w:szCs w:val="21"/>
          <w:highlight w:val="none"/>
        </w:rPr>
        <w:t>投标人确保中国中铁采购电子商务平台至少有一个实质记录的招标文件下载I</w:t>
      </w:r>
      <w:r>
        <w:rPr>
          <w:rFonts w:ascii="宋体" w:hAnsi="宋体"/>
          <w:b/>
          <w:szCs w:val="21"/>
          <w:highlight w:val="none"/>
        </w:rPr>
        <w:t>P</w:t>
      </w:r>
      <w:r>
        <w:rPr>
          <w:rFonts w:hint="eastAsia" w:ascii="宋体" w:hAnsi="宋体"/>
          <w:b/>
          <w:szCs w:val="21"/>
          <w:highlight w:val="none"/>
        </w:rPr>
        <w:t>，如招标人未查询到任一投标人的招标文件下载I</w:t>
      </w:r>
      <w:r>
        <w:rPr>
          <w:rFonts w:ascii="宋体" w:hAnsi="宋体"/>
          <w:b/>
          <w:szCs w:val="21"/>
          <w:highlight w:val="none"/>
        </w:rPr>
        <w:t>P</w:t>
      </w:r>
      <w:r>
        <w:rPr>
          <w:rFonts w:hint="eastAsia" w:ascii="宋体" w:hAnsi="宋体"/>
          <w:b/>
          <w:szCs w:val="21"/>
          <w:highlight w:val="none"/>
        </w:rPr>
        <w:t>，视为无效投标。</w:t>
      </w:r>
    </w:p>
    <w:p w14:paraId="23344EDC">
      <w:pPr>
        <w:pStyle w:val="9"/>
        <w:rPr>
          <w:rFonts w:ascii="宋体" w:hAnsi="宋体"/>
          <w:color w:val="000000" w:themeColor="text1"/>
          <w:highlight w:val="none"/>
          <w14:textFill>
            <w14:solidFill>
              <w14:schemeClr w14:val="tx1"/>
            </w14:solidFill>
          </w14:textFill>
        </w:rPr>
      </w:pPr>
      <w:bookmarkStart w:id="67" w:name="_Toc14791"/>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投标保证金</w:t>
      </w:r>
      <w:bookmarkEnd w:id="65"/>
      <w:r>
        <w:rPr>
          <w:rFonts w:hint="eastAsia" w:ascii="宋体" w:hAnsi="宋体"/>
          <w:color w:val="000000" w:themeColor="text1"/>
          <w:highlight w:val="none"/>
          <w14:textFill>
            <w14:solidFill>
              <w14:schemeClr w14:val="tx1"/>
            </w14:solidFill>
          </w14:textFill>
        </w:rPr>
        <w:t>/投标保函</w:t>
      </w:r>
      <w:bookmarkEnd w:id="66"/>
      <w:bookmarkEnd w:id="67"/>
    </w:p>
    <w:p w14:paraId="28C21D46">
      <w:pPr>
        <w:spacing w:line="440" w:lineRule="exact"/>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.1 本次招标要求递交的投标保证金金额见本招标公告附表，递交时间应</w:t>
      </w:r>
      <w:r>
        <w:rPr>
          <w:rFonts w:hint="eastAsia" w:ascii="宋体" w:hAnsi="宋体"/>
          <w:b/>
          <w:color w:val="000000" w:themeColor="text1"/>
          <w:highlight w:val="none"/>
          <w14:textFill>
            <w14:solidFill>
              <w14:schemeClr w14:val="tx1"/>
            </w14:solidFill>
          </w14:textFill>
        </w:rPr>
        <w:t>在投标截止时间前</w:t>
      </w:r>
      <w:r>
        <w:rPr>
          <w:rFonts w:hint="eastAsia" w:ascii="宋体" w:hAnsi="宋体"/>
          <w:color w:val="000000" w:themeColor="text1"/>
          <w:highlight w:val="none"/>
          <w14:textFill>
            <w14:solidFill>
              <w14:schemeClr w14:val="tx1"/>
            </w14:solidFill>
          </w14:textFill>
        </w:rPr>
        <w:t>，递交形式包括</w:t>
      </w:r>
      <w:r>
        <w:rPr>
          <w:rFonts w:hint="eastAsia" w:ascii="宋体" w:hAnsi="宋体"/>
          <w:b/>
          <w:color w:val="000000" w:themeColor="text1"/>
          <w:highlight w:val="none"/>
          <w14:textFill>
            <w14:solidFill>
              <w14:schemeClr w14:val="tx1"/>
            </w14:solidFill>
          </w14:textFill>
        </w:rPr>
        <w:t>银行转账、银行电汇、投标保函或投标保单任一形式</w:t>
      </w:r>
      <w:r>
        <w:rPr>
          <w:rFonts w:hint="eastAsia" w:ascii="宋体" w:hAnsi="宋体"/>
          <w:color w:val="000000" w:themeColor="text1"/>
          <w:highlight w:val="none"/>
          <w14:textFill>
            <w14:solidFill>
              <w14:schemeClr w14:val="tx1"/>
            </w14:solidFill>
          </w14:textFill>
        </w:rPr>
        <w:t>，其他要求见招标文件第二章“投标人须知”第3</w:t>
      </w: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款。</w:t>
      </w:r>
    </w:p>
    <w:p w14:paraId="39E9C79E">
      <w:pPr>
        <w:spacing w:line="440" w:lineRule="exact"/>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6.2</w:t>
      </w:r>
      <w:r>
        <w:rPr>
          <w:rFonts w:hint="eastAsia" w:ascii="宋体" w:hAnsi="宋体"/>
          <w:color w:val="000000" w:themeColor="text1"/>
          <w:highlight w:val="none"/>
          <w14:textFill>
            <w14:solidFill>
              <w14:schemeClr w14:val="tx1"/>
            </w14:solidFill>
          </w14:textFill>
        </w:rPr>
        <w:t xml:space="preserve"> 投标人需</w:t>
      </w:r>
      <w:r>
        <w:rPr>
          <w:rFonts w:hint="eastAsia" w:ascii="宋体" w:hAnsi="宋体"/>
          <w:b/>
          <w:color w:val="000000" w:themeColor="text1"/>
          <w:highlight w:val="none"/>
          <w14:textFill>
            <w14:solidFill>
              <w14:schemeClr w14:val="tx1"/>
            </w14:solidFill>
          </w14:textFill>
        </w:rPr>
        <w:t>在投标截止时间前</w:t>
      </w:r>
      <w:r>
        <w:rPr>
          <w:rFonts w:hint="eastAsia" w:ascii="宋体" w:hAnsi="宋体"/>
          <w:color w:val="000000" w:themeColor="text1"/>
          <w:highlight w:val="none"/>
          <w14:textFill>
            <w14:solidFill>
              <w14:schemeClr w14:val="tx1"/>
            </w14:solidFill>
          </w14:textFill>
        </w:rPr>
        <w:t>将</w:t>
      </w:r>
      <w:r>
        <w:rPr>
          <w:rFonts w:hint="eastAsia" w:ascii="宋体" w:hAnsi="宋体"/>
          <w:b/>
          <w:color w:val="000000" w:themeColor="text1"/>
          <w:highlight w:val="none"/>
          <w14:textFill>
            <w14:solidFill>
              <w14:schemeClr w14:val="tx1"/>
            </w14:solidFill>
          </w14:textFill>
        </w:rPr>
        <w:t>银行转账回单</w:t>
      </w:r>
      <w:r>
        <w:rPr>
          <w:rFonts w:ascii="宋体" w:hAnsi="宋体"/>
          <w:b/>
          <w:color w:val="000000" w:themeColor="text1"/>
          <w:highlight w:val="none"/>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银行电汇回单/</w:t>
      </w:r>
      <w:r>
        <w:rPr>
          <w:rFonts w:ascii="宋体" w:hAnsi="宋体"/>
          <w:b/>
          <w:color w:val="000000" w:themeColor="text1"/>
          <w:highlight w:val="none"/>
          <w14:textFill>
            <w14:solidFill>
              <w14:schemeClr w14:val="tx1"/>
            </w14:solidFill>
          </w14:textFill>
        </w:rPr>
        <w:t>投标保函/投标保单的扫描件（根据递交形式任一扫描件）</w:t>
      </w:r>
      <w:r>
        <w:rPr>
          <w:rFonts w:hint="eastAsia" w:ascii="宋体" w:hAnsi="宋体"/>
          <w:color w:val="000000" w:themeColor="text1"/>
          <w:highlight w:val="none"/>
          <w14:textFill>
            <w14:solidFill>
              <w14:schemeClr w14:val="tx1"/>
            </w14:solidFill>
          </w14:textFill>
        </w:rPr>
        <w:t>发送至指定邮箱：</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2464412944@qq.com </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14:paraId="589BD349">
      <w:pPr>
        <w:spacing w:line="440" w:lineRule="exact"/>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6.3</w:t>
      </w:r>
      <w:r>
        <w:rPr>
          <w:rFonts w:hint="eastAsia" w:ascii="宋体" w:hAnsi="宋体"/>
          <w:color w:val="000000" w:themeColor="text1"/>
          <w:highlight w:val="none"/>
          <w14:textFill>
            <w14:solidFill>
              <w14:schemeClr w14:val="tx1"/>
            </w14:solidFill>
          </w14:textFill>
        </w:rPr>
        <w:t>如以</w:t>
      </w:r>
      <w:r>
        <w:rPr>
          <w:rFonts w:hint="eastAsia" w:ascii="宋体" w:hAnsi="宋体"/>
          <w:b/>
          <w:color w:val="C00000"/>
          <w:highlight w:val="none"/>
        </w:rPr>
        <w:t>银行转账、银行电汇</w:t>
      </w:r>
      <w:r>
        <w:rPr>
          <w:rFonts w:hint="eastAsia" w:ascii="宋体" w:hAnsi="宋体"/>
          <w:color w:val="000000" w:themeColor="text1"/>
          <w:highlight w:val="none"/>
          <w14:textFill>
            <w14:solidFill>
              <w14:schemeClr w14:val="tx1"/>
            </w14:solidFill>
          </w14:textFill>
        </w:rPr>
        <w:t>形式递交投标保证金的，</w:t>
      </w:r>
      <w:r>
        <w:rPr>
          <w:rFonts w:hint="eastAsia" w:ascii="宋体" w:hAnsi="宋体"/>
          <w:b/>
          <w:color w:val="C00000"/>
          <w:highlight w:val="none"/>
        </w:rPr>
        <w:t>应从投标人的基本账户转出</w:t>
      </w:r>
      <w:r>
        <w:rPr>
          <w:rFonts w:hint="eastAsia" w:ascii="宋体" w:hAnsi="宋体"/>
          <w:color w:val="000000" w:themeColor="text1"/>
          <w:highlight w:val="none"/>
          <w14:textFill>
            <w14:solidFill>
              <w14:schemeClr w14:val="tx1"/>
            </w14:solidFill>
          </w14:textFill>
        </w:rPr>
        <w:t>，并足额递交至下方指定银行账户，否则视为未按规定提交投标保证金。</w:t>
      </w:r>
    </w:p>
    <w:p w14:paraId="6D057E05">
      <w:pPr>
        <w:spacing w:line="440" w:lineRule="exact"/>
        <w:ind w:firstLine="420"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（1）收款单位：</w:t>
      </w:r>
      <w:r>
        <w:rPr>
          <w:rFonts w:hint="eastAsia" w:ascii="宋体" w:hAnsi="宋体"/>
          <w:b/>
          <w:color w:val="000000" w:themeColor="text1"/>
          <w:highlight w:val="none"/>
          <w:lang w:val="en-US" w:eastAsia="zh-CN"/>
          <w14:textFill>
            <w14:solidFill>
              <w14:schemeClr w14:val="tx1"/>
            </w14:solidFill>
          </w14:textFill>
        </w:rPr>
        <w:t>中铁建工集团有限公司大城县教育园区基础设施建设项目经理部</w:t>
      </w:r>
      <w:r>
        <w:rPr>
          <w:rFonts w:hint="eastAsia" w:ascii="宋体" w:hAnsi="宋体"/>
          <w:b/>
          <w:color w:val="000000" w:themeColor="text1"/>
          <w:highlight w:val="none"/>
          <w14:textFill>
            <w14:solidFill>
              <w14:schemeClr w14:val="tx1"/>
            </w14:solidFill>
          </w14:textFill>
        </w:rPr>
        <w:t xml:space="preserve"> </w:t>
      </w:r>
    </w:p>
    <w:p w14:paraId="06C0723E">
      <w:pPr>
        <w:spacing w:line="440" w:lineRule="exact"/>
        <w:ind w:firstLine="420"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 xml:space="preserve">（2）开户银行：中国农业银行股份有限公司总行营业部（非转汇行） </w:t>
      </w:r>
    </w:p>
    <w:p w14:paraId="1FEB61B5">
      <w:pPr>
        <w:spacing w:line="440" w:lineRule="exact"/>
        <w:ind w:firstLine="420"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（3）账号：20110101934001890001</w:t>
      </w:r>
    </w:p>
    <w:p w14:paraId="04CC50DF">
      <w:pPr>
        <w:spacing w:line="440" w:lineRule="exact"/>
        <w:ind w:firstLine="420"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（4）转账时注明：华北分公司</w:t>
      </w:r>
      <w:r>
        <w:rPr>
          <w:rFonts w:hint="eastAsia" w:ascii="宋体" w:hAnsi="宋体"/>
          <w:b/>
          <w:color w:val="000000" w:themeColor="text1"/>
          <w:highlight w:val="none"/>
          <w:lang w:val="en-US" w:eastAsia="zh-CN"/>
          <w14:textFill>
            <w14:solidFill>
              <w14:schemeClr w14:val="tx1"/>
            </w14:solidFill>
          </w14:textFill>
        </w:rPr>
        <w:t>老旧小区改造昌平</w:t>
      </w:r>
      <w:r>
        <w:rPr>
          <w:rFonts w:hint="eastAsia" w:ascii="宋体" w:hAnsi="宋体"/>
          <w:b/>
          <w:color w:val="000000" w:themeColor="text1"/>
          <w:highlight w:val="none"/>
          <w14:textFill>
            <w14:solidFill>
              <w14:schemeClr w14:val="tx1"/>
            </w14:solidFill>
          </w14:textFill>
        </w:rPr>
        <w:t>项目</w:t>
      </w:r>
      <w:r>
        <w:rPr>
          <w:rFonts w:hint="eastAsia" w:ascii="宋体" w:hAnsi="宋体"/>
          <w:b/>
          <w:color w:val="000000" w:themeColor="text1"/>
          <w:highlight w:val="none"/>
          <w:lang w:val="en-US" w:eastAsia="zh-CN"/>
          <w14:textFill>
            <w14:solidFill>
              <w14:schemeClr w14:val="tx1"/>
            </w14:solidFill>
          </w14:textFill>
        </w:rPr>
        <w:t>保温板</w:t>
      </w:r>
      <w:r>
        <w:rPr>
          <w:rFonts w:hint="eastAsia" w:ascii="宋体" w:hAnsi="宋体"/>
          <w:b/>
          <w:highlight w:val="none"/>
        </w:rPr>
        <w:t>投标保证金</w:t>
      </w:r>
    </w:p>
    <w:p w14:paraId="76D8066A">
      <w:pPr>
        <w:pStyle w:val="9"/>
        <w:rPr>
          <w:rFonts w:ascii="宋体" w:hAnsi="宋体"/>
          <w:color w:val="000000" w:themeColor="text1"/>
          <w:highlight w:val="none"/>
          <w14:textFill>
            <w14:solidFill>
              <w14:schemeClr w14:val="tx1"/>
            </w14:solidFill>
          </w14:textFill>
        </w:rPr>
      </w:pPr>
      <w:bookmarkStart w:id="68" w:name="_Toc201848678"/>
      <w:bookmarkStart w:id="69" w:name="_Toc18759"/>
      <w:r>
        <w:rPr>
          <w:rFonts w:ascii="宋体" w:hAnsi="宋体"/>
          <w:color w:val="000000" w:themeColor="text1"/>
          <w:highlight w:val="none"/>
          <w14:textFill>
            <w14:solidFill>
              <w14:schemeClr w14:val="tx1"/>
            </w14:solidFill>
          </w14:textFill>
        </w:rPr>
        <w:t>7</w:t>
      </w:r>
      <w:r>
        <w:rPr>
          <w:rFonts w:hint="eastAsia" w:ascii="宋体" w:hAnsi="宋体"/>
          <w:color w:val="000000" w:themeColor="text1"/>
          <w:highlight w:val="none"/>
          <w14:textFill>
            <w14:solidFill>
              <w14:schemeClr w14:val="tx1"/>
            </w14:solidFill>
          </w14:textFill>
        </w:rPr>
        <w:t>.投标</w:t>
      </w:r>
      <w:r>
        <w:rPr>
          <w:rFonts w:ascii="宋体" w:hAnsi="宋体"/>
          <w:color w:val="000000" w:themeColor="text1"/>
          <w:highlight w:val="none"/>
          <w14:textFill>
            <w14:solidFill>
              <w14:schemeClr w14:val="tx1"/>
            </w14:solidFill>
          </w14:textFill>
        </w:rPr>
        <w:t>文件的</w:t>
      </w:r>
      <w:r>
        <w:rPr>
          <w:rFonts w:hint="eastAsia" w:ascii="宋体" w:hAnsi="宋体"/>
          <w:color w:val="000000" w:themeColor="text1"/>
          <w:highlight w:val="none"/>
          <w14:textFill>
            <w14:solidFill>
              <w14:schemeClr w14:val="tx1"/>
            </w14:solidFill>
          </w14:textFill>
        </w:rPr>
        <w:t>递交</w:t>
      </w:r>
      <w:bookmarkEnd w:id="68"/>
      <w:bookmarkEnd w:id="69"/>
    </w:p>
    <w:p w14:paraId="1030AAF8">
      <w:pPr>
        <w:widowControl/>
        <w:shd w:val="clear" w:color="auto" w:fill="FFFFFF"/>
        <w:spacing w:line="440" w:lineRule="exact"/>
        <w:ind w:firstLine="420" w:firstLineChars="200"/>
        <w:jc w:val="left"/>
        <w:rPr>
          <w:rFonts w:ascii="宋体" w:hAnsi="宋体"/>
          <w:b/>
          <w:szCs w:val="21"/>
          <w:highlight w:val="none"/>
        </w:rPr>
      </w:pPr>
      <w:r>
        <w:rPr>
          <w:rFonts w:ascii="宋体" w:hAnsi="宋体" w:cs="宋体"/>
          <w:color w:val="000000" w:themeColor="text1"/>
          <w:kern w:val="0"/>
          <w:szCs w:val="21"/>
          <w:highlight w:val="none"/>
          <w14:textFill>
            <w14:solidFill>
              <w14:schemeClr w14:val="tx1"/>
            </w14:solidFill>
          </w14:textFill>
        </w:rPr>
        <w:t>7.1</w:t>
      </w:r>
      <w:r>
        <w:rPr>
          <w:rFonts w:hint="eastAsia" w:ascii="宋体" w:hAnsi="宋体" w:cs="宋体"/>
          <w:color w:val="000000" w:themeColor="text1"/>
          <w:kern w:val="0"/>
          <w:szCs w:val="21"/>
          <w:highlight w:val="none"/>
          <w14:textFill>
            <w14:solidFill>
              <w14:schemeClr w14:val="tx1"/>
            </w14:solidFill>
          </w14:textFill>
        </w:rPr>
        <w:t>本次招标的投标文件以电子方式通过中铁鲁班平台递交。投标人如果投标一个以上的包件，按</w:t>
      </w:r>
      <w:r>
        <w:rPr>
          <w:rFonts w:hint="eastAsia" w:ascii="宋体" w:hAnsi="宋体" w:cs="宋体"/>
          <w:b/>
          <w:color w:val="000000" w:themeColor="text1"/>
          <w:kern w:val="0"/>
          <w:szCs w:val="21"/>
          <w:highlight w:val="none"/>
          <w14:textFill>
            <w14:solidFill>
              <w14:schemeClr w14:val="tx1"/>
            </w14:solidFill>
          </w14:textFill>
        </w:rPr>
        <w:t>参</w:t>
      </w:r>
      <w:r>
        <w:rPr>
          <w:rFonts w:hint="eastAsia" w:ascii="宋体" w:hAnsi="宋体"/>
          <w:b/>
          <w:szCs w:val="21"/>
          <w:highlight w:val="none"/>
        </w:rPr>
        <w:t>加投标的包件一包一投，按包件分别编制投标文件，中国中铁电子商务平台各包件投标文件的附件需附与P</w:t>
      </w:r>
      <w:r>
        <w:rPr>
          <w:rFonts w:ascii="宋体" w:hAnsi="宋体"/>
          <w:b/>
          <w:szCs w:val="21"/>
          <w:highlight w:val="none"/>
        </w:rPr>
        <w:t>DF</w:t>
      </w:r>
      <w:r>
        <w:rPr>
          <w:rFonts w:hint="eastAsia" w:ascii="宋体" w:hAnsi="宋体"/>
          <w:b/>
          <w:szCs w:val="21"/>
          <w:highlight w:val="none"/>
        </w:rPr>
        <w:t>盖章版投标文件报价完全一致的E</w:t>
      </w:r>
      <w:r>
        <w:rPr>
          <w:rFonts w:ascii="宋体" w:hAnsi="宋体"/>
          <w:b/>
          <w:szCs w:val="21"/>
          <w:highlight w:val="none"/>
        </w:rPr>
        <w:t>XCEL</w:t>
      </w:r>
      <w:r>
        <w:rPr>
          <w:rFonts w:hint="eastAsia" w:ascii="宋体" w:hAnsi="宋体"/>
          <w:b/>
          <w:szCs w:val="21"/>
          <w:highlight w:val="none"/>
        </w:rPr>
        <w:t>版投标物资报价表。</w:t>
      </w:r>
    </w:p>
    <w:p w14:paraId="52AC4B82">
      <w:pPr>
        <w:widowControl/>
        <w:shd w:val="clear" w:color="auto" w:fill="FFFFFF"/>
        <w:spacing w:line="440" w:lineRule="exact"/>
        <w:ind w:firstLine="420" w:firstLineChars="200"/>
        <w:jc w:val="left"/>
        <w:rPr>
          <w:rFonts w:ascii="宋体" w:hAnsi="宋体"/>
          <w:szCs w:val="21"/>
          <w:highlight w:val="none"/>
        </w:rPr>
      </w:pPr>
      <w:r>
        <w:rPr>
          <w:rFonts w:ascii="宋体" w:hAnsi="宋体"/>
          <w:color w:val="000000" w:themeColor="text1"/>
          <w:szCs w:val="21"/>
          <w:highlight w:val="none"/>
          <w14:textFill>
            <w14:solidFill>
              <w14:schemeClr w14:val="tx1"/>
            </w14:solidFill>
          </w14:textFill>
        </w:rPr>
        <w:t>7.2</w:t>
      </w:r>
      <w:r>
        <w:rPr>
          <w:rFonts w:hint="eastAsia" w:ascii="宋体" w:hAnsi="宋体"/>
          <w:color w:val="000000" w:themeColor="text1"/>
          <w:szCs w:val="21"/>
          <w:highlight w:val="none"/>
          <w14:textFill>
            <w14:solidFill>
              <w14:schemeClr w14:val="tx1"/>
            </w14:solidFill>
          </w14:textFill>
        </w:rPr>
        <w:t>递交投标文件的截止时间（投标截止时间，下同）为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2025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11</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15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14</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00</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w:t>
      </w:r>
      <w:bookmarkStart w:id="70" w:name="_Hlk179531640"/>
      <w:bookmarkStart w:id="71" w:name="_Hlk179555648"/>
      <w:r>
        <w:rPr>
          <w:rFonts w:hint="eastAsia" w:ascii="宋体" w:hAnsi="宋体"/>
          <w:color w:val="000000" w:themeColor="text1"/>
          <w:szCs w:val="21"/>
          <w:highlight w:val="none"/>
          <w14:textFill>
            <w14:solidFill>
              <w14:schemeClr w14:val="tx1"/>
            </w14:solidFill>
          </w14:textFill>
        </w:rPr>
        <w:t>无需递交纸质版投标文件，</w:t>
      </w:r>
      <w:bookmarkEnd w:id="70"/>
      <w:bookmarkEnd w:id="71"/>
      <w:bookmarkStart w:id="72" w:name="_Hlk179464919"/>
      <w:r>
        <w:rPr>
          <w:rFonts w:hint="eastAsia" w:ascii="宋体" w:hAnsi="宋体" w:cs="宋体"/>
          <w:color w:val="000000" w:themeColor="text1"/>
          <w:kern w:val="0"/>
          <w:szCs w:val="21"/>
          <w:highlight w:val="none"/>
          <w14:textFill>
            <w14:solidFill>
              <w14:schemeClr w14:val="tx1"/>
            </w14:solidFill>
          </w14:textFill>
        </w:rPr>
        <w:t>潜在投标方登录中铁鲁</w:t>
      </w:r>
      <w:r>
        <w:rPr>
          <w:rFonts w:hint="eastAsia" w:ascii="宋体" w:hAnsi="宋体"/>
          <w:color w:val="000000" w:themeColor="text1"/>
          <w:szCs w:val="21"/>
          <w:highlight w:val="none"/>
          <w14:textFill>
            <w14:solidFill>
              <w14:schemeClr w14:val="tx1"/>
            </w14:solidFill>
          </w14:textFill>
        </w:rPr>
        <w:t>班平台供方交易系统（二期）后，</w:t>
      </w:r>
      <w:r>
        <w:rPr>
          <w:rFonts w:hint="eastAsia" w:ascii="宋体" w:hAnsi="宋体"/>
          <w:b/>
          <w:color w:val="000000" w:themeColor="text1"/>
          <w:szCs w:val="21"/>
          <w:highlight w:val="none"/>
          <w14:textFill>
            <w14:solidFill>
              <w14:schemeClr w14:val="tx1"/>
            </w14:solidFill>
          </w14:textFill>
        </w:rPr>
        <w:t>在投标文件页面上传签字盖章版PDF 格式的投标文件原件扫描件</w:t>
      </w:r>
      <w:bookmarkEnd w:id="72"/>
      <w:r>
        <w:rPr>
          <w:rFonts w:hint="eastAsia" w:ascii="宋体" w:hAnsi="宋体"/>
          <w:b/>
          <w:color w:val="000000" w:themeColor="text1"/>
          <w:szCs w:val="21"/>
          <w:highlight w:val="none"/>
          <w14:textFill>
            <w14:solidFill>
              <w14:schemeClr w14:val="tx1"/>
            </w14:solidFill>
          </w14:textFill>
        </w:rPr>
        <w:t>，在报价信息页面对所列标的项填写含税报价信息，</w:t>
      </w:r>
      <w:r>
        <w:rPr>
          <w:rFonts w:hint="eastAsia" w:ascii="宋体" w:hAnsi="宋体"/>
          <w:b/>
          <w:szCs w:val="21"/>
          <w:highlight w:val="none"/>
        </w:rPr>
        <w:t>并保持鲁班系统（需填报含税金额）、投标函与</w:t>
      </w:r>
      <w:bookmarkStart w:id="73" w:name="OLE_LINK29"/>
      <w:bookmarkStart w:id="74" w:name="OLE_LINK30"/>
      <w:r>
        <w:rPr>
          <w:rFonts w:hint="eastAsia" w:ascii="宋体" w:hAnsi="宋体"/>
          <w:b/>
          <w:szCs w:val="21"/>
          <w:highlight w:val="none"/>
        </w:rPr>
        <w:t>投标报价明细含税总报价一致</w:t>
      </w:r>
      <w:bookmarkEnd w:id="73"/>
      <w:bookmarkEnd w:id="74"/>
      <w:r>
        <w:rPr>
          <w:rFonts w:hint="eastAsia" w:ascii="宋体" w:hAnsi="宋体"/>
          <w:b/>
          <w:szCs w:val="21"/>
          <w:highlight w:val="none"/>
        </w:rPr>
        <w:t>，</w:t>
      </w:r>
      <w:r>
        <w:rPr>
          <w:rFonts w:hint="eastAsia" w:ascii="宋体" w:hAnsi="宋体"/>
          <w:b/>
          <w:color w:val="000000" w:themeColor="text1"/>
          <w:szCs w:val="21"/>
          <w:highlight w:val="none"/>
          <w14:textFill>
            <w14:solidFill>
              <w14:schemeClr w14:val="tx1"/>
            </w14:solidFill>
          </w14:textFill>
        </w:rPr>
        <w:t>如不一致以投标文件P</w:t>
      </w:r>
      <w:r>
        <w:rPr>
          <w:rFonts w:ascii="宋体" w:hAnsi="宋体"/>
          <w:b/>
          <w:color w:val="000000" w:themeColor="text1"/>
          <w:szCs w:val="21"/>
          <w:highlight w:val="none"/>
          <w14:textFill>
            <w14:solidFill>
              <w14:schemeClr w14:val="tx1"/>
            </w14:solidFill>
          </w14:textFill>
        </w:rPr>
        <w:t>DF</w:t>
      </w:r>
      <w:r>
        <w:rPr>
          <w:rFonts w:hint="eastAsia" w:ascii="宋体" w:hAnsi="宋体"/>
          <w:b/>
          <w:color w:val="000000" w:themeColor="text1"/>
          <w:szCs w:val="21"/>
          <w:highlight w:val="none"/>
          <w14:textFill>
            <w14:solidFill>
              <w14:schemeClr w14:val="tx1"/>
            </w14:solidFill>
          </w14:textFill>
        </w:rPr>
        <w:t>盖章版投标报价明细含税总报价为准。</w:t>
      </w:r>
      <w:r>
        <w:rPr>
          <w:rFonts w:hint="eastAsia" w:ascii="宋体" w:hAnsi="宋体"/>
          <w:szCs w:val="21"/>
          <w:highlight w:val="none"/>
        </w:rPr>
        <w:t>中铁鲁班平台对上传的电子投标文件自动加密，开标时自动解密。（具体操作指导见网上《供应商在线投标简易操作指南（新门户版）》）</w:t>
      </w:r>
      <w:bookmarkStart w:id="75" w:name="_Hlk179464972"/>
      <w:r>
        <w:rPr>
          <w:rFonts w:hint="eastAsia" w:ascii="宋体" w:hAnsi="宋体"/>
          <w:szCs w:val="21"/>
          <w:highlight w:val="none"/>
        </w:rPr>
        <w:t>。</w:t>
      </w:r>
    </w:p>
    <w:bookmarkEnd w:id="75"/>
    <w:p w14:paraId="79EC51A9">
      <w:pPr>
        <w:widowControl/>
        <w:shd w:val="clear" w:color="auto" w:fill="FFFFFF"/>
        <w:spacing w:line="440" w:lineRule="exact"/>
        <w:ind w:firstLine="420" w:firstLineChars="200"/>
        <w:jc w:val="left"/>
        <w:rPr>
          <w:rFonts w:ascii="宋体" w:hAnsi="宋体"/>
          <w:b/>
          <w:szCs w:val="21"/>
          <w:highlight w:val="none"/>
        </w:rPr>
      </w:pPr>
      <w:r>
        <w:rPr>
          <w:rFonts w:ascii="宋体" w:hAnsi="宋体"/>
          <w:szCs w:val="21"/>
          <w:highlight w:val="none"/>
        </w:rPr>
        <w:t>7.3</w:t>
      </w:r>
      <w:r>
        <w:rPr>
          <w:rFonts w:hint="eastAsia" w:ascii="宋体" w:hAnsi="宋体"/>
          <w:b/>
          <w:szCs w:val="21"/>
          <w:highlight w:val="none"/>
        </w:rPr>
        <w:t>未上传签字盖章版投标文件或未在中铁鲁班平台填写投标报价的，视为主动放弃投标；逾期递交的投标文件，将予以拒收。</w:t>
      </w:r>
    </w:p>
    <w:p w14:paraId="589957C2">
      <w:pPr>
        <w:widowControl/>
        <w:shd w:val="clear" w:color="auto" w:fill="FFFFFF"/>
        <w:spacing w:line="440" w:lineRule="exact"/>
        <w:ind w:firstLine="420" w:firstLineChars="200"/>
        <w:jc w:val="left"/>
        <w:rPr>
          <w:rFonts w:ascii="宋体" w:hAnsi="宋体"/>
          <w:szCs w:val="21"/>
          <w:highlight w:val="none"/>
        </w:rPr>
      </w:pPr>
      <w:r>
        <w:rPr>
          <w:rFonts w:ascii="宋体" w:hAnsi="宋体"/>
          <w:szCs w:val="21"/>
          <w:highlight w:val="none"/>
        </w:rPr>
        <w:t>7.4</w:t>
      </w:r>
      <w:r>
        <w:rPr>
          <w:rFonts w:hint="eastAsia" w:ascii="宋体" w:hAnsi="宋体"/>
          <w:szCs w:val="21"/>
          <w:highlight w:val="none"/>
        </w:rPr>
        <w:t>提醒投标人充分考虑可能因网络等原因出现投标文件未能及时递交的风险，宜提前递交和检查电子投标文件和报价，以免出现投标无效。如在中铁鲁班平台操作过程中遇到问题，请及时联系平台客服（4006-010100）。</w:t>
      </w:r>
    </w:p>
    <w:p w14:paraId="0D00BC0D">
      <w:pPr>
        <w:pStyle w:val="5"/>
        <w:spacing w:before="0" w:beforeAutospacing="0" w:after="0" w:afterAutospacing="0" w:line="440" w:lineRule="exact"/>
        <w:ind w:firstLine="420" w:firstLineChars="200"/>
        <w:rPr>
          <w:rFonts w:cs="Times New Roman"/>
          <w:kern w:val="2"/>
          <w:sz w:val="21"/>
          <w:szCs w:val="21"/>
          <w:highlight w:val="none"/>
        </w:rPr>
      </w:pPr>
      <w:r>
        <w:rPr>
          <w:rFonts w:cs="Times New Roman"/>
          <w:kern w:val="2"/>
          <w:sz w:val="21"/>
          <w:szCs w:val="21"/>
          <w:highlight w:val="none"/>
        </w:rPr>
        <w:t>7.5</w:t>
      </w:r>
      <w:r>
        <w:rPr>
          <w:rFonts w:hint="eastAsia" w:cs="Times New Roman"/>
          <w:kern w:val="2"/>
          <w:sz w:val="21"/>
          <w:szCs w:val="21"/>
          <w:highlight w:val="none"/>
        </w:rPr>
        <w:t>招标采购文件要求提交投标样品的，投标样品是投标文件的组成部分，投标人应线下递交符合招标采购文件要求的投标样品，否则其投标将被否决，投标样品接收联系人：</w:t>
      </w:r>
      <w:r>
        <w:rPr>
          <w:rFonts w:cs="Times New Roman"/>
          <w:kern w:val="2"/>
          <w:sz w:val="21"/>
          <w:szCs w:val="21"/>
          <w:highlight w:val="none"/>
          <w:u w:val="single"/>
        </w:rPr>
        <w:t xml:space="preserve"> </w:t>
      </w:r>
      <w:r>
        <w:rPr>
          <w:rFonts w:hint="eastAsia" w:cs="Times New Roman"/>
          <w:kern w:val="2"/>
          <w:sz w:val="21"/>
          <w:szCs w:val="21"/>
          <w:highlight w:val="none"/>
          <w:u w:val="single"/>
          <w:lang w:val="en-US" w:eastAsia="zh-CN"/>
        </w:rPr>
        <w:t>张海红</w:t>
      </w:r>
      <w:r>
        <w:rPr>
          <w:rFonts w:cs="Times New Roman"/>
          <w:kern w:val="2"/>
          <w:sz w:val="21"/>
          <w:szCs w:val="21"/>
          <w:highlight w:val="none"/>
          <w:u w:val="single"/>
        </w:rPr>
        <w:t xml:space="preserve"> </w:t>
      </w:r>
      <w:r>
        <w:rPr>
          <w:rFonts w:hint="eastAsia" w:cs="Times New Roman"/>
          <w:kern w:val="2"/>
          <w:sz w:val="21"/>
          <w:szCs w:val="21"/>
          <w:highlight w:val="none"/>
        </w:rPr>
        <w:t>，联系方式：</w:t>
      </w:r>
      <w:r>
        <w:rPr>
          <w:rFonts w:cs="Times New Roman"/>
          <w:kern w:val="2"/>
          <w:sz w:val="21"/>
          <w:szCs w:val="21"/>
          <w:highlight w:val="none"/>
          <w:u w:val="single"/>
        </w:rPr>
        <w:t xml:space="preserve"> </w:t>
      </w:r>
      <w:r>
        <w:rPr>
          <w:rFonts w:hint="eastAsia" w:cs="Times New Roman"/>
          <w:kern w:val="2"/>
          <w:sz w:val="21"/>
          <w:szCs w:val="21"/>
          <w:highlight w:val="none"/>
          <w:u w:val="single"/>
          <w:lang w:val="en-US" w:eastAsia="zh-CN"/>
        </w:rPr>
        <w:t>18622556273</w:t>
      </w:r>
      <w:r>
        <w:rPr>
          <w:rFonts w:cs="Times New Roman"/>
          <w:kern w:val="2"/>
          <w:sz w:val="21"/>
          <w:szCs w:val="21"/>
          <w:highlight w:val="none"/>
          <w:u w:val="single"/>
        </w:rPr>
        <w:t xml:space="preserve"> </w:t>
      </w:r>
      <w:r>
        <w:rPr>
          <w:rFonts w:hint="eastAsia" w:cs="Times New Roman"/>
          <w:kern w:val="2"/>
          <w:sz w:val="21"/>
          <w:szCs w:val="21"/>
          <w:highlight w:val="none"/>
        </w:rPr>
        <w:t>，送达地址：</w:t>
      </w:r>
      <w:r>
        <w:rPr>
          <w:rFonts w:cs="Times New Roman"/>
          <w:kern w:val="2"/>
          <w:sz w:val="21"/>
          <w:szCs w:val="21"/>
          <w:highlight w:val="none"/>
          <w:u w:val="single"/>
        </w:rPr>
        <w:t xml:space="preserve"> </w:t>
      </w:r>
      <w:r>
        <w:rPr>
          <w:rFonts w:hint="eastAsia" w:cs="Times New Roman"/>
          <w:kern w:val="2"/>
          <w:sz w:val="21"/>
          <w:szCs w:val="21"/>
          <w:highlight w:val="none"/>
          <w:u w:val="single"/>
          <w:lang w:val="en-US" w:eastAsia="zh-CN"/>
        </w:rPr>
        <w:t>北京市昌平区南口镇到北单身公寓</w:t>
      </w:r>
      <w:r>
        <w:rPr>
          <w:rFonts w:cs="Times New Roman"/>
          <w:kern w:val="2"/>
          <w:sz w:val="21"/>
          <w:szCs w:val="21"/>
          <w:highlight w:val="none"/>
          <w:u w:val="single"/>
        </w:rPr>
        <w:t xml:space="preserve"> </w:t>
      </w:r>
      <w:r>
        <w:rPr>
          <w:rFonts w:hint="eastAsia" w:cs="Times New Roman"/>
          <w:kern w:val="2"/>
          <w:sz w:val="21"/>
          <w:szCs w:val="21"/>
          <w:highlight w:val="none"/>
        </w:rPr>
        <w:t>，样品送达截止时间：</w:t>
      </w:r>
      <w:r>
        <w:rPr>
          <w:rFonts w:cs="Times New Roman"/>
          <w:kern w:val="2"/>
          <w:sz w:val="21"/>
          <w:szCs w:val="21"/>
          <w:highlight w:val="none"/>
          <w:u w:val="single"/>
        </w:rPr>
        <w:t xml:space="preserve"> </w:t>
      </w:r>
      <w:r>
        <w:rPr>
          <w:rFonts w:hint="eastAsia" w:cs="Times New Roman"/>
          <w:kern w:val="2"/>
          <w:sz w:val="21"/>
          <w:szCs w:val="21"/>
          <w:highlight w:val="none"/>
          <w:u w:val="single"/>
          <w:lang w:val="en-US" w:eastAsia="zh-CN"/>
        </w:rPr>
        <w:t>2025年11月14日17时00分</w:t>
      </w:r>
      <w:r>
        <w:rPr>
          <w:rFonts w:hint="eastAsia"/>
          <w:bCs/>
          <w:color w:val="000000" w:themeColor="text1"/>
          <w:sz w:val="21"/>
          <w:szCs w:val="21"/>
          <w:highlight w:val="none"/>
          <w14:textFill>
            <w14:solidFill>
              <w14:schemeClr w14:val="tx1"/>
            </w14:solidFill>
          </w14:textFill>
        </w:rPr>
        <w:t>，送达后由我方出具</w:t>
      </w:r>
      <w:r>
        <w:rPr>
          <w:rFonts w:cs="Times New Roman"/>
          <w:color w:val="000000" w:themeColor="text1"/>
          <w:kern w:val="2"/>
          <w:sz w:val="21"/>
          <w:szCs w:val="21"/>
          <w:highlight w:val="none"/>
          <w14:textFill>
            <w14:solidFill>
              <w14:schemeClr w14:val="tx1"/>
            </w14:solidFill>
          </w14:textFill>
        </w:rPr>
        <w:t>样品签收单</w:t>
      </w:r>
      <w:r>
        <w:rPr>
          <w:rFonts w:hint="eastAsia" w:cs="Times New Roman"/>
          <w:color w:val="000000" w:themeColor="text1"/>
          <w:kern w:val="2"/>
          <w:sz w:val="21"/>
          <w:szCs w:val="21"/>
          <w:highlight w:val="none"/>
          <w14:textFill>
            <w14:solidFill>
              <w14:schemeClr w14:val="tx1"/>
            </w14:solidFill>
          </w14:textFill>
        </w:rPr>
        <w:t>（详见招标采购公告附表2），</w:t>
      </w:r>
      <w:r>
        <w:rPr>
          <w:rFonts w:cs="Times New Roman"/>
          <w:kern w:val="2"/>
          <w:sz w:val="21"/>
          <w:szCs w:val="21"/>
          <w:highlight w:val="none"/>
        </w:rPr>
        <w:t>如我方出具</w:t>
      </w:r>
      <w:r>
        <w:rPr>
          <w:rFonts w:hint="eastAsia" w:cs="Times New Roman"/>
          <w:kern w:val="2"/>
          <w:sz w:val="21"/>
          <w:szCs w:val="21"/>
          <w:highlight w:val="none"/>
        </w:rPr>
        <w:t>的</w:t>
      </w:r>
      <w:r>
        <w:rPr>
          <w:rFonts w:cs="Times New Roman"/>
          <w:kern w:val="2"/>
          <w:sz w:val="21"/>
          <w:szCs w:val="21"/>
          <w:highlight w:val="none"/>
        </w:rPr>
        <w:t>样品签收单标注不合格，投标方可二次送样</w:t>
      </w:r>
      <w:r>
        <w:rPr>
          <w:rFonts w:hint="eastAsia" w:cs="Times New Roman"/>
          <w:kern w:val="2"/>
          <w:sz w:val="21"/>
          <w:szCs w:val="21"/>
          <w:highlight w:val="none"/>
        </w:rPr>
        <w:t>，投标截止时间已过的情况除外</w:t>
      </w:r>
      <w:r>
        <w:rPr>
          <w:rFonts w:cs="Times New Roman"/>
          <w:kern w:val="2"/>
          <w:sz w:val="21"/>
          <w:szCs w:val="21"/>
          <w:highlight w:val="none"/>
        </w:rPr>
        <w:t>。</w:t>
      </w:r>
      <w:r>
        <w:rPr>
          <w:rFonts w:hint="eastAsia" w:cs="Times New Roman"/>
          <w:kern w:val="2"/>
          <w:sz w:val="21"/>
          <w:szCs w:val="21"/>
          <w:highlight w:val="none"/>
        </w:rPr>
        <w:t>投标方在定标结束后可联系招标方取回/寄回投标样品，联系人信息同上，未主动联系招标方的由招标方自行处理样品。</w:t>
      </w:r>
    </w:p>
    <w:p w14:paraId="0DC88A9E">
      <w:pPr>
        <w:widowControl/>
        <w:shd w:val="clear" w:color="auto" w:fill="FFFFFF"/>
        <w:spacing w:line="440" w:lineRule="exact"/>
        <w:ind w:firstLine="420" w:firstLineChars="200"/>
        <w:jc w:val="left"/>
        <w:rPr>
          <w:rFonts w:ascii="宋体" w:hAnsi="宋体"/>
          <w:szCs w:val="21"/>
          <w:highlight w:val="none"/>
          <w:u w:val="single"/>
        </w:rPr>
      </w:pPr>
      <w:r>
        <w:rPr>
          <w:rFonts w:hint="eastAsia" w:ascii="宋体" w:hAnsi="宋体"/>
          <w:szCs w:val="21"/>
          <w:highlight w:val="none"/>
        </w:rPr>
        <w:t>样品要求：</w:t>
      </w:r>
      <w:r>
        <w:rPr>
          <w:rFonts w:hint="eastAsia" w:ascii="宋体" w:hAnsi="宋体"/>
          <w:szCs w:val="21"/>
          <w:highlight w:val="none"/>
          <w:u w:val="single"/>
        </w:rPr>
        <w:t xml:space="preserve"> </w:t>
      </w:r>
      <w:r>
        <w:rPr>
          <w:rFonts w:hint="eastAsia" w:ascii="宋体" w:hAnsi="宋体"/>
          <w:szCs w:val="21"/>
          <w:highlight w:val="none"/>
          <w:u w:val="single"/>
          <w:lang w:val="en-US" w:eastAsia="zh-CN"/>
        </w:rPr>
        <w:t>挤塑板聚苯板B1级(200*200*100mm)和热固复合聚苯乙烯泡沫保温板</w:t>
      </w:r>
      <w:r>
        <w:rPr>
          <w:rFonts w:ascii="宋体" w:hAnsi="宋体"/>
          <w:szCs w:val="21"/>
          <w:highlight w:val="none"/>
          <w:u w:val="single"/>
        </w:rPr>
        <w:t xml:space="preserve"> </w:t>
      </w:r>
      <w:r>
        <w:rPr>
          <w:rFonts w:hint="eastAsia" w:ascii="宋体" w:hAnsi="宋体"/>
          <w:szCs w:val="21"/>
          <w:highlight w:val="none"/>
          <w:u w:val="single"/>
          <w:lang w:val="en-US" w:eastAsia="zh-CN"/>
        </w:rPr>
        <w:t>A2级(200*200*110mm)各一块</w:t>
      </w:r>
      <w:r>
        <w:rPr>
          <w:rFonts w:hint="eastAsia" w:ascii="宋体" w:hAnsi="宋体"/>
          <w:szCs w:val="21"/>
          <w:highlight w:val="none"/>
          <w:u w:val="none"/>
          <w:lang w:val="en-US" w:eastAsia="zh-CN"/>
        </w:rPr>
        <w:t>。</w:t>
      </w:r>
    </w:p>
    <w:bookmarkEnd w:id="60"/>
    <w:bookmarkEnd w:id="61"/>
    <w:bookmarkEnd w:id="62"/>
    <w:bookmarkEnd w:id="63"/>
    <w:bookmarkEnd w:id="64"/>
    <w:p w14:paraId="272B6B07">
      <w:pPr>
        <w:pStyle w:val="9"/>
        <w:rPr>
          <w:rFonts w:ascii="宋体" w:hAnsi="宋体"/>
          <w:highlight w:val="none"/>
        </w:rPr>
      </w:pPr>
      <w:bookmarkStart w:id="76" w:name="_Toc199408315"/>
      <w:bookmarkStart w:id="77" w:name="_Toc15550"/>
      <w:bookmarkStart w:id="78" w:name="_Toc201848679"/>
      <w:bookmarkStart w:id="79" w:name="_Toc14553"/>
      <w:bookmarkStart w:id="80" w:name="_Toc198555439"/>
      <w:bookmarkStart w:id="81" w:name="_Toc416332959"/>
      <w:bookmarkStart w:id="82" w:name="_Toc419383475"/>
      <w:bookmarkStart w:id="83" w:name="_Toc419384114"/>
      <w:bookmarkStart w:id="84" w:name="_Toc419384448"/>
      <w:bookmarkStart w:id="85" w:name="_Toc408135394"/>
      <w:r>
        <w:rPr>
          <w:rFonts w:ascii="宋体" w:hAnsi="宋体"/>
          <w:highlight w:val="none"/>
        </w:rPr>
        <w:t>8.</w:t>
      </w:r>
      <w:r>
        <w:rPr>
          <w:rFonts w:hint="eastAsia" w:ascii="宋体" w:hAnsi="宋体"/>
          <w:highlight w:val="none"/>
        </w:rPr>
        <w:t>开标时间和地点</w:t>
      </w:r>
      <w:bookmarkEnd w:id="76"/>
      <w:bookmarkEnd w:id="77"/>
      <w:bookmarkEnd w:id="78"/>
      <w:bookmarkEnd w:id="79"/>
      <w:bookmarkEnd w:id="80"/>
    </w:p>
    <w:p w14:paraId="47B5B7E5">
      <w:pPr>
        <w:widowControl/>
        <w:shd w:val="clear" w:color="auto" w:fill="FFFFFF"/>
        <w:spacing w:line="440" w:lineRule="exact"/>
        <w:ind w:firstLine="420" w:firstLineChars="200"/>
        <w:jc w:val="left"/>
        <w:rPr>
          <w:rFonts w:ascii="宋体" w:hAnsi="宋体"/>
          <w:szCs w:val="21"/>
          <w:highlight w:val="none"/>
        </w:rPr>
      </w:pPr>
      <w:r>
        <w:rPr>
          <w:rFonts w:ascii="宋体" w:hAnsi="宋体"/>
          <w:szCs w:val="21"/>
          <w:highlight w:val="none"/>
        </w:rPr>
        <w:t xml:space="preserve">8.1 </w:t>
      </w:r>
      <w:r>
        <w:rPr>
          <w:rFonts w:hint="eastAsia" w:ascii="宋体" w:hAnsi="宋体"/>
          <w:szCs w:val="21"/>
          <w:highlight w:val="none"/>
        </w:rPr>
        <w:t>开标时间（同上述投标截止时间）：</w:t>
      </w:r>
      <w:r>
        <w:rPr>
          <w:rFonts w:ascii="宋体" w:hAnsi="宋体"/>
          <w:szCs w:val="21"/>
          <w:highlight w:val="none"/>
          <w:u w:val="single"/>
        </w:rPr>
        <w:t xml:space="preserve"> </w:t>
      </w:r>
      <w:r>
        <w:rPr>
          <w:rFonts w:hint="eastAsia" w:ascii="宋体" w:hAnsi="宋体"/>
          <w:szCs w:val="21"/>
          <w:highlight w:val="none"/>
          <w:u w:val="single"/>
          <w:lang w:val="en-US" w:eastAsia="zh-CN"/>
        </w:rPr>
        <w:t>2025</w:t>
      </w:r>
      <w:r>
        <w:rPr>
          <w:rFonts w:ascii="宋体" w:hAnsi="宋体"/>
          <w:szCs w:val="21"/>
          <w:highlight w:val="none"/>
          <w:u w:val="single"/>
        </w:rPr>
        <w:t xml:space="preserve"> </w:t>
      </w:r>
      <w:r>
        <w:rPr>
          <w:rFonts w:ascii="宋体" w:hAnsi="宋体"/>
          <w:szCs w:val="21"/>
          <w:highlight w:val="none"/>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11</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15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14</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00</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w:t>
      </w:r>
      <w:r>
        <w:rPr>
          <w:rFonts w:hint="eastAsia" w:ascii="宋体" w:hAnsi="宋体"/>
          <w:szCs w:val="21"/>
          <w:highlight w:val="none"/>
        </w:rPr>
        <w:t>。</w:t>
      </w:r>
    </w:p>
    <w:p w14:paraId="215CA98E">
      <w:pPr>
        <w:widowControl/>
        <w:shd w:val="clear" w:color="auto" w:fill="FFFFFF"/>
        <w:spacing w:line="440" w:lineRule="exact"/>
        <w:ind w:firstLine="420" w:firstLineChars="200"/>
        <w:jc w:val="left"/>
        <w:rPr>
          <w:rFonts w:ascii="宋体" w:hAnsi="宋体"/>
          <w:szCs w:val="21"/>
          <w:highlight w:val="none"/>
        </w:rPr>
      </w:pPr>
      <w:r>
        <w:rPr>
          <w:rFonts w:ascii="宋体" w:hAnsi="宋体"/>
          <w:szCs w:val="21"/>
          <w:highlight w:val="none"/>
        </w:rPr>
        <w:t xml:space="preserve">8.2 </w:t>
      </w:r>
      <w:r>
        <w:rPr>
          <w:rFonts w:hint="eastAsia" w:ascii="宋体" w:hAnsi="宋体"/>
          <w:szCs w:val="21"/>
          <w:highlight w:val="none"/>
        </w:rPr>
        <w:t>开标地点：登录中铁鲁班平台的开标大厅进行线上开标。</w:t>
      </w:r>
    </w:p>
    <w:p w14:paraId="7AE16C7F">
      <w:pPr>
        <w:widowControl/>
        <w:shd w:val="clear" w:color="auto" w:fill="FFFFFF"/>
        <w:spacing w:line="440" w:lineRule="exact"/>
        <w:ind w:firstLine="420" w:firstLineChars="200"/>
        <w:jc w:val="left"/>
        <w:rPr>
          <w:rFonts w:ascii="宋体" w:hAnsi="宋体"/>
          <w:szCs w:val="21"/>
          <w:highlight w:val="none"/>
        </w:rPr>
      </w:pPr>
      <w:r>
        <w:rPr>
          <w:rFonts w:ascii="宋体" w:hAnsi="宋体"/>
          <w:szCs w:val="21"/>
          <w:highlight w:val="none"/>
        </w:rPr>
        <w:t xml:space="preserve">8.3 </w:t>
      </w:r>
      <w:r>
        <w:rPr>
          <w:rFonts w:hint="eastAsia" w:ascii="宋体" w:hAnsi="宋体"/>
          <w:szCs w:val="21"/>
          <w:highlight w:val="none"/>
        </w:rPr>
        <w:t>投标人的法定代表人或其委托代理人应准时参加中铁鲁班平台线上开标，并在开标后 30</w:t>
      </w:r>
      <w:r>
        <w:rPr>
          <w:rFonts w:ascii="宋体" w:hAnsi="宋体"/>
          <w:szCs w:val="21"/>
          <w:highlight w:val="none"/>
        </w:rPr>
        <w:t xml:space="preserve"> </w:t>
      </w:r>
      <w:r>
        <w:rPr>
          <w:rFonts w:hint="eastAsia" w:ascii="宋体" w:hAnsi="宋体"/>
          <w:szCs w:val="21"/>
          <w:highlight w:val="none"/>
        </w:rPr>
        <w:t>分钟内完成线上签名。如未按时参加开标或未按时完成签名的，视为认可开标结果。</w:t>
      </w:r>
    </w:p>
    <w:p w14:paraId="350C4204">
      <w:pPr>
        <w:widowControl/>
        <w:shd w:val="clear" w:color="auto" w:fill="FFFFFF"/>
        <w:spacing w:line="440" w:lineRule="exact"/>
        <w:ind w:firstLine="420" w:firstLineChars="200"/>
        <w:jc w:val="left"/>
        <w:rPr>
          <w:rFonts w:ascii="宋体" w:hAnsi="宋体"/>
          <w:szCs w:val="21"/>
          <w:highlight w:val="none"/>
        </w:rPr>
      </w:pPr>
      <w:r>
        <w:rPr>
          <w:rFonts w:ascii="宋体" w:hAnsi="宋体"/>
          <w:szCs w:val="21"/>
          <w:highlight w:val="none"/>
        </w:rPr>
        <w:t xml:space="preserve">8.4 </w:t>
      </w:r>
      <w:r>
        <w:rPr>
          <w:rFonts w:hint="eastAsia" w:ascii="宋体" w:hAnsi="宋体"/>
          <w:szCs w:val="21"/>
          <w:highlight w:val="none"/>
        </w:rPr>
        <w:t>投标人应自行提前检查手机、电脑、网络等开标所需设备设施的稳定性和安全性，承担因准备不足产生的不利后果。如中铁鲁班平台开标时出现故障、错误等不可预见情形，导致采购人和投标人均无法在规定的开标时间正常使用的，则暂停开标，由采购人提出处理方式，并通知所有投标人。</w:t>
      </w:r>
    </w:p>
    <w:p w14:paraId="68881D67">
      <w:pPr>
        <w:widowControl/>
        <w:shd w:val="clear" w:color="auto" w:fill="FFFFFF"/>
        <w:spacing w:line="440" w:lineRule="exact"/>
        <w:ind w:firstLine="420" w:firstLineChars="200"/>
        <w:jc w:val="left"/>
        <w:rPr>
          <w:rFonts w:ascii="宋体" w:hAnsi="宋体"/>
          <w:szCs w:val="21"/>
          <w:highlight w:val="none"/>
        </w:rPr>
      </w:pPr>
      <w:bookmarkStart w:id="86" w:name="_Toc201848680"/>
      <w:bookmarkStart w:id="87" w:name="_Toc199408316"/>
      <w:r>
        <w:rPr>
          <w:rFonts w:ascii="宋体" w:hAnsi="宋体"/>
          <w:szCs w:val="21"/>
          <w:highlight w:val="none"/>
        </w:rPr>
        <w:t>8</w:t>
      </w:r>
      <w:r>
        <w:rPr>
          <w:rFonts w:hint="eastAsia" w:ascii="宋体" w:hAnsi="宋体"/>
          <w:szCs w:val="21"/>
          <w:highlight w:val="none"/>
        </w:rPr>
        <w:t>.5 单包件投标人不足3家的，招标人不组织开标。</w:t>
      </w:r>
      <w:r>
        <w:rPr>
          <w:rFonts w:hint="eastAsia"/>
          <w:highlight w:val="none"/>
        </w:rPr>
        <w:t>分包件采购时，单包件投标人个数不得少于3家，多包件总投标人个数不得少于包件数量（n）的2</w:t>
      </w:r>
      <w:r>
        <w:rPr>
          <w:highlight w:val="none"/>
        </w:rPr>
        <w:t>n+1</w:t>
      </w:r>
      <w:r>
        <w:rPr>
          <w:rFonts w:hint="eastAsia"/>
          <w:highlight w:val="none"/>
        </w:rPr>
        <w:t>，投标截止时间已至，如参与投标的数量不足上述要求，招标人不组织开标。</w:t>
      </w:r>
    </w:p>
    <w:p w14:paraId="6FA1B622">
      <w:pPr>
        <w:pStyle w:val="9"/>
        <w:rPr>
          <w:rFonts w:ascii="宋体" w:hAnsi="宋体"/>
          <w:highlight w:val="none"/>
        </w:rPr>
      </w:pPr>
      <w:bookmarkStart w:id="88" w:name="_Toc28967"/>
      <w:r>
        <w:rPr>
          <w:rFonts w:ascii="宋体" w:hAnsi="宋体"/>
          <w:highlight w:val="none"/>
        </w:rPr>
        <w:t>9.</w:t>
      </w:r>
      <w:r>
        <w:rPr>
          <w:rFonts w:hint="eastAsia" w:ascii="宋体" w:hAnsi="宋体"/>
          <w:highlight w:val="none"/>
        </w:rPr>
        <w:t>发布公告的媒介</w:t>
      </w:r>
      <w:bookmarkEnd w:id="86"/>
      <w:bookmarkEnd w:id="87"/>
      <w:bookmarkEnd w:id="88"/>
    </w:p>
    <w:bookmarkEnd w:id="81"/>
    <w:bookmarkEnd w:id="82"/>
    <w:bookmarkEnd w:id="83"/>
    <w:bookmarkEnd w:id="84"/>
    <w:bookmarkEnd w:id="85"/>
    <w:p w14:paraId="71545151">
      <w:pPr>
        <w:spacing w:line="440" w:lineRule="exact"/>
        <w:ind w:firstLine="420" w:firstLineChars="200"/>
        <w:rPr>
          <w:rFonts w:ascii="宋体" w:hAnsi="宋体"/>
          <w:szCs w:val="21"/>
          <w:highlight w:val="none"/>
        </w:rPr>
      </w:pPr>
      <w:bookmarkStart w:id="89" w:name="_Toc180743774"/>
      <w:bookmarkStart w:id="90" w:name="_Toc199408317"/>
      <w:bookmarkStart w:id="91" w:name="_Toc180500655"/>
      <w:r>
        <w:rPr>
          <w:rFonts w:hint="eastAsia" w:ascii="宋体" w:hAnsi="宋体"/>
          <w:szCs w:val="21"/>
          <w:highlight w:val="none"/>
        </w:rPr>
        <w:t>本次招标公告同时在“中铁鲁班商务网-中国中铁采购电子商务平台”（www.crecgec.com）和“中国招标投标公共服务平台”（</w:t>
      </w:r>
      <w:r>
        <w:rPr>
          <w:rFonts w:ascii="宋体" w:hAnsi="宋体"/>
          <w:szCs w:val="21"/>
          <w:highlight w:val="none"/>
        </w:rPr>
        <w:t>www.cebpubservice.com</w:t>
      </w:r>
      <w:r>
        <w:rPr>
          <w:rFonts w:hint="eastAsia" w:ascii="宋体" w:hAnsi="宋体"/>
          <w:szCs w:val="21"/>
          <w:highlight w:val="none"/>
        </w:rPr>
        <w:t>）上发布。</w:t>
      </w:r>
    </w:p>
    <w:p w14:paraId="7EBABD22">
      <w:pPr>
        <w:pStyle w:val="2"/>
        <w:ind w:right="210"/>
        <w:rPr>
          <w:rFonts w:ascii="宋体" w:hAnsi="宋体"/>
          <w:highlight w:val="none"/>
        </w:rPr>
      </w:pPr>
      <w:bookmarkStart w:id="92" w:name="_Toc2413"/>
      <w:r>
        <w:rPr>
          <w:rFonts w:ascii="宋体" w:hAnsi="宋体"/>
          <w:highlight w:val="none"/>
        </w:rPr>
        <w:t>10</w:t>
      </w:r>
      <w:r>
        <w:rPr>
          <w:rFonts w:hint="eastAsia" w:ascii="宋体" w:hAnsi="宋体"/>
          <w:highlight w:val="none"/>
        </w:rPr>
        <w:t>.</w:t>
      </w:r>
      <w:r>
        <w:rPr>
          <w:rFonts w:ascii="宋体" w:hAnsi="宋体"/>
          <w:highlight w:val="none"/>
        </w:rPr>
        <w:t>联系方式</w:t>
      </w:r>
      <w:bookmarkEnd w:id="89"/>
      <w:bookmarkEnd w:id="90"/>
      <w:bookmarkEnd w:id="91"/>
      <w:bookmarkEnd w:id="92"/>
    </w:p>
    <w:p w14:paraId="3A4619AE">
      <w:pPr>
        <w:topLinePunct/>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 标 人</w:t>
      </w:r>
      <w:r>
        <w:rPr>
          <w:rFonts w:ascii="宋体" w:hAnsi="宋体" w:cs="宋体"/>
          <w:color w:val="000000" w:themeColor="text1"/>
          <w:kern w:val="0"/>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中铁建工集团</w:t>
      </w:r>
      <w:r>
        <w:rPr>
          <w:rFonts w:hint="eastAsia" w:ascii="宋体" w:hAnsi="宋体"/>
          <w:color w:val="000000" w:themeColor="text1"/>
          <w:szCs w:val="21"/>
          <w:highlight w:val="none"/>
          <w:u w:val="single"/>
          <w14:textFill>
            <w14:solidFill>
              <w14:schemeClr w14:val="tx1"/>
            </w14:solidFill>
          </w14:textFill>
        </w:rPr>
        <w:t>有限公司</w:t>
      </w:r>
    </w:p>
    <w:p w14:paraId="2E540C04">
      <w:pPr>
        <w:topLinePunct/>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地    址：</w:t>
      </w:r>
      <w:r>
        <w:rPr>
          <w:rFonts w:hint="eastAsia" w:ascii="宋体" w:hAnsi="宋体" w:cs="宋体"/>
          <w:color w:val="000000" w:themeColor="text1"/>
          <w:szCs w:val="21"/>
          <w:highlight w:val="none"/>
          <w:u w:val="single"/>
          <w14:textFill>
            <w14:solidFill>
              <w14:schemeClr w14:val="tx1"/>
            </w14:solidFill>
          </w14:textFill>
        </w:rPr>
        <w:t>北京市南四环西路128号诺德中心</w:t>
      </w:r>
    </w:p>
    <w:p w14:paraId="4E95C58A">
      <w:pPr>
        <w:topLinePunct/>
        <w:spacing w:line="440" w:lineRule="exact"/>
        <w:ind w:firstLine="420" w:firstLineChars="200"/>
        <w:rPr>
          <w:rFonts w:ascii="宋体" w:hAnsi="宋体" w:cs="宋体"/>
          <w:color w:val="000000" w:themeColor="text1"/>
          <w:kern w:val="0"/>
          <w:szCs w:val="21"/>
          <w:highlight w:val="none"/>
          <w:u w:val="singl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联 系 人：</w:t>
      </w:r>
      <w:r>
        <w:rPr>
          <w:rFonts w:hint="eastAsia" w:ascii="宋体" w:hAnsi="宋体" w:cs="宋体"/>
          <w:color w:val="000000" w:themeColor="text1"/>
          <w:kern w:val="0"/>
          <w:szCs w:val="21"/>
          <w:highlight w:val="none"/>
          <w:u w:val="single"/>
          <w:lang w:val="en-US" w:eastAsia="zh-CN"/>
          <w14:textFill>
            <w14:solidFill>
              <w14:schemeClr w14:val="tx1"/>
            </w14:solidFill>
          </w14:textFill>
        </w:rPr>
        <w:t>余永</w:t>
      </w:r>
      <w:r>
        <w:rPr>
          <w:rFonts w:hint="eastAsia" w:ascii="宋体" w:hAnsi="宋体" w:cs="宋体"/>
          <w:color w:val="auto"/>
          <w:kern w:val="0"/>
          <w:szCs w:val="21"/>
          <w:highlight w:val="none"/>
          <w:u w:val="single"/>
          <w:lang w:val="en-US" w:eastAsia="zh-CN"/>
        </w:rPr>
        <w:t>龄</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张海红</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项目物资设备部，</w:t>
      </w:r>
      <w:r>
        <w:rPr>
          <w:rFonts w:hint="eastAsia" w:ascii="宋体" w:hAnsi="宋体" w:cs="宋体"/>
          <w:color w:val="000000" w:themeColor="text1"/>
          <w:kern w:val="0"/>
          <w:szCs w:val="21"/>
          <w:highlight w:val="none"/>
          <w:u w:val="single"/>
          <w14:textFill>
            <w14:solidFill>
              <w14:schemeClr w14:val="tx1"/>
            </w14:solidFill>
          </w14:textFill>
        </w:rPr>
        <w:t>退投标保证金联系人）</w:t>
      </w:r>
    </w:p>
    <w:p w14:paraId="62C818D2">
      <w:pPr>
        <w:topLinePunct/>
        <w:spacing w:line="440" w:lineRule="exact"/>
        <w:ind w:left="210" w:leftChars="100" w:firstLine="210" w:firstLineChars="100"/>
        <w:rPr>
          <w:rFonts w:ascii="宋体" w:hAnsi="宋体" w:cs="宋体"/>
          <w:color w:val="000000" w:themeColor="text1"/>
          <w:kern w:val="0"/>
          <w:szCs w:val="21"/>
          <w:highlight w:val="none"/>
          <w:u w:val="singl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电    话：</w:t>
      </w:r>
      <w:r>
        <w:rPr>
          <w:rFonts w:hint="eastAsia" w:ascii="宋体" w:hAnsi="宋体" w:cs="宋体"/>
          <w:color w:val="000000" w:themeColor="text1"/>
          <w:kern w:val="0"/>
          <w:szCs w:val="21"/>
          <w:highlight w:val="none"/>
          <w:u w:val="single"/>
          <w:lang w:val="en-US" w:eastAsia="zh-CN"/>
          <w14:textFill>
            <w14:solidFill>
              <w14:schemeClr w14:val="tx1"/>
            </w14:solidFill>
          </w14:textFill>
        </w:rPr>
        <w:t>18328068220</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18622556273</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316D1A64">
      <w:pPr>
        <w:topLinePunct/>
        <w:spacing w:line="360" w:lineRule="auto"/>
        <w:ind w:firstLine="6930" w:firstLineChars="33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2025</w:t>
      </w:r>
      <w:r>
        <w:rPr>
          <w:rFonts w:hint="eastAsia" w:ascii="宋体" w:hAnsi="宋体" w:cs="宋体"/>
          <w:color w:val="000000" w:themeColor="text1"/>
          <w:kern w:val="0"/>
          <w:szCs w:val="21"/>
          <w:highlight w:val="none"/>
          <w14:textFill>
            <w14:solidFill>
              <w14:schemeClr w14:val="tx1"/>
            </w14:solidFill>
          </w14:textFill>
        </w:rPr>
        <w:t>年</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14:textFill>
            <w14:solidFill>
              <w14:schemeClr w14:val="tx1"/>
            </w14:solidFill>
          </w14:textFill>
        </w:rPr>
        <w:t>11</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14:textFill>
            <w14:solidFill>
              <w14:schemeClr w14:val="tx1"/>
            </w14:solidFill>
          </w14:textFill>
        </w:rPr>
        <w:t>05</w:t>
      </w:r>
      <w:r>
        <w:rPr>
          <w:rFonts w:hint="eastAsia" w:ascii="宋体" w:hAnsi="宋体" w:cs="宋体"/>
          <w:color w:val="000000" w:themeColor="text1"/>
          <w:kern w:val="0"/>
          <w:szCs w:val="21"/>
          <w:highlight w:val="none"/>
          <w14:textFill>
            <w14:solidFill>
              <w14:schemeClr w14:val="tx1"/>
            </w14:solidFill>
          </w14:textFill>
        </w:rPr>
        <w:t>日</w:t>
      </w:r>
    </w:p>
    <w:p w14:paraId="783EAE62">
      <w:pPr>
        <w:spacing w:line="600" w:lineRule="exact"/>
        <w:jc w:val="center"/>
        <w:rPr>
          <w:rFonts w:ascii="宋体" w:hAnsi="宋体"/>
          <w:color w:val="FF0000"/>
          <w:sz w:val="23"/>
          <w:szCs w:val="23"/>
          <w:highlight w:val="none"/>
        </w:rPr>
        <w:sectPr>
          <w:footerReference r:id="rId6" w:type="first"/>
          <w:footerReference r:id="rId4" w:type="default"/>
          <w:headerReference r:id="rId3" w:type="even"/>
          <w:footerReference r:id="rId5" w:type="even"/>
          <w:pgSz w:w="11906" w:h="16838"/>
          <w:pgMar w:top="1803" w:right="1191" w:bottom="1803" w:left="1474" w:header="851" w:footer="1418" w:gutter="0"/>
          <w:pgNumType w:fmt="decimal" w:start="1"/>
          <w:cols w:space="720" w:num="1"/>
          <w:titlePg/>
          <w:docGrid w:type="linesAndChars" w:linePitch="312" w:charSpace="0"/>
        </w:sectPr>
      </w:pPr>
      <w:r>
        <w:rPr>
          <w:rFonts w:hint="eastAsia" w:ascii="宋体" w:hAnsi="宋体"/>
          <w:color w:val="FF0000"/>
          <w:sz w:val="23"/>
          <w:szCs w:val="23"/>
          <w:highlight w:val="none"/>
        </w:rPr>
        <w:t xml:space="preserve"> </w:t>
      </w:r>
      <w:r>
        <w:rPr>
          <w:rFonts w:ascii="宋体" w:hAnsi="宋体"/>
          <w:color w:val="FF0000"/>
          <w:sz w:val="23"/>
          <w:szCs w:val="23"/>
          <w:highlight w:val="none"/>
        </w:rPr>
        <w:t xml:space="preserve">                                    </w:t>
      </w:r>
    </w:p>
    <w:bookmarkEnd w:id="7"/>
    <w:bookmarkEnd w:id="8"/>
    <w:p w14:paraId="523AA00F">
      <w:pPr>
        <w:pStyle w:val="10"/>
        <w:ind w:left="0" w:leftChars="0"/>
        <w:jc w:val="center"/>
        <w:rPr>
          <w:rFonts w:ascii="宋体" w:hAnsi="宋体"/>
          <w:color w:val="FF0000"/>
          <w:highlight w:val="none"/>
        </w:rPr>
      </w:pPr>
      <w:bookmarkStart w:id="93" w:name="_Toc14921"/>
      <w:r>
        <w:rPr>
          <w:rFonts w:hint="eastAsia" w:ascii="宋体" w:hAnsi="宋体"/>
          <w:color w:val="000000" w:themeColor="text1"/>
          <w:highlight w:val="none"/>
          <w14:textFill>
            <w14:solidFill>
              <w14:schemeClr w14:val="tx1"/>
            </w14:solidFill>
          </w14:textFill>
        </w:rPr>
        <w:t>招标公告附表</w:t>
      </w:r>
      <w:r>
        <w:rPr>
          <w:rFonts w:ascii="宋体" w:hAnsi="宋体"/>
          <w:color w:val="000000" w:themeColor="text1"/>
          <w:highlight w:val="none"/>
          <w14:textFill>
            <w14:solidFill>
              <w14:schemeClr w14:val="tx1"/>
            </w14:solidFill>
          </w14:textFill>
        </w:rPr>
        <w:t>1</w:t>
      </w:r>
      <w:bookmarkEnd w:id="93"/>
    </w:p>
    <w:p w14:paraId="2E1B323F">
      <w:pPr>
        <w:rPr>
          <w:rFonts w:ascii="宋体" w:hAnsi="宋体"/>
          <w:color w:val="000000" w:themeColor="text1"/>
          <w:highlight w:val="none"/>
          <w14:textFill>
            <w14:solidFill>
              <w14:schemeClr w14:val="tx1"/>
            </w14:solidFill>
          </w14:textFill>
        </w:rPr>
      </w:pPr>
    </w:p>
    <w:tbl>
      <w:tblPr>
        <w:tblStyle w:val="6"/>
        <w:tblW w:w="12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409"/>
        <w:gridCol w:w="3113"/>
        <w:gridCol w:w="520"/>
        <w:gridCol w:w="1037"/>
        <w:gridCol w:w="1158"/>
        <w:gridCol w:w="1875"/>
        <w:gridCol w:w="1312"/>
        <w:gridCol w:w="1025"/>
      </w:tblGrid>
      <w:tr w14:paraId="6AAA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29" w:type="dxa"/>
            <w:vAlign w:val="center"/>
          </w:tcPr>
          <w:p w14:paraId="646369B6">
            <w:pPr>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包件号</w:t>
            </w:r>
          </w:p>
        </w:tc>
        <w:tc>
          <w:tcPr>
            <w:tcW w:w="1409" w:type="dxa"/>
            <w:vAlign w:val="center"/>
          </w:tcPr>
          <w:p w14:paraId="54DB4841">
            <w:pPr>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标的物名称</w:t>
            </w:r>
          </w:p>
        </w:tc>
        <w:tc>
          <w:tcPr>
            <w:tcW w:w="3113" w:type="dxa"/>
            <w:vAlign w:val="center"/>
          </w:tcPr>
          <w:p w14:paraId="7B6FB6FB">
            <w:pPr>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规格</w:t>
            </w:r>
          </w:p>
        </w:tc>
        <w:tc>
          <w:tcPr>
            <w:tcW w:w="520" w:type="dxa"/>
            <w:vAlign w:val="center"/>
          </w:tcPr>
          <w:p w14:paraId="07CBC56E">
            <w:pPr>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单位</w:t>
            </w:r>
          </w:p>
        </w:tc>
        <w:tc>
          <w:tcPr>
            <w:tcW w:w="1037" w:type="dxa"/>
            <w:vAlign w:val="center"/>
          </w:tcPr>
          <w:p w14:paraId="2F61C562">
            <w:pPr>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数量</w:t>
            </w:r>
          </w:p>
        </w:tc>
        <w:tc>
          <w:tcPr>
            <w:tcW w:w="1158" w:type="dxa"/>
            <w:vAlign w:val="center"/>
          </w:tcPr>
          <w:p w14:paraId="54DE11D3">
            <w:pPr>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计划交货期</w:t>
            </w:r>
          </w:p>
        </w:tc>
        <w:tc>
          <w:tcPr>
            <w:tcW w:w="1875" w:type="dxa"/>
            <w:vAlign w:val="center"/>
          </w:tcPr>
          <w:p w14:paraId="665EA198">
            <w:pPr>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交货地点</w:t>
            </w:r>
          </w:p>
        </w:tc>
        <w:tc>
          <w:tcPr>
            <w:tcW w:w="1312" w:type="dxa"/>
            <w:vAlign w:val="center"/>
          </w:tcPr>
          <w:p w14:paraId="576A2B2B">
            <w:pPr>
              <w:jc w:val="center"/>
              <w:rPr>
                <w:rFonts w:ascii="宋体" w:hAnsi="宋体"/>
                <w:b/>
                <w:color w:val="000000"/>
                <w:highlight w:val="none"/>
              </w:rPr>
            </w:pPr>
            <w:r>
              <w:rPr>
                <w:rFonts w:hint="eastAsia" w:ascii="宋体" w:hAnsi="宋体"/>
                <w:b/>
                <w:color w:val="000000"/>
                <w:highlight w:val="none"/>
              </w:rPr>
              <w:t>投标保证金/投标保函</w:t>
            </w:r>
          </w:p>
        </w:tc>
        <w:tc>
          <w:tcPr>
            <w:tcW w:w="1025" w:type="dxa"/>
            <w:vAlign w:val="center"/>
          </w:tcPr>
          <w:p w14:paraId="1F07007E">
            <w:pPr>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备注</w:t>
            </w:r>
          </w:p>
        </w:tc>
      </w:tr>
      <w:tr w14:paraId="54DA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exact"/>
          <w:jc w:val="center"/>
        </w:trPr>
        <w:tc>
          <w:tcPr>
            <w:tcW w:w="929" w:type="dxa"/>
            <w:vAlign w:val="center"/>
          </w:tcPr>
          <w:p w14:paraId="2E435D61">
            <w:pPr>
              <w:jc w:val="center"/>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color w:val="000000" w:themeColor="text1"/>
                <w:sz w:val="20"/>
                <w:szCs w:val="20"/>
                <w:highlight w:val="none"/>
                <w:lang w:val="en-US" w:eastAsia="zh-CN"/>
                <w14:textFill>
                  <w14:solidFill>
                    <w14:schemeClr w14:val="tx1"/>
                  </w14:solidFill>
                </w14:textFill>
              </w:rPr>
              <w:t>BWB-01</w:t>
            </w:r>
          </w:p>
        </w:tc>
        <w:tc>
          <w:tcPr>
            <w:tcW w:w="1409" w:type="dxa"/>
            <w:vAlign w:val="center"/>
          </w:tcPr>
          <w:p w14:paraId="69621B84">
            <w:pPr>
              <w:jc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挤塑聚苯板</w:t>
            </w:r>
          </w:p>
        </w:tc>
        <w:tc>
          <w:tcPr>
            <w:tcW w:w="3113" w:type="dxa"/>
            <w:vAlign w:val="center"/>
          </w:tcPr>
          <w:p w14:paraId="229682BE">
            <w:pPr>
              <w:jc w:val="both"/>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B1 级，导热系数：0.035W/(m.K)，蓄热系数：0.32W/(m 2 .K)，密度：≥28.5kg/m³，比热容：1647J/(kg.K)，蒸汽渗透系数：0.0162g/(m.h.kPa)，六面裹覆不燃材料。</w:t>
            </w:r>
          </w:p>
        </w:tc>
        <w:tc>
          <w:tcPr>
            <w:tcW w:w="520" w:type="dxa"/>
            <w:vAlign w:val="center"/>
          </w:tcPr>
          <w:p w14:paraId="03227B2F">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m³</w:t>
            </w:r>
          </w:p>
        </w:tc>
        <w:tc>
          <w:tcPr>
            <w:tcW w:w="1037" w:type="dxa"/>
            <w:vAlign w:val="center"/>
          </w:tcPr>
          <w:p w14:paraId="5CDC6A7A">
            <w:pPr>
              <w:jc w:val="center"/>
              <w:rPr>
                <w:rFonts w:hint="default"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1906</w:t>
            </w:r>
          </w:p>
        </w:tc>
        <w:tc>
          <w:tcPr>
            <w:tcW w:w="1158" w:type="dxa"/>
            <w:vMerge w:val="restart"/>
            <w:vAlign w:val="center"/>
          </w:tcPr>
          <w:p w14:paraId="0EEDB134">
            <w:pPr>
              <w:jc w:val="center"/>
              <w:rPr>
                <w:rFonts w:hint="default"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2025.12.15分批进场</w:t>
            </w:r>
          </w:p>
        </w:tc>
        <w:tc>
          <w:tcPr>
            <w:tcW w:w="1875" w:type="dxa"/>
            <w:vMerge w:val="restart"/>
            <w:vAlign w:val="center"/>
          </w:tcPr>
          <w:p w14:paraId="4FB3CB11">
            <w:pPr>
              <w:widowControl/>
              <w:jc w:val="cente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olor w:val="000000"/>
                <w:sz w:val="20"/>
                <w:szCs w:val="20"/>
                <w:highlight w:val="none"/>
              </w:rPr>
              <w:t>第二批央企在京老旧小区综合整治项目（标包一百一十八）（昌平区南口镇）工程总承包（EPC）</w:t>
            </w:r>
          </w:p>
        </w:tc>
        <w:tc>
          <w:tcPr>
            <w:tcW w:w="1312" w:type="dxa"/>
            <w:vMerge w:val="restart"/>
            <w:vAlign w:val="center"/>
          </w:tcPr>
          <w:p w14:paraId="3F822757">
            <w:pPr>
              <w:jc w:val="center"/>
              <w:rPr>
                <w:rFonts w:ascii="宋体" w:hAnsi="宋体"/>
                <w:color w:val="000000"/>
                <w:sz w:val="20"/>
                <w:szCs w:val="20"/>
                <w:highlight w:val="none"/>
              </w:rPr>
            </w:pPr>
            <w:r>
              <w:rPr>
                <w:rFonts w:hint="eastAsia" w:ascii="宋体" w:hAnsi="宋体"/>
                <w:color w:val="000000"/>
                <w:sz w:val="20"/>
                <w:szCs w:val="20"/>
                <w:highlight w:val="none"/>
                <w:lang w:val="en-US" w:eastAsia="zh-CN"/>
              </w:rPr>
              <w:t>2</w:t>
            </w:r>
            <w:r>
              <w:rPr>
                <w:rFonts w:hint="eastAsia" w:ascii="宋体" w:hAnsi="宋体"/>
                <w:color w:val="000000"/>
                <w:sz w:val="20"/>
                <w:szCs w:val="20"/>
                <w:highlight w:val="none"/>
              </w:rPr>
              <w:t>0000.00元</w:t>
            </w:r>
          </w:p>
        </w:tc>
        <w:tc>
          <w:tcPr>
            <w:tcW w:w="1025" w:type="dxa"/>
            <w:vMerge w:val="restart"/>
            <w:vAlign w:val="center"/>
          </w:tcPr>
          <w:p w14:paraId="7F2BF81D">
            <w:pPr>
              <w:jc w:val="center"/>
              <w:rPr>
                <w:rFonts w:ascii="宋体" w:hAnsi="宋体"/>
                <w:color w:val="000000" w:themeColor="text1"/>
                <w:sz w:val="20"/>
                <w:szCs w:val="20"/>
                <w:highlight w:val="none"/>
                <w14:textFill>
                  <w14:solidFill>
                    <w14:schemeClr w14:val="tx1"/>
                  </w14:solidFill>
                </w14:textFill>
              </w:rPr>
            </w:pPr>
          </w:p>
        </w:tc>
      </w:tr>
      <w:tr w14:paraId="3A90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929" w:type="dxa"/>
            <w:vAlign w:val="center"/>
          </w:tcPr>
          <w:p w14:paraId="592CCAF6">
            <w:pPr>
              <w:jc w:val="center"/>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lang w:val="en-US" w:eastAsia="zh-CN"/>
                <w14:textFill>
                  <w14:solidFill>
                    <w14:schemeClr w14:val="tx1"/>
                  </w14:solidFill>
                </w14:textFill>
              </w:rPr>
              <w:t>BWB-02</w:t>
            </w:r>
          </w:p>
        </w:tc>
        <w:tc>
          <w:tcPr>
            <w:tcW w:w="1409" w:type="dxa"/>
            <w:shd w:val="clear" w:color="auto" w:fill="auto"/>
            <w:vAlign w:val="center"/>
          </w:tcPr>
          <w:p w14:paraId="26733767">
            <w:pPr>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热固复合聚苯乙烯泡沫保温板</w:t>
            </w:r>
          </w:p>
        </w:tc>
        <w:tc>
          <w:tcPr>
            <w:tcW w:w="3113" w:type="dxa"/>
            <w:shd w:val="clear" w:color="auto" w:fill="auto"/>
            <w:vAlign w:val="center"/>
          </w:tcPr>
          <w:p w14:paraId="2D2143CF">
            <w:pPr>
              <w:jc w:val="both"/>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A2 级，导热系数：0.045W/(m.K)，蓄热系数：0.8W/(m 2 .K)，密度：≥140kg/m³，比热容：1257.2J/(kg.K)，蒸汽渗透系数：0.0162g/(m.h.kPa)。</w:t>
            </w:r>
          </w:p>
        </w:tc>
        <w:tc>
          <w:tcPr>
            <w:tcW w:w="520" w:type="dxa"/>
            <w:vAlign w:val="center"/>
          </w:tcPr>
          <w:p w14:paraId="70332A6C">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m³</w:t>
            </w:r>
          </w:p>
        </w:tc>
        <w:tc>
          <w:tcPr>
            <w:tcW w:w="1037" w:type="dxa"/>
            <w:vAlign w:val="center"/>
          </w:tcPr>
          <w:p w14:paraId="75EF6359">
            <w:pPr>
              <w:jc w:val="center"/>
              <w:rPr>
                <w:rFonts w:hint="default" w:ascii="宋体" w:hAnsi="宋体" w:eastAsia="宋体"/>
                <w:b/>
                <w:color w:val="000000" w:themeColor="text1"/>
                <w:sz w:val="20"/>
                <w:szCs w:val="20"/>
                <w:highlight w:val="none"/>
                <w:lang w:val="en-US" w:eastAsia="zh-CN"/>
                <w14:textFill>
                  <w14:solidFill>
                    <w14:schemeClr w14:val="tx1"/>
                  </w14:solidFill>
                </w14:textFill>
              </w:rPr>
            </w:pPr>
            <w:r>
              <w:rPr>
                <w:rFonts w:hint="eastAsia" w:ascii="宋体" w:hAnsi="宋体"/>
                <w:b w:val="0"/>
                <w:bCs/>
                <w:color w:val="000000" w:themeColor="text1"/>
                <w:sz w:val="20"/>
                <w:szCs w:val="20"/>
                <w:highlight w:val="none"/>
                <w:lang w:val="en-US" w:eastAsia="zh-CN"/>
                <w14:textFill>
                  <w14:solidFill>
                    <w14:schemeClr w14:val="tx1"/>
                  </w14:solidFill>
                </w14:textFill>
              </w:rPr>
              <w:t>4615</w:t>
            </w:r>
          </w:p>
        </w:tc>
        <w:tc>
          <w:tcPr>
            <w:tcW w:w="1158" w:type="dxa"/>
            <w:vMerge w:val="continue"/>
            <w:vAlign w:val="center"/>
          </w:tcPr>
          <w:p w14:paraId="7BC33FBF">
            <w:pPr>
              <w:jc w:val="center"/>
              <w:rPr>
                <w:rFonts w:ascii="宋体" w:hAnsi="宋体"/>
                <w:color w:val="000000" w:themeColor="text1"/>
                <w:sz w:val="20"/>
                <w:szCs w:val="20"/>
                <w:highlight w:val="none"/>
                <w14:textFill>
                  <w14:solidFill>
                    <w14:schemeClr w14:val="tx1"/>
                  </w14:solidFill>
                </w14:textFill>
              </w:rPr>
            </w:pPr>
          </w:p>
        </w:tc>
        <w:tc>
          <w:tcPr>
            <w:tcW w:w="1875" w:type="dxa"/>
            <w:vMerge w:val="continue"/>
            <w:vAlign w:val="center"/>
          </w:tcPr>
          <w:p w14:paraId="0C716A51">
            <w:pPr>
              <w:widowControl/>
              <w:jc w:val="center"/>
              <w:textAlignment w:val="center"/>
              <w:rPr>
                <w:rFonts w:ascii="宋体" w:hAnsi="宋体" w:cs="宋体"/>
                <w:color w:val="000000" w:themeColor="text1"/>
                <w:kern w:val="0"/>
                <w:sz w:val="20"/>
                <w:szCs w:val="20"/>
                <w:highlight w:val="none"/>
                <w:lang w:bidi="ar"/>
                <w14:textFill>
                  <w14:solidFill>
                    <w14:schemeClr w14:val="tx1"/>
                  </w14:solidFill>
                </w14:textFill>
              </w:rPr>
            </w:pPr>
          </w:p>
        </w:tc>
        <w:tc>
          <w:tcPr>
            <w:tcW w:w="1312" w:type="dxa"/>
            <w:vMerge w:val="continue"/>
            <w:vAlign w:val="center"/>
          </w:tcPr>
          <w:p w14:paraId="76085680">
            <w:pPr>
              <w:jc w:val="center"/>
              <w:rPr>
                <w:rFonts w:ascii="宋体" w:hAnsi="宋体"/>
                <w:color w:val="000000" w:themeColor="text1"/>
                <w:sz w:val="20"/>
                <w:szCs w:val="20"/>
                <w:highlight w:val="none"/>
                <w14:textFill>
                  <w14:solidFill>
                    <w14:schemeClr w14:val="tx1"/>
                  </w14:solidFill>
                </w14:textFill>
              </w:rPr>
            </w:pPr>
          </w:p>
        </w:tc>
        <w:tc>
          <w:tcPr>
            <w:tcW w:w="1025" w:type="dxa"/>
            <w:vMerge w:val="continue"/>
            <w:vAlign w:val="center"/>
          </w:tcPr>
          <w:p w14:paraId="38EB6BBB">
            <w:pPr>
              <w:jc w:val="center"/>
              <w:rPr>
                <w:rFonts w:ascii="宋体" w:hAnsi="宋体"/>
                <w:color w:val="000000" w:themeColor="text1"/>
                <w:sz w:val="20"/>
                <w:szCs w:val="20"/>
                <w:highlight w:val="none"/>
                <w14:textFill>
                  <w14:solidFill>
                    <w14:schemeClr w14:val="tx1"/>
                  </w14:solidFill>
                </w14:textFill>
              </w:rPr>
            </w:pPr>
          </w:p>
        </w:tc>
      </w:tr>
    </w:tbl>
    <w:p w14:paraId="5AAC295D">
      <w:pPr>
        <w:spacing w:line="440" w:lineRule="exact"/>
        <w:ind w:firstLine="840" w:firstLineChars="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此数量为暂估量，结算时以实通过验收量为准。</w:t>
      </w:r>
    </w:p>
    <w:p w14:paraId="4FA1DFEC">
      <w:pPr>
        <w:spacing w:line="440" w:lineRule="exact"/>
        <w:ind w:left="1260" w:leftChars="600"/>
        <w:rPr>
          <w:rFonts w:ascii="宋体" w:hAnsi="宋体"/>
          <w:b/>
          <w:bCs/>
          <w:color w:val="FF0000"/>
          <w:highlight w:val="none"/>
        </w:rPr>
      </w:pPr>
      <w:r>
        <w:rPr>
          <w:rFonts w:hint="eastAsia" w:ascii="宋体" w:hAnsi="宋体" w:cs="宋体"/>
          <w:color w:val="000000" w:themeColor="text1"/>
          <w:kern w:val="0"/>
          <w:sz w:val="20"/>
          <w:szCs w:val="20"/>
          <w:highlight w:val="none"/>
          <w14:textFill>
            <w14:solidFill>
              <w14:schemeClr w14:val="tx1"/>
            </w14:solidFill>
          </w14:textFill>
        </w:rPr>
        <w:t>2</w:t>
      </w:r>
      <w:r>
        <w:rPr>
          <w:rFonts w:ascii="宋体" w:hAnsi="宋体" w:cs="宋体"/>
          <w:color w:val="000000" w:themeColor="text1"/>
          <w:kern w:val="0"/>
          <w:sz w:val="20"/>
          <w:szCs w:val="20"/>
          <w:highlight w:val="none"/>
          <w14:textFill>
            <w14:solidFill>
              <w14:schemeClr w14:val="tx1"/>
            </w14:solidFill>
          </w14:textFill>
        </w:rPr>
        <w:t>.</w:t>
      </w:r>
      <w:bookmarkStart w:id="94" w:name="_Hlk179536575"/>
      <w:bookmarkStart w:id="95" w:name="_Hlk179531682"/>
      <w:r>
        <w:rPr>
          <w:rFonts w:hint="eastAsia" w:ascii="宋体" w:hAnsi="宋体"/>
          <w:color w:val="000000" w:themeColor="text1"/>
          <w:highlight w:val="none"/>
          <w14:textFill>
            <w14:solidFill>
              <w14:schemeClr w14:val="tx1"/>
            </w14:solidFill>
          </w14:textFill>
        </w:rPr>
        <w:t>中标方已缴纳的投标保证金在合同生效后即刻转为履约保证金或中标方在合同生效后30日内按约定金额向招标方缴纳现金作为履约保证，提交投标保函的中标方在合同生效后30日内按约定金额向招标方见索即付的银行保函作为履约保证。如中标方未能足额缴纳履约保证金或提供银行保函，则招标方有权在应付中标方的货款中进行足额扣除，且不构成违约。</w:t>
      </w:r>
      <w:r>
        <w:rPr>
          <w:rFonts w:ascii="宋体" w:hAnsi="宋体"/>
          <w:color w:val="000000" w:themeColor="text1"/>
          <w:highlight w:val="none"/>
          <w14:textFill>
            <w14:solidFill>
              <w14:schemeClr w14:val="tx1"/>
            </w14:solidFill>
          </w14:textFill>
        </w:rPr>
        <w:cr/>
      </w:r>
      <w:r>
        <w:rPr>
          <w:rFonts w:ascii="宋体" w:hAnsi="宋体"/>
          <w:b/>
          <w:bCs/>
          <w:color w:val="000000" w:themeColor="text1"/>
          <w:highlight w:val="none"/>
          <w14:textFill>
            <w14:solidFill>
              <w14:schemeClr w14:val="tx1"/>
            </w14:solidFill>
          </w14:textFill>
        </w:rPr>
        <w:t>3.</w:t>
      </w:r>
      <w:r>
        <w:rPr>
          <w:rFonts w:hint="eastAsia" w:ascii="宋体" w:hAnsi="宋体"/>
          <w:b/>
          <w:bCs/>
          <w:color w:val="000000" w:themeColor="text1"/>
          <w:highlight w:val="none"/>
          <w14:textFill>
            <w14:solidFill>
              <w14:schemeClr w14:val="tx1"/>
            </w14:solidFill>
          </w14:textFill>
        </w:rPr>
        <w:t>本次招标兼投不兼中，投标保证金/投标保函不区分包件缴纳或开具，投标人只需缴纳/开具一笔投标保证金/投标保函。</w:t>
      </w:r>
    </w:p>
    <w:p w14:paraId="5AED5C11">
      <w:pPr>
        <w:spacing w:line="440" w:lineRule="exact"/>
        <w:ind w:left="1260" w:leftChars="600"/>
        <w:rPr>
          <w:rFonts w:ascii="宋体" w:hAnsi="宋体"/>
          <w:color w:val="000000" w:themeColor="text1"/>
          <w:highlight w:val="none"/>
          <w14:textFill>
            <w14:solidFill>
              <w14:schemeClr w14:val="tx1"/>
            </w14:solidFill>
          </w14:textFill>
        </w:rPr>
        <w:sectPr>
          <w:footerReference r:id="rId7" w:type="default"/>
          <w:footerReference r:id="rId8" w:type="even"/>
          <w:pgSz w:w="16838" w:h="11906" w:orient="landscape"/>
          <w:pgMar w:top="1440" w:right="1803" w:bottom="1440" w:left="1803" w:header="851" w:footer="929" w:gutter="0"/>
          <w:pgNumType w:fmt="decimal"/>
          <w:cols w:space="720" w:num="1"/>
          <w:docGrid w:type="lines" w:linePitch="312" w:charSpace="0"/>
        </w:sectPr>
      </w:pPr>
      <w:r>
        <w:rPr>
          <w:rFonts w:ascii="宋体" w:hAnsi="宋体"/>
          <w:highlight w:val="none"/>
        </w:rPr>
        <w:t>4.</w:t>
      </w:r>
      <w:r>
        <w:rPr>
          <w:rFonts w:hint="eastAsia" w:ascii="宋体" w:hAnsi="宋体"/>
          <w:highlight w:val="none"/>
        </w:rPr>
        <w:t>投标保证金/投标保函</w:t>
      </w:r>
      <w:r>
        <w:rPr>
          <w:rFonts w:hint="eastAsia" w:ascii="宋体" w:hAnsi="宋体"/>
          <w:color w:val="000000" w:themeColor="text1"/>
          <w:highlight w:val="none"/>
          <w14:textFill>
            <w14:solidFill>
              <w14:schemeClr w14:val="tx1"/>
            </w14:solidFill>
          </w14:textFill>
        </w:rPr>
        <w:t>必须保证在投标截止时间前到达招标指定银行账户或开具</w:t>
      </w:r>
      <w:bookmarkEnd w:id="94"/>
      <w:r>
        <w:rPr>
          <w:rFonts w:hint="eastAsia" w:ascii="宋体" w:hAnsi="宋体"/>
          <w:color w:val="000000" w:themeColor="text1"/>
          <w:highlight w:val="none"/>
          <w14:textFill>
            <w14:solidFill>
              <w14:schemeClr w14:val="tx1"/>
            </w14:solidFill>
          </w14:textFill>
        </w:rPr>
        <w:t>。</w:t>
      </w:r>
      <w:bookmarkEnd w:id="95"/>
    </w:p>
    <w:p w14:paraId="45C8D9B0">
      <w:pPr>
        <w:pStyle w:val="10"/>
        <w:jc w:val="center"/>
        <w:rPr>
          <w:rFonts w:ascii="宋体" w:hAnsi="宋体"/>
          <w:sz w:val="44"/>
          <w:szCs w:val="44"/>
          <w:highlight w:val="none"/>
        </w:rPr>
      </w:pPr>
      <w:bookmarkStart w:id="96" w:name="_Toc11293"/>
      <w:r>
        <w:rPr>
          <w:rFonts w:hint="eastAsia" w:ascii="宋体" w:hAnsi="宋体"/>
          <w:highlight w:val="none"/>
        </w:rPr>
        <w:t xml:space="preserve">招标公告附表2 </w:t>
      </w:r>
      <w:r>
        <w:rPr>
          <w:rFonts w:ascii="宋体" w:hAnsi="宋体"/>
          <w:highlight w:val="none"/>
        </w:rPr>
        <w:t xml:space="preserve"> </w:t>
      </w:r>
      <w:r>
        <w:rPr>
          <w:rFonts w:hint="eastAsia" w:ascii="宋体" w:hAnsi="宋体"/>
          <w:highlight w:val="none"/>
        </w:rPr>
        <w:t>样品签收单</w:t>
      </w:r>
      <w:bookmarkEnd w:id="96"/>
    </w:p>
    <w:tbl>
      <w:tblPr>
        <w:tblStyle w:val="6"/>
        <w:tblW w:w="13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244"/>
        <w:gridCol w:w="1807"/>
        <w:gridCol w:w="1445"/>
        <w:gridCol w:w="1667"/>
        <w:gridCol w:w="1871"/>
        <w:gridCol w:w="1871"/>
      </w:tblGrid>
      <w:tr w14:paraId="5976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547" w:type="dxa"/>
            <w:vAlign w:val="center"/>
          </w:tcPr>
          <w:p w14:paraId="4553FBE5">
            <w:pPr>
              <w:spacing w:line="220" w:lineRule="atLeast"/>
              <w:jc w:val="center"/>
              <w:rPr>
                <w:rFonts w:ascii="宋体" w:hAnsi="宋体"/>
                <w:b/>
                <w:szCs w:val="21"/>
                <w:highlight w:val="none"/>
              </w:rPr>
            </w:pPr>
            <w:r>
              <w:rPr>
                <w:rFonts w:ascii="宋体" w:hAnsi="宋体"/>
                <w:b/>
                <w:szCs w:val="21"/>
                <w:highlight w:val="none"/>
              </w:rPr>
              <w:t>物资名称</w:t>
            </w:r>
          </w:p>
        </w:tc>
        <w:tc>
          <w:tcPr>
            <w:tcW w:w="2244" w:type="dxa"/>
            <w:vAlign w:val="center"/>
          </w:tcPr>
          <w:p w14:paraId="41F35A8E">
            <w:pPr>
              <w:spacing w:line="220" w:lineRule="atLeast"/>
              <w:jc w:val="center"/>
              <w:rPr>
                <w:rFonts w:ascii="宋体" w:hAnsi="宋体"/>
                <w:b/>
                <w:szCs w:val="21"/>
                <w:highlight w:val="none"/>
              </w:rPr>
            </w:pPr>
            <w:r>
              <w:rPr>
                <w:rFonts w:hint="eastAsia" w:ascii="宋体" w:hAnsi="宋体"/>
                <w:b/>
                <w:szCs w:val="21"/>
                <w:highlight w:val="none"/>
              </w:rPr>
              <w:t>规格型号</w:t>
            </w:r>
          </w:p>
        </w:tc>
        <w:tc>
          <w:tcPr>
            <w:tcW w:w="1807" w:type="dxa"/>
            <w:vAlign w:val="center"/>
          </w:tcPr>
          <w:p w14:paraId="2FE5D5AD">
            <w:pPr>
              <w:spacing w:line="220" w:lineRule="atLeast"/>
              <w:jc w:val="center"/>
              <w:rPr>
                <w:rFonts w:ascii="宋体" w:hAnsi="宋体"/>
                <w:b/>
                <w:szCs w:val="21"/>
                <w:highlight w:val="none"/>
              </w:rPr>
            </w:pPr>
            <w:r>
              <w:rPr>
                <w:rFonts w:ascii="宋体" w:hAnsi="宋体"/>
                <w:b/>
                <w:szCs w:val="21"/>
                <w:highlight w:val="none"/>
              </w:rPr>
              <w:t>尺寸</w:t>
            </w:r>
          </w:p>
        </w:tc>
        <w:tc>
          <w:tcPr>
            <w:tcW w:w="1445" w:type="dxa"/>
            <w:vAlign w:val="center"/>
          </w:tcPr>
          <w:p w14:paraId="1F430A64">
            <w:pPr>
              <w:spacing w:line="220" w:lineRule="atLeast"/>
              <w:jc w:val="center"/>
              <w:rPr>
                <w:rFonts w:ascii="宋体" w:hAnsi="宋体"/>
                <w:b/>
                <w:szCs w:val="21"/>
                <w:highlight w:val="none"/>
              </w:rPr>
            </w:pPr>
            <w:r>
              <w:rPr>
                <w:rFonts w:ascii="宋体" w:hAnsi="宋体"/>
                <w:b/>
                <w:szCs w:val="21"/>
                <w:highlight w:val="none"/>
              </w:rPr>
              <w:t>厚度</w:t>
            </w:r>
          </w:p>
        </w:tc>
        <w:tc>
          <w:tcPr>
            <w:tcW w:w="1667" w:type="dxa"/>
            <w:vAlign w:val="center"/>
          </w:tcPr>
          <w:p w14:paraId="69F26F2C">
            <w:pPr>
              <w:spacing w:line="220" w:lineRule="atLeast"/>
              <w:jc w:val="center"/>
              <w:rPr>
                <w:rFonts w:ascii="宋体" w:hAnsi="宋体"/>
                <w:b/>
                <w:szCs w:val="21"/>
                <w:highlight w:val="none"/>
              </w:rPr>
            </w:pPr>
            <w:r>
              <w:rPr>
                <w:rFonts w:ascii="宋体" w:hAnsi="宋体"/>
                <w:b/>
                <w:szCs w:val="21"/>
                <w:highlight w:val="none"/>
              </w:rPr>
              <w:t>外观</w:t>
            </w:r>
          </w:p>
        </w:tc>
        <w:tc>
          <w:tcPr>
            <w:tcW w:w="1871" w:type="dxa"/>
            <w:vAlign w:val="center"/>
          </w:tcPr>
          <w:p w14:paraId="149FEAD1">
            <w:pPr>
              <w:spacing w:line="220" w:lineRule="atLeast"/>
              <w:jc w:val="center"/>
              <w:rPr>
                <w:rFonts w:ascii="宋体" w:hAnsi="宋体"/>
                <w:b/>
                <w:szCs w:val="21"/>
                <w:highlight w:val="none"/>
              </w:rPr>
            </w:pPr>
            <w:r>
              <w:rPr>
                <w:rFonts w:hint="eastAsia" w:ascii="宋体" w:hAnsi="宋体"/>
                <w:b/>
                <w:szCs w:val="21"/>
                <w:highlight w:val="none"/>
              </w:rPr>
              <w:t>质量</w:t>
            </w:r>
          </w:p>
        </w:tc>
        <w:tc>
          <w:tcPr>
            <w:tcW w:w="1871" w:type="dxa"/>
            <w:vAlign w:val="center"/>
          </w:tcPr>
          <w:p w14:paraId="560002C1">
            <w:pPr>
              <w:spacing w:line="220" w:lineRule="atLeast"/>
              <w:jc w:val="center"/>
              <w:rPr>
                <w:rFonts w:ascii="宋体" w:hAnsi="宋体"/>
                <w:b/>
                <w:szCs w:val="21"/>
                <w:highlight w:val="none"/>
              </w:rPr>
            </w:pPr>
            <w:r>
              <w:rPr>
                <w:rFonts w:ascii="宋体" w:hAnsi="宋体"/>
                <w:b/>
                <w:szCs w:val="21"/>
                <w:highlight w:val="none"/>
              </w:rPr>
              <w:t>其他问题</w:t>
            </w:r>
          </w:p>
        </w:tc>
      </w:tr>
      <w:tr w14:paraId="3E62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547" w:type="dxa"/>
            <w:vAlign w:val="center"/>
          </w:tcPr>
          <w:p w14:paraId="351CC286">
            <w:pPr>
              <w:jc w:val="center"/>
              <w:rPr>
                <w:rFonts w:ascii="宋体" w:hAnsi="宋体" w:cs="宋体"/>
                <w:kern w:val="0"/>
                <w:sz w:val="20"/>
                <w:szCs w:val="20"/>
                <w:highlight w:val="none"/>
              </w:rPr>
            </w:pPr>
            <w:r>
              <w:rPr>
                <w:rFonts w:hint="eastAsia" w:ascii="宋体" w:hAnsi="宋体" w:cs="宋体"/>
                <w:color w:val="000000" w:themeColor="text1"/>
                <w:sz w:val="20"/>
                <w:szCs w:val="20"/>
                <w:highlight w:val="none"/>
                <w:lang w:val="en-US" w:eastAsia="zh-CN"/>
                <w14:textFill>
                  <w14:solidFill>
                    <w14:schemeClr w14:val="tx1"/>
                  </w14:solidFill>
                </w14:textFill>
              </w:rPr>
              <w:t>挤塑聚苯板</w:t>
            </w:r>
          </w:p>
        </w:tc>
        <w:tc>
          <w:tcPr>
            <w:tcW w:w="2244" w:type="dxa"/>
            <w:vAlign w:val="center"/>
          </w:tcPr>
          <w:p w14:paraId="17EC35A7">
            <w:pPr>
              <w:jc w:val="center"/>
              <w:rPr>
                <w:rFonts w:ascii="宋体" w:hAnsi="宋体" w:cs="宋体"/>
                <w:color w:val="000000"/>
                <w:kern w:val="0"/>
                <w:sz w:val="18"/>
                <w:szCs w:val="18"/>
                <w:highlight w:val="none"/>
              </w:rPr>
            </w:pPr>
          </w:p>
        </w:tc>
        <w:tc>
          <w:tcPr>
            <w:tcW w:w="1807" w:type="dxa"/>
            <w:vAlign w:val="center"/>
          </w:tcPr>
          <w:p w14:paraId="61204DE0">
            <w:pPr>
              <w:spacing w:line="220" w:lineRule="atLeast"/>
              <w:jc w:val="center"/>
              <w:rPr>
                <w:rFonts w:ascii="宋体" w:hAnsi="宋体"/>
                <w:szCs w:val="21"/>
                <w:highlight w:val="none"/>
              </w:rPr>
            </w:pPr>
          </w:p>
        </w:tc>
        <w:tc>
          <w:tcPr>
            <w:tcW w:w="1445" w:type="dxa"/>
            <w:vAlign w:val="center"/>
          </w:tcPr>
          <w:p w14:paraId="139C8AB2">
            <w:pPr>
              <w:spacing w:line="220" w:lineRule="atLeast"/>
              <w:jc w:val="center"/>
              <w:rPr>
                <w:rFonts w:ascii="宋体" w:hAnsi="宋体"/>
                <w:szCs w:val="21"/>
                <w:highlight w:val="none"/>
              </w:rPr>
            </w:pPr>
          </w:p>
        </w:tc>
        <w:tc>
          <w:tcPr>
            <w:tcW w:w="1667" w:type="dxa"/>
            <w:vAlign w:val="center"/>
          </w:tcPr>
          <w:p w14:paraId="1B25EC46">
            <w:pPr>
              <w:spacing w:line="220" w:lineRule="atLeast"/>
              <w:jc w:val="center"/>
              <w:rPr>
                <w:rFonts w:ascii="宋体" w:hAnsi="宋体"/>
                <w:szCs w:val="21"/>
                <w:highlight w:val="none"/>
              </w:rPr>
            </w:pPr>
          </w:p>
        </w:tc>
        <w:tc>
          <w:tcPr>
            <w:tcW w:w="1871" w:type="dxa"/>
            <w:vAlign w:val="center"/>
          </w:tcPr>
          <w:p w14:paraId="0E3B2560">
            <w:pPr>
              <w:spacing w:line="220" w:lineRule="atLeast"/>
              <w:jc w:val="center"/>
              <w:rPr>
                <w:rFonts w:ascii="宋体" w:hAnsi="宋体"/>
                <w:szCs w:val="21"/>
                <w:highlight w:val="none"/>
              </w:rPr>
            </w:pPr>
          </w:p>
        </w:tc>
        <w:tc>
          <w:tcPr>
            <w:tcW w:w="1871" w:type="dxa"/>
            <w:vAlign w:val="center"/>
          </w:tcPr>
          <w:p w14:paraId="57DA3871">
            <w:pPr>
              <w:spacing w:line="220" w:lineRule="atLeast"/>
              <w:jc w:val="center"/>
              <w:rPr>
                <w:rFonts w:ascii="宋体" w:hAnsi="宋体"/>
                <w:szCs w:val="21"/>
                <w:highlight w:val="none"/>
              </w:rPr>
            </w:pPr>
          </w:p>
        </w:tc>
      </w:tr>
      <w:tr w14:paraId="3168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547" w:type="dxa"/>
            <w:vAlign w:val="center"/>
          </w:tcPr>
          <w:p w14:paraId="25C8FC79">
            <w:pPr>
              <w:jc w:val="center"/>
              <w:rPr>
                <w:rFonts w:ascii="宋体" w:hAnsi="宋体" w:cs="宋体"/>
                <w:kern w:val="0"/>
                <w:sz w:val="20"/>
                <w:szCs w:val="20"/>
                <w:highlight w:val="none"/>
              </w:rPr>
            </w:pPr>
            <w:r>
              <w:rPr>
                <w:rFonts w:hint="eastAsia" w:ascii="宋体" w:hAnsi="宋体" w:cs="宋体"/>
                <w:color w:val="000000" w:themeColor="text1"/>
                <w:sz w:val="20"/>
                <w:szCs w:val="20"/>
                <w:highlight w:val="none"/>
                <w:lang w:val="en-US" w:eastAsia="zh-CN"/>
                <w14:textFill>
                  <w14:solidFill>
                    <w14:schemeClr w14:val="tx1"/>
                  </w14:solidFill>
                </w14:textFill>
              </w:rPr>
              <w:t>热固复合聚苯乙烯泡沫保温板</w:t>
            </w:r>
          </w:p>
        </w:tc>
        <w:tc>
          <w:tcPr>
            <w:tcW w:w="2244" w:type="dxa"/>
            <w:vAlign w:val="center"/>
          </w:tcPr>
          <w:p w14:paraId="06C0A1EA">
            <w:pPr>
              <w:jc w:val="center"/>
              <w:rPr>
                <w:rFonts w:ascii="宋体" w:hAnsi="宋体" w:cs="宋体"/>
                <w:color w:val="000000"/>
                <w:kern w:val="0"/>
                <w:sz w:val="18"/>
                <w:szCs w:val="18"/>
                <w:highlight w:val="none"/>
              </w:rPr>
            </w:pPr>
          </w:p>
        </w:tc>
        <w:tc>
          <w:tcPr>
            <w:tcW w:w="1807" w:type="dxa"/>
            <w:vAlign w:val="center"/>
          </w:tcPr>
          <w:p w14:paraId="27103F2A">
            <w:pPr>
              <w:spacing w:line="220" w:lineRule="atLeast"/>
              <w:jc w:val="center"/>
              <w:rPr>
                <w:rFonts w:ascii="宋体" w:hAnsi="宋体"/>
                <w:szCs w:val="21"/>
                <w:highlight w:val="none"/>
              </w:rPr>
            </w:pPr>
          </w:p>
        </w:tc>
        <w:tc>
          <w:tcPr>
            <w:tcW w:w="1445" w:type="dxa"/>
            <w:vAlign w:val="center"/>
          </w:tcPr>
          <w:p w14:paraId="3553E7BB">
            <w:pPr>
              <w:spacing w:line="220" w:lineRule="atLeast"/>
              <w:jc w:val="center"/>
              <w:rPr>
                <w:rFonts w:ascii="宋体" w:hAnsi="宋体"/>
                <w:szCs w:val="21"/>
                <w:highlight w:val="none"/>
              </w:rPr>
            </w:pPr>
          </w:p>
        </w:tc>
        <w:tc>
          <w:tcPr>
            <w:tcW w:w="1667" w:type="dxa"/>
            <w:vAlign w:val="center"/>
          </w:tcPr>
          <w:p w14:paraId="6EEDB09F">
            <w:pPr>
              <w:spacing w:line="220" w:lineRule="atLeast"/>
              <w:jc w:val="center"/>
              <w:rPr>
                <w:rFonts w:ascii="宋体" w:hAnsi="宋体"/>
                <w:szCs w:val="21"/>
                <w:highlight w:val="none"/>
              </w:rPr>
            </w:pPr>
          </w:p>
        </w:tc>
        <w:tc>
          <w:tcPr>
            <w:tcW w:w="1871" w:type="dxa"/>
            <w:vAlign w:val="center"/>
          </w:tcPr>
          <w:p w14:paraId="2F9DACBD">
            <w:pPr>
              <w:spacing w:line="220" w:lineRule="atLeast"/>
              <w:jc w:val="center"/>
              <w:rPr>
                <w:rFonts w:ascii="宋体" w:hAnsi="宋体"/>
                <w:szCs w:val="21"/>
                <w:highlight w:val="none"/>
              </w:rPr>
            </w:pPr>
          </w:p>
        </w:tc>
        <w:tc>
          <w:tcPr>
            <w:tcW w:w="1871" w:type="dxa"/>
            <w:vAlign w:val="center"/>
          </w:tcPr>
          <w:p w14:paraId="4EF89491">
            <w:pPr>
              <w:spacing w:line="220" w:lineRule="atLeast"/>
              <w:jc w:val="center"/>
              <w:rPr>
                <w:rFonts w:ascii="宋体" w:hAnsi="宋体"/>
                <w:szCs w:val="21"/>
                <w:highlight w:val="none"/>
              </w:rPr>
            </w:pPr>
          </w:p>
        </w:tc>
      </w:tr>
      <w:tr w14:paraId="1201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547" w:type="dxa"/>
            <w:vAlign w:val="center"/>
          </w:tcPr>
          <w:p w14:paraId="0DCD5276">
            <w:pPr>
              <w:jc w:val="center"/>
              <w:textAlignment w:val="center"/>
              <w:rPr>
                <w:rFonts w:ascii="宋体" w:hAnsi="宋体" w:cs="宋体"/>
                <w:color w:val="000000"/>
                <w:szCs w:val="21"/>
                <w:highlight w:val="none"/>
              </w:rPr>
            </w:pPr>
            <w:r>
              <w:rPr>
                <w:rFonts w:hint="eastAsia" w:ascii="宋体" w:hAnsi="宋体"/>
                <w:sz w:val="20"/>
                <w:szCs w:val="20"/>
                <w:highlight w:val="none"/>
              </w:rPr>
              <w:t>携带资料是否符合要求</w:t>
            </w:r>
          </w:p>
        </w:tc>
        <w:tc>
          <w:tcPr>
            <w:tcW w:w="10905" w:type="dxa"/>
            <w:gridSpan w:val="6"/>
            <w:vAlign w:val="center"/>
          </w:tcPr>
          <w:p w14:paraId="18E1302B">
            <w:pPr>
              <w:spacing w:line="220" w:lineRule="atLeast"/>
              <w:rPr>
                <w:rFonts w:ascii="宋体" w:hAnsi="宋体"/>
                <w:b/>
                <w:szCs w:val="21"/>
                <w:highlight w:val="none"/>
              </w:rPr>
            </w:pPr>
            <w:r>
              <w:rPr>
                <w:rFonts w:hint="eastAsia" w:ascii="宋体" w:hAnsi="宋体"/>
                <w:b/>
                <w:szCs w:val="21"/>
                <w:highlight w:val="none"/>
                <w:lang w:val="en-US" w:eastAsia="zh-CN"/>
              </w:rPr>
              <w:t>提供厂家资质资料、合格证、型检报告等相关资料</w:t>
            </w:r>
          </w:p>
        </w:tc>
      </w:tr>
      <w:tr w14:paraId="520B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2547" w:type="dxa"/>
            <w:vAlign w:val="center"/>
          </w:tcPr>
          <w:p w14:paraId="620C6E64">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rPr>
              <w:t>综合评价：</w:t>
            </w:r>
          </w:p>
        </w:tc>
        <w:tc>
          <w:tcPr>
            <w:tcW w:w="10905" w:type="dxa"/>
            <w:gridSpan w:val="6"/>
            <w:vAlign w:val="center"/>
          </w:tcPr>
          <w:p w14:paraId="11F3D3AA">
            <w:pPr>
              <w:spacing w:line="220" w:lineRule="atLeast"/>
              <w:ind w:left="7308" w:leftChars="1300" w:right="960" w:hanging="4578" w:hangingChars="1900"/>
              <w:rPr>
                <w:rFonts w:ascii="宋体" w:hAnsi="宋体" w:cs="Utsaah"/>
                <w:b/>
                <w:sz w:val="24"/>
                <w:highlight w:val="none"/>
              </w:rPr>
            </w:pPr>
            <w:r>
              <w:rPr>
                <w:rFonts w:hint="eastAsia" w:ascii="宋体" w:hAnsi="宋体" w:cs="Utsaah"/>
                <w:b/>
                <w:sz w:val="24"/>
                <w:highlight w:val="none"/>
              </w:rPr>
              <w:t xml:space="preserve">                                                                                签字：（项目总工或技术负责人、物资设备部部长等不少于2人共同签字</w:t>
            </w:r>
          </w:p>
        </w:tc>
      </w:tr>
    </w:tbl>
    <w:p w14:paraId="2A91F6B4">
      <w:pPr>
        <w:spacing w:line="220" w:lineRule="atLeast"/>
        <w:rPr>
          <w:rFonts w:ascii="宋体" w:hAnsi="宋体"/>
          <w:highlight w:val="none"/>
        </w:rPr>
      </w:pPr>
    </w:p>
    <w:p w14:paraId="24D172F1">
      <w:bookmarkStart w:id="97" w:name="_GoBack"/>
      <w:bookmarkEnd w:id="97"/>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Utsaah">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E8819">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29A1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B29A1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E9FFC">
    <w:pPr>
      <w:pStyle w:val="3"/>
      <w:framePr w:wrap="around" w:vAnchor="text" w:hAnchor="margin" w:xAlign="center" w:y="1"/>
      <w:rPr>
        <w:rStyle w:val="8"/>
      </w:rPr>
    </w:pPr>
    <w:r>
      <w:fldChar w:fldCharType="begin"/>
    </w:r>
    <w:r>
      <w:rPr>
        <w:rStyle w:val="8"/>
      </w:rPr>
      <w:instrText xml:space="preserve">PAGE  </w:instrText>
    </w:r>
    <w:r>
      <w:fldChar w:fldCharType="end"/>
    </w:r>
  </w:p>
  <w:p w14:paraId="341C49AF">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731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A9A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A9A8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7B86">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4D927">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64D927">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EDF1">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9</w:t>
    </w:r>
    <w:r>
      <w:fldChar w:fldCharType="end"/>
    </w:r>
  </w:p>
  <w:p w14:paraId="018E28F8">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0FE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D1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0" w:after="20"/>
      <w:ind w:left="210" w:leftChars="100" w:right="100" w:rightChars="100"/>
      <w:outlineLvl w:val="1"/>
    </w:pPr>
    <w:rPr>
      <w:rFonts w:ascii="Arial" w:hAnsi="Arial"/>
      <w:b/>
      <w:bCs/>
      <w:sz w:val="28"/>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砼1"/>
    <w:basedOn w:val="10"/>
    <w:qFormat/>
    <w:uiPriority w:val="0"/>
  </w:style>
  <w:style w:type="paragraph" w:customStyle="1" w:styleId="10">
    <w:name w:val="1.招标条件"/>
    <w:basedOn w:val="2"/>
    <w:qFormat/>
    <w:uiPriority w:val="0"/>
    <w:pPr>
      <w:ind w:right="21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2025-11-05T03:05:37Z</dcterms:created>
  <dc:creator>24644</dc:creator>
  <cp:lastModifiedBy>yyl</cp:lastModifiedBy>
  <dcterms:modified xsi:type="dcterms:W3CDTF">2025-11-05T03:06:14Z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eyJoZGlkIjoiMTQ1NTc2ODZlYmQ1MTE3ZmM1ZWU1NjQ2ZjgyMWFiMzkiLCJ1c2VySWQiOiI0MzIwODIxMDYifQ==</vt:lpwstr>
  </property>
  <property fmtid="{D5CDD505-2E9C-101B-9397-08002B2CF9AE}" pid="4" name="ICV">
    <vt:lpwstr>8A2A08BD0A644D679BD01883D6C54A2F_12</vt:lpwstr>
  </property>
</Properties>
</file>