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F6037">
      <w:pPr>
        <w:pStyle w:val="3"/>
        <w:spacing w:line="600" w:lineRule="exact"/>
        <w:jc w:val="center"/>
        <w:outlineLvl w:val="0"/>
        <w:rPr>
          <w:rFonts w:ascii="仿宋_GB2312" w:hAnsi="Verdana" w:eastAsia="仿宋_GB2312" w:cs="宋体"/>
          <w:b/>
          <w:bCs/>
          <w:spacing w:val="15"/>
          <w:kern w:val="0"/>
          <w:sz w:val="28"/>
          <w:szCs w:val="28"/>
        </w:rPr>
      </w:pPr>
      <w:r>
        <w:rPr>
          <w:rFonts w:hint="eastAsia" w:ascii="仿宋_GB2312" w:hAnsi="Verdana" w:eastAsia="仿宋_GB2312" w:cs="宋体"/>
          <w:b/>
          <w:bCs/>
          <w:spacing w:val="15"/>
          <w:kern w:val="0"/>
          <w:sz w:val="28"/>
          <w:szCs w:val="28"/>
        </w:rPr>
        <w:t>综合评分法</w:t>
      </w:r>
    </w:p>
    <w:p w14:paraId="4F7A750C">
      <w:pPr>
        <w:pStyle w:val="3"/>
        <w:spacing w:line="600" w:lineRule="exact"/>
        <w:jc w:val="center"/>
        <w:outlineLvl w:val="0"/>
        <w:rPr>
          <w:rFonts w:hint="eastAsia" w:ascii="宋体" w:hAnsi="宋体" w:cs="宋体"/>
          <w:b/>
          <w:bCs/>
          <w:sz w:val="28"/>
          <w:szCs w:val="28"/>
        </w:rPr>
      </w:pPr>
      <w:r>
        <w:rPr>
          <w:rFonts w:hint="eastAsia" w:ascii="宋体" w:hAnsi="宋体" w:cs="宋体"/>
          <w:b/>
          <w:bCs/>
          <w:sz w:val="28"/>
          <w:szCs w:val="28"/>
        </w:rPr>
        <w:t>评 标 定 标 办 法</w:t>
      </w:r>
    </w:p>
    <w:p w14:paraId="7E7D5304">
      <w:pPr>
        <w:pStyle w:val="9"/>
        <w:ind w:firstLine="482" w:firstLineChars="200"/>
        <w:rPr>
          <w:rFonts w:hint="eastAsia" w:cs="宋体"/>
          <w:b/>
          <w:bCs/>
          <w:kern w:val="2"/>
        </w:rPr>
      </w:pPr>
      <w:r>
        <w:rPr>
          <w:rFonts w:hint="eastAsia" w:cs="宋体"/>
          <w:b/>
          <w:bCs/>
          <w:kern w:val="2"/>
        </w:rPr>
        <w:t>第一条  编制依据</w:t>
      </w:r>
    </w:p>
    <w:p w14:paraId="2B91C158">
      <w:pPr>
        <w:pStyle w:val="9"/>
        <w:spacing w:line="460" w:lineRule="exact"/>
        <w:ind w:firstLine="480" w:firstLineChars="200"/>
        <w:rPr>
          <w:rFonts w:hint="eastAsia" w:cs="宋体"/>
          <w:kern w:val="2"/>
        </w:rPr>
      </w:pPr>
      <w:r>
        <w:rPr>
          <w:rFonts w:hint="eastAsia" w:cs="宋体"/>
          <w:kern w:val="2"/>
        </w:rPr>
        <w:t>招标人根据最新的《中华人民共和国招标投标法》、《评标委员会和评标方法暂行规定》等有关法律、法规及规章，结合本招标项目实际情况，制定本评标办法。</w:t>
      </w:r>
    </w:p>
    <w:p w14:paraId="2714C6BC">
      <w:pPr>
        <w:spacing w:line="460" w:lineRule="exact"/>
        <w:ind w:firstLine="472" w:firstLineChars="196"/>
        <w:rPr>
          <w:rFonts w:hint="eastAsia" w:ascii="宋体" w:hAnsi="宋体" w:cs="宋体"/>
          <w:b/>
          <w:sz w:val="24"/>
        </w:rPr>
      </w:pPr>
      <w:r>
        <w:rPr>
          <w:rFonts w:hint="eastAsia" w:ascii="宋体" w:hAnsi="宋体" w:cs="宋体"/>
          <w:b/>
          <w:sz w:val="24"/>
        </w:rPr>
        <w:t>第二条  评标办法类型</w:t>
      </w:r>
    </w:p>
    <w:p w14:paraId="36528B11">
      <w:pPr>
        <w:pStyle w:val="9"/>
        <w:widowControl w:val="0"/>
        <w:spacing w:before="0" w:beforeAutospacing="0" w:after="0" w:afterAutospacing="0" w:line="460" w:lineRule="exact"/>
        <w:ind w:firstLine="480" w:firstLineChars="200"/>
        <w:jc w:val="both"/>
        <w:rPr>
          <w:rFonts w:hint="eastAsia" w:cs="宋体"/>
          <w:kern w:val="2"/>
        </w:rPr>
      </w:pPr>
      <w:r>
        <w:rPr>
          <w:rFonts w:hint="eastAsia" w:cs="宋体"/>
          <w:kern w:val="2"/>
        </w:rPr>
        <w:t>本办法属于综合评分法。价格标、技术标、商务标三部分的权重，经加权后，总分值为10</w:t>
      </w:r>
      <w:r>
        <w:rPr>
          <w:rFonts w:hint="eastAsia" w:cs="宋体"/>
          <w:kern w:val="2"/>
          <w:highlight w:val="none"/>
        </w:rPr>
        <w:t>0分。其中，价格标的权重为</w:t>
      </w:r>
      <w:r>
        <w:rPr>
          <w:rFonts w:hint="eastAsia" w:cs="宋体"/>
          <w:kern w:val="2"/>
          <w:highlight w:val="none"/>
          <w:lang w:val="en-US" w:eastAsia="zh-CN"/>
        </w:rPr>
        <w:t>4</w:t>
      </w:r>
      <w:r>
        <w:rPr>
          <w:rFonts w:hint="eastAsia" w:cs="宋体"/>
          <w:kern w:val="2"/>
          <w:highlight w:val="none"/>
        </w:rPr>
        <w:t>0%，技术标的权重为</w:t>
      </w:r>
      <w:r>
        <w:rPr>
          <w:rFonts w:hint="eastAsia" w:cs="宋体"/>
          <w:kern w:val="2"/>
          <w:highlight w:val="none"/>
          <w:lang w:val="en-US" w:eastAsia="zh-CN"/>
        </w:rPr>
        <w:t>5</w:t>
      </w:r>
      <w:r>
        <w:rPr>
          <w:rFonts w:hint="eastAsia" w:cs="宋体"/>
          <w:kern w:val="2"/>
          <w:highlight w:val="none"/>
        </w:rPr>
        <w:t>0%，商务标的权重为</w:t>
      </w:r>
      <w:r>
        <w:rPr>
          <w:rFonts w:hint="eastAsia" w:cs="宋体"/>
          <w:kern w:val="2"/>
          <w:highlight w:val="none"/>
          <w:lang w:val="en-US" w:eastAsia="zh-CN"/>
        </w:rPr>
        <w:t>1</w:t>
      </w:r>
      <w:r>
        <w:rPr>
          <w:rFonts w:hint="eastAsia" w:cs="宋体"/>
          <w:kern w:val="2"/>
          <w:highlight w:val="none"/>
        </w:rPr>
        <w:t>0%。</w:t>
      </w:r>
    </w:p>
    <w:p w14:paraId="52848849">
      <w:pPr>
        <w:spacing w:line="460" w:lineRule="exact"/>
        <w:ind w:firstLine="472" w:firstLineChars="196"/>
        <w:rPr>
          <w:rFonts w:hint="eastAsia" w:ascii="宋体" w:hAnsi="宋体" w:cs="宋体"/>
          <w:b/>
          <w:sz w:val="24"/>
        </w:rPr>
      </w:pPr>
      <w:r>
        <w:rPr>
          <w:rFonts w:hint="eastAsia" w:ascii="宋体" w:hAnsi="宋体" w:cs="宋体"/>
          <w:b/>
          <w:sz w:val="24"/>
        </w:rPr>
        <w:t>第三条  与招标文件的关系</w:t>
      </w:r>
    </w:p>
    <w:p w14:paraId="5A9FE5FD">
      <w:pPr>
        <w:spacing w:line="460" w:lineRule="exact"/>
        <w:ind w:firstLine="480" w:firstLineChars="200"/>
        <w:rPr>
          <w:rFonts w:hint="eastAsia" w:ascii="宋体" w:hAnsi="宋体" w:cs="宋体"/>
          <w:sz w:val="24"/>
        </w:rPr>
      </w:pPr>
      <w:r>
        <w:rPr>
          <w:rFonts w:hint="eastAsia" w:ascii="宋体" w:hAnsi="宋体" w:cs="宋体"/>
          <w:sz w:val="24"/>
        </w:rPr>
        <w:t>本办法是本项目招标文件的组成部分。</w:t>
      </w:r>
    </w:p>
    <w:p w14:paraId="5DA99CEA">
      <w:pPr>
        <w:spacing w:line="460" w:lineRule="exact"/>
        <w:ind w:firstLine="472" w:firstLineChars="196"/>
        <w:rPr>
          <w:rFonts w:hint="eastAsia" w:ascii="宋体" w:hAnsi="宋体" w:cs="宋体"/>
          <w:b/>
          <w:sz w:val="24"/>
        </w:rPr>
      </w:pPr>
      <w:r>
        <w:rPr>
          <w:rFonts w:hint="eastAsia" w:ascii="宋体" w:hAnsi="宋体" w:cs="宋体"/>
          <w:b/>
          <w:sz w:val="24"/>
        </w:rPr>
        <w:t>第四条  评标原则</w:t>
      </w:r>
    </w:p>
    <w:p w14:paraId="68D1B744">
      <w:pPr>
        <w:spacing w:line="460" w:lineRule="exact"/>
        <w:ind w:firstLine="480" w:firstLineChars="200"/>
        <w:rPr>
          <w:rFonts w:hint="eastAsia" w:ascii="宋体" w:hAnsi="宋体" w:cs="宋体"/>
          <w:sz w:val="24"/>
        </w:rPr>
      </w:pPr>
      <w:r>
        <w:rPr>
          <w:rFonts w:hint="eastAsia" w:ascii="宋体" w:hAnsi="宋体" w:cs="宋体"/>
          <w:sz w:val="24"/>
        </w:rPr>
        <w:t>本招标项目评标委员会依法按下述原则进行评标：</w:t>
      </w:r>
    </w:p>
    <w:p w14:paraId="6BFB89BB">
      <w:pPr>
        <w:spacing w:line="460" w:lineRule="exact"/>
        <w:ind w:firstLine="480" w:firstLineChars="200"/>
        <w:rPr>
          <w:rFonts w:hint="eastAsia" w:ascii="宋体" w:hAnsi="宋体" w:cs="宋体"/>
          <w:sz w:val="24"/>
        </w:rPr>
      </w:pPr>
      <w:r>
        <w:rPr>
          <w:rFonts w:hint="eastAsia" w:ascii="宋体" w:hAnsi="宋体" w:cs="宋体"/>
          <w:sz w:val="24"/>
        </w:rPr>
        <w:t>1、公平、公正、科学和择优；</w:t>
      </w:r>
    </w:p>
    <w:p w14:paraId="633CD5FA">
      <w:pPr>
        <w:spacing w:line="460" w:lineRule="exact"/>
        <w:ind w:firstLine="480" w:firstLineChars="200"/>
        <w:rPr>
          <w:rFonts w:hint="eastAsia" w:ascii="宋体" w:hAnsi="宋体" w:cs="宋体"/>
          <w:sz w:val="24"/>
        </w:rPr>
      </w:pPr>
      <w:r>
        <w:rPr>
          <w:rFonts w:hint="eastAsia" w:ascii="宋体" w:hAnsi="宋体" w:cs="宋体"/>
          <w:sz w:val="24"/>
        </w:rPr>
        <w:t>2、依法评标、严格保密；</w:t>
      </w:r>
    </w:p>
    <w:p w14:paraId="1DCD5B18">
      <w:pPr>
        <w:spacing w:line="460" w:lineRule="exact"/>
        <w:ind w:firstLine="480" w:firstLineChars="200"/>
        <w:rPr>
          <w:rFonts w:hint="eastAsia" w:ascii="宋体" w:hAnsi="宋体" w:cs="宋体"/>
          <w:sz w:val="24"/>
        </w:rPr>
      </w:pPr>
      <w:r>
        <w:rPr>
          <w:rFonts w:hint="eastAsia" w:ascii="宋体" w:hAnsi="宋体" w:cs="宋体"/>
          <w:sz w:val="24"/>
        </w:rPr>
        <w:t>3、反对不正当竞争；</w:t>
      </w:r>
    </w:p>
    <w:p w14:paraId="3C9D3BCD">
      <w:pPr>
        <w:spacing w:line="460" w:lineRule="exact"/>
        <w:ind w:firstLine="480" w:firstLineChars="200"/>
        <w:rPr>
          <w:rFonts w:ascii="宋体" w:hAnsi="宋体" w:cs="宋体"/>
          <w:sz w:val="24"/>
        </w:rPr>
      </w:pPr>
      <w:r>
        <w:rPr>
          <w:rFonts w:hint="eastAsia" w:ascii="宋体" w:hAnsi="宋体" w:cs="宋体"/>
          <w:sz w:val="24"/>
        </w:rPr>
        <w:t>4、定性的结论由评标委员会全体成员按少数服从多数的原则，以记名投票方式决定。</w:t>
      </w:r>
    </w:p>
    <w:p w14:paraId="35E50724">
      <w:pPr>
        <w:spacing w:line="460" w:lineRule="exact"/>
        <w:ind w:firstLine="480" w:firstLineChars="200"/>
        <w:rPr>
          <w:rFonts w:hint="eastAsia" w:ascii="宋体" w:hAnsi="宋体" w:cs="宋体"/>
          <w:sz w:val="24"/>
        </w:rPr>
      </w:pPr>
      <w:r>
        <w:rPr>
          <w:rFonts w:hint="eastAsia" w:ascii="宋体" w:hAnsi="宋体" w:cs="宋体"/>
          <w:sz w:val="24"/>
        </w:rPr>
        <w:t>5、</w:t>
      </w:r>
      <w:r>
        <w:rPr>
          <w:rFonts w:ascii="宋体" w:hAnsi="宋体" w:cs="宋体"/>
          <w:sz w:val="24"/>
        </w:rPr>
        <w:t>中标候选人排序方法</w:t>
      </w:r>
      <w:r>
        <w:rPr>
          <w:rFonts w:hint="eastAsia" w:ascii="宋体" w:hAnsi="宋体" w:cs="宋体"/>
          <w:sz w:val="24"/>
        </w:rPr>
        <w:t>：</w:t>
      </w:r>
      <w:r>
        <w:rPr>
          <w:rFonts w:ascii="宋体" w:hAnsi="宋体" w:cs="宋体"/>
          <w:sz w:val="24"/>
        </w:rPr>
        <w:t>综合评分相等时，以投标报价低的优先；投标报价也相等的，以技术得分高的优先；如果技术得分也相等的，以商务得分中的业绩评审项得分高的优先。</w:t>
      </w:r>
    </w:p>
    <w:p w14:paraId="116AFF04">
      <w:pPr>
        <w:spacing w:line="460" w:lineRule="exact"/>
        <w:ind w:firstLine="472" w:firstLineChars="196"/>
        <w:rPr>
          <w:rFonts w:hint="eastAsia" w:ascii="宋体" w:hAnsi="宋体" w:cs="宋体"/>
          <w:b/>
          <w:sz w:val="24"/>
        </w:rPr>
      </w:pPr>
      <w:r>
        <w:rPr>
          <w:rFonts w:hint="eastAsia" w:ascii="宋体" w:hAnsi="宋体" w:cs="宋体"/>
          <w:b/>
          <w:sz w:val="24"/>
        </w:rPr>
        <w:t>第五条  组建评标委员会</w:t>
      </w:r>
    </w:p>
    <w:p w14:paraId="5104F3DC">
      <w:pPr>
        <w:spacing w:line="460" w:lineRule="exact"/>
        <w:ind w:firstLine="480" w:firstLineChars="200"/>
        <w:rPr>
          <w:rFonts w:hint="eastAsia" w:ascii="宋体" w:hAnsi="宋体" w:cs="宋体"/>
          <w:sz w:val="24"/>
        </w:rPr>
      </w:pPr>
      <w:r>
        <w:rPr>
          <w:rFonts w:hint="eastAsia" w:ascii="宋体" w:hAnsi="宋体" w:cs="宋体"/>
          <w:sz w:val="24"/>
        </w:rPr>
        <w:t>评标工作由招标人依法组建的评标委员会承担。</w:t>
      </w:r>
      <w:r>
        <w:rPr>
          <w:rFonts w:hint="eastAsia" w:ascii="宋体" w:hAnsi="宋体" w:cs="宋体"/>
          <w:spacing w:val="-4"/>
          <w:sz w:val="24"/>
        </w:rPr>
        <w:t>评标委员会成员总人数</w:t>
      </w:r>
      <w:r>
        <w:rPr>
          <w:rFonts w:hint="eastAsia" w:ascii="宋体" w:hAnsi="宋体" w:cs="宋体"/>
          <w:sz w:val="24"/>
        </w:rPr>
        <w:t>为</w:t>
      </w:r>
      <w:r>
        <w:rPr>
          <w:rFonts w:ascii="宋体" w:hAnsi="宋体" w:cs="宋体"/>
          <w:sz w:val="24"/>
        </w:rPr>
        <w:t>_</w:t>
      </w:r>
      <w:r>
        <w:rPr>
          <w:rFonts w:hint="eastAsia" w:ascii="宋体" w:hAnsi="宋体" w:cs="宋体"/>
          <w:sz w:val="24"/>
        </w:rPr>
        <w:t>人，其中技术评标</w:t>
      </w:r>
      <w:r>
        <w:rPr>
          <w:rFonts w:hint="eastAsia" w:ascii="宋体" w:hAnsi="宋体" w:cs="宋体"/>
          <w:color w:val="FF0000"/>
          <w:sz w:val="24"/>
          <w:u w:val="single"/>
        </w:rPr>
        <w:t xml:space="preserve">  </w:t>
      </w:r>
      <w:r>
        <w:rPr>
          <w:rFonts w:hint="eastAsia" w:ascii="宋体" w:hAnsi="宋体" w:cs="宋体"/>
          <w:sz w:val="24"/>
        </w:rPr>
        <w:t>人，商务评标（含商务、价格标）</w:t>
      </w:r>
      <w:r>
        <w:rPr>
          <w:rFonts w:hint="eastAsia" w:ascii="宋体" w:hAnsi="宋体" w:cs="宋体"/>
          <w:color w:val="FF0000"/>
          <w:sz w:val="24"/>
          <w:u w:val="single"/>
        </w:rPr>
        <w:t xml:space="preserve">  </w:t>
      </w:r>
      <w:r>
        <w:rPr>
          <w:rFonts w:hint="eastAsia" w:ascii="宋体" w:hAnsi="宋体" w:cs="宋体"/>
          <w:sz w:val="24"/>
        </w:rPr>
        <w:t>人。</w:t>
      </w:r>
    </w:p>
    <w:p w14:paraId="3C7CEA17">
      <w:pPr>
        <w:spacing w:line="460" w:lineRule="exact"/>
        <w:ind w:firstLine="354" w:firstLineChars="147"/>
        <w:rPr>
          <w:rFonts w:hint="eastAsia" w:ascii="宋体" w:hAnsi="宋体" w:cs="宋体"/>
          <w:b/>
          <w:sz w:val="24"/>
        </w:rPr>
      </w:pPr>
      <w:r>
        <w:rPr>
          <w:rFonts w:hint="eastAsia" w:ascii="宋体" w:hAnsi="宋体" w:cs="宋体"/>
          <w:b/>
          <w:sz w:val="24"/>
        </w:rPr>
        <w:t>第六条  选举评标委员会组长并分工</w:t>
      </w:r>
    </w:p>
    <w:p w14:paraId="589D1236">
      <w:pPr>
        <w:spacing w:line="460" w:lineRule="exact"/>
        <w:ind w:firstLine="480" w:firstLineChars="200"/>
        <w:rPr>
          <w:rFonts w:hint="eastAsia" w:ascii="宋体" w:hAnsi="宋体" w:cs="宋体"/>
          <w:sz w:val="24"/>
        </w:rPr>
      </w:pPr>
      <w:r>
        <w:rPr>
          <w:rFonts w:hint="eastAsia" w:ascii="宋体" w:hAnsi="宋体" w:cs="宋体"/>
          <w:sz w:val="24"/>
        </w:rPr>
        <w:t>评标委员会推选一名商务标组长，一名技术标组长。组长各自负责组织评标工作。</w:t>
      </w:r>
    </w:p>
    <w:p w14:paraId="0F0C2AFD">
      <w:pPr>
        <w:spacing w:line="460" w:lineRule="exact"/>
        <w:ind w:firstLine="354" w:firstLineChars="147"/>
        <w:rPr>
          <w:rFonts w:ascii="宋体" w:hAnsi="宋体" w:cs="宋体"/>
          <w:b/>
          <w:sz w:val="24"/>
        </w:rPr>
      </w:pPr>
      <w:r>
        <w:rPr>
          <w:rFonts w:hint="eastAsia" w:ascii="宋体" w:hAnsi="宋体" w:cs="宋体"/>
          <w:b/>
          <w:sz w:val="24"/>
        </w:rPr>
        <w:t>第七条  评分细则</w:t>
      </w:r>
    </w:p>
    <w:p w14:paraId="0BB253EB">
      <w:pPr>
        <w:spacing w:line="360" w:lineRule="auto"/>
        <w:ind w:firstLine="472" w:firstLineChars="196"/>
        <w:rPr>
          <w:rFonts w:hint="eastAsia" w:ascii="宋体" w:hAnsi="宋体" w:cs="宋体"/>
          <w:b/>
          <w:sz w:val="24"/>
        </w:rPr>
      </w:pPr>
      <w:r>
        <w:rPr>
          <w:rFonts w:hint="eastAsia" w:ascii="宋体" w:hAnsi="宋体" w:cs="宋体"/>
          <w:b/>
          <w:sz w:val="24"/>
        </w:rPr>
        <w:t>（一）资格</w:t>
      </w:r>
      <w:r>
        <w:rPr>
          <w:rFonts w:ascii="宋体" w:hAnsi="宋体" w:cs="宋体"/>
          <w:b/>
          <w:sz w:val="24"/>
        </w:rPr>
        <w:t>评审</w:t>
      </w:r>
    </w:p>
    <w:p w14:paraId="04AD8E31">
      <w:pPr>
        <w:adjustRightInd w:val="0"/>
        <w:snapToGrid w:val="0"/>
        <w:spacing w:line="360" w:lineRule="auto"/>
        <w:ind w:firstLine="480" w:firstLineChars="200"/>
        <w:rPr>
          <w:rFonts w:hint="eastAsia" w:ascii="宋体" w:hAnsi="宋体" w:cs="宋体"/>
          <w:bCs/>
          <w:iCs/>
          <w:sz w:val="24"/>
        </w:rPr>
      </w:pPr>
      <w:bookmarkStart w:id="0" w:name="psAttribute_20230326213222949_0"/>
      <w:r>
        <w:rPr>
          <w:rFonts w:hint="eastAsia" w:ascii="宋体" w:hAnsi="宋体" w:cs="宋体"/>
          <w:bCs/>
          <w:iCs/>
          <w:sz w:val="24"/>
        </w:rPr>
        <w:t>1、</w:t>
      </w:r>
      <w:r>
        <w:rPr>
          <w:rFonts w:ascii="宋体" w:hAnsi="宋体" w:cs="宋体"/>
          <w:bCs/>
          <w:iCs/>
          <w:sz w:val="24"/>
        </w:rPr>
        <w:t>形式评审</w:t>
      </w:r>
      <w:bookmarkEnd w:id="0"/>
    </w:p>
    <w:p w14:paraId="44678BB0">
      <w:pPr>
        <w:pStyle w:val="9"/>
        <w:widowControl w:val="0"/>
        <w:numPr>
          <w:ilvl w:val="255"/>
          <w:numId w:val="0"/>
        </w:numPr>
        <w:spacing w:before="0" w:beforeAutospacing="0" w:after="0" w:afterAutospacing="0"/>
        <w:ind w:firstLine="482" w:firstLineChars="200"/>
        <w:jc w:val="center"/>
        <w:rPr>
          <w:rFonts w:hint="eastAsia" w:cs="宋体"/>
          <w:b/>
          <w:iCs/>
        </w:rPr>
      </w:pPr>
      <w:r>
        <w:rPr>
          <w:rFonts w:hint="eastAsia" w:cs="宋体"/>
          <w:b/>
          <w:iCs/>
        </w:rPr>
        <w:t>表1 形式评审标准</w:t>
      </w:r>
    </w:p>
    <w:tbl>
      <w:tblPr>
        <w:tblStyle w:val="11"/>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01"/>
        <w:gridCol w:w="6117"/>
      </w:tblGrid>
      <w:tr w14:paraId="77FD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noWrap w:val="0"/>
            <w:vAlign w:val="center"/>
          </w:tcPr>
          <w:p w14:paraId="37B2CC25">
            <w:pPr>
              <w:adjustRightInd w:val="0"/>
              <w:snapToGrid w:val="0"/>
              <w:spacing w:line="240" w:lineRule="auto"/>
              <w:jc w:val="center"/>
              <w:rPr>
                <w:rFonts w:ascii="Times New Roman" w:hAnsi="Times New Roman"/>
                <w:color w:val="000000"/>
                <w:kern w:val="0"/>
              </w:rPr>
            </w:pPr>
            <w:bookmarkStart w:id="1" w:name="psFlowItem_20230326211701292_0"/>
            <w:r>
              <w:rPr>
                <w:rFonts w:ascii="Times New Roman" w:hAnsi="Times New Roman"/>
                <w:b/>
                <w:color w:val="000000"/>
                <w:kern w:val="0"/>
              </w:rPr>
              <w:t>序号</w:t>
            </w:r>
          </w:p>
        </w:tc>
        <w:tc>
          <w:tcPr>
            <w:tcW w:w="1701" w:type="dxa"/>
            <w:noWrap w:val="0"/>
            <w:vAlign w:val="center"/>
          </w:tcPr>
          <w:p w14:paraId="0A2D8D8E">
            <w:pPr>
              <w:adjustRightInd w:val="0"/>
              <w:snapToGrid w:val="0"/>
              <w:spacing w:line="240" w:lineRule="auto"/>
              <w:jc w:val="center"/>
              <w:rPr>
                <w:rFonts w:ascii="Times New Roman" w:hAnsi="Times New Roman"/>
                <w:color w:val="000000"/>
                <w:kern w:val="0"/>
              </w:rPr>
            </w:pPr>
            <w:r>
              <w:rPr>
                <w:rFonts w:ascii="Times New Roman" w:hAnsi="Times New Roman"/>
                <w:b/>
                <w:color w:val="000000"/>
                <w:kern w:val="0"/>
              </w:rPr>
              <w:t>评审因素</w:t>
            </w:r>
          </w:p>
        </w:tc>
        <w:tc>
          <w:tcPr>
            <w:tcW w:w="6117" w:type="dxa"/>
            <w:noWrap w:val="0"/>
            <w:vAlign w:val="center"/>
          </w:tcPr>
          <w:p w14:paraId="23BC873F">
            <w:pPr>
              <w:tabs>
                <w:tab w:val="left" w:pos="142"/>
              </w:tabs>
              <w:adjustRightInd w:val="0"/>
              <w:snapToGrid w:val="0"/>
              <w:spacing w:line="240" w:lineRule="auto"/>
              <w:jc w:val="center"/>
              <w:rPr>
                <w:rFonts w:ascii="Times New Roman" w:hAnsi="Times New Roman"/>
                <w:color w:val="000000"/>
                <w:kern w:val="0"/>
              </w:rPr>
            </w:pPr>
            <w:r>
              <w:rPr>
                <w:rFonts w:ascii="Times New Roman" w:hAnsi="Times New Roman"/>
                <w:b/>
                <w:color w:val="000000"/>
                <w:kern w:val="0"/>
              </w:rPr>
              <w:t>评审标准</w:t>
            </w:r>
          </w:p>
        </w:tc>
      </w:tr>
      <w:bookmarkEnd w:id="1"/>
      <w:tr w14:paraId="578D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01028392">
            <w:pPr>
              <w:spacing w:line="240" w:lineRule="auto"/>
              <w:jc w:val="center"/>
              <w:rPr>
                <w:rFonts w:ascii="Times New Roman" w:hAnsi="Times New Roman"/>
                <w:color w:val="000000"/>
                <w:szCs w:val="24"/>
              </w:rPr>
            </w:pPr>
            <w:r>
              <w:rPr>
                <w:rFonts w:ascii="Times New Roman" w:hAnsi="Times New Roman"/>
                <w:color w:val="000000"/>
                <w:szCs w:val="24"/>
              </w:rPr>
              <w:t>1</w:t>
            </w:r>
          </w:p>
        </w:tc>
        <w:tc>
          <w:tcPr>
            <w:tcW w:w="1701" w:type="dxa"/>
            <w:noWrap w:val="0"/>
            <w:vAlign w:val="center"/>
          </w:tcPr>
          <w:p w14:paraId="5DF0576A">
            <w:pPr>
              <w:spacing w:line="240" w:lineRule="auto"/>
              <w:jc w:val="center"/>
              <w:rPr>
                <w:rFonts w:ascii="Times New Roman" w:hAnsi="Times New Roman"/>
                <w:color w:val="000000"/>
                <w:szCs w:val="24"/>
              </w:rPr>
            </w:pPr>
            <w:r>
              <w:rPr>
                <w:rFonts w:ascii="Segoe UI Symbol" w:hAnsi="Segoe UI Symbol" w:cs="Segoe UI Symbol"/>
                <w:color w:val="000000"/>
                <w:szCs w:val="24"/>
              </w:rPr>
              <w:t>★</w:t>
            </w:r>
            <w:r>
              <w:rPr>
                <w:rFonts w:ascii="Times New Roman" w:hAnsi="Times New Roman"/>
                <w:color w:val="000000"/>
                <w:szCs w:val="24"/>
              </w:rPr>
              <w:t>投标人名称</w:t>
            </w:r>
          </w:p>
        </w:tc>
        <w:tc>
          <w:tcPr>
            <w:tcW w:w="6117" w:type="dxa"/>
            <w:noWrap w:val="0"/>
            <w:vAlign w:val="bottom"/>
          </w:tcPr>
          <w:p w14:paraId="52444C63">
            <w:pPr>
              <w:spacing w:line="240" w:lineRule="auto"/>
              <w:jc w:val="both"/>
              <w:rPr>
                <w:rFonts w:ascii="Times New Roman" w:hAnsi="Times New Roman"/>
                <w:color w:val="000000"/>
                <w:szCs w:val="24"/>
              </w:rPr>
            </w:pPr>
            <w:r>
              <w:rPr>
                <w:rFonts w:ascii="Times New Roman" w:hAnsi="Times New Roman"/>
                <w:color w:val="000000"/>
                <w:szCs w:val="24"/>
              </w:rPr>
              <w:t>与营业执照一致</w:t>
            </w:r>
          </w:p>
        </w:tc>
      </w:tr>
      <w:tr w14:paraId="478B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0746D261">
            <w:pPr>
              <w:spacing w:line="240" w:lineRule="auto"/>
              <w:jc w:val="center"/>
              <w:rPr>
                <w:rFonts w:ascii="Times New Roman" w:hAnsi="Times New Roman"/>
                <w:color w:val="000000"/>
                <w:szCs w:val="24"/>
              </w:rPr>
            </w:pPr>
            <w:r>
              <w:rPr>
                <w:rFonts w:ascii="Times New Roman" w:hAnsi="Times New Roman"/>
                <w:color w:val="000000"/>
                <w:szCs w:val="24"/>
              </w:rPr>
              <w:t>2</w:t>
            </w:r>
          </w:p>
        </w:tc>
        <w:tc>
          <w:tcPr>
            <w:tcW w:w="1701" w:type="dxa"/>
            <w:noWrap w:val="0"/>
            <w:vAlign w:val="center"/>
          </w:tcPr>
          <w:p w14:paraId="7D4A7ED6">
            <w:pPr>
              <w:spacing w:line="240" w:lineRule="auto"/>
              <w:jc w:val="center"/>
              <w:rPr>
                <w:rFonts w:ascii="Times New Roman" w:hAnsi="Times New Roman"/>
                <w:color w:val="000000"/>
                <w:szCs w:val="24"/>
              </w:rPr>
            </w:pPr>
            <w:r>
              <w:rPr>
                <w:rFonts w:ascii="Segoe UI Symbol" w:hAnsi="Segoe UI Symbol" w:cs="Segoe UI Symbol"/>
                <w:color w:val="000000"/>
                <w:szCs w:val="24"/>
              </w:rPr>
              <w:t>★</w:t>
            </w:r>
            <w:r>
              <w:rPr>
                <w:rFonts w:ascii="Times New Roman" w:hAnsi="Times New Roman"/>
                <w:color w:val="000000"/>
                <w:szCs w:val="24"/>
              </w:rPr>
              <w:t>投标函签字盖章</w:t>
            </w:r>
          </w:p>
        </w:tc>
        <w:tc>
          <w:tcPr>
            <w:tcW w:w="6117" w:type="dxa"/>
            <w:noWrap w:val="0"/>
            <w:vAlign w:val="bottom"/>
          </w:tcPr>
          <w:p w14:paraId="67FB1D35">
            <w:pPr>
              <w:spacing w:line="240" w:lineRule="auto"/>
              <w:jc w:val="both"/>
              <w:rPr>
                <w:rFonts w:hint="eastAsia" w:ascii="Times New Roman" w:hAnsi="Times New Roman" w:eastAsia="宋体"/>
                <w:color w:val="000000"/>
                <w:szCs w:val="24"/>
                <w:lang w:eastAsia="zh-CN"/>
              </w:rPr>
            </w:pPr>
            <w:r>
              <w:rPr>
                <w:rFonts w:ascii="Times New Roman" w:hAnsi="Times New Roman"/>
                <w:color w:val="000000"/>
                <w:szCs w:val="24"/>
              </w:rPr>
              <w:t>有法定代表人（单位负责人）或其委托代理人签字或加盖单位章。由法定代表人（单位负责人）签字的，应附法定代表人（单位负责人）身份证明，由代理人签字的，应附授权委托书，身份证明或授权委托书</w:t>
            </w:r>
            <w:r>
              <w:rPr>
                <w:rFonts w:hint="eastAsia"/>
                <w:color w:val="000000"/>
                <w:szCs w:val="24"/>
                <w:lang w:eastAsia="zh-CN"/>
              </w:rPr>
              <w:t>。</w:t>
            </w:r>
          </w:p>
        </w:tc>
      </w:tr>
      <w:tr w14:paraId="372C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2BD5B1B1">
            <w:pPr>
              <w:spacing w:line="240" w:lineRule="auto"/>
              <w:jc w:val="center"/>
              <w:rPr>
                <w:rFonts w:ascii="Times New Roman" w:hAnsi="Times New Roman"/>
                <w:color w:val="000000"/>
                <w:szCs w:val="24"/>
              </w:rPr>
            </w:pPr>
            <w:r>
              <w:rPr>
                <w:rFonts w:ascii="Times New Roman" w:hAnsi="Times New Roman"/>
                <w:color w:val="000000"/>
                <w:szCs w:val="24"/>
              </w:rPr>
              <w:t>3</w:t>
            </w:r>
          </w:p>
        </w:tc>
        <w:tc>
          <w:tcPr>
            <w:tcW w:w="1701" w:type="dxa"/>
            <w:noWrap w:val="0"/>
            <w:vAlign w:val="center"/>
          </w:tcPr>
          <w:p w14:paraId="1514B9B4">
            <w:pPr>
              <w:spacing w:line="240" w:lineRule="auto"/>
              <w:jc w:val="center"/>
              <w:rPr>
                <w:rFonts w:ascii="Times New Roman" w:hAnsi="Times New Roman"/>
                <w:color w:val="000000"/>
                <w:szCs w:val="24"/>
              </w:rPr>
            </w:pPr>
            <w:r>
              <w:rPr>
                <w:rFonts w:ascii="Segoe UI Symbol" w:hAnsi="Segoe UI Symbol" w:cs="Segoe UI Symbol"/>
                <w:color w:val="000000"/>
                <w:szCs w:val="24"/>
              </w:rPr>
              <w:t>★</w:t>
            </w:r>
            <w:r>
              <w:rPr>
                <w:rFonts w:ascii="Times New Roman" w:hAnsi="Times New Roman"/>
                <w:color w:val="000000"/>
                <w:szCs w:val="24"/>
              </w:rPr>
              <w:t>投标保证金</w:t>
            </w:r>
          </w:p>
        </w:tc>
        <w:tc>
          <w:tcPr>
            <w:tcW w:w="6117" w:type="dxa"/>
            <w:noWrap w:val="0"/>
            <w:vAlign w:val="bottom"/>
          </w:tcPr>
          <w:p w14:paraId="571530A1">
            <w:pPr>
              <w:spacing w:line="240" w:lineRule="auto"/>
              <w:jc w:val="both"/>
              <w:rPr>
                <w:rFonts w:ascii="Times New Roman" w:hAnsi="Times New Roman"/>
                <w:color w:val="000000"/>
                <w:szCs w:val="24"/>
              </w:rPr>
            </w:pPr>
            <w:bookmarkStart w:id="9" w:name="_GoBack"/>
            <w:r>
              <w:rPr>
                <w:rFonts w:ascii="Times New Roman" w:hAnsi="Times New Roman"/>
                <w:color w:val="000000"/>
                <w:szCs w:val="24"/>
              </w:rPr>
              <w:t>（1）投标保证金的金额为：人民币</w:t>
            </w:r>
            <w:r>
              <w:rPr>
                <w:rFonts w:hint="eastAsia"/>
                <w:color w:val="000000"/>
                <w:szCs w:val="24"/>
                <w:lang w:val="en-US" w:eastAsia="zh-CN"/>
              </w:rPr>
              <w:t>2</w:t>
            </w:r>
            <w:r>
              <w:rPr>
                <w:rFonts w:ascii="Times New Roman" w:hAnsi="Times New Roman"/>
                <w:color w:val="000000"/>
                <w:szCs w:val="24"/>
              </w:rPr>
              <w:t>0万元整。</w:t>
            </w:r>
            <w:bookmarkEnd w:id="9"/>
            <w:r>
              <w:rPr>
                <w:rFonts w:ascii="Times New Roman" w:hAnsi="Times New Roman"/>
                <w:color w:val="000000"/>
                <w:szCs w:val="24"/>
              </w:rPr>
              <w:t>（2）投标保证金的形式：纸质保函,银行电汇,电子保险,民生银行亚运村支行 。 （3）境内投标人以现金或者支票形式提交的投标保证金，应当从其基本账户转出并在投标文件中附上基本账户证明材料（不限定该材料的出具方及证明形式，也可以由投标人自行说明）。 （4）投标保证金采用银行保函时，投标人应将保函正本密封后在投标截止时间前按照招标公告中的地址递交给招标代理机构并在投标文件中上传保函正本的扫描件。未在投标截止时间前将保函正本递交至邀请函规定投标文件递交地点将视为未按规定递交投标保证金。</w:t>
            </w:r>
          </w:p>
        </w:tc>
      </w:tr>
      <w:tr w14:paraId="2807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59C230D1">
            <w:pPr>
              <w:spacing w:line="240" w:lineRule="auto"/>
              <w:jc w:val="center"/>
              <w:rPr>
                <w:rFonts w:ascii="Times New Roman" w:hAnsi="Times New Roman"/>
                <w:color w:val="000000"/>
                <w:szCs w:val="24"/>
              </w:rPr>
            </w:pPr>
            <w:r>
              <w:rPr>
                <w:rFonts w:ascii="Times New Roman" w:hAnsi="Times New Roman"/>
                <w:color w:val="000000"/>
                <w:szCs w:val="24"/>
              </w:rPr>
              <w:t>4</w:t>
            </w:r>
          </w:p>
        </w:tc>
        <w:tc>
          <w:tcPr>
            <w:tcW w:w="1701" w:type="dxa"/>
            <w:noWrap w:val="0"/>
            <w:vAlign w:val="center"/>
          </w:tcPr>
          <w:p w14:paraId="18CD55B5">
            <w:pPr>
              <w:spacing w:line="240" w:lineRule="auto"/>
              <w:jc w:val="center"/>
              <w:rPr>
                <w:rFonts w:ascii="Times New Roman" w:hAnsi="Times New Roman"/>
                <w:color w:val="000000"/>
                <w:szCs w:val="24"/>
              </w:rPr>
            </w:pPr>
            <w:r>
              <w:rPr>
                <w:rFonts w:ascii="Segoe UI Symbol" w:hAnsi="Segoe UI Symbol" w:cs="Segoe UI Symbol"/>
                <w:color w:val="000000"/>
                <w:szCs w:val="24"/>
              </w:rPr>
              <w:t>★</w:t>
            </w:r>
            <w:r>
              <w:rPr>
                <w:rFonts w:ascii="Times New Roman" w:hAnsi="Times New Roman"/>
                <w:color w:val="000000"/>
                <w:szCs w:val="24"/>
              </w:rPr>
              <w:t>联合体投标人</w:t>
            </w:r>
          </w:p>
        </w:tc>
        <w:tc>
          <w:tcPr>
            <w:tcW w:w="6117" w:type="dxa"/>
            <w:noWrap w:val="0"/>
            <w:vAlign w:val="bottom"/>
          </w:tcPr>
          <w:p w14:paraId="4259EE68">
            <w:pPr>
              <w:spacing w:line="240" w:lineRule="auto"/>
              <w:jc w:val="both"/>
              <w:rPr>
                <w:rFonts w:ascii="Times New Roman" w:hAnsi="Times New Roman"/>
                <w:color w:val="000000"/>
                <w:szCs w:val="24"/>
              </w:rPr>
            </w:pPr>
            <w:r>
              <w:rPr>
                <w:rFonts w:hint="eastAsia" w:ascii="Times New Roman" w:hAnsi="Times New Roman"/>
                <w:color w:val="000000"/>
                <w:szCs w:val="24"/>
              </w:rPr>
              <w:t>本项目不接受联合体投标，接受设计、施工分包，分包金额不超过合同总金额30%，本</w:t>
            </w:r>
            <w:r>
              <w:rPr>
                <w:rFonts w:hint="eastAsia"/>
                <w:color w:val="000000"/>
                <w:szCs w:val="24"/>
                <w:lang w:val="en-US" w:eastAsia="zh-CN"/>
              </w:rPr>
              <w:t>项目</w:t>
            </w:r>
            <w:r>
              <w:rPr>
                <w:rFonts w:hint="eastAsia" w:ascii="Times New Roman" w:hAnsi="Times New Roman"/>
                <w:color w:val="000000"/>
                <w:szCs w:val="24"/>
              </w:rPr>
              <w:t>禁止转包。投标人对设计、材料、施工、质量、验收等项目全流程负责</w:t>
            </w:r>
            <w:r>
              <w:rPr>
                <w:rFonts w:ascii="Times New Roman" w:hAnsi="Times New Roman"/>
                <w:color w:val="000000"/>
                <w:szCs w:val="24"/>
              </w:rPr>
              <w:t>。</w:t>
            </w:r>
          </w:p>
        </w:tc>
      </w:tr>
      <w:tr w14:paraId="0A00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6FB079E5">
            <w:pPr>
              <w:spacing w:line="240" w:lineRule="auto"/>
              <w:jc w:val="center"/>
              <w:rPr>
                <w:rFonts w:ascii="Times New Roman" w:hAnsi="Times New Roman"/>
                <w:color w:val="000000"/>
                <w:szCs w:val="24"/>
              </w:rPr>
            </w:pPr>
            <w:r>
              <w:rPr>
                <w:rFonts w:ascii="Times New Roman" w:hAnsi="Times New Roman"/>
                <w:color w:val="000000"/>
                <w:szCs w:val="24"/>
              </w:rPr>
              <w:t>5</w:t>
            </w:r>
          </w:p>
        </w:tc>
        <w:tc>
          <w:tcPr>
            <w:tcW w:w="1701" w:type="dxa"/>
            <w:noWrap w:val="0"/>
            <w:vAlign w:val="center"/>
          </w:tcPr>
          <w:p w14:paraId="5E54E33F">
            <w:pPr>
              <w:spacing w:line="240" w:lineRule="auto"/>
              <w:jc w:val="center"/>
              <w:rPr>
                <w:rFonts w:ascii="Times New Roman" w:hAnsi="Times New Roman"/>
                <w:color w:val="000000"/>
                <w:szCs w:val="24"/>
              </w:rPr>
            </w:pPr>
            <w:r>
              <w:rPr>
                <w:rFonts w:ascii="Segoe UI Symbol" w:hAnsi="Segoe UI Symbol" w:cs="Segoe UI Symbol"/>
                <w:color w:val="000000"/>
                <w:szCs w:val="24"/>
              </w:rPr>
              <w:t>★</w:t>
            </w:r>
            <w:r>
              <w:rPr>
                <w:rFonts w:ascii="Times New Roman" w:hAnsi="Times New Roman"/>
                <w:color w:val="000000"/>
                <w:szCs w:val="24"/>
              </w:rPr>
              <w:t>投标文件格式</w:t>
            </w:r>
          </w:p>
        </w:tc>
        <w:tc>
          <w:tcPr>
            <w:tcW w:w="6117" w:type="dxa"/>
            <w:noWrap w:val="0"/>
            <w:vAlign w:val="bottom"/>
          </w:tcPr>
          <w:p w14:paraId="0C2C67AC">
            <w:pPr>
              <w:spacing w:line="240" w:lineRule="auto"/>
              <w:jc w:val="both"/>
              <w:rPr>
                <w:rFonts w:ascii="Times New Roman" w:hAnsi="Times New Roman"/>
                <w:color w:val="000000"/>
                <w:szCs w:val="24"/>
              </w:rPr>
            </w:pPr>
            <w:r>
              <w:rPr>
                <w:rFonts w:hint="eastAsia" w:ascii="Times New Roman" w:hAnsi="Times New Roman"/>
                <w:color w:val="000000"/>
                <w:szCs w:val="24"/>
              </w:rPr>
              <w:t>“符合招标招标文件要求”</w:t>
            </w:r>
          </w:p>
        </w:tc>
      </w:tr>
      <w:tr w14:paraId="2AE9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1AF44F86">
            <w:pPr>
              <w:spacing w:line="240" w:lineRule="auto"/>
              <w:jc w:val="center"/>
              <w:rPr>
                <w:rFonts w:ascii="Times New Roman" w:hAnsi="Times New Roman"/>
                <w:color w:val="000000"/>
                <w:szCs w:val="24"/>
              </w:rPr>
            </w:pPr>
            <w:r>
              <w:rPr>
                <w:rFonts w:ascii="Times New Roman" w:hAnsi="Times New Roman"/>
                <w:color w:val="000000"/>
                <w:szCs w:val="24"/>
              </w:rPr>
              <w:t>6</w:t>
            </w:r>
          </w:p>
        </w:tc>
        <w:tc>
          <w:tcPr>
            <w:tcW w:w="1701" w:type="dxa"/>
            <w:noWrap w:val="0"/>
            <w:vAlign w:val="center"/>
          </w:tcPr>
          <w:p w14:paraId="0B874954">
            <w:pPr>
              <w:spacing w:line="240" w:lineRule="auto"/>
              <w:jc w:val="center"/>
              <w:rPr>
                <w:rFonts w:ascii="Times New Roman" w:hAnsi="Times New Roman"/>
                <w:color w:val="000000"/>
                <w:szCs w:val="24"/>
              </w:rPr>
            </w:pPr>
            <w:r>
              <w:rPr>
                <w:rFonts w:ascii="Segoe UI Symbol" w:hAnsi="Segoe UI Symbol" w:cs="Segoe UI Symbol"/>
                <w:color w:val="000000"/>
                <w:szCs w:val="24"/>
              </w:rPr>
              <w:t>★</w:t>
            </w:r>
            <w:r>
              <w:rPr>
                <w:rFonts w:ascii="Times New Roman" w:hAnsi="Times New Roman"/>
                <w:color w:val="000000"/>
                <w:szCs w:val="24"/>
              </w:rPr>
              <w:t>投标承诺书</w:t>
            </w:r>
          </w:p>
        </w:tc>
        <w:tc>
          <w:tcPr>
            <w:tcW w:w="6117" w:type="dxa"/>
            <w:noWrap w:val="0"/>
            <w:vAlign w:val="bottom"/>
          </w:tcPr>
          <w:p w14:paraId="08B64EB9">
            <w:pPr>
              <w:spacing w:line="240" w:lineRule="auto"/>
              <w:jc w:val="both"/>
              <w:rPr>
                <w:rFonts w:ascii="Times New Roman" w:hAnsi="Times New Roman"/>
                <w:color w:val="000000"/>
                <w:szCs w:val="24"/>
              </w:rPr>
            </w:pPr>
            <w:r>
              <w:t>投标书需提供承诺书</w:t>
            </w:r>
          </w:p>
        </w:tc>
      </w:tr>
      <w:tr w14:paraId="262E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45C4B0AA">
            <w:pPr>
              <w:spacing w:line="240" w:lineRule="auto"/>
              <w:jc w:val="center"/>
              <w:rPr>
                <w:rFonts w:ascii="Times New Roman" w:hAnsi="Times New Roman"/>
                <w:color w:val="000000"/>
                <w:szCs w:val="24"/>
              </w:rPr>
            </w:pPr>
            <w:r>
              <w:rPr>
                <w:rFonts w:ascii="Times New Roman" w:hAnsi="Times New Roman"/>
                <w:color w:val="000000"/>
                <w:szCs w:val="24"/>
              </w:rPr>
              <w:t>7</w:t>
            </w:r>
          </w:p>
        </w:tc>
        <w:tc>
          <w:tcPr>
            <w:tcW w:w="1701" w:type="dxa"/>
            <w:noWrap w:val="0"/>
            <w:vAlign w:val="center"/>
          </w:tcPr>
          <w:p w14:paraId="3A6496ED">
            <w:pPr>
              <w:spacing w:line="240" w:lineRule="auto"/>
              <w:jc w:val="center"/>
              <w:rPr>
                <w:rFonts w:ascii="Times New Roman" w:hAnsi="Times New Roman"/>
                <w:color w:val="000000"/>
                <w:szCs w:val="24"/>
              </w:rPr>
            </w:pPr>
            <w:r>
              <w:rPr>
                <w:rFonts w:ascii="Segoe UI Symbol" w:hAnsi="Segoe UI Symbol" w:cs="Segoe UI Symbol"/>
                <w:color w:val="000000"/>
                <w:szCs w:val="24"/>
              </w:rPr>
              <w:t>★</w:t>
            </w:r>
            <w:r>
              <w:rPr>
                <w:rFonts w:hint="eastAsia" w:ascii="Times New Roman" w:hAnsi="Times New Roman"/>
                <w:color w:val="000000"/>
                <w:szCs w:val="24"/>
              </w:rPr>
              <w:t>总包与分包</w:t>
            </w:r>
          </w:p>
        </w:tc>
        <w:tc>
          <w:tcPr>
            <w:tcW w:w="6117" w:type="dxa"/>
            <w:noWrap w:val="0"/>
            <w:vAlign w:val="bottom"/>
          </w:tcPr>
          <w:p w14:paraId="088846BA">
            <w:pPr>
              <w:spacing w:line="240" w:lineRule="auto"/>
              <w:jc w:val="both"/>
              <w:rPr>
                <w:rFonts w:ascii="Times New Roman" w:hAnsi="Times New Roman"/>
                <w:color w:val="000000"/>
                <w:szCs w:val="24"/>
              </w:rPr>
            </w:pPr>
            <w:r>
              <w:rPr>
                <w:rFonts w:hint="eastAsia" w:ascii="Times New Roman" w:hAnsi="Times New Roman"/>
                <w:color w:val="000000"/>
                <w:szCs w:val="24"/>
              </w:rPr>
              <w:t>总包与分包：本项目为富岛化工循环水回水余压利用节能改造项目总包服务，包括但不限于本改造项目的整体设计、基础建设、设备管道施工、调试、性能考核、竣工验收等方面，要求根据富岛化工现有循环水系统回水条件，最大限度回收能量转化为电能，供富岛化工使用。其中：1、非主体工程可进行专业分包或劳务分包，分包商应满足住建部《建筑业企业资质标准》依法分包的资质并具备相应的业绩和能力，且分包应经过发包人的书面同意。2、本项目为EPC总包形式，分包金额要求：合同约定分包费用或分包工程量超过中标合同价30%的不允许分包，EPC总承包单位对分包工程的安全生产和质量承担全部责任，分包商资质应满足国家法律法规要求；设计分包时设计院需具有化工石化医药行业甲级资质及以上。 接受分包的第三人资质要求：本项目中的非主体、非关键性工作允许分包，分包商应满足住建部《建筑业企业资质标准》并具备相应的业绩和能力，且分包应经过发包人的书面同意</w:t>
            </w:r>
            <w:r>
              <w:rPr>
                <w:rFonts w:ascii="Times New Roman" w:hAnsi="Times New Roman"/>
                <w:color w:val="000000"/>
                <w:szCs w:val="24"/>
              </w:rPr>
              <w:t>。</w:t>
            </w:r>
          </w:p>
        </w:tc>
      </w:tr>
      <w:tr w14:paraId="3C0C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7ADE26D1">
            <w:pPr>
              <w:spacing w:line="240" w:lineRule="auto"/>
              <w:jc w:val="center"/>
              <w:rPr>
                <w:rFonts w:ascii="Times New Roman" w:hAnsi="Times New Roman"/>
                <w:color w:val="000000"/>
                <w:szCs w:val="24"/>
              </w:rPr>
            </w:pPr>
            <w:r>
              <w:rPr>
                <w:rFonts w:ascii="Times New Roman" w:hAnsi="Times New Roman"/>
                <w:color w:val="000000"/>
                <w:szCs w:val="24"/>
              </w:rPr>
              <w:t>8</w:t>
            </w:r>
          </w:p>
        </w:tc>
        <w:tc>
          <w:tcPr>
            <w:tcW w:w="1701" w:type="dxa"/>
            <w:noWrap w:val="0"/>
            <w:vAlign w:val="center"/>
          </w:tcPr>
          <w:p w14:paraId="01C7470B">
            <w:pPr>
              <w:spacing w:line="240" w:lineRule="auto"/>
              <w:jc w:val="center"/>
              <w:rPr>
                <w:rFonts w:ascii="Times New Roman" w:hAnsi="Times New Roman"/>
                <w:color w:val="000000"/>
                <w:szCs w:val="24"/>
              </w:rPr>
            </w:pPr>
            <w:r>
              <w:rPr>
                <w:rFonts w:ascii="Segoe UI Symbol" w:hAnsi="Segoe UI Symbol" w:cs="Segoe UI Symbol"/>
                <w:color w:val="000000"/>
                <w:szCs w:val="24"/>
              </w:rPr>
              <w:t>★</w:t>
            </w:r>
            <w:r>
              <w:rPr>
                <w:rFonts w:ascii="Times New Roman" w:hAnsi="Times New Roman"/>
                <w:color w:val="000000"/>
                <w:szCs w:val="24"/>
              </w:rPr>
              <w:t>投标有效期</w:t>
            </w:r>
          </w:p>
        </w:tc>
        <w:tc>
          <w:tcPr>
            <w:tcW w:w="6117" w:type="dxa"/>
            <w:noWrap w:val="0"/>
            <w:vAlign w:val="bottom"/>
          </w:tcPr>
          <w:p w14:paraId="15A3ED74">
            <w:pPr>
              <w:spacing w:line="240" w:lineRule="auto"/>
              <w:jc w:val="both"/>
              <w:rPr>
                <w:rFonts w:ascii="Times New Roman" w:hAnsi="Times New Roman"/>
                <w:color w:val="000000"/>
                <w:szCs w:val="24"/>
              </w:rPr>
            </w:pPr>
            <w:r>
              <w:rPr>
                <w:rFonts w:ascii="Times New Roman" w:hAnsi="Times New Roman"/>
                <w:color w:val="000000"/>
                <w:szCs w:val="24"/>
              </w:rPr>
              <w:t>120天</w:t>
            </w:r>
          </w:p>
        </w:tc>
      </w:tr>
      <w:tr w14:paraId="2E47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0B380AD6">
            <w:pPr>
              <w:spacing w:line="240" w:lineRule="auto"/>
              <w:jc w:val="center"/>
              <w:rPr>
                <w:rFonts w:ascii="Times New Roman" w:hAnsi="Times New Roman"/>
                <w:color w:val="000000"/>
                <w:szCs w:val="24"/>
              </w:rPr>
            </w:pPr>
            <w:r>
              <w:rPr>
                <w:rFonts w:ascii="Times New Roman" w:hAnsi="Times New Roman"/>
                <w:color w:val="000000"/>
                <w:szCs w:val="24"/>
              </w:rPr>
              <w:t>9</w:t>
            </w:r>
          </w:p>
        </w:tc>
        <w:tc>
          <w:tcPr>
            <w:tcW w:w="1701" w:type="dxa"/>
            <w:noWrap w:val="0"/>
            <w:vAlign w:val="center"/>
          </w:tcPr>
          <w:p w14:paraId="0E573B78">
            <w:pPr>
              <w:spacing w:line="240" w:lineRule="auto"/>
              <w:jc w:val="center"/>
              <w:rPr>
                <w:rFonts w:ascii="Times New Roman" w:hAnsi="Times New Roman"/>
                <w:color w:val="000000"/>
                <w:szCs w:val="24"/>
              </w:rPr>
            </w:pPr>
            <w:r>
              <w:rPr>
                <w:rFonts w:ascii="Segoe UI Symbol" w:hAnsi="Segoe UI Symbol" w:cs="Segoe UI Symbol"/>
                <w:color w:val="000000"/>
                <w:szCs w:val="24"/>
              </w:rPr>
              <w:t>★</w:t>
            </w:r>
            <w:r>
              <w:rPr>
                <w:rFonts w:ascii="Times New Roman" w:hAnsi="Times New Roman"/>
                <w:color w:val="000000"/>
                <w:szCs w:val="24"/>
              </w:rPr>
              <w:t>围标串标</w:t>
            </w:r>
          </w:p>
        </w:tc>
        <w:tc>
          <w:tcPr>
            <w:tcW w:w="6117" w:type="dxa"/>
            <w:noWrap w:val="0"/>
            <w:vAlign w:val="bottom"/>
          </w:tcPr>
          <w:p w14:paraId="45EC3CF2">
            <w:pPr>
              <w:spacing w:line="240" w:lineRule="auto"/>
              <w:jc w:val="both"/>
              <w:rPr>
                <w:rFonts w:ascii="Times New Roman" w:hAnsi="Times New Roman"/>
                <w:color w:val="000000"/>
                <w:szCs w:val="24"/>
              </w:rPr>
            </w:pPr>
            <w:r>
              <w:rPr>
                <w:rFonts w:ascii="Times New Roman" w:hAnsi="Times New Roman"/>
                <w:color w:val="000000"/>
                <w:szCs w:val="24"/>
              </w:rPr>
              <w:t>有以下情形之一的，视为投标人相互串通投标，并否决所有涉及的投标： a) 不同投标人的投标文件由同一单位或者个人编制，且投标人不能合理说明的，例如：不同投标人在集团公司数字化供应链平台上记录的文件制作机器码、文件创建标识码和投标电脑的MAC地址内容任何一项一致的；不同投标人的投标文件作者名称（除Admin、经确认为系统自动生成的作者名称）异常一致，且投标人不能合理说明的； b) 不同投标人委托同一单位或者个人办理投标事宜：例如：不同投标人在集团公司数字化供应链平台上的电子投标文件记录的投标文件上传IP地址异常一致且不属于中国海油网络IP范围，且投标人不能合理说明的。 c) 不同投标人的投标文件载明的项目管理成员为同一人，且投标人不能合理说明的。  d) 不同投标人的投标文件异常一致或者存在2处以上一致性错误；或者投 标报价呈规律性差异的项数达到报价清单的50%以上，且投标人不能合理说明的。 e) 不同投标人的投标文件相互混装，且投标人不能合理说明的。  f) 不同投标人的投标保证金从同一单位或者个人的账户转出，且投标人不能合理说明的。</w:t>
            </w:r>
          </w:p>
        </w:tc>
      </w:tr>
    </w:tbl>
    <w:p w14:paraId="2343D525">
      <w:pPr>
        <w:pStyle w:val="9"/>
        <w:widowControl w:val="0"/>
        <w:numPr>
          <w:ilvl w:val="255"/>
          <w:numId w:val="0"/>
        </w:numPr>
        <w:spacing w:before="0" w:beforeAutospacing="0" w:after="0" w:afterAutospacing="0"/>
        <w:ind w:firstLine="482" w:firstLineChars="200"/>
        <w:jc w:val="center"/>
        <w:rPr>
          <w:rFonts w:hint="eastAsia" w:cs="宋体"/>
          <w:b/>
          <w:iCs/>
        </w:rPr>
      </w:pPr>
    </w:p>
    <w:p w14:paraId="7C4E7049">
      <w:pPr>
        <w:adjustRightInd w:val="0"/>
        <w:snapToGrid w:val="0"/>
        <w:spacing w:before="156" w:beforeLines="50" w:line="360" w:lineRule="auto"/>
        <w:ind w:firstLine="480" w:firstLineChars="200"/>
        <w:rPr>
          <w:rFonts w:hint="eastAsia" w:ascii="宋体" w:hAnsi="宋体" w:cs="宋体"/>
          <w:bCs/>
          <w:iCs/>
          <w:sz w:val="24"/>
        </w:rPr>
      </w:pPr>
      <w:r>
        <w:rPr>
          <w:rFonts w:hint="eastAsia" w:ascii="宋体" w:hAnsi="宋体" w:cs="宋体"/>
          <w:bCs/>
          <w:iCs/>
          <w:sz w:val="24"/>
        </w:rPr>
        <w:t>2、</w:t>
      </w:r>
      <w:r>
        <w:rPr>
          <w:rFonts w:ascii="宋体" w:hAnsi="宋体" w:cs="宋体"/>
          <w:bCs/>
          <w:iCs/>
          <w:sz w:val="24"/>
        </w:rPr>
        <w:t>资格评审</w:t>
      </w:r>
    </w:p>
    <w:p w14:paraId="5B4442FB">
      <w:pPr>
        <w:pStyle w:val="9"/>
        <w:widowControl w:val="0"/>
        <w:numPr>
          <w:ilvl w:val="255"/>
          <w:numId w:val="0"/>
        </w:numPr>
        <w:spacing w:before="0" w:beforeAutospacing="0" w:after="0" w:afterAutospacing="0"/>
        <w:ind w:firstLine="482" w:firstLineChars="200"/>
        <w:jc w:val="center"/>
        <w:rPr>
          <w:rFonts w:hint="eastAsia" w:cs="宋体"/>
          <w:bCs/>
          <w:iCs/>
        </w:rPr>
      </w:pPr>
      <w:bookmarkStart w:id="2" w:name="psAttribute_20230326213253367_0"/>
      <w:r>
        <w:rPr>
          <w:rFonts w:hint="eastAsia" w:cs="宋体"/>
          <w:b/>
          <w:iCs/>
        </w:rPr>
        <w:t>表2 资格评审</w:t>
      </w:r>
      <w:r>
        <w:rPr>
          <w:rFonts w:cs="宋体"/>
          <w:bCs/>
          <w:iCs/>
        </w:rPr>
        <w:t>标准</w:t>
      </w:r>
      <w:bookmarkEnd w:id="2"/>
      <w:r>
        <w:rPr>
          <w:rFonts w:hint="eastAsia" w:cs="宋体"/>
          <w:bCs/>
          <w:iCs/>
        </w:rPr>
        <w:t>（不允许偏离）</w:t>
      </w:r>
    </w:p>
    <w:tbl>
      <w:tblPr>
        <w:tblStyle w:val="11"/>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56"/>
        <w:gridCol w:w="6041"/>
      </w:tblGrid>
      <w:tr w14:paraId="4CEC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5" w:type="dxa"/>
            <w:noWrap w:val="0"/>
            <w:vAlign w:val="center"/>
          </w:tcPr>
          <w:p w14:paraId="3955B7BE">
            <w:pPr>
              <w:adjustRightInd w:val="0"/>
              <w:snapToGrid w:val="0"/>
              <w:spacing w:line="240" w:lineRule="auto"/>
              <w:jc w:val="center"/>
              <w:rPr>
                <w:rFonts w:ascii="Times New Roman" w:hAnsi="Times New Roman"/>
                <w:color w:val="000000"/>
                <w:kern w:val="0"/>
              </w:rPr>
            </w:pPr>
            <w:bookmarkStart w:id="3" w:name="psFlowItem_20230326211943064_0"/>
            <w:r>
              <w:rPr>
                <w:rFonts w:ascii="Times New Roman" w:hAnsi="Times New Roman"/>
                <w:b/>
                <w:color w:val="000000"/>
                <w:kern w:val="0"/>
              </w:rPr>
              <w:t>序号</w:t>
            </w:r>
          </w:p>
        </w:tc>
        <w:tc>
          <w:tcPr>
            <w:tcW w:w="1756" w:type="dxa"/>
            <w:noWrap w:val="0"/>
            <w:vAlign w:val="center"/>
          </w:tcPr>
          <w:p w14:paraId="278ED4C0">
            <w:pPr>
              <w:adjustRightInd w:val="0"/>
              <w:snapToGrid w:val="0"/>
              <w:spacing w:line="240" w:lineRule="auto"/>
              <w:jc w:val="center"/>
              <w:rPr>
                <w:rFonts w:ascii="Times New Roman" w:hAnsi="Times New Roman"/>
                <w:color w:val="000000"/>
                <w:kern w:val="0"/>
              </w:rPr>
            </w:pPr>
            <w:r>
              <w:rPr>
                <w:rFonts w:ascii="Times New Roman" w:hAnsi="Times New Roman"/>
                <w:b/>
                <w:color w:val="000000"/>
                <w:kern w:val="0"/>
              </w:rPr>
              <w:t>评审因素</w:t>
            </w:r>
          </w:p>
        </w:tc>
        <w:tc>
          <w:tcPr>
            <w:tcW w:w="6041" w:type="dxa"/>
            <w:noWrap w:val="0"/>
            <w:vAlign w:val="center"/>
          </w:tcPr>
          <w:p w14:paraId="4A9934B3">
            <w:pPr>
              <w:tabs>
                <w:tab w:val="left" w:pos="142"/>
              </w:tabs>
              <w:adjustRightInd w:val="0"/>
              <w:snapToGrid w:val="0"/>
              <w:spacing w:line="240" w:lineRule="auto"/>
              <w:jc w:val="center"/>
              <w:rPr>
                <w:rFonts w:ascii="Times New Roman" w:hAnsi="Times New Roman"/>
                <w:color w:val="000000"/>
                <w:kern w:val="0"/>
              </w:rPr>
            </w:pPr>
            <w:r>
              <w:rPr>
                <w:rFonts w:ascii="Times New Roman" w:hAnsi="Times New Roman"/>
                <w:b/>
                <w:color w:val="000000"/>
                <w:kern w:val="0"/>
              </w:rPr>
              <w:t>评审标准</w:t>
            </w:r>
          </w:p>
        </w:tc>
      </w:tr>
      <w:bookmarkEnd w:id="3"/>
      <w:tr w14:paraId="14A6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14:paraId="3E06E868">
            <w:pPr>
              <w:spacing w:line="240" w:lineRule="auto"/>
              <w:jc w:val="center"/>
              <w:rPr>
                <w:rFonts w:ascii="Times New Roman" w:hAnsi="Times New Roman"/>
                <w:color w:val="000000"/>
                <w:szCs w:val="24"/>
              </w:rPr>
            </w:pPr>
            <w:r>
              <w:rPr>
                <w:rFonts w:ascii="Times New Roman" w:hAnsi="Times New Roman"/>
                <w:color w:val="000000"/>
                <w:szCs w:val="24"/>
              </w:rPr>
              <w:t>1</w:t>
            </w:r>
          </w:p>
        </w:tc>
        <w:tc>
          <w:tcPr>
            <w:tcW w:w="1756" w:type="dxa"/>
            <w:noWrap w:val="0"/>
            <w:vAlign w:val="center"/>
          </w:tcPr>
          <w:p w14:paraId="72D1A548">
            <w:pPr>
              <w:spacing w:line="240" w:lineRule="auto"/>
              <w:jc w:val="both"/>
              <w:rPr>
                <w:rFonts w:ascii="Times New Roman" w:hAnsi="Times New Roman"/>
                <w:color w:val="000000"/>
                <w:szCs w:val="24"/>
              </w:rPr>
            </w:pPr>
            <w:r>
              <w:rPr>
                <w:rFonts w:ascii="Segoe UI Symbol" w:hAnsi="Segoe UI Symbol" w:cs="Segoe UI Symbol"/>
                <w:color w:val="000000"/>
                <w:szCs w:val="24"/>
              </w:rPr>
              <w:t>★</w:t>
            </w:r>
            <w:r>
              <w:rPr>
                <w:rFonts w:ascii="Times New Roman" w:hAnsi="Times New Roman"/>
                <w:color w:val="000000"/>
                <w:szCs w:val="24"/>
              </w:rPr>
              <w:t>营业执照</w:t>
            </w:r>
          </w:p>
        </w:tc>
        <w:tc>
          <w:tcPr>
            <w:tcW w:w="6041" w:type="dxa"/>
            <w:noWrap w:val="0"/>
            <w:vAlign w:val="bottom"/>
          </w:tcPr>
          <w:p w14:paraId="20E0ACCE">
            <w:pPr>
              <w:rPr>
                <w:rFonts w:ascii="Times New Roman" w:hAnsi="Times New Roman" w:cs="Times New Roman"/>
                <w:color w:val="000000"/>
              </w:rPr>
            </w:pPr>
            <w:r>
              <w:rPr>
                <w:rFonts w:ascii="Times New Roman" w:hAnsi="Times New Roman" w:cs="Times New Roman"/>
                <w:color w:val="000000"/>
              </w:rPr>
              <w:t>投标人具有合法有效的企业法人营业执照、税务登记证及组织机构代码证或证照合一的营业执照，投标时需提供原件扫描件（原件备查）。</w:t>
            </w:r>
          </w:p>
          <w:p w14:paraId="35F40134">
            <w:pPr>
              <w:ind w:firstLine="420" w:firstLineChars="200"/>
              <w:rPr>
                <w:rFonts w:ascii="Times New Roman" w:hAnsi="Times New Roman" w:cs="Times New Roman"/>
                <w:color w:val="000000"/>
              </w:rPr>
            </w:pPr>
            <w:r>
              <w:rPr>
                <w:rFonts w:ascii="Times New Roman" w:hAnsi="Times New Roman" w:cs="Times New Roman"/>
                <w:color w:val="000000"/>
              </w:rPr>
              <w:t>投标人为事业单位的，应具有合法有效的事业单位法人证书，投标时需提供原件扫描件（原件备查）。</w:t>
            </w:r>
          </w:p>
          <w:p w14:paraId="54EC5D18">
            <w:pPr>
              <w:ind w:firstLine="420" w:firstLineChars="200"/>
              <w:rPr>
                <w:rFonts w:ascii="Times New Roman" w:hAnsi="Times New Roman"/>
                <w:color w:val="000000"/>
                <w:szCs w:val="24"/>
              </w:rPr>
            </w:pPr>
            <w:r>
              <w:rPr>
                <w:rFonts w:ascii="Times New Roman" w:hAnsi="Times New Roman" w:cs="Times New Roman"/>
                <w:color w:val="000000"/>
              </w:rPr>
              <w:t>投标人为分公司的，提供具有合法有效的营业执照和上级法人单位授权书（授权该分公司投标），认可该分公司和上级法人单位的资质、资格和业绩，不认可同一上级法人单位的其它分公司的资质、资格和业绩，投标时需提供原件扫描件（原件备查）。分公司与上级法人单位只可一家参与投标，同时参与投标的，投标均无效。</w:t>
            </w:r>
          </w:p>
        </w:tc>
      </w:tr>
      <w:tr w14:paraId="4CF8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14:paraId="6C23E098">
            <w:pPr>
              <w:spacing w:line="240" w:lineRule="auto"/>
              <w:jc w:val="center"/>
              <w:rPr>
                <w:rFonts w:ascii="Times New Roman" w:hAnsi="Times New Roman"/>
                <w:color w:val="000000"/>
                <w:szCs w:val="24"/>
              </w:rPr>
            </w:pPr>
            <w:r>
              <w:rPr>
                <w:rFonts w:ascii="Times New Roman" w:hAnsi="Times New Roman"/>
                <w:color w:val="000000"/>
                <w:szCs w:val="24"/>
              </w:rPr>
              <w:t>2</w:t>
            </w:r>
          </w:p>
        </w:tc>
        <w:tc>
          <w:tcPr>
            <w:tcW w:w="1756" w:type="dxa"/>
            <w:noWrap w:val="0"/>
            <w:vAlign w:val="center"/>
          </w:tcPr>
          <w:p w14:paraId="7AFFA4A3">
            <w:pPr>
              <w:spacing w:line="240" w:lineRule="auto"/>
              <w:jc w:val="both"/>
              <w:rPr>
                <w:rFonts w:ascii="Times New Roman" w:hAnsi="Times New Roman"/>
                <w:color w:val="000000"/>
                <w:szCs w:val="24"/>
              </w:rPr>
            </w:pPr>
            <w:r>
              <w:rPr>
                <w:rFonts w:ascii="Segoe UI Symbol" w:hAnsi="Segoe UI Symbol" w:cs="Segoe UI Symbol"/>
                <w:color w:val="000000"/>
                <w:szCs w:val="24"/>
              </w:rPr>
              <w:t>★</w:t>
            </w:r>
            <w:r>
              <w:rPr>
                <w:rFonts w:ascii="Times New Roman" w:hAnsi="Times New Roman"/>
                <w:color w:val="000000"/>
                <w:szCs w:val="24"/>
              </w:rPr>
              <w:t>企业体系要求</w:t>
            </w:r>
          </w:p>
        </w:tc>
        <w:tc>
          <w:tcPr>
            <w:tcW w:w="6041" w:type="dxa"/>
            <w:noWrap w:val="0"/>
            <w:vAlign w:val="bottom"/>
          </w:tcPr>
          <w:p w14:paraId="062C94D2">
            <w:pPr>
              <w:spacing w:line="240" w:lineRule="auto"/>
              <w:jc w:val="both"/>
              <w:rPr>
                <w:rFonts w:ascii="Times New Roman" w:hAnsi="Times New Roman"/>
                <w:color w:val="000000"/>
                <w:szCs w:val="24"/>
              </w:rPr>
            </w:pPr>
            <w:r>
              <w:rPr>
                <w:rFonts w:ascii="Times New Roman" w:hAnsi="Times New Roman"/>
                <w:color w:val="000000"/>
                <w:szCs w:val="24"/>
              </w:rPr>
              <w:t>投标人须同时具备合法有效的GB/T19001（ISO9001）质量管理体系认证证书、GB/T24001（ISO14001）环境管理体系认证证书、GB/T45001（ISO45001）职业健康安全管理体系认证证书，国内认证机构签发的证书应可在中国国家认证认可监督管理委员会网站（http://www.cnca.gov.cn/）核实。如果有国家相关部门发布的最新体系标准，以最新体系标准为准。投标时须提供原件扫描件（原件备查）。</w:t>
            </w:r>
          </w:p>
        </w:tc>
      </w:tr>
      <w:tr w14:paraId="24A6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14:paraId="40F41819">
            <w:pPr>
              <w:spacing w:line="240" w:lineRule="auto"/>
              <w:jc w:val="center"/>
              <w:rPr>
                <w:rFonts w:ascii="Times New Roman" w:hAnsi="Times New Roman"/>
                <w:color w:val="000000"/>
                <w:szCs w:val="24"/>
              </w:rPr>
            </w:pPr>
            <w:r>
              <w:rPr>
                <w:rFonts w:ascii="Times New Roman" w:hAnsi="Times New Roman"/>
                <w:color w:val="000000"/>
                <w:szCs w:val="24"/>
              </w:rPr>
              <w:t>3</w:t>
            </w:r>
          </w:p>
        </w:tc>
        <w:tc>
          <w:tcPr>
            <w:tcW w:w="1756" w:type="dxa"/>
            <w:noWrap w:val="0"/>
            <w:vAlign w:val="center"/>
          </w:tcPr>
          <w:p w14:paraId="279446C9">
            <w:pPr>
              <w:spacing w:line="240" w:lineRule="auto"/>
              <w:jc w:val="both"/>
              <w:rPr>
                <w:rFonts w:ascii="Times New Roman" w:hAnsi="Times New Roman"/>
                <w:color w:val="000000"/>
                <w:szCs w:val="24"/>
              </w:rPr>
            </w:pPr>
            <w:r>
              <w:rPr>
                <w:rFonts w:ascii="Segoe UI Symbol" w:hAnsi="Segoe UI Symbol" w:cs="Segoe UI Symbol"/>
                <w:color w:val="000000"/>
                <w:szCs w:val="24"/>
              </w:rPr>
              <w:t>★</w:t>
            </w:r>
            <w:r>
              <w:rPr>
                <w:rFonts w:ascii="Times New Roman" w:hAnsi="Times New Roman"/>
                <w:color w:val="000000"/>
                <w:szCs w:val="24"/>
              </w:rPr>
              <w:t>资质要求</w:t>
            </w:r>
          </w:p>
        </w:tc>
        <w:tc>
          <w:tcPr>
            <w:tcW w:w="6041" w:type="dxa"/>
            <w:noWrap w:val="0"/>
            <w:vAlign w:val="bottom"/>
          </w:tcPr>
          <w:p w14:paraId="5274503A">
            <w:pPr>
              <w:spacing w:line="240" w:lineRule="auto"/>
              <w:jc w:val="both"/>
              <w:rPr>
                <w:rFonts w:ascii="Times New Roman" w:hAnsi="Times New Roman"/>
                <w:color w:val="000000"/>
                <w:szCs w:val="24"/>
              </w:rPr>
            </w:pPr>
            <w:r>
              <w:rPr>
                <w:rFonts w:ascii="Times New Roman" w:hAnsi="Times New Roman"/>
                <w:color w:val="000000"/>
                <w:szCs w:val="24"/>
              </w:rPr>
              <w:t>投标人须同时具备有效的与本项目规模相适应的设计资质和施工资质，包括：（1）投标人具有有效的机电工程施工总承包资质二级资质或石油化工工程施工总承包二级及以上资质，并可在全国建筑市场监管公共服务平台（https://jzsc.mohurd.gov.cn）核实，投标时须提供原件扫描件（原件备查）； （</w:t>
            </w:r>
            <w:r>
              <w:rPr>
                <w:rFonts w:hint="eastAsia" w:ascii="Times New Roman" w:hAnsi="Times New Roman"/>
                <w:color w:val="000000"/>
                <w:szCs w:val="24"/>
              </w:rPr>
              <w:t>2</w:t>
            </w:r>
            <w:r>
              <w:rPr>
                <w:rFonts w:ascii="Times New Roman" w:hAnsi="Times New Roman"/>
                <w:color w:val="000000"/>
                <w:szCs w:val="24"/>
              </w:rPr>
              <w:t>）投标人具有有效的安全生产许可证，并可在全国工程质量安全监管信息平台公共服务门户（https://zlaq.mohurd.gov.cn）核实。投标时须提供原件扫描件（原件备查)。</w:t>
            </w:r>
          </w:p>
        </w:tc>
      </w:tr>
      <w:tr w14:paraId="4067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shd w:val="clear" w:color="auto" w:fill="auto"/>
            <w:noWrap w:val="0"/>
            <w:vAlign w:val="center"/>
          </w:tcPr>
          <w:p w14:paraId="0B97C07D">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4</w:t>
            </w:r>
          </w:p>
        </w:tc>
        <w:tc>
          <w:tcPr>
            <w:tcW w:w="1756" w:type="dxa"/>
            <w:shd w:val="clear" w:color="auto" w:fill="auto"/>
            <w:noWrap w:val="0"/>
            <w:vAlign w:val="center"/>
          </w:tcPr>
          <w:p w14:paraId="22190B98">
            <w:pPr>
              <w:spacing w:line="240" w:lineRule="auto"/>
              <w:jc w:val="both"/>
              <w:rPr>
                <w:rFonts w:ascii="Segoe UI Symbol" w:hAnsi="Segoe UI Symbol" w:eastAsia="宋体" w:cs="Segoe UI Symbol"/>
                <w:color w:val="000000"/>
                <w:kern w:val="2"/>
                <w:sz w:val="21"/>
                <w:szCs w:val="24"/>
                <w:lang w:val="en-US" w:eastAsia="zh-CN" w:bidi="ar-SA"/>
              </w:rPr>
            </w:pPr>
            <w:r>
              <w:rPr>
                <w:rFonts w:ascii="Segoe UI Symbol" w:hAnsi="Segoe UI Symbol" w:cs="Segoe UI Symbol"/>
                <w:color w:val="000000"/>
                <w:szCs w:val="24"/>
              </w:rPr>
              <w:t>★</w:t>
            </w:r>
            <w:r>
              <w:rPr>
                <w:rFonts w:hint="eastAsia" w:ascii="Segoe UI Symbol" w:hAnsi="Segoe UI Symbol" w:cs="Segoe UI Symbol"/>
                <w:color w:val="000000"/>
                <w:szCs w:val="24"/>
              </w:rPr>
              <w:t>人员要求</w:t>
            </w:r>
          </w:p>
        </w:tc>
        <w:tc>
          <w:tcPr>
            <w:tcW w:w="6041" w:type="dxa"/>
            <w:shd w:val="clear" w:color="auto" w:fill="auto"/>
            <w:noWrap w:val="0"/>
            <w:vAlign w:val="bottom"/>
          </w:tcPr>
          <w:p w14:paraId="1506F86B">
            <w:pPr>
              <w:ind w:firstLine="420" w:firstLineChars="200"/>
              <w:rPr>
                <w:rFonts w:ascii="Times New Roman" w:hAnsi="Times New Roman" w:cs="Times New Roman"/>
                <w:color w:val="000000"/>
                <w:highlight w:val="none"/>
              </w:rPr>
            </w:pPr>
            <w:r>
              <w:rPr>
                <w:rFonts w:ascii="Times New Roman" w:hAnsi="Times New Roman" w:cs="Times New Roman"/>
                <w:color w:val="000000"/>
                <w:highlight w:val="none"/>
              </w:rPr>
              <w:t>投标人公司参保人员不得少于50人，需要提供社保机构出具相关社保证明。</w:t>
            </w:r>
          </w:p>
          <w:p w14:paraId="4969E0F1">
            <w:pPr>
              <w:ind w:firstLine="420" w:firstLineChars="200"/>
              <w:rPr>
                <w:rFonts w:ascii="Times New Roman" w:hAnsi="Times New Roman" w:cs="Times New Roman"/>
                <w:color w:val="000000"/>
                <w:highlight w:val="none"/>
              </w:rPr>
            </w:pPr>
            <w:r>
              <w:rPr>
                <w:rFonts w:ascii="Times New Roman" w:hAnsi="Times New Roman" w:cs="Times New Roman"/>
                <w:color w:val="000000"/>
                <w:highlight w:val="none"/>
              </w:rPr>
              <w:t>项目组人员</w:t>
            </w:r>
            <w:r>
              <w:rPr>
                <w:rFonts w:hint="eastAsia" w:ascii="Times New Roman" w:hAnsi="Times New Roman" w:cs="Times New Roman"/>
                <w:color w:val="000000"/>
                <w:highlight w:val="none"/>
              </w:rPr>
              <w:t>不少于10人，</w:t>
            </w:r>
            <w:r>
              <w:rPr>
                <w:rFonts w:ascii="Times New Roman" w:hAnsi="Times New Roman" w:cs="Times New Roman"/>
                <w:color w:val="000000"/>
                <w:highlight w:val="none"/>
              </w:rPr>
              <w:t>包含项目</w:t>
            </w:r>
            <w:r>
              <w:rPr>
                <w:rFonts w:hint="eastAsia" w:ascii="Times New Roman" w:hAnsi="Times New Roman" w:cs="Times New Roman"/>
                <w:color w:val="000000"/>
                <w:highlight w:val="none"/>
                <w:lang w:val="en-US" w:eastAsia="zh-CN"/>
              </w:rPr>
              <w:t>经理</w:t>
            </w:r>
            <w:r>
              <w:rPr>
                <w:rFonts w:ascii="Times New Roman" w:hAnsi="Times New Roman" w:cs="Times New Roman"/>
                <w:color w:val="000000"/>
                <w:highlight w:val="none"/>
              </w:rPr>
              <w:t>、专职安全员、技术负责人、施工人员等。具体施工作业人数由投标人依据自己人员技能水平</w:t>
            </w:r>
            <w:r>
              <w:rPr>
                <w:rFonts w:hint="eastAsia" w:ascii="Times New Roman" w:hAnsi="Times New Roman" w:cs="Times New Roman"/>
                <w:color w:val="000000"/>
                <w:highlight w:val="none"/>
              </w:rPr>
              <w:t>、项目工期、进度、工作量等综合</w:t>
            </w:r>
            <w:r>
              <w:rPr>
                <w:rFonts w:ascii="Times New Roman" w:hAnsi="Times New Roman" w:cs="Times New Roman"/>
                <w:color w:val="000000"/>
                <w:highlight w:val="none"/>
              </w:rPr>
              <w:t>评估后</w:t>
            </w:r>
            <w:r>
              <w:rPr>
                <w:rFonts w:hint="eastAsia" w:ascii="Times New Roman" w:hAnsi="Times New Roman" w:cs="Times New Roman"/>
                <w:color w:val="000000"/>
                <w:highlight w:val="none"/>
              </w:rPr>
              <w:t>填写附件1，签订合同后开工报告前提交至招标人</w:t>
            </w:r>
            <w:r>
              <w:rPr>
                <w:rFonts w:ascii="Times New Roman" w:hAnsi="Times New Roman" w:cs="Times New Roman"/>
                <w:color w:val="000000"/>
                <w:highlight w:val="none"/>
              </w:rPr>
              <w:t>，以确保安全、按时</w:t>
            </w:r>
            <w:r>
              <w:rPr>
                <w:rFonts w:hint="eastAsia" w:ascii="Times New Roman" w:hAnsi="Times New Roman" w:cs="Times New Roman"/>
                <w:color w:val="000000"/>
                <w:highlight w:val="none"/>
              </w:rPr>
              <w:t>、</w:t>
            </w:r>
            <w:r>
              <w:rPr>
                <w:rFonts w:ascii="Times New Roman" w:hAnsi="Times New Roman" w:cs="Times New Roman"/>
                <w:color w:val="000000"/>
                <w:highlight w:val="none"/>
              </w:rPr>
              <w:t>保质</w:t>
            </w:r>
            <w:r>
              <w:rPr>
                <w:rFonts w:hint="eastAsia" w:ascii="Times New Roman" w:hAnsi="Times New Roman" w:cs="Times New Roman"/>
                <w:color w:val="000000"/>
                <w:highlight w:val="none"/>
              </w:rPr>
              <w:t>、</w:t>
            </w:r>
            <w:r>
              <w:rPr>
                <w:rFonts w:ascii="Times New Roman" w:hAnsi="Times New Roman" w:cs="Times New Roman"/>
                <w:color w:val="000000"/>
                <w:highlight w:val="none"/>
              </w:rPr>
              <w:t>保量完成技术文件规定的施工与检测安装作业任务。</w:t>
            </w:r>
          </w:p>
          <w:p w14:paraId="3DD4B56D">
            <w:pPr>
              <w:wordWrap w:val="0"/>
              <w:ind w:firstLine="420" w:firstLineChars="200"/>
              <w:rPr>
                <w:rFonts w:ascii="Times New Roman" w:hAnsi="Times New Roman" w:cs="Times New Roman"/>
                <w:color w:val="000000"/>
                <w:highlight w:val="yellow"/>
                <w:lang w:val="en-US" w:eastAsia="zh-CN"/>
              </w:rPr>
            </w:pPr>
            <w:r>
              <w:rPr>
                <w:rFonts w:hint="eastAsia" w:ascii="Times New Roman" w:hAnsi="Times New Roman" w:cs="Times New Roman"/>
                <w:color w:val="000000"/>
                <w:highlight w:val="none"/>
                <w:lang w:val="en-US" w:eastAsia="zh-CN" w:bidi="ar"/>
              </w:rPr>
              <w:t>项目投标人派遣项目经理对项目整体负责，包括但不限于项目的整体进度把控、整体协调、对分包单位的管理等，项目经理定期与投标人汇报项目进度、协调事项等，负责与投标人的项目对接人。</w:t>
            </w:r>
          </w:p>
        </w:tc>
      </w:tr>
      <w:tr w14:paraId="1D8F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14:paraId="303A8D49">
            <w:pPr>
              <w:spacing w:line="240" w:lineRule="auto"/>
              <w:jc w:val="center"/>
              <w:rPr>
                <w:rFonts w:hint="eastAsia" w:ascii="Times New Roman" w:hAnsi="Times New Roman" w:eastAsia="宋体"/>
                <w:color w:val="000000"/>
                <w:szCs w:val="24"/>
                <w:lang w:eastAsia="zh-CN"/>
              </w:rPr>
            </w:pPr>
            <w:r>
              <w:rPr>
                <w:rFonts w:hint="eastAsia"/>
                <w:color w:val="000000"/>
                <w:szCs w:val="24"/>
                <w:lang w:val="en-US" w:eastAsia="zh-CN"/>
              </w:rPr>
              <w:t>5</w:t>
            </w:r>
          </w:p>
        </w:tc>
        <w:tc>
          <w:tcPr>
            <w:tcW w:w="1756" w:type="dxa"/>
            <w:noWrap w:val="0"/>
            <w:vAlign w:val="center"/>
          </w:tcPr>
          <w:p w14:paraId="3E00D9E7">
            <w:pPr>
              <w:spacing w:line="240" w:lineRule="auto"/>
              <w:jc w:val="both"/>
              <w:rPr>
                <w:rFonts w:ascii="Times New Roman" w:hAnsi="Times New Roman"/>
                <w:color w:val="000000"/>
                <w:szCs w:val="24"/>
              </w:rPr>
            </w:pPr>
            <w:r>
              <w:rPr>
                <w:rFonts w:ascii="Segoe UI Symbol" w:hAnsi="Segoe UI Symbol" w:cs="Segoe UI Symbol"/>
                <w:color w:val="000000"/>
                <w:szCs w:val="24"/>
              </w:rPr>
              <w:t>★</w:t>
            </w:r>
            <w:r>
              <w:rPr>
                <w:rFonts w:ascii="Times New Roman" w:hAnsi="Times New Roman"/>
                <w:color w:val="000000"/>
                <w:szCs w:val="24"/>
              </w:rPr>
              <w:t>项目经理资格要求</w:t>
            </w:r>
          </w:p>
        </w:tc>
        <w:tc>
          <w:tcPr>
            <w:tcW w:w="6041" w:type="dxa"/>
            <w:noWrap w:val="0"/>
            <w:vAlign w:val="bottom"/>
          </w:tcPr>
          <w:p w14:paraId="633664FE">
            <w:pPr>
              <w:spacing w:line="240" w:lineRule="auto"/>
              <w:jc w:val="both"/>
              <w:rPr>
                <w:rFonts w:hint="eastAsia" w:ascii="Times New Roman" w:hAnsi="Times New Roman"/>
                <w:color w:val="000000"/>
                <w:szCs w:val="24"/>
              </w:rPr>
            </w:pPr>
            <w:r>
              <w:rPr>
                <w:rFonts w:hint="eastAsia" w:ascii="Times New Roman" w:hAnsi="Times New Roman"/>
                <w:color w:val="000000"/>
                <w:szCs w:val="24"/>
              </w:rPr>
              <w:t>a)具备有效机电工程专业国家二级注册建造师资格证书，且不得同时担任两项及以上建设工程施工项目经理，注册单位为投标人，并可在全国建筑市场监管公共服务平台（https://jzsc.mohurd.gov.cn）核实，投标时须提供原件扫描件（原件备查)</w:t>
            </w:r>
          </w:p>
          <w:p w14:paraId="136B7BD5">
            <w:pPr>
              <w:spacing w:line="240" w:lineRule="auto"/>
              <w:jc w:val="both"/>
              <w:rPr>
                <w:rFonts w:hint="eastAsia" w:ascii="Times New Roman" w:hAnsi="Times New Roman"/>
                <w:color w:val="000000"/>
                <w:szCs w:val="24"/>
              </w:rPr>
            </w:pPr>
            <w:r>
              <w:rPr>
                <w:rFonts w:hint="eastAsia" w:ascii="Times New Roman" w:hAnsi="Times New Roman"/>
                <w:color w:val="000000"/>
                <w:szCs w:val="24"/>
              </w:rPr>
              <w:t>b)2025年1月至投标截止日期间任意连续6个月由投标人所在地社保机构出具或政府相关部门官方网站下载的以投标人名义缴纳的社保缴纳证明复印件；</w:t>
            </w:r>
          </w:p>
          <w:p w14:paraId="2D65E16B">
            <w:pPr>
              <w:spacing w:line="240" w:lineRule="auto"/>
              <w:jc w:val="both"/>
              <w:rPr>
                <w:rFonts w:hint="eastAsia" w:ascii="Times New Roman" w:hAnsi="Times New Roman"/>
                <w:color w:val="000000"/>
                <w:szCs w:val="24"/>
              </w:rPr>
            </w:pPr>
            <w:r>
              <w:rPr>
                <w:rFonts w:hint="eastAsia" w:ascii="Times New Roman" w:hAnsi="Times New Roman"/>
                <w:color w:val="000000"/>
                <w:szCs w:val="24"/>
              </w:rPr>
              <w:t>c)具备有效的安全生产考核合格证（B证），并可在全国工程质量安全监管信息平台公共服务门户（http://zlaq.mohurd.gov.cn）核实，投标时须提供原件扫描件（原件备查)；</w:t>
            </w:r>
          </w:p>
          <w:p w14:paraId="40E148C5">
            <w:pPr>
              <w:spacing w:line="240" w:lineRule="auto"/>
              <w:jc w:val="both"/>
              <w:rPr>
                <w:rFonts w:ascii="Times New Roman" w:hAnsi="Times New Roman"/>
                <w:color w:val="000000"/>
                <w:szCs w:val="24"/>
              </w:rPr>
            </w:pPr>
            <w:r>
              <w:rPr>
                <w:rFonts w:hint="eastAsia" w:ascii="Times New Roman" w:hAnsi="Times New Roman"/>
                <w:color w:val="000000"/>
                <w:szCs w:val="24"/>
              </w:rPr>
              <w:t>d)本项目合同签订之日起至项目竣工期间无其他在建项目职务，投标时须提供承诺书；</w:t>
            </w:r>
          </w:p>
        </w:tc>
      </w:tr>
      <w:tr w14:paraId="0C33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14:paraId="6BEA85AF">
            <w:pPr>
              <w:spacing w:line="240" w:lineRule="auto"/>
              <w:jc w:val="center"/>
              <w:rPr>
                <w:rFonts w:hint="eastAsia" w:ascii="Times New Roman" w:hAnsi="Times New Roman" w:eastAsia="宋体"/>
                <w:color w:val="000000"/>
                <w:szCs w:val="24"/>
                <w:lang w:eastAsia="zh-CN"/>
              </w:rPr>
            </w:pPr>
            <w:r>
              <w:rPr>
                <w:rFonts w:hint="eastAsia"/>
                <w:color w:val="000000"/>
                <w:szCs w:val="24"/>
                <w:lang w:val="en-US" w:eastAsia="zh-CN"/>
              </w:rPr>
              <w:t>6</w:t>
            </w:r>
          </w:p>
        </w:tc>
        <w:tc>
          <w:tcPr>
            <w:tcW w:w="1756" w:type="dxa"/>
            <w:noWrap w:val="0"/>
            <w:vAlign w:val="center"/>
          </w:tcPr>
          <w:p w14:paraId="7D90F5A0">
            <w:pPr>
              <w:spacing w:line="240" w:lineRule="auto"/>
              <w:jc w:val="both"/>
              <w:rPr>
                <w:rFonts w:ascii="Times New Roman" w:hAnsi="Times New Roman"/>
                <w:color w:val="000000"/>
                <w:szCs w:val="24"/>
              </w:rPr>
            </w:pPr>
            <w:r>
              <w:rPr>
                <w:rFonts w:ascii="Segoe UI Symbol" w:hAnsi="Segoe UI Symbol" w:cs="Segoe UI Symbol"/>
                <w:color w:val="000000"/>
                <w:szCs w:val="24"/>
              </w:rPr>
              <w:t>★</w:t>
            </w:r>
            <w:r>
              <w:rPr>
                <w:rFonts w:hint="eastAsia" w:ascii="Segoe UI Symbol" w:hAnsi="Segoe UI Symbol" w:cs="Segoe UI Symbol"/>
                <w:color w:val="000000"/>
                <w:szCs w:val="24"/>
              </w:rPr>
              <w:t>项目</w:t>
            </w:r>
            <w:r>
              <w:rPr>
                <w:rFonts w:ascii="Times New Roman" w:hAnsi="Times New Roman"/>
                <w:color w:val="000000"/>
                <w:szCs w:val="24"/>
              </w:rPr>
              <w:t>技术负责人资格要求</w:t>
            </w:r>
          </w:p>
        </w:tc>
        <w:tc>
          <w:tcPr>
            <w:tcW w:w="6041" w:type="dxa"/>
            <w:noWrap w:val="0"/>
            <w:vAlign w:val="bottom"/>
          </w:tcPr>
          <w:p w14:paraId="7B3C2BCB">
            <w:pPr>
              <w:spacing w:line="240" w:lineRule="auto"/>
              <w:jc w:val="both"/>
              <w:rPr>
                <w:rFonts w:hint="eastAsia" w:ascii="Times New Roman" w:hAnsi="Times New Roman"/>
                <w:color w:val="000000"/>
                <w:szCs w:val="24"/>
              </w:rPr>
            </w:pPr>
            <w:r>
              <w:rPr>
                <w:rFonts w:hint="eastAsia" w:ascii="Times New Roman" w:hAnsi="Times New Roman"/>
                <w:color w:val="000000"/>
                <w:szCs w:val="24"/>
              </w:rPr>
              <w:t>a)具备有效机电工程专业国家二级注册建造师资格证书，并提供相关资质证书，并可在全国职称评审信息查询平台（www.12333.gov.cn）核实，投标时须提供原件扫描件（原件备查)</w:t>
            </w:r>
          </w:p>
          <w:p w14:paraId="167FC395">
            <w:pPr>
              <w:spacing w:line="240" w:lineRule="auto"/>
              <w:jc w:val="both"/>
              <w:rPr>
                <w:rFonts w:hint="eastAsia" w:ascii="Times New Roman" w:hAnsi="Times New Roman"/>
                <w:color w:val="000000"/>
                <w:szCs w:val="24"/>
              </w:rPr>
            </w:pPr>
            <w:r>
              <w:rPr>
                <w:rFonts w:hint="eastAsia" w:ascii="Times New Roman" w:hAnsi="Times New Roman"/>
                <w:color w:val="000000"/>
                <w:szCs w:val="24"/>
              </w:rPr>
              <w:t>b)本项目合同签订之日起至项目竣工期间无其他在建项目职务，投标时须提供承诺书；</w:t>
            </w:r>
          </w:p>
          <w:p w14:paraId="594F47C9">
            <w:pPr>
              <w:spacing w:line="240" w:lineRule="auto"/>
              <w:jc w:val="both"/>
              <w:rPr>
                <w:rFonts w:hint="eastAsia" w:ascii="Times New Roman" w:hAnsi="Times New Roman"/>
                <w:color w:val="000000"/>
                <w:szCs w:val="24"/>
              </w:rPr>
            </w:pPr>
            <w:r>
              <w:rPr>
                <w:rFonts w:hint="eastAsia" w:ascii="Times New Roman" w:hAnsi="Times New Roman"/>
                <w:color w:val="000000"/>
                <w:szCs w:val="24"/>
              </w:rPr>
              <w:t>c)2025年1月至投标截止日期间任意连续6个月由投标人所在地社保机构出具或政府相关部门官方网站下载的以投标人名义缴纳的社保缴纳证明复印件；</w:t>
            </w:r>
          </w:p>
          <w:p w14:paraId="7B76D92F">
            <w:pPr>
              <w:spacing w:line="240" w:lineRule="auto"/>
              <w:jc w:val="both"/>
              <w:rPr>
                <w:rFonts w:hint="eastAsia" w:ascii="Times New Roman" w:hAnsi="Times New Roman"/>
                <w:color w:val="000000"/>
                <w:szCs w:val="24"/>
              </w:rPr>
            </w:pPr>
            <w:r>
              <w:rPr>
                <w:rFonts w:hint="eastAsia" w:ascii="Times New Roman" w:hAnsi="Times New Roman"/>
                <w:color w:val="000000"/>
                <w:szCs w:val="24"/>
              </w:rPr>
              <w:t>d)从事本专业工作1年及以上相关工作经历。</w:t>
            </w:r>
          </w:p>
        </w:tc>
      </w:tr>
      <w:tr w14:paraId="0AC2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14:paraId="125A99F9">
            <w:pPr>
              <w:spacing w:line="240" w:lineRule="auto"/>
              <w:jc w:val="center"/>
              <w:rPr>
                <w:rFonts w:hint="default" w:ascii="Times New Roman" w:hAnsi="Times New Roman" w:eastAsia="宋体"/>
                <w:color w:val="000000"/>
                <w:szCs w:val="24"/>
                <w:lang w:val="en-US" w:eastAsia="zh-CN"/>
              </w:rPr>
            </w:pPr>
            <w:r>
              <w:rPr>
                <w:rFonts w:hint="eastAsia"/>
                <w:color w:val="000000"/>
                <w:szCs w:val="24"/>
                <w:lang w:val="en-US" w:eastAsia="zh-CN"/>
              </w:rPr>
              <w:t>7</w:t>
            </w:r>
          </w:p>
        </w:tc>
        <w:tc>
          <w:tcPr>
            <w:tcW w:w="1756" w:type="dxa"/>
            <w:noWrap w:val="0"/>
            <w:vAlign w:val="center"/>
          </w:tcPr>
          <w:p w14:paraId="4BD63B3D">
            <w:pPr>
              <w:spacing w:line="240" w:lineRule="auto"/>
              <w:jc w:val="both"/>
              <w:rPr>
                <w:rFonts w:ascii="Times New Roman" w:hAnsi="Times New Roman"/>
                <w:color w:val="000000"/>
                <w:szCs w:val="24"/>
              </w:rPr>
            </w:pPr>
            <w:r>
              <w:rPr>
                <w:rFonts w:ascii="Segoe UI Symbol" w:hAnsi="Segoe UI Symbol" w:cs="Segoe UI Symbol"/>
                <w:color w:val="000000"/>
                <w:szCs w:val="24"/>
              </w:rPr>
              <w:t>★</w:t>
            </w:r>
            <w:r>
              <w:rPr>
                <w:rFonts w:ascii="Times New Roman" w:hAnsi="Times New Roman"/>
                <w:color w:val="000000"/>
                <w:szCs w:val="24"/>
              </w:rPr>
              <w:t>施工专职安全员资格要求</w:t>
            </w:r>
          </w:p>
        </w:tc>
        <w:tc>
          <w:tcPr>
            <w:tcW w:w="6041" w:type="dxa"/>
            <w:noWrap w:val="0"/>
            <w:vAlign w:val="bottom"/>
          </w:tcPr>
          <w:p w14:paraId="2826D6EE">
            <w:pPr>
              <w:spacing w:line="240" w:lineRule="auto"/>
              <w:jc w:val="both"/>
              <w:rPr>
                <w:rFonts w:hint="eastAsia" w:ascii="Times New Roman" w:hAnsi="Times New Roman"/>
                <w:color w:val="000000"/>
                <w:szCs w:val="24"/>
              </w:rPr>
            </w:pPr>
            <w:r>
              <w:rPr>
                <w:rFonts w:hint="eastAsia" w:ascii="Times New Roman" w:hAnsi="Times New Roman"/>
                <w:color w:val="000000"/>
                <w:szCs w:val="24"/>
              </w:rPr>
              <w:t>a)具备有效的安全生产考核合格证（C证），并可在全国工程质量安全监管信息平台公共服务门户（http://zlaq.mohurd.gov.cn）核实，投标时须提供原件扫描件（原件备查)；</w:t>
            </w:r>
          </w:p>
          <w:p w14:paraId="0A179E0C">
            <w:pPr>
              <w:spacing w:line="240" w:lineRule="auto"/>
              <w:jc w:val="both"/>
              <w:rPr>
                <w:rFonts w:hint="eastAsia" w:ascii="Times New Roman" w:hAnsi="Times New Roman"/>
                <w:color w:val="000000"/>
                <w:szCs w:val="24"/>
              </w:rPr>
            </w:pPr>
            <w:r>
              <w:rPr>
                <w:rFonts w:hint="eastAsia" w:ascii="Times New Roman" w:hAnsi="Times New Roman"/>
                <w:color w:val="000000"/>
                <w:szCs w:val="24"/>
              </w:rPr>
              <w:t>b)现场施工过程中，每单位每30人至少配备一名专职安全员；</w:t>
            </w:r>
          </w:p>
          <w:p w14:paraId="0E57FC78">
            <w:pPr>
              <w:spacing w:line="240" w:lineRule="auto"/>
              <w:jc w:val="both"/>
              <w:rPr>
                <w:rFonts w:hint="eastAsia" w:ascii="Times New Roman" w:hAnsi="Times New Roman"/>
                <w:color w:val="000000"/>
                <w:szCs w:val="24"/>
              </w:rPr>
            </w:pPr>
            <w:r>
              <w:rPr>
                <w:rFonts w:hint="eastAsia" w:ascii="Times New Roman" w:hAnsi="Times New Roman"/>
                <w:color w:val="000000"/>
                <w:szCs w:val="24"/>
              </w:rPr>
              <w:t>c)2025年1月至投标截止日期间任意连续6个月由投标人所在地社保机构出具或政府相关部门官方网站下载的以投标人名义缴纳的社保缴纳证明复印件；</w:t>
            </w:r>
          </w:p>
          <w:p w14:paraId="39C089ED">
            <w:pPr>
              <w:spacing w:line="240" w:lineRule="auto"/>
              <w:jc w:val="both"/>
              <w:rPr>
                <w:rFonts w:hint="eastAsia" w:ascii="Times New Roman" w:hAnsi="Times New Roman"/>
                <w:color w:val="000000"/>
                <w:szCs w:val="24"/>
              </w:rPr>
            </w:pPr>
            <w:r>
              <w:rPr>
                <w:rFonts w:hint="eastAsia"/>
                <w:color w:val="000000"/>
                <w:szCs w:val="24"/>
                <w:lang w:val="en-US" w:eastAsia="zh-CN"/>
              </w:rPr>
              <w:t>d</w:t>
            </w:r>
            <w:r>
              <w:rPr>
                <w:rFonts w:hint="eastAsia" w:ascii="Times New Roman" w:hAnsi="Times New Roman"/>
                <w:color w:val="000000"/>
                <w:szCs w:val="24"/>
              </w:rPr>
              <w:t>)从事安全专业工作1年及以上工作经历（取得安全员及以上证书日期开始计）</w:t>
            </w:r>
          </w:p>
        </w:tc>
      </w:tr>
      <w:tr w14:paraId="6FF2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14:paraId="79F435CE">
            <w:pPr>
              <w:spacing w:line="240" w:lineRule="auto"/>
              <w:jc w:val="center"/>
              <w:rPr>
                <w:rFonts w:hint="default"/>
                <w:color w:val="000000"/>
                <w:szCs w:val="24"/>
                <w:lang w:val="en-US" w:eastAsia="zh-CN"/>
              </w:rPr>
            </w:pPr>
            <w:r>
              <w:rPr>
                <w:rFonts w:hint="eastAsia"/>
                <w:color w:val="000000"/>
                <w:szCs w:val="24"/>
                <w:lang w:val="en-US" w:eastAsia="zh-CN"/>
              </w:rPr>
              <w:t>8</w:t>
            </w:r>
          </w:p>
        </w:tc>
        <w:tc>
          <w:tcPr>
            <w:tcW w:w="1756" w:type="dxa"/>
            <w:noWrap w:val="0"/>
            <w:vAlign w:val="center"/>
          </w:tcPr>
          <w:p w14:paraId="7AB09575">
            <w:pPr>
              <w:spacing w:line="240" w:lineRule="auto"/>
              <w:jc w:val="both"/>
              <w:rPr>
                <w:rFonts w:ascii="Segoe UI Symbol" w:hAnsi="Segoe UI Symbol" w:cs="Segoe UI Symbol"/>
                <w:color w:val="000000"/>
                <w:szCs w:val="24"/>
              </w:rPr>
            </w:pPr>
            <w:r>
              <w:rPr>
                <w:rFonts w:hint="eastAsia" w:ascii="Segoe UI Symbol" w:hAnsi="Segoe UI Symbol" w:cs="Segoe UI Symbol"/>
                <w:color w:val="000000"/>
                <w:szCs w:val="24"/>
              </w:rPr>
              <w:t>★各专业技术负责人资格要求</w:t>
            </w:r>
          </w:p>
        </w:tc>
        <w:tc>
          <w:tcPr>
            <w:tcW w:w="6041" w:type="dxa"/>
            <w:noWrap w:val="0"/>
            <w:vAlign w:val="bottom"/>
          </w:tcPr>
          <w:p w14:paraId="689905A0">
            <w:pPr>
              <w:spacing w:line="240" w:lineRule="auto"/>
              <w:jc w:val="both"/>
              <w:rPr>
                <w:rFonts w:hint="eastAsia" w:ascii="Times New Roman" w:hAnsi="Times New Roman"/>
                <w:color w:val="000000"/>
                <w:szCs w:val="24"/>
              </w:rPr>
            </w:pPr>
            <w:r>
              <w:rPr>
                <w:rFonts w:hint="eastAsia" w:ascii="Times New Roman" w:hAnsi="Times New Roman"/>
                <w:color w:val="000000"/>
                <w:szCs w:val="24"/>
              </w:rPr>
              <w:t>a)本项目合同签订之日起至项目竣工期间无其他在建项目职务，投标时须提供承诺书；</w:t>
            </w:r>
          </w:p>
          <w:p w14:paraId="1DBE7501">
            <w:pPr>
              <w:spacing w:line="240" w:lineRule="auto"/>
              <w:jc w:val="both"/>
              <w:rPr>
                <w:rFonts w:hint="eastAsia" w:ascii="Times New Roman" w:hAnsi="Times New Roman"/>
                <w:color w:val="000000"/>
                <w:szCs w:val="24"/>
              </w:rPr>
            </w:pPr>
            <w:r>
              <w:rPr>
                <w:rFonts w:hint="eastAsia" w:ascii="Times New Roman" w:hAnsi="Times New Roman"/>
                <w:color w:val="000000"/>
                <w:szCs w:val="24"/>
              </w:rPr>
              <w:t>b)2025年1月至投标截止日期间任意连续6个月由投标人所在地社保机构出具或政府相关部门官方网站下载的以投标人名义缴纳的社保缴纳证明复印件；</w:t>
            </w:r>
          </w:p>
          <w:p w14:paraId="55BD4B26">
            <w:pPr>
              <w:spacing w:line="240" w:lineRule="auto"/>
              <w:jc w:val="both"/>
              <w:rPr>
                <w:rFonts w:ascii="Times New Roman" w:hAnsi="Times New Roman"/>
                <w:color w:val="000000"/>
                <w:szCs w:val="24"/>
              </w:rPr>
            </w:pPr>
            <w:r>
              <w:rPr>
                <w:rFonts w:hint="eastAsia" w:ascii="Times New Roman" w:hAnsi="Times New Roman"/>
                <w:color w:val="000000"/>
                <w:szCs w:val="24"/>
              </w:rPr>
              <w:t>c)从事本专业工作1年及以上相关工作经历。</w:t>
            </w:r>
          </w:p>
        </w:tc>
      </w:tr>
      <w:tr w14:paraId="63B5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14:paraId="1213FE13">
            <w:pPr>
              <w:spacing w:line="240" w:lineRule="auto"/>
              <w:jc w:val="center"/>
              <w:rPr>
                <w:rFonts w:hint="eastAsia" w:ascii="Times New Roman" w:hAnsi="Times New Roman" w:eastAsia="宋体"/>
                <w:color w:val="000000"/>
                <w:szCs w:val="24"/>
                <w:lang w:eastAsia="zh-CN"/>
              </w:rPr>
            </w:pPr>
            <w:r>
              <w:rPr>
                <w:rFonts w:hint="eastAsia"/>
                <w:color w:val="000000"/>
                <w:szCs w:val="24"/>
                <w:lang w:val="en-US" w:eastAsia="zh-CN"/>
              </w:rPr>
              <w:t>9</w:t>
            </w:r>
          </w:p>
        </w:tc>
        <w:tc>
          <w:tcPr>
            <w:tcW w:w="1756" w:type="dxa"/>
            <w:noWrap w:val="0"/>
            <w:vAlign w:val="center"/>
          </w:tcPr>
          <w:p w14:paraId="123A0AC7">
            <w:pPr>
              <w:spacing w:line="240" w:lineRule="auto"/>
              <w:jc w:val="both"/>
              <w:rPr>
                <w:rFonts w:ascii="Times New Roman" w:hAnsi="Times New Roman"/>
                <w:color w:val="000000"/>
                <w:szCs w:val="24"/>
              </w:rPr>
            </w:pPr>
            <w:r>
              <w:rPr>
                <w:rFonts w:ascii="Segoe UI Symbol" w:hAnsi="Segoe UI Symbol" w:cs="Segoe UI Symbol"/>
                <w:color w:val="000000"/>
                <w:szCs w:val="24"/>
              </w:rPr>
              <w:t>★</w:t>
            </w:r>
            <w:r>
              <w:rPr>
                <w:rFonts w:ascii="Times New Roman" w:hAnsi="Times New Roman"/>
                <w:color w:val="000000"/>
                <w:szCs w:val="24"/>
              </w:rPr>
              <w:t>财务要求</w:t>
            </w:r>
          </w:p>
        </w:tc>
        <w:tc>
          <w:tcPr>
            <w:tcW w:w="6041" w:type="dxa"/>
            <w:noWrap w:val="0"/>
            <w:vAlign w:val="bottom"/>
          </w:tcPr>
          <w:p w14:paraId="64CF48C8">
            <w:pPr>
              <w:spacing w:line="240" w:lineRule="auto"/>
              <w:jc w:val="both"/>
              <w:rPr>
                <w:rFonts w:ascii="Times New Roman" w:hAnsi="Times New Roman"/>
                <w:color w:val="000000"/>
                <w:szCs w:val="24"/>
              </w:rPr>
            </w:pPr>
            <w:r>
              <w:rPr>
                <w:rFonts w:ascii="Times New Roman" w:hAnsi="Times New Roman"/>
                <w:color w:val="000000"/>
                <w:szCs w:val="24"/>
              </w:rPr>
              <w:t>投标人须提供经会计师事务所或审计机构审计的近三年（2022 年-2024年）的审计报告及财务报表，至少包括审计报告、资产负债表、利润表、现金流量表（须加盖会计师事务所印章），且每年资产负债率不得高于100%。投标人的成立时间少于规定年份的，应提供成立以来的财务会计报表，且成立以来的财务会计报表需满足每年资产负债率不得高于100%的财务指标。</w:t>
            </w:r>
          </w:p>
        </w:tc>
      </w:tr>
      <w:tr w14:paraId="6FF0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14:paraId="46D9DA25">
            <w:pPr>
              <w:spacing w:line="240" w:lineRule="auto"/>
              <w:jc w:val="center"/>
              <w:rPr>
                <w:rFonts w:hint="default" w:ascii="Times New Roman" w:hAnsi="Times New Roman" w:eastAsia="宋体"/>
                <w:color w:val="000000"/>
                <w:szCs w:val="24"/>
                <w:lang w:val="en-US" w:eastAsia="zh-CN"/>
              </w:rPr>
            </w:pPr>
            <w:r>
              <w:rPr>
                <w:rFonts w:hint="eastAsia"/>
                <w:color w:val="000000"/>
                <w:szCs w:val="24"/>
                <w:lang w:val="en-US" w:eastAsia="zh-CN"/>
              </w:rPr>
              <w:t>10</w:t>
            </w:r>
          </w:p>
        </w:tc>
        <w:tc>
          <w:tcPr>
            <w:tcW w:w="1756" w:type="dxa"/>
            <w:noWrap w:val="0"/>
            <w:vAlign w:val="center"/>
          </w:tcPr>
          <w:p w14:paraId="37CE931E">
            <w:pPr>
              <w:spacing w:line="240" w:lineRule="auto"/>
              <w:jc w:val="both"/>
              <w:rPr>
                <w:rFonts w:ascii="Times New Roman" w:hAnsi="Times New Roman"/>
                <w:color w:val="000000"/>
                <w:szCs w:val="24"/>
              </w:rPr>
            </w:pPr>
            <w:r>
              <w:rPr>
                <w:rFonts w:ascii="Segoe UI Symbol" w:hAnsi="Segoe UI Symbol" w:cs="Segoe UI Symbol"/>
                <w:color w:val="000000"/>
                <w:szCs w:val="24"/>
              </w:rPr>
              <w:t>★</w:t>
            </w:r>
            <w:r>
              <w:rPr>
                <w:rFonts w:ascii="Times New Roman" w:hAnsi="Times New Roman"/>
                <w:color w:val="000000"/>
                <w:szCs w:val="24"/>
              </w:rPr>
              <w:t>业绩要求</w:t>
            </w:r>
          </w:p>
        </w:tc>
        <w:tc>
          <w:tcPr>
            <w:tcW w:w="6041" w:type="dxa"/>
            <w:noWrap w:val="0"/>
            <w:vAlign w:val="bottom"/>
          </w:tcPr>
          <w:p w14:paraId="7AAB99EB">
            <w:pPr>
              <w:rPr>
                <w:rFonts w:ascii="Times New Roman" w:hAnsi="Times New Roman"/>
                <w:color w:val="000000"/>
                <w:szCs w:val="24"/>
              </w:rPr>
            </w:pPr>
            <w:r>
              <w:rPr>
                <w:rFonts w:hint="eastAsia" w:ascii="Times New Roman" w:hAnsi="Times New Roman"/>
                <w:color w:val="000000"/>
                <w:szCs w:val="24"/>
              </w:rPr>
              <w:t>2022年</w:t>
            </w:r>
            <w:r>
              <w:rPr>
                <w:rFonts w:hint="eastAsia" w:ascii="Times New Roman" w:hAnsi="Times New Roman"/>
                <w:color w:val="000000"/>
                <w:szCs w:val="24"/>
                <w:lang w:val="en-US" w:eastAsia="zh-CN"/>
              </w:rPr>
              <w:t>1月1日</w:t>
            </w:r>
            <w:r>
              <w:rPr>
                <w:rFonts w:hint="eastAsia" w:ascii="Times New Roman" w:hAnsi="Times New Roman"/>
                <w:color w:val="000000"/>
                <w:szCs w:val="24"/>
              </w:rPr>
              <w:t>至今</w:t>
            </w:r>
            <w:r>
              <w:rPr>
                <w:rFonts w:hint="eastAsia" w:ascii="Times New Roman" w:hAnsi="Times New Roman" w:eastAsia="宋体"/>
                <w:color w:val="000000"/>
                <w:szCs w:val="24"/>
              </w:rPr>
              <w:t>（</w:t>
            </w:r>
            <w:r>
              <w:rPr>
                <w:rFonts w:hint="eastAsia" w:ascii="Times New Roman" w:hAnsi="Times New Roman"/>
                <w:color w:val="000000"/>
                <w:szCs w:val="24"/>
              </w:rPr>
              <w:t>合同签订时间为准），至少有两项应用</w:t>
            </w:r>
            <w:r>
              <w:rPr>
                <w:rFonts w:hint="eastAsia" w:ascii="Times New Roman" w:hAnsi="Times New Roman"/>
                <w:color w:val="000000"/>
                <w:szCs w:val="24"/>
                <w:lang w:val="en-US" w:eastAsia="zh-CN"/>
              </w:rPr>
              <w:t>在</w:t>
            </w:r>
            <w:r>
              <w:rPr>
                <w:rFonts w:hint="eastAsia" w:ascii="Times New Roman" w:hAnsi="Times New Roman"/>
                <w:color w:val="000000"/>
                <w:szCs w:val="24"/>
              </w:rPr>
              <w:t>循环水回水余压系统</w:t>
            </w:r>
            <w:r>
              <w:rPr>
                <w:rFonts w:hint="eastAsia" w:ascii="Times New Roman" w:hAnsi="Times New Roman"/>
                <w:color w:val="000000"/>
                <w:szCs w:val="24"/>
                <w:lang w:val="en-US" w:eastAsia="zh-CN"/>
              </w:rPr>
              <w:t>上的</w:t>
            </w:r>
            <w:r>
              <w:rPr>
                <w:rFonts w:hint="eastAsia" w:ascii="Times New Roman" w:hAnsi="Times New Roman"/>
                <w:color w:val="000000"/>
                <w:szCs w:val="24"/>
              </w:rPr>
              <w:t>机组采用水轮机</w:t>
            </w:r>
            <w:r>
              <w:rPr>
                <w:rFonts w:hint="eastAsia" w:ascii="Times New Roman" w:hAnsi="Times New Roman"/>
                <w:color w:val="000000"/>
                <w:szCs w:val="24"/>
                <w:lang w:val="en-US" w:eastAsia="zh-CN"/>
              </w:rPr>
              <w:t>且</w:t>
            </w:r>
            <w:r>
              <w:rPr>
                <w:rFonts w:hint="eastAsia" w:ascii="Times New Roman" w:hAnsi="Times New Roman"/>
                <w:color w:val="000000"/>
                <w:szCs w:val="24"/>
              </w:rPr>
              <w:t>单机组装机功率100kW 以上</w:t>
            </w:r>
            <w:r>
              <w:rPr>
                <w:rFonts w:hint="eastAsia" w:ascii="Times New Roman" w:hAnsi="Times New Roman"/>
                <w:color w:val="000000"/>
                <w:szCs w:val="24"/>
                <w:lang w:val="en-US" w:eastAsia="zh-CN"/>
              </w:rPr>
              <w:t>或</w:t>
            </w:r>
            <w:r>
              <w:rPr>
                <w:rFonts w:hint="eastAsia" w:ascii="Times New Roman" w:hAnsi="Times New Roman"/>
                <w:color w:val="000000"/>
                <w:szCs w:val="24"/>
              </w:rPr>
              <w:t>单项目合计装机发电量</w:t>
            </w:r>
            <w:r>
              <w:rPr>
                <w:rFonts w:hint="eastAsia" w:ascii="Times New Roman" w:hAnsi="Times New Roman"/>
                <w:color w:val="000000"/>
                <w:szCs w:val="24"/>
                <w:highlight w:val="none"/>
                <w:lang w:val="en-US" w:eastAsia="zh-CN"/>
              </w:rPr>
              <w:t>5</w:t>
            </w:r>
            <w:r>
              <w:rPr>
                <w:rFonts w:hint="eastAsia" w:ascii="Times New Roman" w:hAnsi="Times New Roman"/>
                <w:color w:val="000000"/>
                <w:szCs w:val="24"/>
                <w:highlight w:val="none"/>
              </w:rPr>
              <w:t>00k</w:t>
            </w:r>
            <w:r>
              <w:rPr>
                <w:rFonts w:hint="eastAsia" w:ascii="Times New Roman" w:hAnsi="Times New Roman"/>
                <w:color w:val="000000"/>
                <w:szCs w:val="24"/>
              </w:rPr>
              <w:t>W 以上业绩，投标人须提交业绩表，并提交相关业绩证明文件的原件扫描件（原件备查）。</w:t>
            </w:r>
          </w:p>
          <w:p w14:paraId="38252CA1">
            <w:pPr>
              <w:rPr>
                <w:rFonts w:ascii="Times New Roman" w:hAnsi="Times New Roman" w:cs="Times New Roman"/>
                <w:color w:val="000000"/>
              </w:rPr>
            </w:pPr>
            <w:r>
              <w:rPr>
                <w:rFonts w:ascii="Times New Roman" w:hAnsi="Times New Roman" w:cs="Times New Roman"/>
                <w:color w:val="000000"/>
              </w:rPr>
              <w:t>投标人须按规定格式提交业绩表，并提交相关业绩证明文件。业绩证明文件包括但不限于：1）合同复印件（含相关技术附件）和2）服务验收证明材料。投标人所提交的业绩证明文件必须至少体现以下内容：合同签署时间、项目名称、包含技术参数的设备清单及服务验收证明材料。</w:t>
            </w:r>
          </w:p>
          <w:p w14:paraId="248AB5AA">
            <w:pPr>
              <w:rPr>
                <w:rFonts w:ascii="Times New Roman" w:hAnsi="Times New Roman"/>
                <w:color w:val="000000"/>
                <w:szCs w:val="24"/>
              </w:rPr>
            </w:pPr>
            <w:r>
              <w:rPr>
                <w:rFonts w:ascii="Times New Roman" w:hAnsi="Times New Roman" w:cs="Times New Roman"/>
                <w:color w:val="000000"/>
              </w:rPr>
              <w:t>未提交业绩证明文件，或所提供的业绩证明文件无法体现满足上述业绩要求的，均视为无效业绩。</w:t>
            </w:r>
          </w:p>
        </w:tc>
      </w:tr>
    </w:tbl>
    <w:p w14:paraId="1135E2CE">
      <w:pPr>
        <w:pStyle w:val="9"/>
        <w:widowControl w:val="0"/>
        <w:numPr>
          <w:ilvl w:val="255"/>
          <w:numId w:val="0"/>
        </w:numPr>
        <w:spacing w:before="0" w:beforeAutospacing="0" w:after="0" w:afterAutospacing="0"/>
        <w:ind w:firstLine="480" w:firstLineChars="200"/>
        <w:jc w:val="center"/>
        <w:rPr>
          <w:rFonts w:hint="eastAsia" w:cs="宋体"/>
          <w:bCs/>
          <w:iCs/>
        </w:rPr>
      </w:pPr>
    </w:p>
    <w:p w14:paraId="34C1108D">
      <w:pPr>
        <w:adjustRightInd w:val="0"/>
        <w:snapToGrid w:val="0"/>
        <w:spacing w:before="156" w:beforeLines="50" w:line="360" w:lineRule="auto"/>
        <w:ind w:firstLine="480" w:firstLineChars="200"/>
        <w:rPr>
          <w:rFonts w:hint="eastAsia" w:ascii="宋体" w:hAnsi="宋体" w:cs="宋体"/>
          <w:bCs/>
          <w:iCs/>
          <w:sz w:val="24"/>
        </w:rPr>
      </w:pPr>
      <w:r>
        <w:rPr>
          <w:rFonts w:hint="eastAsia" w:ascii="宋体" w:hAnsi="宋体" w:cs="宋体"/>
          <w:bCs/>
          <w:iCs/>
          <w:sz w:val="24"/>
        </w:rPr>
        <w:t>3、</w:t>
      </w:r>
      <w:r>
        <w:rPr>
          <w:rFonts w:ascii="宋体" w:hAnsi="宋体" w:cs="宋体"/>
          <w:bCs/>
          <w:iCs/>
          <w:sz w:val="24"/>
        </w:rPr>
        <w:t>响应性评审</w:t>
      </w:r>
      <w:bookmarkStart w:id="4" w:name="psAttribute_20230807155317734_0"/>
    </w:p>
    <w:bookmarkEnd w:id="4"/>
    <w:p w14:paraId="3E3EBC70">
      <w:pPr>
        <w:pStyle w:val="9"/>
        <w:widowControl w:val="0"/>
        <w:numPr>
          <w:ilvl w:val="255"/>
          <w:numId w:val="0"/>
        </w:numPr>
        <w:spacing w:before="0" w:beforeAutospacing="0" w:after="0" w:afterAutospacing="0"/>
        <w:ind w:firstLine="482" w:firstLineChars="200"/>
        <w:jc w:val="center"/>
        <w:rPr>
          <w:rFonts w:hint="eastAsia" w:cs="宋体"/>
          <w:bCs/>
          <w:iCs/>
        </w:rPr>
      </w:pPr>
      <w:r>
        <w:rPr>
          <w:rFonts w:hint="eastAsia" w:cs="宋体"/>
          <w:b/>
          <w:iCs/>
        </w:rPr>
        <w:t>表3 响应性评审</w:t>
      </w:r>
      <w:r>
        <w:rPr>
          <w:rFonts w:cs="宋体"/>
          <w:bCs/>
          <w:iCs/>
        </w:rPr>
        <w:t>标</w:t>
      </w:r>
      <w:r>
        <w:rPr>
          <w:rFonts w:cs="宋体"/>
          <w:bCs/>
          <w:iCs/>
          <w:highlight w:val="none"/>
        </w:rPr>
        <w:t>准</w:t>
      </w:r>
      <w:r>
        <w:rPr>
          <w:rFonts w:hint="eastAsia" w:cs="宋体"/>
          <w:bCs/>
          <w:iCs/>
          <w:highlight w:val="none"/>
        </w:rPr>
        <w:t>（</w:t>
      </w:r>
      <w:r>
        <w:rPr>
          <w:rFonts w:ascii="Segoe UI Symbol" w:hAnsi="Segoe UI Symbol" w:cs="Segoe UI Symbol"/>
          <w:color w:val="000000"/>
          <w:highlight w:val="none"/>
        </w:rPr>
        <w:t>★</w:t>
      </w:r>
      <w:r>
        <w:rPr>
          <w:rFonts w:hint="eastAsia" w:ascii="Segoe UI Symbol" w:hAnsi="Segoe UI Symbol" w:cs="Segoe UI Symbol"/>
          <w:color w:val="000000"/>
          <w:highlight w:val="none"/>
          <w:lang w:val="en-US" w:eastAsia="zh-CN"/>
        </w:rPr>
        <w:t>条款</w:t>
      </w:r>
      <w:r>
        <w:rPr>
          <w:rFonts w:hint="eastAsia" w:cs="宋体"/>
          <w:bCs/>
          <w:iCs/>
          <w:highlight w:val="none"/>
        </w:rPr>
        <w:t>不允许偏离）</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756"/>
        <w:gridCol w:w="6042"/>
      </w:tblGrid>
      <w:tr w14:paraId="5134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noWrap w:val="0"/>
            <w:vAlign w:val="center"/>
          </w:tcPr>
          <w:p w14:paraId="46FE11B7">
            <w:pPr>
              <w:spacing w:line="240" w:lineRule="auto"/>
              <w:jc w:val="center"/>
              <w:textAlignment w:val="center"/>
              <w:rPr>
                <w:rFonts w:ascii="Times New Roman" w:hAnsi="Times New Roman"/>
                <w:b/>
                <w:bCs/>
                <w:color w:val="000000"/>
              </w:rPr>
            </w:pPr>
            <w:bookmarkStart w:id="5" w:name="psFlowItem_20230326212031989_0"/>
            <w:r>
              <w:rPr>
                <w:rFonts w:ascii="Times New Roman" w:hAnsi="Times New Roman"/>
                <w:b/>
                <w:bCs/>
                <w:color w:val="000000"/>
                <w:kern w:val="0"/>
                <w:lang w:bidi="ar"/>
              </w:rPr>
              <w:t>序号</w:t>
            </w:r>
          </w:p>
        </w:tc>
        <w:tc>
          <w:tcPr>
            <w:tcW w:w="1756" w:type="dxa"/>
            <w:noWrap w:val="0"/>
            <w:vAlign w:val="center"/>
          </w:tcPr>
          <w:p w14:paraId="4CFF2F09">
            <w:pPr>
              <w:spacing w:line="240" w:lineRule="auto"/>
              <w:jc w:val="both"/>
              <w:textAlignment w:val="center"/>
              <w:rPr>
                <w:rFonts w:ascii="Times New Roman" w:hAnsi="Times New Roman"/>
                <w:b/>
                <w:bCs/>
                <w:color w:val="000000"/>
              </w:rPr>
            </w:pPr>
            <w:r>
              <w:rPr>
                <w:rFonts w:ascii="Times New Roman" w:hAnsi="Times New Roman"/>
                <w:b/>
                <w:bCs/>
                <w:color w:val="000000"/>
                <w:kern w:val="0"/>
                <w:lang w:bidi="ar"/>
              </w:rPr>
              <w:t>评审因素</w:t>
            </w:r>
          </w:p>
        </w:tc>
        <w:tc>
          <w:tcPr>
            <w:tcW w:w="6042" w:type="dxa"/>
            <w:noWrap w:val="0"/>
            <w:vAlign w:val="center"/>
          </w:tcPr>
          <w:p w14:paraId="0F4F5936">
            <w:pPr>
              <w:spacing w:line="240" w:lineRule="auto"/>
              <w:jc w:val="center"/>
              <w:textAlignment w:val="center"/>
              <w:rPr>
                <w:rFonts w:ascii="Times New Roman" w:hAnsi="Times New Roman"/>
                <w:b/>
                <w:bCs/>
                <w:color w:val="000000"/>
              </w:rPr>
            </w:pPr>
            <w:r>
              <w:rPr>
                <w:rFonts w:ascii="Times New Roman" w:hAnsi="Times New Roman"/>
                <w:b/>
                <w:bCs/>
                <w:color w:val="000000"/>
                <w:kern w:val="0"/>
                <w:lang w:bidi="ar"/>
              </w:rPr>
              <w:t>评审标准</w:t>
            </w:r>
          </w:p>
        </w:tc>
      </w:tr>
      <w:bookmarkEnd w:id="5"/>
      <w:tr w14:paraId="2F15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noWrap w:val="0"/>
            <w:vAlign w:val="center"/>
          </w:tcPr>
          <w:p w14:paraId="2724DC0D">
            <w:pPr>
              <w:spacing w:line="240" w:lineRule="auto"/>
              <w:jc w:val="center"/>
              <w:rPr>
                <w:rFonts w:ascii="Times New Roman" w:hAnsi="Times New Roman"/>
                <w:color w:val="000000"/>
              </w:rPr>
            </w:pPr>
            <w:r>
              <w:rPr>
                <w:rFonts w:ascii="Times New Roman" w:hAnsi="Times New Roman"/>
                <w:color w:val="000000"/>
              </w:rPr>
              <w:t>1</w:t>
            </w:r>
          </w:p>
        </w:tc>
        <w:tc>
          <w:tcPr>
            <w:tcW w:w="360" w:type="dxa"/>
            <w:noWrap w:val="0"/>
            <w:vAlign w:val="center"/>
          </w:tcPr>
          <w:p w14:paraId="6037F19F">
            <w:pPr>
              <w:spacing w:line="240" w:lineRule="auto"/>
              <w:jc w:val="both"/>
              <w:rPr>
                <w:rFonts w:ascii="Times New Roman" w:hAnsi="Times New Roman"/>
                <w:color w:val="000000"/>
              </w:rPr>
            </w:pPr>
            <w:r>
              <w:rPr>
                <w:rFonts w:ascii="Times New Roman" w:hAnsi="Times New Roman"/>
                <w:color w:val="000000"/>
              </w:rPr>
              <w:t>投标内容</w:t>
            </w:r>
          </w:p>
        </w:tc>
        <w:tc>
          <w:tcPr>
            <w:tcW w:w="360" w:type="dxa"/>
            <w:noWrap w:val="0"/>
            <w:vAlign w:val="bottom"/>
          </w:tcPr>
          <w:p w14:paraId="72412AAB">
            <w:pPr>
              <w:spacing w:line="240" w:lineRule="auto"/>
              <w:jc w:val="both"/>
              <w:rPr>
                <w:rFonts w:ascii="Times New Roman" w:hAnsi="Times New Roman"/>
                <w:color w:val="000000"/>
              </w:rPr>
            </w:pPr>
            <w:r>
              <w:rPr>
                <w:rFonts w:ascii="Times New Roman" w:hAnsi="Times New Roman"/>
                <w:color w:val="000000"/>
              </w:rPr>
              <w:t>本项目为富岛化工循环水回水余压利用节能改造项目总包服务，包括但不限于本改造项目的整体设计、基础建设、设备管道施工、调试、性能考核、竣工验收等方面，要求根据富岛化工现有循环水系统回水条件，最大限度回收能量转化为电能，供富岛化工使用。</w:t>
            </w:r>
          </w:p>
        </w:tc>
      </w:tr>
      <w:tr w14:paraId="2BF2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noWrap w:val="0"/>
            <w:vAlign w:val="center"/>
          </w:tcPr>
          <w:p w14:paraId="66BB0676">
            <w:pPr>
              <w:spacing w:line="240" w:lineRule="auto"/>
              <w:jc w:val="center"/>
              <w:rPr>
                <w:rFonts w:hint="eastAsia" w:ascii="Times New Roman" w:hAnsi="Times New Roman" w:eastAsia="宋体"/>
                <w:color w:val="000000"/>
                <w:lang w:val="en-US" w:eastAsia="zh-CN"/>
              </w:rPr>
            </w:pPr>
            <w:r>
              <w:rPr>
                <w:rFonts w:hint="eastAsia"/>
                <w:color w:val="000000"/>
                <w:lang w:val="en-US" w:eastAsia="zh-CN"/>
              </w:rPr>
              <w:t>2</w:t>
            </w:r>
          </w:p>
        </w:tc>
        <w:tc>
          <w:tcPr>
            <w:tcW w:w="360" w:type="dxa"/>
            <w:noWrap w:val="0"/>
            <w:vAlign w:val="center"/>
          </w:tcPr>
          <w:p w14:paraId="6185854B">
            <w:pPr>
              <w:spacing w:line="240" w:lineRule="auto"/>
              <w:jc w:val="both"/>
              <w:rPr>
                <w:rFonts w:ascii="Times New Roman" w:hAnsi="Times New Roman"/>
                <w:color w:val="000000"/>
              </w:rPr>
            </w:pPr>
            <w:r>
              <w:rPr>
                <w:rFonts w:hint="eastAsia"/>
                <w:color w:val="000000"/>
                <w:lang w:val="en-US" w:eastAsia="zh-CN"/>
              </w:rPr>
              <w:t>★设备材料</w:t>
            </w:r>
            <w:r>
              <w:rPr>
                <w:rFonts w:ascii="Times New Roman" w:hAnsi="Times New Roman"/>
                <w:color w:val="000000"/>
              </w:rPr>
              <w:t>交货期</w:t>
            </w:r>
          </w:p>
        </w:tc>
        <w:tc>
          <w:tcPr>
            <w:tcW w:w="360" w:type="dxa"/>
            <w:noWrap w:val="0"/>
            <w:vAlign w:val="bottom"/>
          </w:tcPr>
          <w:p w14:paraId="705DF8B7">
            <w:pPr>
              <w:spacing w:line="240" w:lineRule="auto"/>
              <w:jc w:val="both"/>
              <w:rPr>
                <w:rFonts w:hint="eastAsia" w:ascii="Times New Roman" w:hAnsi="Times New Roman"/>
                <w:color w:val="000000"/>
              </w:rPr>
            </w:pPr>
            <w:r>
              <w:rPr>
                <w:rFonts w:hint="eastAsia" w:ascii="Times New Roman" w:hAnsi="Times New Roman"/>
                <w:color w:val="000000"/>
              </w:rPr>
              <w:t>合同签订后，应在130日内将循环水水轮发电机组和其他设备材料送货至招标人指定场所。</w:t>
            </w:r>
          </w:p>
          <w:p w14:paraId="2D9BF3A2">
            <w:pPr>
              <w:spacing w:line="240" w:lineRule="auto"/>
              <w:jc w:val="both"/>
              <w:rPr>
                <w:rFonts w:hint="eastAsia" w:ascii="Times New Roman" w:hAnsi="Times New Roman"/>
                <w:color w:val="000000"/>
              </w:rPr>
            </w:pPr>
          </w:p>
        </w:tc>
      </w:tr>
      <w:tr w14:paraId="027B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noWrap w:val="0"/>
            <w:vAlign w:val="center"/>
          </w:tcPr>
          <w:p w14:paraId="0C5AF726">
            <w:pPr>
              <w:spacing w:line="240" w:lineRule="auto"/>
              <w:jc w:val="center"/>
              <w:rPr>
                <w:rFonts w:hint="eastAsia" w:ascii="Times New Roman" w:hAnsi="Times New Roman" w:eastAsia="宋体"/>
                <w:color w:val="000000"/>
                <w:lang w:eastAsia="zh-CN"/>
              </w:rPr>
            </w:pPr>
            <w:r>
              <w:rPr>
                <w:rFonts w:hint="eastAsia"/>
                <w:color w:val="000000"/>
                <w:lang w:val="en-US" w:eastAsia="zh-CN"/>
              </w:rPr>
              <w:t>3</w:t>
            </w:r>
          </w:p>
        </w:tc>
        <w:tc>
          <w:tcPr>
            <w:tcW w:w="360" w:type="dxa"/>
            <w:noWrap w:val="0"/>
            <w:vAlign w:val="center"/>
          </w:tcPr>
          <w:p w14:paraId="2403170B">
            <w:pPr>
              <w:spacing w:line="240" w:lineRule="auto"/>
              <w:jc w:val="both"/>
              <w:rPr>
                <w:rFonts w:ascii="Times New Roman" w:hAnsi="Times New Roman"/>
                <w:color w:val="000000"/>
              </w:rPr>
            </w:pPr>
            <w:r>
              <w:rPr>
                <w:rFonts w:hint="eastAsia"/>
                <w:color w:val="000000"/>
                <w:lang w:val="en-US" w:eastAsia="zh-CN"/>
              </w:rPr>
              <w:t>★施工</w:t>
            </w:r>
            <w:r>
              <w:rPr>
                <w:rFonts w:ascii="Times New Roman" w:hAnsi="Times New Roman"/>
                <w:color w:val="000000"/>
              </w:rPr>
              <w:t>期</w:t>
            </w:r>
          </w:p>
        </w:tc>
        <w:tc>
          <w:tcPr>
            <w:tcW w:w="360" w:type="dxa"/>
            <w:noWrap w:val="0"/>
            <w:vAlign w:val="bottom"/>
          </w:tcPr>
          <w:p w14:paraId="3188B39D">
            <w:pPr>
              <w:spacing w:line="240" w:lineRule="auto"/>
              <w:jc w:val="both"/>
              <w:rPr>
                <w:rFonts w:ascii="Times New Roman" w:hAnsi="Times New Roman"/>
                <w:color w:val="000000"/>
              </w:rPr>
            </w:pPr>
            <w:r>
              <w:rPr>
                <w:rFonts w:hint="eastAsia" w:ascii="Times New Roman" w:hAnsi="Times New Roman"/>
                <w:color w:val="000000"/>
              </w:rPr>
              <w:t>签批开工报告后60天内完成施工作业。第一阶段：土建施工约20天；第二阶段：设备安装约40天，电仪施工约20天；第三阶段：机组并网约5天，系统调试约15天。</w:t>
            </w:r>
          </w:p>
        </w:tc>
      </w:tr>
      <w:tr w14:paraId="6999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noWrap w:val="0"/>
            <w:vAlign w:val="center"/>
          </w:tcPr>
          <w:p w14:paraId="3A6F3137">
            <w:pPr>
              <w:spacing w:line="240" w:lineRule="auto"/>
              <w:jc w:val="center"/>
              <w:rPr>
                <w:rFonts w:ascii="Times New Roman" w:hAnsi="Times New Roman"/>
                <w:color w:val="000000"/>
              </w:rPr>
            </w:pPr>
            <w:r>
              <w:rPr>
                <w:rFonts w:ascii="Times New Roman" w:hAnsi="Times New Roman"/>
                <w:color w:val="000000"/>
              </w:rPr>
              <w:t>3</w:t>
            </w:r>
          </w:p>
        </w:tc>
        <w:tc>
          <w:tcPr>
            <w:tcW w:w="360" w:type="dxa"/>
            <w:noWrap w:val="0"/>
            <w:vAlign w:val="center"/>
          </w:tcPr>
          <w:p w14:paraId="45E29E14">
            <w:pPr>
              <w:spacing w:line="240" w:lineRule="auto"/>
              <w:jc w:val="both"/>
              <w:rPr>
                <w:rFonts w:ascii="Times New Roman" w:hAnsi="Times New Roman"/>
                <w:color w:val="000000"/>
              </w:rPr>
            </w:pPr>
            <w:r>
              <w:rPr>
                <w:rFonts w:ascii="Times New Roman" w:hAnsi="Times New Roman"/>
                <w:color w:val="000000"/>
              </w:rPr>
              <w:t>施工建设地点</w:t>
            </w:r>
          </w:p>
        </w:tc>
        <w:tc>
          <w:tcPr>
            <w:tcW w:w="360" w:type="dxa"/>
            <w:noWrap w:val="0"/>
            <w:vAlign w:val="bottom"/>
          </w:tcPr>
          <w:p w14:paraId="48356A15">
            <w:pPr>
              <w:spacing w:line="240" w:lineRule="auto"/>
              <w:jc w:val="both"/>
              <w:rPr>
                <w:rFonts w:ascii="Times New Roman" w:hAnsi="Times New Roman"/>
                <w:color w:val="000000"/>
              </w:rPr>
            </w:pPr>
            <w:r>
              <w:rPr>
                <w:rFonts w:ascii="Times New Roman" w:hAnsi="Times New Roman"/>
                <w:color w:val="000000"/>
              </w:rPr>
              <w:t>中国海南省东方市八所镇园区三路6号</w:t>
            </w:r>
          </w:p>
        </w:tc>
      </w:tr>
      <w:tr w14:paraId="60A5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60" w:type="dxa"/>
            <w:noWrap w:val="0"/>
            <w:vAlign w:val="center"/>
          </w:tcPr>
          <w:p w14:paraId="2E44E91C">
            <w:pPr>
              <w:spacing w:line="240" w:lineRule="auto"/>
              <w:jc w:val="center"/>
              <w:rPr>
                <w:rFonts w:ascii="Times New Roman" w:hAnsi="Times New Roman"/>
                <w:color w:val="000000"/>
              </w:rPr>
            </w:pPr>
            <w:r>
              <w:rPr>
                <w:rFonts w:ascii="Times New Roman" w:hAnsi="Times New Roman"/>
                <w:color w:val="000000"/>
              </w:rPr>
              <w:t>4</w:t>
            </w:r>
          </w:p>
        </w:tc>
        <w:tc>
          <w:tcPr>
            <w:tcW w:w="360" w:type="dxa"/>
            <w:noWrap w:val="0"/>
            <w:vAlign w:val="center"/>
          </w:tcPr>
          <w:p w14:paraId="6D1FAD22">
            <w:pPr>
              <w:spacing w:line="240" w:lineRule="auto"/>
              <w:jc w:val="both"/>
              <w:rPr>
                <w:rFonts w:ascii="Times New Roman" w:hAnsi="Times New Roman"/>
                <w:color w:val="000000"/>
              </w:rPr>
            </w:pPr>
            <w:r>
              <w:rPr>
                <w:rFonts w:ascii="Times New Roman" w:hAnsi="Times New Roman"/>
                <w:color w:val="000000"/>
              </w:rPr>
              <w:t>质量要求</w:t>
            </w:r>
          </w:p>
        </w:tc>
        <w:tc>
          <w:tcPr>
            <w:tcW w:w="360" w:type="dxa"/>
            <w:noWrap w:val="0"/>
            <w:vAlign w:val="bottom"/>
          </w:tcPr>
          <w:p w14:paraId="294CAEED">
            <w:pPr>
              <w:spacing w:line="240" w:lineRule="auto"/>
              <w:jc w:val="both"/>
              <w:rPr>
                <w:rFonts w:ascii="Times New Roman" w:hAnsi="Times New Roman"/>
                <w:color w:val="000000"/>
              </w:rPr>
            </w:pPr>
            <w:r>
              <w:rPr>
                <w:rFonts w:hint="eastAsia" w:ascii="Times New Roman" w:hAnsi="Times New Roman"/>
                <w:color w:val="000000"/>
              </w:rPr>
              <w:t>投标人提供两年的质量保证期，以竣工验收通过日起计。质保期内的施工质量问题，投标人须提供免费安装或更换。在质保期内发生的因施工原因造成的一切质量问题，由投标人无偿负责修复。投标人应做好质量服务，及时、安全、可靠地提供必要的质量保证服务</w:t>
            </w:r>
            <w:r>
              <w:rPr>
                <w:rFonts w:ascii="Times New Roman" w:hAnsi="Times New Roman"/>
                <w:color w:val="000000"/>
              </w:rPr>
              <w:t>复。</w:t>
            </w:r>
          </w:p>
        </w:tc>
      </w:tr>
      <w:tr w14:paraId="49D4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dxa"/>
            <w:noWrap w:val="0"/>
            <w:vAlign w:val="center"/>
          </w:tcPr>
          <w:p w14:paraId="4BD153B1">
            <w:pPr>
              <w:spacing w:line="240" w:lineRule="auto"/>
              <w:jc w:val="center"/>
              <w:rPr>
                <w:rFonts w:ascii="Times New Roman" w:hAnsi="Times New Roman"/>
                <w:color w:val="000000"/>
              </w:rPr>
            </w:pPr>
            <w:r>
              <w:rPr>
                <w:rFonts w:ascii="Times New Roman" w:hAnsi="Times New Roman"/>
                <w:color w:val="000000"/>
              </w:rPr>
              <w:t>5</w:t>
            </w:r>
          </w:p>
        </w:tc>
        <w:tc>
          <w:tcPr>
            <w:tcW w:w="360" w:type="dxa"/>
            <w:noWrap w:val="0"/>
            <w:vAlign w:val="center"/>
          </w:tcPr>
          <w:p w14:paraId="5E95119B">
            <w:pPr>
              <w:spacing w:line="240" w:lineRule="auto"/>
              <w:jc w:val="both"/>
              <w:rPr>
                <w:rFonts w:ascii="Times New Roman" w:hAnsi="Times New Roman"/>
                <w:color w:val="000000"/>
              </w:rPr>
            </w:pPr>
            <w:r>
              <w:rPr>
                <w:rFonts w:ascii="Times New Roman" w:hAnsi="Times New Roman"/>
                <w:color w:val="000000"/>
              </w:rPr>
              <w:t>施工管理机构人员配置要求</w:t>
            </w:r>
          </w:p>
        </w:tc>
        <w:tc>
          <w:tcPr>
            <w:tcW w:w="360" w:type="dxa"/>
            <w:noWrap w:val="0"/>
            <w:vAlign w:val="bottom"/>
          </w:tcPr>
          <w:p w14:paraId="40715B53">
            <w:pPr>
              <w:spacing w:line="240" w:lineRule="auto"/>
              <w:jc w:val="both"/>
              <w:rPr>
                <w:rFonts w:ascii="Times New Roman" w:hAnsi="Times New Roman"/>
                <w:color w:val="000000"/>
              </w:rPr>
            </w:pPr>
            <w:r>
              <w:rPr>
                <w:rFonts w:ascii="Times New Roman" w:hAnsi="Times New Roman"/>
                <w:color w:val="000000"/>
              </w:rPr>
              <w:t>施工管理机构关键岗位人员最低配置要求：项目经理1人、</w:t>
            </w:r>
            <w:r>
              <w:rPr>
                <w:rFonts w:hint="eastAsia" w:ascii="Times New Roman" w:hAnsi="Times New Roman" w:cs="Times New Roman"/>
                <w:color w:val="000000"/>
              </w:rPr>
              <w:t>项目技术负责人1人</w:t>
            </w:r>
            <w:r>
              <w:rPr>
                <w:rFonts w:ascii="Times New Roman" w:hAnsi="Times New Roman"/>
                <w:color w:val="000000"/>
              </w:rPr>
              <w:t>、</w:t>
            </w:r>
            <w:r>
              <w:rPr>
                <w:rFonts w:hint="eastAsia" w:ascii="Times New Roman" w:hAnsi="Times New Roman" w:cs="Times New Roman"/>
                <w:color w:val="000000"/>
              </w:rPr>
              <w:t>各专业技术负责人若干、</w:t>
            </w:r>
            <w:r>
              <w:rPr>
                <w:rFonts w:ascii="Times New Roman" w:hAnsi="Times New Roman"/>
                <w:color w:val="000000"/>
              </w:rPr>
              <w:t>专职安全员</w:t>
            </w:r>
            <w:r>
              <w:rPr>
                <w:rFonts w:hint="eastAsia" w:ascii="Times New Roman" w:hAnsi="Times New Roman"/>
                <w:color w:val="000000"/>
              </w:rPr>
              <w:t>至少1人</w:t>
            </w:r>
            <w:r>
              <w:rPr>
                <w:rFonts w:ascii="Times New Roman" w:hAnsi="Times New Roman"/>
                <w:color w:val="000000"/>
              </w:rPr>
              <w:t>。</w:t>
            </w:r>
          </w:p>
        </w:tc>
      </w:tr>
      <w:tr w14:paraId="75BF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noWrap w:val="0"/>
            <w:vAlign w:val="center"/>
          </w:tcPr>
          <w:p w14:paraId="7DC5288A">
            <w:pPr>
              <w:spacing w:line="240" w:lineRule="auto"/>
              <w:jc w:val="center"/>
              <w:rPr>
                <w:rFonts w:ascii="Times New Roman" w:hAnsi="Times New Roman"/>
                <w:color w:val="000000"/>
              </w:rPr>
            </w:pPr>
            <w:r>
              <w:rPr>
                <w:rFonts w:ascii="Times New Roman" w:hAnsi="Times New Roman"/>
                <w:color w:val="000000"/>
              </w:rPr>
              <w:t>6</w:t>
            </w:r>
          </w:p>
        </w:tc>
        <w:tc>
          <w:tcPr>
            <w:tcW w:w="360" w:type="dxa"/>
            <w:noWrap w:val="0"/>
            <w:vAlign w:val="center"/>
          </w:tcPr>
          <w:p w14:paraId="3BFD68D2">
            <w:pPr>
              <w:spacing w:line="240" w:lineRule="auto"/>
              <w:jc w:val="both"/>
              <w:rPr>
                <w:rFonts w:ascii="Times New Roman" w:hAnsi="Times New Roman"/>
                <w:color w:val="000000"/>
              </w:rPr>
            </w:pPr>
            <w:r>
              <w:rPr>
                <w:rFonts w:ascii="Times New Roman" w:hAnsi="Times New Roman"/>
                <w:color w:val="000000"/>
              </w:rPr>
              <w:t>其它</w:t>
            </w:r>
          </w:p>
        </w:tc>
        <w:tc>
          <w:tcPr>
            <w:tcW w:w="360" w:type="dxa"/>
            <w:noWrap w:val="0"/>
            <w:vAlign w:val="bottom"/>
          </w:tcPr>
          <w:p w14:paraId="76F0B1B8">
            <w:pPr>
              <w:spacing w:line="240" w:lineRule="auto"/>
              <w:jc w:val="both"/>
              <w:rPr>
                <w:rFonts w:ascii="Times New Roman" w:hAnsi="Times New Roman"/>
                <w:color w:val="000000"/>
              </w:rPr>
            </w:pPr>
            <w:r>
              <w:rPr>
                <w:rFonts w:ascii="Times New Roman" w:hAnsi="Times New Roman"/>
                <w:color w:val="000000"/>
              </w:rPr>
              <w:t>不存在国家法规和招标文件明确否决投标的其它条款和要求</w:t>
            </w:r>
          </w:p>
        </w:tc>
      </w:tr>
      <w:tr w14:paraId="5680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noWrap w:val="0"/>
            <w:vAlign w:val="center"/>
          </w:tcPr>
          <w:p w14:paraId="6546EFF4">
            <w:pPr>
              <w:spacing w:line="240" w:lineRule="auto"/>
              <w:jc w:val="center"/>
              <w:rPr>
                <w:rFonts w:ascii="Times New Roman" w:hAnsi="Times New Roman"/>
                <w:color w:val="000000"/>
              </w:rPr>
            </w:pPr>
            <w:r>
              <w:rPr>
                <w:rFonts w:ascii="Times New Roman" w:hAnsi="Times New Roman"/>
                <w:color w:val="000000"/>
              </w:rPr>
              <w:t>7</w:t>
            </w:r>
          </w:p>
        </w:tc>
        <w:tc>
          <w:tcPr>
            <w:tcW w:w="360" w:type="dxa"/>
            <w:noWrap w:val="0"/>
            <w:vAlign w:val="center"/>
          </w:tcPr>
          <w:p w14:paraId="0840CF01">
            <w:pPr>
              <w:spacing w:line="240" w:lineRule="auto"/>
              <w:jc w:val="both"/>
              <w:rPr>
                <w:rFonts w:ascii="Times New Roman" w:hAnsi="Times New Roman"/>
                <w:color w:val="000000"/>
              </w:rPr>
            </w:pPr>
            <w:r>
              <w:rPr>
                <w:rFonts w:ascii="Segoe UI Symbol" w:hAnsi="Segoe UI Symbol" w:cs="Segoe UI Symbol"/>
                <w:color w:val="000000"/>
              </w:rPr>
              <w:t>★</w:t>
            </w:r>
            <w:r>
              <w:rPr>
                <w:rFonts w:ascii="Times New Roman" w:hAnsi="Times New Roman"/>
                <w:color w:val="000000"/>
              </w:rPr>
              <w:t>报价要求</w:t>
            </w:r>
          </w:p>
        </w:tc>
        <w:tc>
          <w:tcPr>
            <w:tcW w:w="360" w:type="dxa"/>
            <w:noWrap w:val="0"/>
            <w:vAlign w:val="bottom"/>
          </w:tcPr>
          <w:p w14:paraId="38FF9745">
            <w:pPr>
              <w:spacing w:line="240" w:lineRule="auto"/>
              <w:jc w:val="both"/>
              <w:rPr>
                <w:rFonts w:ascii="Times New Roman" w:hAnsi="Times New Roman"/>
                <w:color w:val="000000"/>
              </w:rPr>
            </w:pPr>
            <w:r>
              <w:rPr>
                <w:rFonts w:ascii="Times New Roman" w:hAnsi="Times New Roman"/>
                <w:color w:val="000000"/>
              </w:rPr>
              <w:t>投标人应</w:t>
            </w:r>
            <w:r>
              <w:rPr>
                <w:rFonts w:hint="eastAsia"/>
                <w:color w:val="000000"/>
                <w:lang w:val="en-US" w:eastAsia="zh-CN"/>
              </w:rPr>
              <w:t>参考</w:t>
            </w:r>
            <w:r>
              <w:rPr>
                <w:rFonts w:ascii="Times New Roman" w:hAnsi="Times New Roman"/>
                <w:color w:val="000000"/>
              </w:rPr>
              <w:t>“</w:t>
            </w:r>
            <w:r>
              <w:rPr>
                <w:rFonts w:hint="eastAsia" w:ascii="Times New Roman" w:hAnsi="Times New Roman"/>
                <w:color w:val="000000"/>
              </w:rPr>
              <w:t>附件3 供货范围预估清单</w:t>
            </w:r>
            <w:r>
              <w:rPr>
                <w:rFonts w:ascii="Times New Roman" w:hAnsi="Times New Roman"/>
                <w:color w:val="000000"/>
              </w:rPr>
              <w:t>”格式及内容报价，根据</w:t>
            </w:r>
            <w:r>
              <w:rPr>
                <w:rFonts w:hint="eastAsia"/>
                <w:color w:val="000000"/>
                <w:lang w:val="en-US" w:eastAsia="zh-CN"/>
              </w:rPr>
              <w:t>与投标人交流、实际测量等，</w:t>
            </w:r>
            <w:r>
              <w:rPr>
                <w:rFonts w:ascii="Times New Roman" w:hAnsi="Times New Roman"/>
                <w:color w:val="000000"/>
              </w:rPr>
              <w:t>表格内容按要求逐项填写，否则其投标将被否决。投标人报价不得仅填报含税价，不填报不含税价。</w:t>
            </w:r>
          </w:p>
        </w:tc>
      </w:tr>
      <w:tr w14:paraId="1724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dxa"/>
            <w:noWrap w:val="0"/>
            <w:vAlign w:val="center"/>
          </w:tcPr>
          <w:p w14:paraId="44EF7512">
            <w:pPr>
              <w:spacing w:line="240" w:lineRule="auto"/>
              <w:jc w:val="center"/>
              <w:rPr>
                <w:rFonts w:ascii="Times New Roman" w:hAnsi="Times New Roman"/>
                <w:color w:val="000000"/>
              </w:rPr>
            </w:pPr>
            <w:r>
              <w:rPr>
                <w:rFonts w:ascii="Times New Roman" w:hAnsi="Times New Roman"/>
                <w:color w:val="000000"/>
              </w:rPr>
              <w:t>8</w:t>
            </w:r>
          </w:p>
        </w:tc>
        <w:tc>
          <w:tcPr>
            <w:tcW w:w="360" w:type="dxa"/>
            <w:noWrap w:val="0"/>
            <w:vAlign w:val="center"/>
          </w:tcPr>
          <w:p w14:paraId="7DF780C3">
            <w:pPr>
              <w:spacing w:line="240" w:lineRule="auto"/>
              <w:jc w:val="both"/>
              <w:rPr>
                <w:rFonts w:ascii="Times New Roman" w:hAnsi="Times New Roman"/>
                <w:color w:val="000000"/>
              </w:rPr>
            </w:pPr>
            <w:r>
              <w:rPr>
                <w:rFonts w:ascii="Times New Roman" w:hAnsi="Times New Roman"/>
                <w:color w:val="000000"/>
              </w:rPr>
              <w:t>增税税率</w:t>
            </w:r>
          </w:p>
        </w:tc>
        <w:tc>
          <w:tcPr>
            <w:tcW w:w="360" w:type="dxa"/>
            <w:noWrap w:val="0"/>
            <w:vAlign w:val="bottom"/>
          </w:tcPr>
          <w:p w14:paraId="421A0370">
            <w:pPr>
              <w:spacing w:line="240" w:lineRule="auto"/>
              <w:jc w:val="both"/>
              <w:rPr>
                <w:rFonts w:ascii="Times New Roman" w:hAnsi="Times New Roman"/>
                <w:color w:val="000000"/>
              </w:rPr>
            </w:pPr>
            <w:r>
              <w:rPr>
                <w:rFonts w:hint="eastAsia" w:ascii="Times New Roman" w:hAnsi="Times New Roman"/>
                <w:color w:val="000000"/>
              </w:rPr>
              <w:t>设备</w:t>
            </w:r>
            <w:r>
              <w:rPr>
                <w:rFonts w:ascii="Times New Roman" w:hAnsi="Times New Roman"/>
                <w:color w:val="000000"/>
              </w:rPr>
              <w:t>增值税为</w:t>
            </w:r>
            <w:r>
              <w:rPr>
                <w:rFonts w:hint="eastAsia" w:ascii="Times New Roman" w:hAnsi="Times New Roman"/>
                <w:color w:val="000000"/>
              </w:rPr>
              <w:t>13</w:t>
            </w:r>
            <w:r>
              <w:rPr>
                <w:rFonts w:ascii="Times New Roman" w:hAnsi="Times New Roman"/>
                <w:color w:val="000000"/>
              </w:rPr>
              <w:t>%，施工增值税为9%，设计和技术服务增值税为6%</w:t>
            </w:r>
          </w:p>
        </w:tc>
      </w:tr>
      <w:tr w14:paraId="12EF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noWrap w:val="0"/>
            <w:vAlign w:val="center"/>
          </w:tcPr>
          <w:p w14:paraId="652ECD34">
            <w:pPr>
              <w:spacing w:line="240" w:lineRule="auto"/>
              <w:jc w:val="center"/>
              <w:rPr>
                <w:rFonts w:ascii="Times New Roman" w:hAnsi="Times New Roman"/>
                <w:color w:val="000000"/>
              </w:rPr>
            </w:pPr>
            <w:r>
              <w:rPr>
                <w:rFonts w:ascii="Times New Roman" w:hAnsi="Times New Roman"/>
                <w:color w:val="000000"/>
              </w:rPr>
              <w:t>9</w:t>
            </w:r>
          </w:p>
        </w:tc>
        <w:tc>
          <w:tcPr>
            <w:tcW w:w="360" w:type="dxa"/>
            <w:noWrap w:val="0"/>
            <w:vAlign w:val="center"/>
          </w:tcPr>
          <w:p w14:paraId="5D94A957">
            <w:pPr>
              <w:spacing w:line="240" w:lineRule="auto"/>
              <w:jc w:val="both"/>
              <w:rPr>
                <w:rFonts w:ascii="Times New Roman" w:hAnsi="Times New Roman"/>
                <w:color w:val="000000"/>
              </w:rPr>
            </w:pPr>
            <w:r>
              <w:rPr>
                <w:rFonts w:ascii="Segoe UI Symbol" w:hAnsi="Segoe UI Symbol" w:cs="Segoe UI Symbol"/>
                <w:color w:val="000000"/>
              </w:rPr>
              <w:t>★</w:t>
            </w:r>
            <w:r>
              <w:rPr>
                <w:rFonts w:ascii="Times New Roman" w:hAnsi="Times New Roman"/>
                <w:color w:val="000000"/>
              </w:rPr>
              <w:t>一般商务技术偏离</w:t>
            </w:r>
          </w:p>
        </w:tc>
        <w:tc>
          <w:tcPr>
            <w:tcW w:w="360" w:type="dxa"/>
            <w:noWrap w:val="0"/>
            <w:vAlign w:val="bottom"/>
          </w:tcPr>
          <w:p w14:paraId="1C1D6AD7">
            <w:pPr>
              <w:spacing w:line="240" w:lineRule="auto"/>
              <w:jc w:val="both"/>
              <w:rPr>
                <w:rFonts w:ascii="Times New Roman" w:hAnsi="Times New Roman"/>
                <w:color w:val="000000"/>
              </w:rPr>
            </w:pPr>
            <w:r>
              <w:rPr>
                <w:rFonts w:hint="eastAsia"/>
              </w:rPr>
              <w:t>采购技术文件加注（“★”）的条款为重要条款，对这些条款的任何偏离，将导致报价无效。未加★号的条款为普通条款，对这些条款的偏离超过3项时，将导致报价无效。</w:t>
            </w:r>
          </w:p>
        </w:tc>
      </w:tr>
      <w:tr w14:paraId="49D8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noWrap w:val="0"/>
            <w:vAlign w:val="center"/>
          </w:tcPr>
          <w:p w14:paraId="037ACFCA">
            <w:pPr>
              <w:spacing w:line="240" w:lineRule="auto"/>
              <w:jc w:val="center"/>
              <w:rPr>
                <w:rFonts w:hint="default"/>
                <w:color w:val="000000"/>
                <w:szCs w:val="24"/>
                <w:lang w:val="en-US" w:eastAsia="zh-CN"/>
              </w:rPr>
            </w:pPr>
            <w:r>
              <w:rPr>
                <w:rFonts w:hint="eastAsia"/>
                <w:color w:val="000000"/>
                <w:szCs w:val="24"/>
                <w:lang w:val="en-US" w:eastAsia="zh-CN"/>
              </w:rPr>
              <w:t>10</w:t>
            </w:r>
          </w:p>
        </w:tc>
        <w:tc>
          <w:tcPr>
            <w:tcW w:w="360" w:type="dxa"/>
            <w:noWrap w:val="0"/>
            <w:vAlign w:val="center"/>
          </w:tcPr>
          <w:p w14:paraId="18C67DE9">
            <w:pPr>
              <w:spacing w:line="240" w:lineRule="auto"/>
              <w:rPr>
                <w:rFonts w:hint="default" w:ascii="Segoe UI Symbol" w:hAnsi="Segoe UI Symbol" w:cs="Segoe UI Symbol"/>
                <w:color w:val="000000"/>
                <w:szCs w:val="24"/>
                <w:lang w:val="en-US"/>
              </w:rPr>
            </w:pPr>
            <w:r>
              <w:rPr>
                <w:rFonts w:ascii="Segoe UI Symbol" w:hAnsi="Segoe UI Symbol" w:cs="Segoe UI Symbol"/>
                <w:color w:val="000000"/>
                <w:szCs w:val="24"/>
              </w:rPr>
              <w:t>★</w:t>
            </w:r>
            <w:r>
              <w:rPr>
                <w:rFonts w:hint="eastAsia" w:ascii="Segoe UI Symbol" w:hAnsi="Segoe UI Symbol" w:cs="Segoe UI Symbol"/>
                <w:color w:val="000000"/>
                <w:szCs w:val="24"/>
                <w:lang w:val="en-US" w:eastAsia="zh-CN"/>
              </w:rPr>
              <w:t>技术要求</w:t>
            </w:r>
          </w:p>
        </w:tc>
        <w:tc>
          <w:tcPr>
            <w:tcW w:w="360" w:type="dxa"/>
            <w:noWrap w:val="0"/>
            <w:vAlign w:val="bottom"/>
          </w:tcPr>
          <w:p w14:paraId="0CF05020">
            <w:pPr>
              <w:spacing w:line="240" w:lineRule="auto"/>
              <w:jc w:val="both"/>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循环水回水余压利用节能改造项目必须要以系统现供水压力（0.462～0.52MPaG）、回水压力不变（0.271～0.</w:t>
            </w:r>
            <w:r>
              <w:rPr>
                <w:rFonts w:hint="eastAsia" w:cs="Times New Roman"/>
                <w:color w:val="000000"/>
                <w:lang w:val="en-US" w:eastAsia="zh-CN"/>
              </w:rPr>
              <w:t>281</w:t>
            </w:r>
            <w:r>
              <w:rPr>
                <w:rFonts w:hint="eastAsia" w:ascii="Times New Roman" w:hAnsi="Times New Roman" w:cs="Times New Roman"/>
                <w:color w:val="000000"/>
                <w:lang w:val="en-US" w:eastAsia="zh-CN"/>
              </w:rPr>
              <w:t>MPaG）且系统流量（26000 -30000 m³/h）不减小为前提，不改变现有管网运行参数及不造成不利影响</w:t>
            </w:r>
            <w:r>
              <w:rPr>
                <w:rFonts w:hint="eastAsia" w:cs="Times New Roman"/>
                <w:color w:val="000000"/>
                <w:lang w:val="en-US" w:eastAsia="zh-CN"/>
              </w:rPr>
              <w:t>。</w:t>
            </w:r>
          </w:p>
        </w:tc>
      </w:tr>
      <w:tr w14:paraId="07C7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noWrap w:val="0"/>
            <w:vAlign w:val="center"/>
          </w:tcPr>
          <w:p w14:paraId="6255716C">
            <w:pPr>
              <w:spacing w:line="240" w:lineRule="auto"/>
              <w:jc w:val="center"/>
              <w:rPr>
                <w:rFonts w:hint="default"/>
                <w:color w:val="000000"/>
                <w:szCs w:val="24"/>
                <w:lang w:val="en-US" w:eastAsia="zh-CN"/>
              </w:rPr>
            </w:pPr>
            <w:r>
              <w:rPr>
                <w:rFonts w:hint="eastAsia"/>
                <w:color w:val="000000"/>
                <w:szCs w:val="24"/>
                <w:lang w:val="en-US" w:eastAsia="zh-CN"/>
              </w:rPr>
              <w:t>11</w:t>
            </w:r>
          </w:p>
        </w:tc>
        <w:tc>
          <w:tcPr>
            <w:tcW w:w="360" w:type="dxa"/>
            <w:noWrap w:val="0"/>
            <w:vAlign w:val="center"/>
          </w:tcPr>
          <w:p w14:paraId="3E98007A">
            <w:pPr>
              <w:spacing w:line="240" w:lineRule="auto"/>
              <w:rPr>
                <w:rFonts w:hint="default" w:ascii="Segoe UI Symbol" w:hAnsi="Segoe UI Symbol" w:eastAsia="宋体" w:cs="Segoe UI Symbol"/>
                <w:color w:val="000000"/>
                <w:szCs w:val="24"/>
                <w:lang w:val="en-US" w:eastAsia="zh-CN"/>
              </w:rPr>
            </w:pPr>
            <w:r>
              <w:rPr>
                <w:rFonts w:ascii="Segoe UI Symbol" w:hAnsi="Segoe UI Symbol" w:cs="Segoe UI Symbol"/>
                <w:color w:val="000000"/>
                <w:szCs w:val="24"/>
              </w:rPr>
              <w:t>★</w:t>
            </w:r>
            <w:r>
              <w:rPr>
                <w:rFonts w:hint="eastAsia" w:ascii="Segoe UI Symbol" w:hAnsi="Segoe UI Symbol" w:cs="Segoe UI Symbol"/>
                <w:color w:val="000000"/>
                <w:szCs w:val="24"/>
                <w:lang w:val="en-US" w:eastAsia="zh-CN"/>
              </w:rPr>
              <w:t>电汽技术要求</w:t>
            </w:r>
          </w:p>
        </w:tc>
        <w:tc>
          <w:tcPr>
            <w:tcW w:w="360" w:type="dxa"/>
            <w:noWrap w:val="0"/>
            <w:vAlign w:val="bottom"/>
          </w:tcPr>
          <w:p w14:paraId="1F607119">
            <w:pPr>
              <w:spacing w:line="240" w:lineRule="auto"/>
              <w:jc w:val="both"/>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为了保证系统的安全性，发电系统与水轮机应有多重联锁保护。至少应包括：电气保护：对每台发电机组具有过载保护、逆功率保护、瞬时大电流保护、电流不平衡保护及接地故障保护。机组工艺联锁保护：转速超限保护、轴承温度超高保护、轴承箱振动超限保护、紧急停车，联锁设置旁路功能</w:t>
            </w:r>
          </w:p>
        </w:tc>
      </w:tr>
      <w:tr w14:paraId="10FC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noWrap w:val="0"/>
            <w:vAlign w:val="center"/>
          </w:tcPr>
          <w:p w14:paraId="5FFA6A70">
            <w:pPr>
              <w:spacing w:line="240" w:lineRule="auto"/>
              <w:jc w:val="center"/>
              <w:rPr>
                <w:rFonts w:hint="default" w:ascii="Times New Roman" w:hAnsi="Times New Roman"/>
                <w:color w:val="000000"/>
                <w:lang w:val="en-US"/>
              </w:rPr>
            </w:pPr>
            <w:r>
              <w:rPr>
                <w:rFonts w:hint="eastAsia"/>
                <w:color w:val="000000"/>
                <w:szCs w:val="24"/>
                <w:lang w:val="en-US" w:eastAsia="zh-CN"/>
              </w:rPr>
              <w:t>12</w:t>
            </w:r>
          </w:p>
        </w:tc>
        <w:tc>
          <w:tcPr>
            <w:tcW w:w="360" w:type="dxa"/>
            <w:noWrap w:val="0"/>
            <w:vAlign w:val="center"/>
          </w:tcPr>
          <w:p w14:paraId="4202440D">
            <w:pPr>
              <w:spacing w:line="240" w:lineRule="auto"/>
              <w:rPr>
                <w:rFonts w:hint="default" w:ascii="Segoe UI Symbol" w:hAnsi="Segoe UI Symbol" w:cs="Segoe UI Symbol"/>
                <w:color w:val="000000"/>
                <w:lang w:val="en-US"/>
              </w:rPr>
            </w:pPr>
            <w:r>
              <w:rPr>
                <w:rFonts w:ascii="Segoe UI Symbol" w:hAnsi="Segoe UI Symbol" w:cs="Segoe UI Symbol"/>
                <w:color w:val="000000"/>
                <w:szCs w:val="24"/>
              </w:rPr>
              <w:t>★</w:t>
            </w:r>
            <w:r>
              <w:rPr>
                <w:rFonts w:hint="eastAsia" w:ascii="Segoe UI Symbol" w:hAnsi="Segoe UI Symbol" w:cs="Segoe UI Symbol"/>
                <w:color w:val="000000"/>
                <w:szCs w:val="24"/>
                <w:lang w:val="en-US" w:eastAsia="zh-CN"/>
              </w:rPr>
              <w:t>验收标准</w:t>
            </w:r>
          </w:p>
        </w:tc>
        <w:tc>
          <w:tcPr>
            <w:tcW w:w="360" w:type="dxa"/>
            <w:noWrap w:val="0"/>
            <w:vAlign w:val="bottom"/>
          </w:tcPr>
          <w:p w14:paraId="3ABB78A6">
            <w:pPr>
              <w:spacing w:line="240" w:lineRule="auto"/>
              <w:jc w:val="both"/>
              <w:rPr>
                <w:rFonts w:hint="eastAsia"/>
              </w:rPr>
            </w:pPr>
            <w:r>
              <w:rPr>
                <w:rFonts w:hint="eastAsia" w:ascii="Times New Roman" w:hAnsi="Times New Roman" w:cs="Times New Roman"/>
                <w:color w:val="000000"/>
                <w:lang w:val="en-US" w:eastAsia="zh-CN"/>
              </w:rPr>
              <w:t>项目改造完成投入运行后，在保证循环水系统正常运行条件下，按照性能考核方案进行考核，在满足基础条件下，最终的考核报告年发电量每小于525万kW٠h的2%，扣除总项目金额的5%；低于年发电量480kW٠h，将终止</w:t>
            </w:r>
            <w:r>
              <w:rPr>
                <w:rFonts w:hint="eastAsia" w:cs="Times New Roman"/>
                <w:color w:val="000000"/>
                <w:lang w:val="en-US" w:eastAsia="zh-CN"/>
              </w:rPr>
              <w:t>项目验收</w:t>
            </w:r>
            <w:r>
              <w:rPr>
                <w:rFonts w:hint="eastAsia" w:ascii="Times New Roman" w:hAnsi="Times New Roman" w:cs="Times New Roman"/>
                <w:color w:val="000000"/>
                <w:lang w:eastAsia="zh-CN"/>
              </w:rPr>
              <w:t>。</w:t>
            </w:r>
          </w:p>
        </w:tc>
      </w:tr>
    </w:tbl>
    <w:p w14:paraId="24CE86E6">
      <w:pPr>
        <w:pStyle w:val="9"/>
        <w:widowControl w:val="0"/>
        <w:numPr>
          <w:ilvl w:val="255"/>
          <w:numId w:val="0"/>
        </w:numPr>
        <w:spacing w:before="0" w:beforeAutospacing="0" w:after="0" w:afterAutospacing="0"/>
        <w:ind w:firstLine="480" w:firstLineChars="200"/>
        <w:jc w:val="center"/>
        <w:rPr>
          <w:rFonts w:hint="eastAsia" w:cs="宋体"/>
          <w:bCs/>
          <w:iCs/>
        </w:rPr>
      </w:pPr>
    </w:p>
    <w:p w14:paraId="0A7A653B">
      <w:pPr>
        <w:spacing w:line="480" w:lineRule="exact"/>
        <w:ind w:firstLine="472" w:firstLineChars="196"/>
        <w:rPr>
          <w:rFonts w:hint="eastAsia" w:ascii="宋体" w:hAnsi="宋体" w:cs="宋体"/>
          <w:b/>
          <w:sz w:val="24"/>
        </w:rPr>
      </w:pPr>
      <w:r>
        <w:rPr>
          <w:rFonts w:hint="eastAsia" w:ascii="宋体" w:hAnsi="宋体" w:cs="宋体"/>
          <w:b/>
          <w:sz w:val="24"/>
        </w:rPr>
        <w:t>（二） 价格部分评审，100分，权重</w:t>
      </w:r>
      <w:r>
        <w:rPr>
          <w:rFonts w:hint="eastAsia" w:ascii="宋体" w:hAnsi="宋体" w:cs="宋体"/>
          <w:b/>
          <w:sz w:val="24"/>
          <w:lang w:val="en-US" w:eastAsia="zh-CN"/>
        </w:rPr>
        <w:t>4</w:t>
      </w:r>
      <w:r>
        <w:rPr>
          <w:rFonts w:hint="eastAsia" w:ascii="宋体" w:hAnsi="宋体" w:cs="宋体"/>
          <w:b/>
          <w:sz w:val="24"/>
        </w:rPr>
        <w:t>0%</w:t>
      </w:r>
    </w:p>
    <w:p w14:paraId="07392ED5">
      <w:pPr>
        <w:spacing w:line="440" w:lineRule="atLeast"/>
        <w:ind w:firstLine="480" w:firstLineChars="200"/>
        <w:rPr>
          <w:rFonts w:hint="eastAsia" w:ascii="宋体" w:hAnsi="宋体" w:cs="宋体"/>
          <w:bCs/>
          <w:iCs/>
          <w:sz w:val="24"/>
        </w:rPr>
      </w:pPr>
      <w:r>
        <w:rPr>
          <w:rFonts w:hint="eastAsia" w:ascii="宋体" w:hAnsi="宋体" w:cs="宋体"/>
          <w:bCs/>
          <w:iCs/>
          <w:sz w:val="24"/>
        </w:rPr>
        <w:t>1、本招标项目有招标控制价，招标控制价作为招标人控制项目造价的最高限价，投标报价高于招标控制价（最高限价）的为废标，招标控制价同招标文件一起公布。</w:t>
      </w:r>
    </w:p>
    <w:p w14:paraId="79C8EDCE">
      <w:pPr>
        <w:spacing w:line="600" w:lineRule="exact"/>
        <w:ind w:firstLine="720" w:firstLineChars="300"/>
        <w:rPr>
          <w:rFonts w:hint="eastAsia" w:ascii="宋体" w:hAnsi="宋体" w:cs="宋体"/>
          <w:b/>
          <w:sz w:val="24"/>
        </w:rPr>
      </w:pPr>
      <w:r>
        <w:rPr>
          <w:rFonts w:hint="eastAsia" w:ascii="宋体" w:hAnsi="宋体" w:cs="宋体"/>
          <w:bCs/>
          <w:iCs/>
          <w:sz w:val="24"/>
        </w:rPr>
        <w:t>本项目的招标控制价为</w:t>
      </w:r>
      <w:r>
        <w:rPr>
          <w:rFonts w:hint="eastAsia" w:ascii="宋体" w:hAnsi="宋体" w:cs="宋体"/>
          <w:bCs/>
          <w:iCs/>
          <w:sz w:val="24"/>
          <w:u w:val="single"/>
        </w:rPr>
        <w:t xml:space="preserve">    </w:t>
      </w:r>
      <w:r>
        <w:rPr>
          <w:rFonts w:hint="eastAsia" w:ascii="宋体" w:hAnsi="宋体" w:cs="宋体"/>
          <w:bCs/>
          <w:iCs/>
          <w:sz w:val="24"/>
        </w:rPr>
        <w:t xml:space="preserve"> 万元。</w:t>
      </w:r>
    </w:p>
    <w:p w14:paraId="67B98254">
      <w:pPr>
        <w:spacing w:line="600" w:lineRule="exact"/>
        <w:ind w:firstLine="480" w:firstLineChars="200"/>
        <w:rPr>
          <w:rFonts w:hint="eastAsia" w:ascii="宋体" w:hAnsi="宋体" w:cs="宋体"/>
          <w:bCs/>
          <w:iCs/>
          <w:sz w:val="24"/>
        </w:rPr>
      </w:pPr>
      <w:r>
        <w:rPr>
          <w:rFonts w:hint="eastAsia" w:ascii="宋体" w:hAnsi="宋体" w:cs="宋体"/>
          <w:bCs/>
          <w:iCs/>
          <w:sz w:val="24"/>
        </w:rPr>
        <w:t>2、价格评标标准（100分）</w:t>
      </w:r>
    </w:p>
    <w:p w14:paraId="6F9EABA2">
      <w:pPr>
        <w:pStyle w:val="9"/>
        <w:widowControl w:val="0"/>
        <w:spacing w:before="0" w:beforeAutospacing="0" w:after="0" w:afterAutospacing="0" w:line="480" w:lineRule="exact"/>
        <w:ind w:firstLine="480" w:firstLineChars="200"/>
        <w:jc w:val="both"/>
        <w:rPr>
          <w:rFonts w:hint="eastAsia" w:cs="宋体"/>
          <w:bCs/>
          <w:iCs/>
        </w:rPr>
      </w:pPr>
      <w:r>
        <w:rPr>
          <w:rFonts w:hint="eastAsia" w:cs="宋体"/>
          <w:bCs/>
          <w:iCs/>
        </w:rPr>
        <w:t>1）价格评分：价格评议以评标基准价为满分，投标报价低于评标基准价为满分。投标报价高于评标基准价按照下列公式计算：投标报价得分=100-[（投标报价-评标基准价）/评标基准价]×100。</w:t>
      </w:r>
    </w:p>
    <w:p w14:paraId="59878888">
      <w:pPr>
        <w:pStyle w:val="9"/>
        <w:widowControl w:val="0"/>
        <w:spacing w:before="0" w:beforeAutospacing="0" w:after="0" w:afterAutospacing="0" w:line="480" w:lineRule="exact"/>
        <w:ind w:firstLine="480" w:firstLineChars="200"/>
        <w:jc w:val="both"/>
        <w:rPr>
          <w:rFonts w:hint="eastAsia" w:cs="宋体"/>
          <w:bCs/>
          <w:iCs/>
        </w:rPr>
      </w:pPr>
      <w:r>
        <w:rPr>
          <w:rFonts w:hint="eastAsia" w:cs="宋体"/>
          <w:bCs/>
          <w:iCs/>
        </w:rPr>
        <w:t>2）价格评分最低分为0，价格评分结果四舍五入后保留小数点2位。</w:t>
      </w:r>
    </w:p>
    <w:p w14:paraId="7B379239">
      <w:pPr>
        <w:pStyle w:val="9"/>
        <w:widowControl w:val="0"/>
        <w:spacing w:before="0" w:beforeAutospacing="0" w:after="0" w:afterAutospacing="0" w:line="480" w:lineRule="exact"/>
        <w:ind w:firstLine="480" w:firstLineChars="200"/>
        <w:jc w:val="both"/>
        <w:rPr>
          <w:rFonts w:hint="eastAsia" w:cs="宋体"/>
          <w:bCs/>
          <w:iCs/>
        </w:rPr>
      </w:pPr>
      <w:r>
        <w:rPr>
          <w:rFonts w:hint="eastAsia" w:cs="宋体"/>
          <w:bCs/>
          <w:iCs/>
        </w:rPr>
        <w:t>3）评标基准价确认方法：</w:t>
      </w:r>
    </w:p>
    <w:p w14:paraId="6E27A446">
      <w:pPr>
        <w:pStyle w:val="9"/>
        <w:widowControl w:val="0"/>
        <w:spacing w:before="0" w:beforeAutospacing="0" w:after="0" w:afterAutospacing="0" w:line="480" w:lineRule="exact"/>
        <w:ind w:firstLine="480" w:firstLineChars="200"/>
        <w:jc w:val="both"/>
        <w:rPr>
          <w:rFonts w:hint="eastAsia" w:cs="宋体"/>
          <w:bCs/>
          <w:iCs/>
        </w:rPr>
      </w:pPr>
      <w:r>
        <w:rPr>
          <w:rFonts w:hint="eastAsia" w:cs="宋体"/>
          <w:bCs/>
          <w:iCs/>
        </w:rPr>
        <w:t>（i） 商务技术合格的投标人5家及以下时，以合格投标的最低评标价为评标基准价；</w:t>
      </w:r>
    </w:p>
    <w:p w14:paraId="2C97F904">
      <w:pPr>
        <w:pStyle w:val="9"/>
        <w:widowControl w:val="0"/>
        <w:spacing w:before="0" w:beforeAutospacing="0" w:after="0" w:afterAutospacing="0" w:line="480" w:lineRule="exact"/>
        <w:ind w:firstLine="480" w:firstLineChars="200"/>
        <w:jc w:val="both"/>
        <w:rPr>
          <w:rFonts w:hint="eastAsia" w:cs="宋体"/>
          <w:bCs/>
          <w:iCs/>
        </w:rPr>
      </w:pPr>
      <w:r>
        <w:rPr>
          <w:rFonts w:hint="eastAsia" w:cs="宋体"/>
          <w:bCs/>
          <w:iCs/>
        </w:rPr>
        <w:t>（ii）当合格（商务技术评议合格，下同）的投标人在6-10家时，以合格投标的算术平均价下浮3%作为评标基准价；</w:t>
      </w:r>
    </w:p>
    <w:p w14:paraId="0DDB0930">
      <w:pPr>
        <w:pStyle w:val="9"/>
        <w:widowControl w:val="0"/>
        <w:spacing w:before="0" w:beforeAutospacing="0" w:after="0" w:afterAutospacing="0" w:line="480" w:lineRule="exact"/>
        <w:ind w:firstLine="480" w:firstLineChars="200"/>
        <w:jc w:val="both"/>
        <w:rPr>
          <w:rFonts w:cs="宋体"/>
          <w:bCs/>
          <w:iCs/>
        </w:rPr>
      </w:pPr>
      <w:r>
        <w:rPr>
          <w:rFonts w:hint="eastAsia" w:cs="宋体"/>
          <w:bCs/>
          <w:iCs/>
        </w:rPr>
        <w:t>（iii）当合格投标人在11家及以上时，去掉最高价和最低价，再以合格投标的算术平均价下浮3%作为评标基准价。</w:t>
      </w:r>
    </w:p>
    <w:p w14:paraId="7215EEB6">
      <w:pPr>
        <w:pStyle w:val="9"/>
        <w:widowControl w:val="0"/>
        <w:spacing w:before="0" w:beforeAutospacing="0" w:after="0" w:afterAutospacing="0" w:line="480" w:lineRule="exact"/>
        <w:ind w:firstLine="482" w:firstLineChars="200"/>
        <w:jc w:val="both"/>
        <w:rPr>
          <w:rFonts w:hint="eastAsia" w:cs="宋体"/>
          <w:b/>
          <w:iCs/>
        </w:rPr>
      </w:pPr>
      <w:r>
        <w:rPr>
          <w:rFonts w:hint="eastAsia" w:cs="宋体"/>
          <w:b/>
        </w:rPr>
        <w:t>（三）</w:t>
      </w:r>
      <w:r>
        <w:rPr>
          <w:rFonts w:hint="eastAsia" w:cs="宋体"/>
          <w:b/>
          <w:iCs/>
        </w:rPr>
        <w:t>技术部分评审  100分，权重</w:t>
      </w:r>
      <w:r>
        <w:rPr>
          <w:rFonts w:hint="eastAsia" w:cs="宋体"/>
          <w:b/>
          <w:iCs/>
          <w:lang w:val="en-US" w:eastAsia="zh-CN"/>
        </w:rPr>
        <w:t>5</w:t>
      </w:r>
      <w:r>
        <w:rPr>
          <w:rFonts w:hint="eastAsia" w:cs="宋体"/>
          <w:b/>
          <w:iCs/>
        </w:rPr>
        <w:t>0%</w:t>
      </w:r>
    </w:p>
    <w:p w14:paraId="17A9483E">
      <w:pPr>
        <w:pStyle w:val="9"/>
        <w:widowControl w:val="0"/>
        <w:numPr>
          <w:ilvl w:val="255"/>
          <w:numId w:val="0"/>
        </w:numPr>
        <w:spacing w:before="0" w:beforeAutospacing="0" w:after="0" w:afterAutospacing="0" w:line="480" w:lineRule="exact"/>
        <w:ind w:firstLine="480" w:firstLineChars="200"/>
        <w:jc w:val="both"/>
        <w:rPr>
          <w:rFonts w:cs="宋体"/>
          <w:bCs/>
          <w:iCs/>
        </w:rPr>
      </w:pPr>
      <w:r>
        <w:rPr>
          <w:rFonts w:hint="eastAsia" w:cs="宋体"/>
          <w:bCs/>
          <w:iCs/>
        </w:rPr>
        <w:t>评标委员会将根据招标文件中的要求以及投标人递交的投标文件中的相关内容对技术部分进行评审，并按技术评审表设定的评审内容和评分标准进行量化打分。</w:t>
      </w:r>
    </w:p>
    <w:p w14:paraId="394A9FA0">
      <w:pPr>
        <w:pStyle w:val="9"/>
        <w:widowControl w:val="0"/>
        <w:numPr>
          <w:ilvl w:val="255"/>
          <w:numId w:val="0"/>
        </w:numPr>
        <w:spacing w:before="0" w:beforeAutospacing="0" w:after="0" w:afterAutospacing="0" w:line="480" w:lineRule="exact"/>
        <w:ind w:firstLine="482" w:firstLineChars="200"/>
        <w:jc w:val="center"/>
        <w:rPr>
          <w:rFonts w:hint="eastAsia" w:cs="宋体"/>
          <w:b/>
          <w:iCs/>
        </w:rPr>
      </w:pPr>
      <w:r>
        <w:rPr>
          <w:rFonts w:hint="eastAsia" w:cs="宋体"/>
          <w:b/>
          <w:iCs/>
        </w:rPr>
        <w:t>表4技术评审表</w:t>
      </w:r>
    </w:p>
    <w:tbl>
      <w:tblPr>
        <w:tblStyle w:val="11"/>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5670"/>
        <w:gridCol w:w="730"/>
      </w:tblGrid>
      <w:tr w14:paraId="4A74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7C6CFC2F">
            <w:pPr>
              <w:spacing w:line="240" w:lineRule="auto"/>
              <w:jc w:val="center"/>
              <w:rPr>
                <w:rFonts w:ascii="Times New Roman" w:hAnsi="Times New Roman"/>
                <w:b/>
                <w:bCs/>
                <w:color w:val="000000"/>
              </w:rPr>
            </w:pPr>
            <w:bookmarkStart w:id="6" w:name="psFlowItem_20230807154636185_0"/>
            <w:r>
              <w:rPr>
                <w:rFonts w:ascii="Times New Roman" w:hAnsi="Times New Roman"/>
                <w:b/>
                <w:bCs/>
                <w:color w:val="000000"/>
              </w:rPr>
              <w:t>序号</w:t>
            </w:r>
          </w:p>
        </w:tc>
        <w:tc>
          <w:tcPr>
            <w:tcW w:w="1418" w:type="dxa"/>
            <w:noWrap w:val="0"/>
            <w:vAlign w:val="center"/>
          </w:tcPr>
          <w:p w14:paraId="29A9952A">
            <w:pPr>
              <w:spacing w:line="240" w:lineRule="auto"/>
              <w:jc w:val="center"/>
              <w:rPr>
                <w:rFonts w:ascii="Times New Roman" w:hAnsi="Times New Roman"/>
                <w:b/>
                <w:bCs/>
                <w:color w:val="000000"/>
              </w:rPr>
            </w:pPr>
            <w:r>
              <w:rPr>
                <w:rFonts w:ascii="Times New Roman" w:hAnsi="Times New Roman"/>
                <w:b/>
                <w:bCs/>
                <w:color w:val="000000"/>
              </w:rPr>
              <w:t>评审因素</w:t>
            </w:r>
          </w:p>
        </w:tc>
        <w:tc>
          <w:tcPr>
            <w:tcW w:w="5670" w:type="dxa"/>
            <w:noWrap w:val="0"/>
            <w:vAlign w:val="center"/>
          </w:tcPr>
          <w:p w14:paraId="3BADCDDD">
            <w:pPr>
              <w:spacing w:line="240" w:lineRule="auto"/>
              <w:jc w:val="center"/>
              <w:rPr>
                <w:rFonts w:ascii="Times New Roman" w:hAnsi="Times New Roman"/>
                <w:b/>
                <w:bCs/>
                <w:color w:val="000000"/>
              </w:rPr>
            </w:pPr>
            <w:r>
              <w:rPr>
                <w:rFonts w:ascii="Times New Roman" w:hAnsi="Times New Roman"/>
                <w:b/>
                <w:bCs/>
                <w:color w:val="000000"/>
              </w:rPr>
              <w:t>评审标准</w:t>
            </w:r>
          </w:p>
        </w:tc>
        <w:tc>
          <w:tcPr>
            <w:tcW w:w="730" w:type="dxa"/>
            <w:noWrap w:val="0"/>
            <w:vAlign w:val="center"/>
          </w:tcPr>
          <w:p w14:paraId="114E6812">
            <w:pPr>
              <w:spacing w:line="240" w:lineRule="auto"/>
              <w:jc w:val="center"/>
              <w:rPr>
                <w:rFonts w:ascii="Times New Roman" w:hAnsi="Times New Roman"/>
                <w:b/>
                <w:bCs/>
                <w:color w:val="000000"/>
              </w:rPr>
            </w:pPr>
            <w:r>
              <w:rPr>
                <w:rFonts w:ascii="Times New Roman" w:hAnsi="Times New Roman"/>
                <w:b/>
                <w:bCs/>
                <w:color w:val="000000"/>
              </w:rPr>
              <w:t>分值</w:t>
            </w:r>
          </w:p>
        </w:tc>
      </w:tr>
      <w:bookmarkEnd w:id="6"/>
      <w:tr w14:paraId="7141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72DE601D">
            <w:pPr>
              <w:pStyle w:val="26"/>
              <w:numPr>
                <w:ilvl w:val="0"/>
                <w:numId w:val="1"/>
              </w:numPr>
              <w:spacing w:line="240" w:lineRule="auto"/>
              <w:ind w:firstLineChars="0"/>
              <w:jc w:val="center"/>
              <w:rPr>
                <w:rFonts w:ascii="Times New Roman" w:hAnsi="Times New Roman"/>
                <w:color w:val="000000"/>
                <w:szCs w:val="24"/>
              </w:rPr>
            </w:pPr>
          </w:p>
        </w:tc>
        <w:tc>
          <w:tcPr>
            <w:tcW w:w="1418" w:type="dxa"/>
            <w:noWrap w:val="0"/>
            <w:vAlign w:val="center"/>
          </w:tcPr>
          <w:p w14:paraId="0B5D6972">
            <w:pPr>
              <w:spacing w:line="240" w:lineRule="auto"/>
              <w:jc w:val="center"/>
              <w:rPr>
                <w:rFonts w:ascii="Times New Roman" w:hAnsi="Times New Roman"/>
                <w:color w:val="000000"/>
                <w:szCs w:val="24"/>
              </w:rPr>
            </w:pPr>
            <w:r>
              <w:rPr>
                <w:rFonts w:ascii="Times New Roman" w:hAnsi="Times New Roman"/>
                <w:color w:val="000000"/>
              </w:rPr>
              <w:t>技术标书完整性</w:t>
            </w:r>
          </w:p>
        </w:tc>
        <w:tc>
          <w:tcPr>
            <w:tcW w:w="5670" w:type="dxa"/>
            <w:noWrap w:val="0"/>
            <w:vAlign w:val="center"/>
          </w:tcPr>
          <w:p w14:paraId="5C96EF7A">
            <w:pPr>
              <w:spacing w:line="240" w:lineRule="auto"/>
              <w:jc w:val="both"/>
              <w:rPr>
                <w:rFonts w:ascii="Times New Roman" w:hAnsi="Times New Roman"/>
                <w:color w:val="000000"/>
                <w:szCs w:val="24"/>
              </w:rPr>
            </w:pPr>
            <w:r>
              <w:rPr>
                <w:rFonts w:ascii="Times New Roman" w:hAnsi="Times New Roman"/>
                <w:color w:val="000000"/>
              </w:rPr>
              <w:t>0- 3分：完整提供《富岛化工循环水回水余压利用节能改造项目技术文件》中“9 技术投标文件要求”要求的12项内容，即，1）投标人公司简介、2）公司资质/资格/取证情况、3）近3年内改造业绩、4）参与本项目主要人员资格条件、5）动员计划、6）技术方案、7）使用的标准规范、8）供货范围、9）服务范围、10）工期及项目总体网络计划、11）服务及质量承诺、12）技术偏离</w:t>
            </w:r>
            <w:r>
              <w:rPr>
                <w:rFonts w:hint="eastAsia"/>
                <w:color w:val="000000"/>
                <w:lang w:eastAsia="zh-CN"/>
              </w:rPr>
              <w:t>、</w:t>
            </w:r>
            <w:r>
              <w:rPr>
                <w:rFonts w:hint="eastAsia"/>
                <w:color w:val="000000"/>
                <w:lang w:val="en-US" w:eastAsia="zh-CN"/>
              </w:rPr>
              <w:t>13）</w:t>
            </w:r>
            <w:r>
              <w:rPr>
                <w:rFonts w:hint="eastAsia" w:ascii="Times New Roman" w:hAnsi="Times New Roman" w:cs="Times New Roman"/>
                <w:color w:val="000000"/>
                <w:lang w:val="en-US" w:eastAsia="zh-CN"/>
              </w:rPr>
              <w:t>提供性能考核方案</w:t>
            </w:r>
            <w:r>
              <w:rPr>
                <w:rFonts w:ascii="Times New Roman" w:hAnsi="Times New Roman"/>
                <w:color w:val="000000"/>
              </w:rPr>
              <w:t>。 - 每缺1项扣0.25分，扣完为止。 证明材料：投标技术文件包含该12项章节。</w:t>
            </w:r>
          </w:p>
        </w:tc>
        <w:tc>
          <w:tcPr>
            <w:tcW w:w="730" w:type="dxa"/>
            <w:noWrap w:val="0"/>
            <w:vAlign w:val="center"/>
          </w:tcPr>
          <w:p w14:paraId="57FE10AB">
            <w:pPr>
              <w:spacing w:line="240" w:lineRule="auto"/>
              <w:jc w:val="center"/>
              <w:rPr>
                <w:rFonts w:ascii="Times New Roman" w:hAnsi="Times New Roman"/>
                <w:color w:val="000000"/>
                <w:szCs w:val="24"/>
              </w:rPr>
            </w:pPr>
            <w:r>
              <w:rPr>
                <w:rFonts w:ascii="Times New Roman" w:hAnsi="Times New Roman"/>
                <w:color w:val="000000"/>
              </w:rPr>
              <w:t>3</w:t>
            </w:r>
          </w:p>
        </w:tc>
      </w:tr>
      <w:tr w14:paraId="5AB6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39795DC9">
            <w:pPr>
              <w:pStyle w:val="26"/>
              <w:numPr>
                <w:ilvl w:val="0"/>
                <w:numId w:val="1"/>
              </w:numPr>
              <w:spacing w:line="240" w:lineRule="auto"/>
              <w:ind w:firstLineChars="0"/>
              <w:jc w:val="center"/>
              <w:rPr>
                <w:rFonts w:ascii="Times New Roman" w:hAnsi="Times New Roman"/>
                <w:color w:val="000000"/>
                <w:szCs w:val="24"/>
              </w:rPr>
            </w:pPr>
          </w:p>
        </w:tc>
        <w:tc>
          <w:tcPr>
            <w:tcW w:w="1418" w:type="dxa"/>
            <w:noWrap w:val="0"/>
            <w:vAlign w:val="center"/>
          </w:tcPr>
          <w:p w14:paraId="68AA93F8">
            <w:pPr>
              <w:spacing w:line="240" w:lineRule="auto"/>
              <w:jc w:val="center"/>
              <w:rPr>
                <w:rFonts w:ascii="Times New Roman" w:hAnsi="Times New Roman"/>
                <w:color w:val="000000"/>
              </w:rPr>
            </w:pPr>
            <w:r>
              <w:rPr>
                <w:rFonts w:ascii="Times New Roman" w:hAnsi="Times New Roman"/>
                <w:color w:val="000000"/>
              </w:rPr>
              <w:t>项目机构设置及人员配置</w:t>
            </w:r>
          </w:p>
        </w:tc>
        <w:tc>
          <w:tcPr>
            <w:tcW w:w="5670" w:type="dxa"/>
            <w:noWrap w:val="0"/>
            <w:vAlign w:val="top"/>
          </w:tcPr>
          <w:p w14:paraId="4588773A">
            <w:pPr>
              <w:spacing w:line="240" w:lineRule="auto"/>
              <w:jc w:val="both"/>
              <w:rPr>
                <w:rFonts w:ascii="Times New Roman" w:hAnsi="Times New Roman"/>
                <w:color w:val="000000"/>
              </w:rPr>
            </w:pPr>
            <w:r>
              <w:rPr>
                <w:rFonts w:ascii="Times New Roman" w:hAnsi="Times New Roman"/>
                <w:color w:val="000000"/>
              </w:rPr>
              <w:t>3-4分：针对本项目设置完整、合理的投标人组织机构，包括：（1）组织机构包含项目经理和设计、采购、施工等管理分工；（2）组织机构层级清晰，专业齐全，职责明确；（3）人员整体素质（资质、职称、学历）高。1-2分：机构设置比较完整、合理，层级、职责分工比较清晰、明确，人员整体素质较高。0分：未设置组织机构，或机构设置有严重欠缺。证明材料：投标技术文件提供投标人组织机构图（或表）及其职责分工、人员配置说明（含资质、职称、学历）。</w:t>
            </w:r>
          </w:p>
        </w:tc>
        <w:tc>
          <w:tcPr>
            <w:tcW w:w="730" w:type="dxa"/>
            <w:noWrap w:val="0"/>
            <w:vAlign w:val="center"/>
          </w:tcPr>
          <w:p w14:paraId="3D13A6B7">
            <w:pPr>
              <w:spacing w:line="240" w:lineRule="auto"/>
              <w:jc w:val="center"/>
              <w:rPr>
                <w:rFonts w:ascii="Times New Roman" w:hAnsi="Times New Roman"/>
                <w:color w:val="000000"/>
              </w:rPr>
            </w:pPr>
            <w:r>
              <w:rPr>
                <w:rFonts w:ascii="Times New Roman" w:hAnsi="Times New Roman"/>
                <w:color w:val="000000"/>
              </w:rPr>
              <w:t>4</w:t>
            </w:r>
          </w:p>
        </w:tc>
      </w:tr>
      <w:tr w14:paraId="616D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428B161E">
            <w:pPr>
              <w:pStyle w:val="26"/>
              <w:numPr>
                <w:ilvl w:val="0"/>
                <w:numId w:val="1"/>
              </w:numPr>
              <w:spacing w:line="240" w:lineRule="auto"/>
              <w:ind w:firstLineChars="0"/>
              <w:jc w:val="center"/>
              <w:rPr>
                <w:rFonts w:ascii="Times New Roman" w:hAnsi="Times New Roman"/>
                <w:color w:val="000000"/>
                <w:szCs w:val="24"/>
              </w:rPr>
            </w:pPr>
          </w:p>
        </w:tc>
        <w:tc>
          <w:tcPr>
            <w:tcW w:w="1418" w:type="dxa"/>
            <w:noWrap w:val="0"/>
            <w:vAlign w:val="center"/>
          </w:tcPr>
          <w:p w14:paraId="0F36641A">
            <w:pPr>
              <w:spacing w:line="240" w:lineRule="auto"/>
              <w:jc w:val="center"/>
              <w:rPr>
                <w:rFonts w:ascii="Times New Roman" w:hAnsi="Times New Roman"/>
                <w:color w:val="000000"/>
                <w:szCs w:val="24"/>
              </w:rPr>
            </w:pPr>
            <w:r>
              <w:rPr>
                <w:rFonts w:ascii="Times New Roman" w:hAnsi="Times New Roman"/>
                <w:color w:val="000000"/>
              </w:rPr>
              <w:t>系统安全分析</w:t>
            </w:r>
          </w:p>
        </w:tc>
        <w:tc>
          <w:tcPr>
            <w:tcW w:w="5670" w:type="dxa"/>
            <w:noWrap w:val="0"/>
            <w:vAlign w:val="center"/>
          </w:tcPr>
          <w:p w14:paraId="349F5A52">
            <w:pPr>
              <w:spacing w:line="240" w:lineRule="auto"/>
              <w:jc w:val="both"/>
              <w:rPr>
                <w:rFonts w:hint="eastAsia" w:ascii="Times New Roman" w:hAnsi="Times New Roman"/>
                <w:color w:val="000000"/>
              </w:rPr>
            </w:pPr>
            <w:r>
              <w:rPr>
                <w:rFonts w:hint="eastAsia" w:ascii="Times New Roman" w:hAnsi="Times New Roman"/>
                <w:color w:val="000000"/>
              </w:rPr>
              <w:t>15-11分：针对本项目，进行全面的系统安全分析并提供完整的保护测点、工艺连锁完整针对各类余压发电机组投运后各类突发情况具有科学合理的应急预案。</w:t>
            </w:r>
          </w:p>
          <w:p w14:paraId="4352CACE">
            <w:pPr>
              <w:spacing w:line="240" w:lineRule="auto"/>
              <w:jc w:val="both"/>
              <w:rPr>
                <w:rFonts w:hint="eastAsia" w:ascii="Times New Roman" w:hAnsi="Times New Roman"/>
                <w:color w:val="000000"/>
              </w:rPr>
            </w:pPr>
            <w:r>
              <w:rPr>
                <w:rFonts w:hint="eastAsia" w:ascii="Times New Roman" w:hAnsi="Times New Roman"/>
                <w:color w:val="000000"/>
              </w:rPr>
              <w:t>10-1分：系统安全分析不够全面，保护测点或工艺连锁类型不足，对各类运行中的各类突发情况识别不够或应急预案考虑不充分。</w:t>
            </w:r>
          </w:p>
          <w:p w14:paraId="62A3400A">
            <w:pPr>
              <w:spacing w:line="240" w:lineRule="auto"/>
              <w:jc w:val="both"/>
              <w:rPr>
                <w:rFonts w:ascii="Times New Roman" w:hAnsi="Times New Roman"/>
                <w:color w:val="000000"/>
                <w:szCs w:val="24"/>
              </w:rPr>
            </w:pPr>
            <w:r>
              <w:rPr>
                <w:rFonts w:hint="eastAsia" w:ascii="Times New Roman" w:hAnsi="Times New Roman"/>
                <w:color w:val="000000"/>
              </w:rPr>
              <w:t>0分：未进行系统安全分析，未列出明确的保护测点及工艺连锁清单，对各类运行中的各类突发情况及应急预案未做考虑。或是虽列出相关标题，但表述内容与本项目不相干。</w:t>
            </w:r>
          </w:p>
        </w:tc>
        <w:tc>
          <w:tcPr>
            <w:tcW w:w="730" w:type="dxa"/>
            <w:noWrap w:val="0"/>
            <w:vAlign w:val="center"/>
          </w:tcPr>
          <w:p w14:paraId="48F15232">
            <w:pPr>
              <w:spacing w:line="240" w:lineRule="auto"/>
              <w:jc w:val="center"/>
              <w:rPr>
                <w:rFonts w:ascii="Times New Roman" w:hAnsi="Times New Roman"/>
                <w:color w:val="000000"/>
                <w:szCs w:val="24"/>
              </w:rPr>
            </w:pPr>
            <w:r>
              <w:rPr>
                <w:rFonts w:ascii="Times New Roman" w:hAnsi="Times New Roman"/>
                <w:color w:val="000000"/>
                <w:szCs w:val="24"/>
              </w:rPr>
              <w:t>15</w:t>
            </w:r>
          </w:p>
        </w:tc>
      </w:tr>
      <w:tr w14:paraId="7E4C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40F07958">
            <w:pPr>
              <w:pStyle w:val="26"/>
              <w:numPr>
                <w:ilvl w:val="0"/>
                <w:numId w:val="1"/>
              </w:numPr>
              <w:spacing w:line="240" w:lineRule="auto"/>
              <w:ind w:firstLineChars="0"/>
              <w:jc w:val="center"/>
              <w:rPr>
                <w:rFonts w:ascii="Times New Roman" w:hAnsi="Times New Roman"/>
                <w:color w:val="000000"/>
                <w:szCs w:val="24"/>
              </w:rPr>
            </w:pPr>
          </w:p>
        </w:tc>
        <w:tc>
          <w:tcPr>
            <w:tcW w:w="1418" w:type="dxa"/>
            <w:noWrap w:val="0"/>
            <w:vAlign w:val="center"/>
          </w:tcPr>
          <w:p w14:paraId="70AA478E">
            <w:pPr>
              <w:spacing w:line="240" w:lineRule="auto"/>
              <w:jc w:val="center"/>
              <w:rPr>
                <w:rFonts w:ascii="Times New Roman" w:hAnsi="Times New Roman"/>
                <w:color w:val="000000"/>
                <w:szCs w:val="24"/>
              </w:rPr>
            </w:pPr>
            <w:r>
              <w:rPr>
                <w:rFonts w:ascii="Times New Roman" w:hAnsi="Times New Roman"/>
                <w:color w:val="000000"/>
              </w:rPr>
              <w:t>发电潜力分析</w:t>
            </w:r>
          </w:p>
        </w:tc>
        <w:tc>
          <w:tcPr>
            <w:tcW w:w="5670" w:type="dxa"/>
            <w:noWrap w:val="0"/>
            <w:vAlign w:val="center"/>
          </w:tcPr>
          <w:p w14:paraId="74DA03C9">
            <w:pPr>
              <w:spacing w:line="240" w:lineRule="auto"/>
              <w:jc w:val="both"/>
              <w:rPr>
                <w:rFonts w:ascii="Times New Roman" w:hAnsi="Times New Roman"/>
                <w:color w:val="000000"/>
              </w:rPr>
            </w:pPr>
            <w:r>
              <w:rPr>
                <w:rFonts w:hint="eastAsia" w:ascii="Times New Roman" w:hAnsi="Times New Roman"/>
                <w:color w:val="000000"/>
              </w:rPr>
              <w:t>15-10分：年发电功率有详细的发电功率计算过程且满足发电功率要求（每年525万kW·h），数据可靠有出处，取值符合技术规格书中的给定参数，不影响系统流量及供回水压力，根据计算书细致程度打分。</w:t>
            </w:r>
          </w:p>
          <w:p w14:paraId="21F7C3BF">
            <w:pPr>
              <w:spacing w:line="240" w:lineRule="auto"/>
              <w:jc w:val="both"/>
              <w:rPr>
                <w:rFonts w:ascii="Times New Roman" w:hAnsi="Times New Roman"/>
                <w:color w:val="000000"/>
              </w:rPr>
            </w:pPr>
            <w:r>
              <w:rPr>
                <w:rFonts w:hint="eastAsia" w:ascii="Times New Roman" w:hAnsi="Times New Roman"/>
                <w:color w:val="000000"/>
              </w:rPr>
              <w:t>9~1分：承诺不影响系统供回水压力、流量并承诺满足技术规格书中的年节电量要求，但无详细的计算步骤和说明或计算步骤不全面，酌情扣减。</w:t>
            </w:r>
          </w:p>
          <w:p w14:paraId="5CD4E5D1">
            <w:pPr>
              <w:spacing w:line="240" w:lineRule="auto"/>
              <w:jc w:val="both"/>
              <w:rPr>
                <w:rFonts w:ascii="Times New Roman" w:hAnsi="Times New Roman"/>
                <w:color w:val="000000"/>
                <w:szCs w:val="24"/>
              </w:rPr>
            </w:pPr>
            <w:r>
              <w:rPr>
                <w:rFonts w:hint="eastAsia" w:ascii="Times New Roman" w:hAnsi="Times New Roman"/>
                <w:color w:val="000000"/>
              </w:rPr>
              <w:t>0分：需要提回水压力或是改变系统流量的方式才能满足年发电量需求，或是因机组效率低等原因，按现有工艺参数无法满足525万kW·h的年节电量要求。得0分。</w:t>
            </w:r>
          </w:p>
        </w:tc>
        <w:tc>
          <w:tcPr>
            <w:tcW w:w="730" w:type="dxa"/>
            <w:noWrap w:val="0"/>
            <w:vAlign w:val="center"/>
          </w:tcPr>
          <w:p w14:paraId="3D4ED2B0">
            <w:pPr>
              <w:spacing w:line="240" w:lineRule="auto"/>
              <w:jc w:val="center"/>
              <w:rPr>
                <w:rFonts w:ascii="Times New Roman" w:hAnsi="Times New Roman"/>
                <w:color w:val="000000"/>
                <w:szCs w:val="24"/>
              </w:rPr>
            </w:pPr>
            <w:r>
              <w:rPr>
                <w:rFonts w:ascii="Times New Roman" w:hAnsi="Times New Roman"/>
                <w:color w:val="000000"/>
                <w:szCs w:val="24"/>
              </w:rPr>
              <w:t>15</w:t>
            </w:r>
          </w:p>
        </w:tc>
      </w:tr>
      <w:tr w14:paraId="5E6B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732BB130">
            <w:pPr>
              <w:pStyle w:val="26"/>
              <w:numPr>
                <w:ilvl w:val="0"/>
                <w:numId w:val="1"/>
              </w:numPr>
              <w:spacing w:line="240" w:lineRule="auto"/>
              <w:ind w:firstLineChars="0"/>
              <w:jc w:val="center"/>
              <w:rPr>
                <w:rFonts w:ascii="Times New Roman" w:hAnsi="Times New Roman"/>
                <w:color w:val="000000"/>
                <w:szCs w:val="24"/>
              </w:rPr>
            </w:pPr>
          </w:p>
        </w:tc>
        <w:tc>
          <w:tcPr>
            <w:tcW w:w="1418" w:type="dxa"/>
            <w:noWrap w:val="0"/>
            <w:vAlign w:val="center"/>
          </w:tcPr>
          <w:p w14:paraId="2FC9F687">
            <w:pPr>
              <w:spacing w:line="240" w:lineRule="auto"/>
              <w:jc w:val="center"/>
              <w:rPr>
                <w:rFonts w:ascii="Times New Roman" w:hAnsi="Times New Roman"/>
                <w:color w:val="000000"/>
                <w:szCs w:val="24"/>
              </w:rPr>
            </w:pPr>
            <w:r>
              <w:rPr>
                <w:rFonts w:ascii="Times New Roman" w:hAnsi="Times New Roman"/>
                <w:color w:val="000000"/>
              </w:rPr>
              <w:t>设备布置</w:t>
            </w:r>
          </w:p>
        </w:tc>
        <w:tc>
          <w:tcPr>
            <w:tcW w:w="5670" w:type="dxa"/>
            <w:noWrap w:val="0"/>
            <w:vAlign w:val="center"/>
          </w:tcPr>
          <w:p w14:paraId="7A12D34F">
            <w:pPr>
              <w:spacing w:line="240" w:lineRule="auto"/>
              <w:jc w:val="both"/>
              <w:rPr>
                <w:rFonts w:ascii="Times New Roman" w:hAnsi="Times New Roman"/>
                <w:color w:val="000000"/>
                <w:szCs w:val="24"/>
              </w:rPr>
            </w:pPr>
            <w:r>
              <w:rPr>
                <w:rFonts w:hint="eastAsia" w:ascii="Times New Roman" w:hAnsi="Times New Roman"/>
                <w:color w:val="000000"/>
              </w:rPr>
              <w:t>10-5分：通过与投标人技术交流，根据测量数据计算</w:t>
            </w:r>
            <w:r>
              <w:rPr>
                <w:rFonts w:ascii="Times New Roman" w:hAnsi="Times New Roman"/>
                <w:color w:val="000000"/>
              </w:rPr>
              <w:t>设备布置合理，</w:t>
            </w:r>
            <w:r>
              <w:rPr>
                <w:rFonts w:hint="eastAsia" w:ascii="Times New Roman" w:hAnsi="Times New Roman"/>
                <w:color w:val="000000"/>
              </w:rPr>
              <w:t>具备</w:t>
            </w:r>
            <w:r>
              <w:rPr>
                <w:rFonts w:ascii="Times New Roman" w:hAnsi="Times New Roman"/>
                <w:color w:val="000000"/>
              </w:rPr>
              <w:t>占地小</w:t>
            </w:r>
            <w:r>
              <w:rPr>
                <w:rFonts w:hint="eastAsia" w:ascii="Times New Roman" w:hAnsi="Times New Roman"/>
                <w:color w:val="000000"/>
              </w:rPr>
              <w:t>、</w:t>
            </w:r>
            <w:r>
              <w:rPr>
                <w:rFonts w:ascii="Times New Roman" w:hAnsi="Times New Roman"/>
                <w:color w:val="000000"/>
              </w:rPr>
              <w:t>结构紧凑</w:t>
            </w:r>
            <w:r>
              <w:rPr>
                <w:rFonts w:hint="eastAsia" w:ascii="Times New Roman" w:hAnsi="Times New Roman"/>
                <w:color w:val="000000"/>
              </w:rPr>
              <w:t>、</w:t>
            </w:r>
            <w:r>
              <w:rPr>
                <w:rFonts w:ascii="Times New Roman" w:hAnsi="Times New Roman"/>
                <w:color w:val="000000"/>
              </w:rPr>
              <w:t>空间利用率高</w:t>
            </w:r>
            <w:r>
              <w:rPr>
                <w:rFonts w:hint="eastAsia" w:ascii="Times New Roman" w:hAnsi="Times New Roman"/>
                <w:color w:val="000000"/>
              </w:rPr>
              <w:t>、</w:t>
            </w:r>
            <w:r>
              <w:rPr>
                <w:rFonts w:ascii="Times New Roman" w:hAnsi="Times New Roman"/>
                <w:color w:val="000000"/>
              </w:rPr>
              <w:t>生产管理方便</w:t>
            </w:r>
            <w:r>
              <w:rPr>
                <w:rFonts w:hint="eastAsia" w:ascii="Times New Roman" w:hAnsi="Times New Roman"/>
                <w:color w:val="000000"/>
              </w:rPr>
              <w:t>、</w:t>
            </w:r>
            <w:r>
              <w:rPr>
                <w:rFonts w:ascii="Times New Roman" w:hAnsi="Times New Roman"/>
                <w:color w:val="000000"/>
              </w:rPr>
              <w:t>检修操作空间适当，</w:t>
            </w:r>
            <w:r>
              <w:rPr>
                <w:rFonts w:hint="eastAsia" w:ascii="Times New Roman" w:hAnsi="Times New Roman"/>
                <w:color w:val="000000"/>
              </w:rPr>
              <w:t>电仪</w:t>
            </w:r>
            <w:r>
              <w:rPr>
                <w:rFonts w:ascii="Times New Roman" w:hAnsi="Times New Roman"/>
                <w:color w:val="000000"/>
              </w:rPr>
              <w:t>系统</w:t>
            </w:r>
            <w:r>
              <w:rPr>
                <w:rFonts w:hint="eastAsia" w:ascii="Times New Roman" w:hAnsi="Times New Roman"/>
                <w:color w:val="000000"/>
              </w:rPr>
              <w:t>与投标人电仪系统一致，改造</w:t>
            </w:r>
            <w:r>
              <w:rPr>
                <w:rFonts w:ascii="Times New Roman" w:hAnsi="Times New Roman"/>
                <w:color w:val="000000"/>
              </w:rPr>
              <w:t>搭配合理简捷</w:t>
            </w:r>
            <w:r>
              <w:rPr>
                <w:rFonts w:hint="eastAsia" w:ascii="Times New Roman" w:hAnsi="Times New Roman"/>
                <w:color w:val="000000"/>
              </w:rPr>
              <w:t>、方便维护</w:t>
            </w:r>
            <w:r>
              <w:rPr>
                <w:rFonts w:ascii="Times New Roman" w:hAnsi="Times New Roman"/>
                <w:color w:val="000000"/>
              </w:rPr>
              <w:t>，工艺</w:t>
            </w:r>
            <w:r>
              <w:rPr>
                <w:rFonts w:hint="eastAsia" w:ascii="Times New Roman" w:hAnsi="Times New Roman"/>
                <w:color w:val="000000"/>
              </w:rPr>
              <w:t>DCS系统与现有投标人系统一致，DCS系统监控、</w:t>
            </w:r>
            <w:r>
              <w:rPr>
                <w:rFonts w:ascii="Times New Roman" w:hAnsi="Times New Roman"/>
                <w:color w:val="000000"/>
              </w:rPr>
              <w:t>调整</w:t>
            </w:r>
            <w:r>
              <w:rPr>
                <w:rFonts w:hint="eastAsia" w:ascii="Times New Roman" w:hAnsi="Times New Roman"/>
                <w:color w:val="000000"/>
              </w:rPr>
              <w:t>、</w:t>
            </w:r>
            <w:r>
              <w:rPr>
                <w:rFonts w:ascii="Times New Roman" w:hAnsi="Times New Roman"/>
                <w:color w:val="000000"/>
              </w:rPr>
              <w:t>控制灵活顺畅</w:t>
            </w:r>
            <w:r>
              <w:rPr>
                <w:rFonts w:hint="eastAsia" w:ascii="Times New Roman" w:hAnsi="Times New Roman"/>
                <w:color w:val="000000"/>
              </w:rPr>
              <w:t>；5-0分：通过与投标人技术交流，实际现场测量计算</w:t>
            </w:r>
            <w:r>
              <w:rPr>
                <w:rFonts w:ascii="Times New Roman" w:hAnsi="Times New Roman"/>
                <w:color w:val="000000"/>
              </w:rPr>
              <w:t>设备布置合理</w:t>
            </w:r>
            <w:r>
              <w:rPr>
                <w:rFonts w:hint="eastAsia" w:ascii="Times New Roman" w:hAnsi="Times New Roman"/>
                <w:color w:val="000000"/>
              </w:rPr>
              <w:t>，具备</w:t>
            </w:r>
            <w:r>
              <w:rPr>
                <w:rFonts w:ascii="Times New Roman" w:hAnsi="Times New Roman"/>
                <w:color w:val="000000"/>
              </w:rPr>
              <w:t>占地小</w:t>
            </w:r>
            <w:r>
              <w:rPr>
                <w:rFonts w:hint="eastAsia" w:ascii="Times New Roman" w:hAnsi="Times New Roman"/>
                <w:color w:val="000000"/>
              </w:rPr>
              <w:t>、</w:t>
            </w:r>
            <w:r>
              <w:rPr>
                <w:rFonts w:ascii="Times New Roman" w:hAnsi="Times New Roman"/>
                <w:color w:val="000000"/>
              </w:rPr>
              <w:t>结构紧凑</w:t>
            </w:r>
            <w:r>
              <w:rPr>
                <w:rFonts w:hint="eastAsia" w:ascii="Times New Roman" w:hAnsi="Times New Roman"/>
                <w:color w:val="000000"/>
              </w:rPr>
              <w:t>、</w:t>
            </w:r>
            <w:r>
              <w:rPr>
                <w:rFonts w:ascii="Times New Roman" w:hAnsi="Times New Roman"/>
                <w:color w:val="000000"/>
              </w:rPr>
              <w:t>空间利用率高</w:t>
            </w:r>
            <w:r>
              <w:rPr>
                <w:rFonts w:hint="eastAsia" w:ascii="Times New Roman" w:hAnsi="Times New Roman"/>
                <w:color w:val="000000"/>
              </w:rPr>
              <w:t>、</w:t>
            </w:r>
            <w:r>
              <w:rPr>
                <w:rFonts w:ascii="Times New Roman" w:hAnsi="Times New Roman"/>
                <w:color w:val="000000"/>
              </w:rPr>
              <w:t>生产管理方便</w:t>
            </w:r>
            <w:r>
              <w:rPr>
                <w:rFonts w:hint="eastAsia" w:ascii="Times New Roman" w:hAnsi="Times New Roman"/>
                <w:color w:val="000000"/>
              </w:rPr>
              <w:t>、</w:t>
            </w:r>
            <w:r>
              <w:rPr>
                <w:rFonts w:ascii="Times New Roman" w:hAnsi="Times New Roman"/>
                <w:color w:val="000000"/>
              </w:rPr>
              <w:t>检修操作空间适当</w:t>
            </w:r>
            <w:r>
              <w:rPr>
                <w:rFonts w:hint="eastAsia" w:ascii="Times New Roman" w:hAnsi="Times New Roman"/>
                <w:color w:val="000000"/>
              </w:rPr>
              <w:t>；0分：未通过与投标人技术交流，提供的设备布置。</w:t>
            </w:r>
          </w:p>
        </w:tc>
        <w:tc>
          <w:tcPr>
            <w:tcW w:w="730" w:type="dxa"/>
            <w:noWrap w:val="0"/>
            <w:vAlign w:val="center"/>
          </w:tcPr>
          <w:p w14:paraId="0F5521AC">
            <w:pPr>
              <w:spacing w:line="240" w:lineRule="auto"/>
              <w:jc w:val="center"/>
              <w:rPr>
                <w:rFonts w:ascii="Times New Roman" w:hAnsi="Times New Roman"/>
                <w:color w:val="000000"/>
                <w:szCs w:val="24"/>
              </w:rPr>
            </w:pPr>
            <w:r>
              <w:rPr>
                <w:rFonts w:ascii="Times New Roman" w:hAnsi="Times New Roman"/>
                <w:color w:val="000000"/>
                <w:szCs w:val="24"/>
              </w:rPr>
              <w:t>10</w:t>
            </w:r>
          </w:p>
        </w:tc>
      </w:tr>
      <w:tr w14:paraId="49ED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29B33E79">
            <w:pPr>
              <w:pStyle w:val="26"/>
              <w:numPr>
                <w:ilvl w:val="0"/>
                <w:numId w:val="1"/>
              </w:numPr>
              <w:spacing w:line="240" w:lineRule="auto"/>
              <w:ind w:firstLineChars="0"/>
              <w:jc w:val="center"/>
              <w:rPr>
                <w:rFonts w:ascii="Times New Roman" w:hAnsi="Times New Roman"/>
                <w:color w:val="000000"/>
                <w:szCs w:val="24"/>
              </w:rPr>
            </w:pPr>
          </w:p>
        </w:tc>
        <w:tc>
          <w:tcPr>
            <w:tcW w:w="1418" w:type="dxa"/>
            <w:noWrap w:val="0"/>
            <w:vAlign w:val="center"/>
          </w:tcPr>
          <w:p w14:paraId="4C63FE41">
            <w:pPr>
              <w:spacing w:line="240" w:lineRule="auto"/>
              <w:jc w:val="center"/>
              <w:rPr>
                <w:rFonts w:ascii="Times New Roman" w:hAnsi="Times New Roman"/>
                <w:color w:val="000000"/>
                <w:szCs w:val="24"/>
              </w:rPr>
            </w:pPr>
            <w:r>
              <w:rPr>
                <w:rFonts w:ascii="Times New Roman" w:hAnsi="Times New Roman"/>
                <w:color w:val="000000"/>
              </w:rPr>
              <w:t>技术方案及设备选型</w:t>
            </w:r>
          </w:p>
        </w:tc>
        <w:tc>
          <w:tcPr>
            <w:tcW w:w="5670" w:type="dxa"/>
            <w:noWrap w:val="0"/>
            <w:vAlign w:val="center"/>
          </w:tcPr>
          <w:p w14:paraId="412A2C85">
            <w:pPr>
              <w:spacing w:line="240" w:lineRule="auto"/>
              <w:jc w:val="both"/>
              <w:rPr>
                <w:rFonts w:hint="eastAsia" w:ascii="Times New Roman" w:hAnsi="Times New Roman"/>
                <w:color w:val="000000"/>
                <w:szCs w:val="24"/>
              </w:rPr>
            </w:pPr>
            <w:r>
              <w:rPr>
                <w:rFonts w:hint="eastAsia" w:ascii="Times New Roman" w:hAnsi="Times New Roman"/>
                <w:color w:val="000000"/>
              </w:rPr>
              <w:t>20-15分：根据与投标人技术交流或现场实际测量情况给出</w:t>
            </w:r>
            <w:r>
              <w:rPr>
                <w:rFonts w:ascii="Times New Roman" w:hAnsi="Times New Roman"/>
                <w:color w:val="000000"/>
              </w:rPr>
              <w:t>设备、电气、仪表</w:t>
            </w:r>
            <w:r>
              <w:rPr>
                <w:rFonts w:hint="eastAsia" w:ascii="Times New Roman" w:hAnsi="Times New Roman"/>
                <w:color w:val="000000"/>
              </w:rPr>
              <w:t>安装</w:t>
            </w:r>
            <w:r>
              <w:rPr>
                <w:rFonts w:ascii="Times New Roman" w:hAnsi="Times New Roman"/>
                <w:color w:val="000000"/>
              </w:rPr>
              <w:t>方案</w:t>
            </w:r>
            <w:r>
              <w:rPr>
                <w:rFonts w:hint="eastAsia" w:ascii="Times New Roman" w:hAnsi="Times New Roman"/>
                <w:color w:val="000000"/>
              </w:rPr>
              <w:t>，通过实际测量提供整体技术方案，包括不限于：不同发电机组选型对比方案、改造实施空间计算、设备占地面积计算、检修空间计算、变电所空间计算及控制柜选型、控制系统选型等详细描述</w:t>
            </w:r>
            <w:r>
              <w:rPr>
                <w:rFonts w:ascii="Times New Roman" w:hAnsi="Times New Roman"/>
                <w:color w:val="000000"/>
              </w:rPr>
              <w:t>具备可实施</w:t>
            </w:r>
            <w:r>
              <w:rPr>
                <w:rFonts w:hint="eastAsia" w:ascii="Times New Roman" w:hAnsi="Times New Roman"/>
                <w:color w:val="000000"/>
              </w:rPr>
              <w:t>性方案</w:t>
            </w:r>
            <w:r>
              <w:rPr>
                <w:rFonts w:ascii="Times New Roman" w:hAnsi="Times New Roman"/>
                <w:color w:val="000000"/>
              </w:rPr>
              <w:t>，</w:t>
            </w:r>
            <w:r>
              <w:rPr>
                <w:rFonts w:hint="eastAsia" w:ascii="Times New Roman" w:hAnsi="Times New Roman"/>
                <w:color w:val="000000"/>
              </w:rPr>
              <w:t>并罗列</w:t>
            </w:r>
            <w:r>
              <w:rPr>
                <w:rFonts w:ascii="Times New Roman" w:hAnsi="Times New Roman"/>
                <w:color w:val="000000"/>
              </w:rPr>
              <w:t>投标设备品牌、材质、规格等均响应规格书，机组采用</w:t>
            </w:r>
            <w:r>
              <w:rPr>
                <w:rFonts w:hint="eastAsia" w:ascii="Times New Roman" w:hAnsi="Times New Roman"/>
                <w:color w:val="000000"/>
              </w:rPr>
              <w:t>贯流式</w:t>
            </w:r>
            <w:r>
              <w:rPr>
                <w:rFonts w:ascii="Times New Roman" w:hAnsi="Times New Roman"/>
                <w:color w:val="000000"/>
              </w:rPr>
              <w:t>水轮机</w:t>
            </w:r>
            <w:r>
              <w:rPr>
                <w:rFonts w:hint="eastAsia"/>
                <w:color w:val="000000"/>
                <w:lang w:val="en-US" w:eastAsia="zh-CN"/>
              </w:rPr>
              <w:t>组</w:t>
            </w:r>
            <w:r>
              <w:rPr>
                <w:rFonts w:ascii="Times New Roman" w:hAnsi="Times New Roman"/>
                <w:color w:val="000000"/>
              </w:rPr>
              <w:t>+异步发电机的选型方案</w:t>
            </w:r>
            <w:r>
              <w:rPr>
                <w:rFonts w:hint="eastAsia" w:ascii="Times New Roman" w:hAnsi="Times New Roman"/>
                <w:color w:val="000000"/>
              </w:rPr>
              <w:t>；15-0分：根据与投标人技术交流或现场实际测量情况给出</w:t>
            </w:r>
            <w:r>
              <w:rPr>
                <w:rFonts w:ascii="Times New Roman" w:hAnsi="Times New Roman"/>
                <w:color w:val="000000"/>
              </w:rPr>
              <w:t>设备、电气、仪表</w:t>
            </w:r>
            <w:r>
              <w:rPr>
                <w:rFonts w:hint="eastAsia" w:ascii="Times New Roman" w:hAnsi="Times New Roman"/>
                <w:color w:val="000000"/>
              </w:rPr>
              <w:t>安装</w:t>
            </w:r>
            <w:r>
              <w:rPr>
                <w:rFonts w:ascii="Times New Roman" w:hAnsi="Times New Roman"/>
                <w:color w:val="000000"/>
              </w:rPr>
              <w:t>方案</w:t>
            </w:r>
            <w:r>
              <w:rPr>
                <w:rFonts w:hint="eastAsia" w:ascii="Times New Roman" w:hAnsi="Times New Roman"/>
                <w:color w:val="000000"/>
              </w:rPr>
              <w:t>，通过实际测量提供整体技术方案，包括不限于不同发电机组选型对比方案、改造实施空间计算、设备占地面积计算、检修空间计算、变电所空间计算及控制柜选型、控制系统选型等；0分：未经过与投标人交流或现场实际测量情况给出技术</w:t>
            </w:r>
            <w:r>
              <w:rPr>
                <w:rFonts w:ascii="Times New Roman" w:hAnsi="Times New Roman"/>
                <w:color w:val="000000"/>
              </w:rPr>
              <w:t>方案</w:t>
            </w:r>
            <w:r>
              <w:rPr>
                <w:rFonts w:hint="eastAsia" w:ascii="Times New Roman" w:hAnsi="Times New Roman"/>
                <w:color w:val="000000"/>
              </w:rPr>
              <w:t>；</w:t>
            </w:r>
          </w:p>
        </w:tc>
        <w:tc>
          <w:tcPr>
            <w:tcW w:w="730" w:type="dxa"/>
            <w:noWrap w:val="0"/>
            <w:vAlign w:val="center"/>
          </w:tcPr>
          <w:p w14:paraId="37F18B2B">
            <w:pPr>
              <w:spacing w:line="240" w:lineRule="auto"/>
              <w:jc w:val="center"/>
              <w:rPr>
                <w:rFonts w:ascii="Times New Roman" w:hAnsi="Times New Roman"/>
                <w:color w:val="000000"/>
                <w:szCs w:val="24"/>
              </w:rPr>
            </w:pPr>
            <w:r>
              <w:rPr>
                <w:rFonts w:ascii="Times New Roman" w:hAnsi="Times New Roman"/>
                <w:color w:val="000000"/>
                <w:szCs w:val="24"/>
              </w:rPr>
              <w:t>20</w:t>
            </w:r>
          </w:p>
        </w:tc>
      </w:tr>
      <w:tr w14:paraId="4B48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61570421">
            <w:pPr>
              <w:pStyle w:val="26"/>
              <w:numPr>
                <w:ilvl w:val="0"/>
                <w:numId w:val="1"/>
              </w:numPr>
              <w:spacing w:line="240" w:lineRule="auto"/>
              <w:ind w:firstLineChars="0"/>
              <w:jc w:val="center"/>
              <w:rPr>
                <w:rFonts w:ascii="Times New Roman" w:hAnsi="Times New Roman"/>
                <w:color w:val="000000"/>
                <w:szCs w:val="24"/>
              </w:rPr>
            </w:pPr>
          </w:p>
        </w:tc>
        <w:tc>
          <w:tcPr>
            <w:tcW w:w="1418" w:type="dxa"/>
            <w:noWrap w:val="0"/>
            <w:vAlign w:val="center"/>
          </w:tcPr>
          <w:p w14:paraId="0D756186">
            <w:pPr>
              <w:spacing w:line="240" w:lineRule="auto"/>
              <w:jc w:val="center"/>
              <w:rPr>
                <w:rFonts w:ascii="Times New Roman" w:hAnsi="Times New Roman"/>
                <w:color w:val="000000"/>
                <w:szCs w:val="24"/>
              </w:rPr>
            </w:pPr>
            <w:r>
              <w:rPr>
                <w:rFonts w:ascii="Times New Roman" w:hAnsi="Times New Roman"/>
                <w:color w:val="000000"/>
              </w:rPr>
              <w:t>售后服务及培训</w:t>
            </w:r>
          </w:p>
        </w:tc>
        <w:tc>
          <w:tcPr>
            <w:tcW w:w="5670" w:type="dxa"/>
            <w:noWrap w:val="0"/>
            <w:vAlign w:val="center"/>
          </w:tcPr>
          <w:p w14:paraId="1EEBF533">
            <w:pPr>
              <w:spacing w:line="240" w:lineRule="auto"/>
              <w:jc w:val="both"/>
              <w:rPr>
                <w:rFonts w:ascii="Times New Roman" w:hAnsi="Times New Roman"/>
                <w:color w:val="000000"/>
                <w:szCs w:val="24"/>
              </w:rPr>
            </w:pPr>
            <w:r>
              <w:rPr>
                <w:rFonts w:ascii="Times New Roman" w:hAnsi="Times New Roman"/>
                <w:color w:val="000000"/>
              </w:rPr>
              <w:t>售后服务及时，效率高，维护方便，培训计划安排合理，操作性强</w:t>
            </w:r>
          </w:p>
        </w:tc>
        <w:tc>
          <w:tcPr>
            <w:tcW w:w="730" w:type="dxa"/>
            <w:noWrap w:val="0"/>
            <w:vAlign w:val="center"/>
          </w:tcPr>
          <w:p w14:paraId="273888EA">
            <w:pPr>
              <w:spacing w:line="240" w:lineRule="auto"/>
              <w:jc w:val="center"/>
              <w:rPr>
                <w:rFonts w:ascii="Times New Roman" w:hAnsi="Times New Roman"/>
                <w:color w:val="000000"/>
                <w:szCs w:val="24"/>
              </w:rPr>
            </w:pPr>
            <w:r>
              <w:rPr>
                <w:rFonts w:ascii="Times New Roman" w:hAnsi="Times New Roman"/>
                <w:color w:val="000000"/>
                <w:szCs w:val="24"/>
              </w:rPr>
              <w:t>10</w:t>
            </w:r>
          </w:p>
        </w:tc>
      </w:tr>
      <w:tr w14:paraId="45EB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6168CEBE">
            <w:pPr>
              <w:pStyle w:val="26"/>
              <w:numPr>
                <w:ilvl w:val="0"/>
                <w:numId w:val="1"/>
              </w:numPr>
              <w:spacing w:line="240" w:lineRule="auto"/>
              <w:ind w:firstLineChars="0"/>
              <w:jc w:val="center"/>
              <w:rPr>
                <w:rFonts w:ascii="Times New Roman" w:hAnsi="Times New Roman"/>
                <w:color w:val="000000"/>
                <w:szCs w:val="24"/>
              </w:rPr>
            </w:pPr>
          </w:p>
        </w:tc>
        <w:tc>
          <w:tcPr>
            <w:tcW w:w="1418" w:type="dxa"/>
            <w:noWrap w:val="0"/>
            <w:vAlign w:val="center"/>
          </w:tcPr>
          <w:p w14:paraId="413FF357">
            <w:pPr>
              <w:spacing w:line="240" w:lineRule="auto"/>
              <w:jc w:val="center"/>
              <w:rPr>
                <w:rFonts w:ascii="Times New Roman" w:hAnsi="Times New Roman"/>
                <w:color w:val="000000"/>
                <w:szCs w:val="24"/>
              </w:rPr>
            </w:pPr>
            <w:r>
              <w:rPr>
                <w:rFonts w:ascii="Times New Roman" w:hAnsi="Times New Roman"/>
                <w:color w:val="000000"/>
              </w:rPr>
              <w:t>专利技术认定</w:t>
            </w:r>
          </w:p>
        </w:tc>
        <w:tc>
          <w:tcPr>
            <w:tcW w:w="5670" w:type="dxa"/>
            <w:noWrap w:val="0"/>
            <w:vAlign w:val="center"/>
          </w:tcPr>
          <w:p w14:paraId="201316A3">
            <w:pPr>
              <w:spacing w:line="240" w:lineRule="auto"/>
              <w:jc w:val="both"/>
              <w:rPr>
                <w:rFonts w:ascii="Times New Roman" w:hAnsi="Times New Roman"/>
                <w:color w:val="000000"/>
                <w:szCs w:val="24"/>
              </w:rPr>
            </w:pPr>
            <w:r>
              <w:rPr>
                <w:rFonts w:ascii="Times New Roman" w:hAnsi="Times New Roman"/>
                <w:color w:val="000000"/>
              </w:rPr>
              <w:t>拥有与循环水余压发电相关的国家技术发明或实用新型专利，每项得3分，满分 15分。 须提供：需拥有专利授权证书，且与循环水余压发电相关，否则不予计分。</w:t>
            </w:r>
          </w:p>
        </w:tc>
        <w:tc>
          <w:tcPr>
            <w:tcW w:w="730" w:type="dxa"/>
            <w:noWrap w:val="0"/>
            <w:vAlign w:val="center"/>
          </w:tcPr>
          <w:p w14:paraId="2E50CF85">
            <w:pPr>
              <w:spacing w:line="240" w:lineRule="auto"/>
              <w:jc w:val="center"/>
              <w:rPr>
                <w:rFonts w:ascii="Times New Roman" w:hAnsi="Times New Roman"/>
                <w:color w:val="000000"/>
                <w:szCs w:val="24"/>
              </w:rPr>
            </w:pPr>
            <w:r>
              <w:rPr>
                <w:rFonts w:ascii="Times New Roman" w:hAnsi="Times New Roman"/>
                <w:color w:val="000000"/>
                <w:szCs w:val="24"/>
              </w:rPr>
              <w:t>15</w:t>
            </w:r>
          </w:p>
        </w:tc>
      </w:tr>
      <w:tr w14:paraId="3537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48A2B56A">
            <w:pPr>
              <w:pStyle w:val="26"/>
              <w:numPr>
                <w:ilvl w:val="0"/>
                <w:numId w:val="1"/>
              </w:numPr>
              <w:spacing w:line="240" w:lineRule="auto"/>
              <w:ind w:firstLineChars="0"/>
              <w:jc w:val="center"/>
              <w:rPr>
                <w:rFonts w:ascii="Times New Roman" w:hAnsi="Times New Roman"/>
                <w:color w:val="000000"/>
                <w:szCs w:val="24"/>
              </w:rPr>
            </w:pPr>
          </w:p>
        </w:tc>
        <w:tc>
          <w:tcPr>
            <w:tcW w:w="1418" w:type="dxa"/>
            <w:noWrap w:val="0"/>
            <w:vAlign w:val="center"/>
          </w:tcPr>
          <w:p w14:paraId="03335E11">
            <w:pPr>
              <w:spacing w:line="240" w:lineRule="auto"/>
              <w:jc w:val="center"/>
              <w:rPr>
                <w:rFonts w:ascii="Times New Roman" w:hAnsi="Times New Roman"/>
                <w:color w:val="000000"/>
              </w:rPr>
            </w:pPr>
            <w:r>
              <w:rPr>
                <w:rFonts w:ascii="Times New Roman" w:hAnsi="Times New Roman"/>
                <w:color w:val="000000"/>
              </w:rPr>
              <w:t>供货范围</w:t>
            </w:r>
          </w:p>
        </w:tc>
        <w:tc>
          <w:tcPr>
            <w:tcW w:w="5670" w:type="dxa"/>
            <w:noWrap w:val="0"/>
            <w:vAlign w:val="top"/>
          </w:tcPr>
          <w:p w14:paraId="0C9690E1">
            <w:pPr>
              <w:spacing w:line="240" w:lineRule="auto"/>
              <w:jc w:val="both"/>
              <w:rPr>
                <w:rFonts w:ascii="Times New Roman" w:hAnsi="Times New Roman"/>
                <w:color w:val="000000"/>
              </w:rPr>
            </w:pPr>
            <w:r>
              <w:rPr>
                <w:rFonts w:hint="eastAsia" w:ascii="Times New Roman" w:hAnsi="Times New Roman"/>
                <w:color w:val="000000"/>
              </w:rPr>
              <w:t>提供施工所需所有设备和材料，包括6套水轮发电机组、电气及控制系统、土建材料、钢结构材料、管线材料、电缆、电缆桥架、油漆等。具体供货范围参考附件3：供货范围预估清单。</w:t>
            </w:r>
          </w:p>
        </w:tc>
        <w:tc>
          <w:tcPr>
            <w:tcW w:w="730" w:type="dxa"/>
            <w:noWrap w:val="0"/>
            <w:vAlign w:val="center"/>
          </w:tcPr>
          <w:p w14:paraId="34222206">
            <w:pPr>
              <w:spacing w:line="240" w:lineRule="auto"/>
              <w:jc w:val="center"/>
              <w:rPr>
                <w:rFonts w:ascii="Times New Roman" w:hAnsi="Times New Roman"/>
                <w:color w:val="000000"/>
                <w:szCs w:val="24"/>
              </w:rPr>
            </w:pPr>
            <w:r>
              <w:rPr>
                <w:rFonts w:ascii="Times New Roman" w:hAnsi="Times New Roman"/>
                <w:color w:val="000000"/>
                <w:szCs w:val="24"/>
              </w:rPr>
              <w:t>5</w:t>
            </w:r>
          </w:p>
        </w:tc>
      </w:tr>
      <w:tr w14:paraId="7522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288AD0FA">
            <w:pPr>
              <w:pStyle w:val="26"/>
              <w:numPr>
                <w:ilvl w:val="0"/>
                <w:numId w:val="1"/>
              </w:numPr>
              <w:spacing w:line="240" w:lineRule="auto"/>
              <w:ind w:firstLineChars="0"/>
              <w:jc w:val="center"/>
              <w:rPr>
                <w:rFonts w:ascii="Times New Roman" w:hAnsi="Times New Roman"/>
                <w:color w:val="000000"/>
                <w:szCs w:val="24"/>
              </w:rPr>
            </w:pPr>
          </w:p>
        </w:tc>
        <w:tc>
          <w:tcPr>
            <w:tcW w:w="1418" w:type="dxa"/>
            <w:noWrap w:val="0"/>
            <w:vAlign w:val="center"/>
          </w:tcPr>
          <w:p w14:paraId="47460C67">
            <w:pPr>
              <w:spacing w:line="240" w:lineRule="auto"/>
              <w:jc w:val="center"/>
              <w:rPr>
                <w:rFonts w:ascii="Times New Roman" w:hAnsi="Times New Roman"/>
                <w:color w:val="000000"/>
              </w:rPr>
            </w:pPr>
            <w:r>
              <w:rPr>
                <w:rFonts w:hint="eastAsia" w:ascii="Times New Roman" w:hAnsi="Times New Roman"/>
                <w:color w:val="000000"/>
              </w:rPr>
              <w:t>施工</w:t>
            </w:r>
            <w:r>
              <w:rPr>
                <w:rFonts w:ascii="Times New Roman" w:hAnsi="Times New Roman"/>
                <w:color w:val="000000"/>
              </w:rPr>
              <w:t>风险管控措施</w:t>
            </w:r>
          </w:p>
        </w:tc>
        <w:tc>
          <w:tcPr>
            <w:tcW w:w="5670" w:type="dxa"/>
            <w:noWrap w:val="0"/>
            <w:vAlign w:val="top"/>
          </w:tcPr>
          <w:p w14:paraId="37A56CF6">
            <w:pPr>
              <w:spacing w:line="240" w:lineRule="auto"/>
              <w:jc w:val="both"/>
              <w:rPr>
                <w:rFonts w:ascii="Times New Roman" w:hAnsi="Times New Roman"/>
                <w:color w:val="000000"/>
              </w:rPr>
            </w:pPr>
            <w:r>
              <w:rPr>
                <w:rFonts w:ascii="Times New Roman" w:hAnsi="Times New Roman"/>
                <w:color w:val="000000"/>
              </w:rPr>
              <w:t>3分：针对本项目</w:t>
            </w:r>
            <w:r>
              <w:rPr>
                <w:rFonts w:hint="eastAsia" w:ascii="Times New Roman" w:hAnsi="Times New Roman"/>
                <w:color w:val="000000"/>
              </w:rPr>
              <w:t>施工</w:t>
            </w:r>
            <w:r>
              <w:rPr>
                <w:rFonts w:ascii="Times New Roman" w:hAnsi="Times New Roman"/>
                <w:color w:val="000000"/>
              </w:rPr>
              <w:t>制定完整、合理、可行的风险管控措施，包括：（1）识别设计、采购、施工中的主要风险（设计偏差、设备材料不合格、施工安全事故等）；（2）对识别出的风险明确风险等级和管控措施。</w:t>
            </w:r>
          </w:p>
          <w:p w14:paraId="258B91C9">
            <w:pPr>
              <w:spacing w:line="240" w:lineRule="auto"/>
              <w:jc w:val="both"/>
              <w:rPr>
                <w:rFonts w:ascii="Times New Roman" w:hAnsi="Times New Roman"/>
                <w:color w:val="000000"/>
              </w:rPr>
            </w:pPr>
            <w:r>
              <w:rPr>
                <w:rFonts w:ascii="Times New Roman" w:hAnsi="Times New Roman"/>
                <w:color w:val="000000"/>
              </w:rPr>
              <w:t>1-2分：风险管控措施比较完整、合理、可行。</w:t>
            </w:r>
          </w:p>
          <w:p w14:paraId="68DBAEE3">
            <w:pPr>
              <w:spacing w:line="240" w:lineRule="auto"/>
              <w:jc w:val="both"/>
              <w:rPr>
                <w:rFonts w:ascii="Times New Roman" w:hAnsi="Times New Roman"/>
                <w:color w:val="000000"/>
              </w:rPr>
            </w:pPr>
            <w:r>
              <w:rPr>
                <w:rFonts w:ascii="Times New Roman" w:hAnsi="Times New Roman"/>
                <w:color w:val="000000"/>
              </w:rPr>
              <w:t>0分：未提供风险管控措施或内容与本项目无关。证明材料：投标技术文件提供风险识别清单和管控措施表。</w:t>
            </w:r>
          </w:p>
        </w:tc>
        <w:tc>
          <w:tcPr>
            <w:tcW w:w="730" w:type="dxa"/>
            <w:noWrap w:val="0"/>
            <w:vAlign w:val="center"/>
          </w:tcPr>
          <w:p w14:paraId="57BC3DB5">
            <w:pPr>
              <w:spacing w:line="240" w:lineRule="auto"/>
              <w:jc w:val="center"/>
              <w:rPr>
                <w:rFonts w:ascii="Times New Roman" w:hAnsi="Times New Roman"/>
                <w:color w:val="000000"/>
                <w:szCs w:val="24"/>
              </w:rPr>
            </w:pPr>
            <w:r>
              <w:rPr>
                <w:rFonts w:ascii="Times New Roman" w:hAnsi="Times New Roman"/>
                <w:color w:val="000000"/>
                <w:szCs w:val="24"/>
              </w:rPr>
              <w:t>3</w:t>
            </w:r>
          </w:p>
        </w:tc>
      </w:tr>
    </w:tbl>
    <w:p w14:paraId="4669F6A5">
      <w:pPr>
        <w:pStyle w:val="9"/>
        <w:widowControl w:val="0"/>
        <w:numPr>
          <w:ilvl w:val="255"/>
          <w:numId w:val="0"/>
        </w:numPr>
        <w:spacing w:before="0" w:beforeAutospacing="0" w:after="0" w:afterAutospacing="0" w:line="480" w:lineRule="exact"/>
        <w:ind w:firstLine="482" w:firstLineChars="200"/>
        <w:jc w:val="center"/>
        <w:rPr>
          <w:rFonts w:hint="eastAsia" w:cs="宋体"/>
          <w:b/>
          <w:iCs/>
        </w:rPr>
      </w:pPr>
    </w:p>
    <w:p w14:paraId="4C21D31F">
      <w:pPr>
        <w:pStyle w:val="9"/>
        <w:widowControl w:val="0"/>
        <w:numPr>
          <w:ilvl w:val="0"/>
          <w:numId w:val="2"/>
        </w:numPr>
        <w:spacing w:before="0" w:beforeAutospacing="0" w:after="0" w:afterAutospacing="0" w:line="480" w:lineRule="exact"/>
        <w:ind w:firstLine="482" w:firstLineChars="200"/>
        <w:jc w:val="both"/>
        <w:rPr>
          <w:rFonts w:hint="eastAsia" w:cs="宋体"/>
          <w:b/>
        </w:rPr>
      </w:pPr>
      <w:r>
        <w:rPr>
          <w:rFonts w:hint="eastAsia" w:cs="宋体"/>
          <w:b/>
        </w:rPr>
        <w:t xml:space="preserve">商务部分评审 </w:t>
      </w:r>
      <w:bookmarkStart w:id="7" w:name="OLE_LINK2"/>
      <w:r>
        <w:rPr>
          <w:rFonts w:hint="eastAsia" w:cs="宋体"/>
          <w:b/>
        </w:rPr>
        <w:t xml:space="preserve"> 100分，权重</w:t>
      </w:r>
      <w:r>
        <w:rPr>
          <w:rFonts w:hint="eastAsia" w:cs="宋体"/>
          <w:b/>
          <w:lang w:val="en-US" w:eastAsia="zh-CN"/>
        </w:rPr>
        <w:t>1</w:t>
      </w:r>
      <w:r>
        <w:rPr>
          <w:rFonts w:hint="eastAsia" w:cs="宋体"/>
          <w:b/>
        </w:rPr>
        <w:t>0</w:t>
      </w:r>
      <w:bookmarkEnd w:id="7"/>
      <w:r>
        <w:rPr>
          <w:rFonts w:hint="eastAsia" w:cs="宋体"/>
          <w:b/>
        </w:rPr>
        <w:t>%</w:t>
      </w:r>
    </w:p>
    <w:tbl>
      <w:tblPr>
        <w:tblStyle w:val="11"/>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01"/>
        <w:gridCol w:w="4961"/>
        <w:gridCol w:w="1156"/>
      </w:tblGrid>
      <w:tr w14:paraId="021A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36988880">
            <w:pPr>
              <w:spacing w:line="240" w:lineRule="auto"/>
              <w:jc w:val="center"/>
              <w:rPr>
                <w:rFonts w:ascii="Times New Roman" w:hAnsi="Times New Roman"/>
                <w:b/>
                <w:bCs/>
                <w:color w:val="000000"/>
              </w:rPr>
            </w:pPr>
            <w:bookmarkStart w:id="8" w:name="psFlowItem_20221011095645790_0"/>
            <w:r>
              <w:rPr>
                <w:rFonts w:ascii="Times New Roman" w:hAnsi="Times New Roman"/>
                <w:b/>
                <w:bCs/>
                <w:color w:val="000000"/>
              </w:rPr>
              <w:t>序号</w:t>
            </w:r>
          </w:p>
        </w:tc>
        <w:tc>
          <w:tcPr>
            <w:tcW w:w="1701" w:type="dxa"/>
            <w:noWrap w:val="0"/>
            <w:vAlign w:val="center"/>
          </w:tcPr>
          <w:p w14:paraId="78A309D2">
            <w:pPr>
              <w:spacing w:line="240" w:lineRule="auto"/>
              <w:jc w:val="center"/>
              <w:rPr>
                <w:rFonts w:ascii="Times New Roman" w:hAnsi="Times New Roman"/>
                <w:b/>
                <w:bCs/>
                <w:color w:val="000000"/>
              </w:rPr>
            </w:pPr>
            <w:r>
              <w:rPr>
                <w:rFonts w:ascii="Times New Roman" w:hAnsi="Times New Roman"/>
                <w:b/>
                <w:bCs/>
                <w:color w:val="000000"/>
              </w:rPr>
              <w:t>评审因素</w:t>
            </w:r>
          </w:p>
        </w:tc>
        <w:tc>
          <w:tcPr>
            <w:tcW w:w="4961" w:type="dxa"/>
            <w:noWrap w:val="0"/>
            <w:vAlign w:val="center"/>
          </w:tcPr>
          <w:p w14:paraId="07EC9C9D">
            <w:pPr>
              <w:spacing w:line="240" w:lineRule="auto"/>
              <w:jc w:val="center"/>
              <w:rPr>
                <w:rFonts w:ascii="Times New Roman" w:hAnsi="Times New Roman"/>
                <w:b/>
                <w:bCs/>
                <w:color w:val="000000"/>
              </w:rPr>
            </w:pPr>
            <w:r>
              <w:rPr>
                <w:rFonts w:ascii="Times New Roman" w:hAnsi="Times New Roman"/>
                <w:b/>
                <w:bCs/>
                <w:color w:val="000000"/>
              </w:rPr>
              <w:t>评审标准</w:t>
            </w:r>
          </w:p>
        </w:tc>
        <w:tc>
          <w:tcPr>
            <w:tcW w:w="1156" w:type="dxa"/>
            <w:noWrap w:val="0"/>
            <w:vAlign w:val="center"/>
          </w:tcPr>
          <w:p w14:paraId="62660078">
            <w:pPr>
              <w:spacing w:line="240" w:lineRule="auto"/>
              <w:jc w:val="center"/>
              <w:rPr>
                <w:rFonts w:ascii="Times New Roman" w:hAnsi="Times New Roman"/>
                <w:b/>
                <w:bCs/>
                <w:color w:val="000000"/>
              </w:rPr>
            </w:pPr>
            <w:r>
              <w:rPr>
                <w:rFonts w:ascii="Times New Roman" w:hAnsi="Times New Roman"/>
                <w:b/>
                <w:bCs/>
                <w:color w:val="000000"/>
              </w:rPr>
              <w:t>分值</w:t>
            </w:r>
          </w:p>
        </w:tc>
      </w:tr>
      <w:bookmarkEnd w:id="8"/>
      <w:tr w14:paraId="1463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0191CF53">
            <w:pPr>
              <w:pStyle w:val="26"/>
              <w:numPr>
                <w:ilvl w:val="0"/>
                <w:numId w:val="3"/>
              </w:numPr>
              <w:spacing w:line="240" w:lineRule="auto"/>
              <w:ind w:firstLineChars="0"/>
              <w:jc w:val="center"/>
              <w:rPr>
                <w:rFonts w:ascii="Times New Roman" w:hAnsi="Times New Roman"/>
                <w:color w:val="000000"/>
                <w:szCs w:val="21"/>
              </w:rPr>
            </w:pPr>
          </w:p>
        </w:tc>
        <w:tc>
          <w:tcPr>
            <w:tcW w:w="1701" w:type="dxa"/>
            <w:noWrap w:val="0"/>
            <w:vAlign w:val="center"/>
          </w:tcPr>
          <w:p w14:paraId="21D1D053">
            <w:pPr>
              <w:spacing w:line="240" w:lineRule="auto"/>
              <w:jc w:val="center"/>
              <w:rPr>
                <w:rFonts w:ascii="Times New Roman" w:hAnsi="Times New Roman"/>
                <w:color w:val="000000"/>
              </w:rPr>
            </w:pPr>
            <w:r>
              <w:rPr>
                <w:rFonts w:ascii="Times New Roman" w:hAnsi="Times New Roman"/>
                <w:color w:val="000000"/>
              </w:rPr>
              <w:t>企业注册资本</w:t>
            </w:r>
          </w:p>
        </w:tc>
        <w:tc>
          <w:tcPr>
            <w:tcW w:w="4961" w:type="dxa"/>
            <w:noWrap w:val="0"/>
            <w:vAlign w:val="center"/>
          </w:tcPr>
          <w:p w14:paraId="17AC2FC5">
            <w:pPr>
              <w:spacing w:line="240" w:lineRule="auto"/>
              <w:rPr>
                <w:rFonts w:ascii="Times New Roman" w:hAnsi="Times New Roman"/>
                <w:color w:val="000000"/>
              </w:rPr>
            </w:pPr>
            <w:r>
              <w:rPr>
                <w:rFonts w:ascii="Times New Roman" w:hAnsi="Times New Roman"/>
                <w:color w:val="000000"/>
              </w:rPr>
              <w:t xml:space="preserve">5000 万元及以上，得 </w:t>
            </w:r>
            <w:r>
              <w:rPr>
                <w:rFonts w:hint="eastAsia" w:ascii="Times New Roman" w:hAnsi="Times New Roman"/>
                <w:color w:val="000000"/>
              </w:rPr>
              <w:t>10</w:t>
            </w:r>
            <w:r>
              <w:rPr>
                <w:rFonts w:ascii="Times New Roman" w:hAnsi="Times New Roman"/>
                <w:color w:val="000000"/>
              </w:rPr>
              <w:t xml:space="preserve">分；大于等于 1000 万元且小于 5000 万元，得 </w:t>
            </w:r>
            <w:r>
              <w:rPr>
                <w:rFonts w:hint="eastAsia" w:ascii="Times New Roman" w:hAnsi="Times New Roman"/>
                <w:color w:val="000000"/>
              </w:rPr>
              <w:t>5</w:t>
            </w:r>
            <w:r>
              <w:rPr>
                <w:rFonts w:ascii="Times New Roman" w:hAnsi="Times New Roman"/>
                <w:color w:val="000000"/>
              </w:rPr>
              <w:t>分；小于 1000 万元，得 0 分。</w:t>
            </w:r>
          </w:p>
          <w:p w14:paraId="3CE417BA">
            <w:pPr>
              <w:spacing w:line="240" w:lineRule="auto"/>
              <w:rPr>
                <w:rFonts w:ascii="Times New Roman" w:hAnsi="Times New Roman"/>
                <w:color w:val="000000"/>
              </w:rPr>
            </w:pPr>
            <w:r>
              <w:rPr>
                <w:rFonts w:ascii="Times New Roman" w:hAnsi="Times New Roman"/>
                <w:color w:val="000000"/>
              </w:rPr>
              <w:t>须提供：有效的营业执照副本复印件并加盖公章。</w:t>
            </w:r>
          </w:p>
        </w:tc>
        <w:tc>
          <w:tcPr>
            <w:tcW w:w="1156" w:type="dxa"/>
            <w:noWrap w:val="0"/>
            <w:vAlign w:val="center"/>
          </w:tcPr>
          <w:p w14:paraId="74BAF536">
            <w:pPr>
              <w:spacing w:line="240" w:lineRule="auto"/>
              <w:jc w:val="center"/>
              <w:rPr>
                <w:rFonts w:hint="eastAsia" w:ascii="Times New Roman" w:hAnsi="Times New Roman"/>
                <w:color w:val="000000"/>
              </w:rPr>
            </w:pPr>
            <w:r>
              <w:rPr>
                <w:rFonts w:hint="eastAsia" w:ascii="Times New Roman" w:hAnsi="Times New Roman"/>
                <w:color w:val="000000"/>
              </w:rPr>
              <w:t>10</w:t>
            </w:r>
          </w:p>
        </w:tc>
      </w:tr>
      <w:tr w14:paraId="53B5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5F892BD8">
            <w:pPr>
              <w:pStyle w:val="26"/>
              <w:numPr>
                <w:ilvl w:val="0"/>
                <w:numId w:val="3"/>
              </w:numPr>
              <w:spacing w:line="240" w:lineRule="auto"/>
              <w:ind w:firstLineChars="0"/>
              <w:jc w:val="center"/>
              <w:rPr>
                <w:rFonts w:ascii="Times New Roman" w:hAnsi="Times New Roman"/>
                <w:color w:val="000000"/>
                <w:szCs w:val="21"/>
              </w:rPr>
            </w:pPr>
          </w:p>
        </w:tc>
        <w:tc>
          <w:tcPr>
            <w:tcW w:w="1701" w:type="dxa"/>
            <w:noWrap w:val="0"/>
            <w:vAlign w:val="center"/>
          </w:tcPr>
          <w:p w14:paraId="106A7B49">
            <w:pPr>
              <w:spacing w:line="240" w:lineRule="auto"/>
              <w:jc w:val="center"/>
              <w:rPr>
                <w:rFonts w:ascii="Times New Roman" w:hAnsi="Times New Roman"/>
                <w:color w:val="000000"/>
              </w:rPr>
            </w:pPr>
            <w:r>
              <w:rPr>
                <w:rFonts w:ascii="Times New Roman" w:hAnsi="Times New Roman"/>
                <w:color w:val="000000"/>
              </w:rPr>
              <w:t>备案节能服务商</w:t>
            </w:r>
          </w:p>
        </w:tc>
        <w:tc>
          <w:tcPr>
            <w:tcW w:w="4961" w:type="dxa"/>
            <w:noWrap w:val="0"/>
            <w:vAlign w:val="center"/>
          </w:tcPr>
          <w:p w14:paraId="11DD0EEF">
            <w:pPr>
              <w:spacing w:line="240" w:lineRule="auto"/>
              <w:rPr>
                <w:rFonts w:ascii="Times New Roman" w:hAnsi="Times New Roman"/>
                <w:color w:val="000000"/>
              </w:rPr>
            </w:pPr>
            <w:r>
              <w:rPr>
                <w:rFonts w:ascii="Times New Roman" w:hAnsi="Times New Roman"/>
                <w:color w:val="000000"/>
              </w:rPr>
              <w:t>入选国家发改委和财政部备案节能服务商名录，得10分。</w:t>
            </w:r>
          </w:p>
          <w:p w14:paraId="05036E54">
            <w:pPr>
              <w:spacing w:line="240" w:lineRule="auto"/>
              <w:rPr>
                <w:rFonts w:ascii="Times New Roman" w:hAnsi="Times New Roman"/>
                <w:color w:val="000000"/>
              </w:rPr>
            </w:pPr>
            <w:r>
              <w:rPr>
                <w:rFonts w:ascii="Times New Roman" w:hAnsi="Times New Roman"/>
                <w:color w:val="000000"/>
              </w:rPr>
              <w:t>须提供：国家发改委（www.ndrc.gov.cn）公告网页截图及其附件复印件，否则不予计分。</w:t>
            </w:r>
          </w:p>
        </w:tc>
        <w:tc>
          <w:tcPr>
            <w:tcW w:w="1156" w:type="dxa"/>
            <w:noWrap w:val="0"/>
            <w:vAlign w:val="center"/>
          </w:tcPr>
          <w:p w14:paraId="7FE4DDA4">
            <w:pPr>
              <w:spacing w:line="240" w:lineRule="auto"/>
              <w:jc w:val="center"/>
              <w:rPr>
                <w:rFonts w:ascii="Times New Roman" w:hAnsi="Times New Roman"/>
                <w:color w:val="000000"/>
              </w:rPr>
            </w:pPr>
            <w:r>
              <w:rPr>
                <w:rFonts w:ascii="Times New Roman" w:hAnsi="Times New Roman"/>
                <w:color w:val="000000"/>
              </w:rPr>
              <w:t>10</w:t>
            </w:r>
          </w:p>
        </w:tc>
      </w:tr>
      <w:tr w14:paraId="3E93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3F2F4AB7">
            <w:pPr>
              <w:pStyle w:val="26"/>
              <w:numPr>
                <w:ilvl w:val="0"/>
                <w:numId w:val="3"/>
              </w:numPr>
              <w:spacing w:line="240" w:lineRule="auto"/>
              <w:ind w:firstLineChars="0"/>
              <w:jc w:val="center"/>
              <w:rPr>
                <w:rFonts w:ascii="Times New Roman" w:hAnsi="Times New Roman"/>
                <w:color w:val="000000"/>
                <w:szCs w:val="21"/>
              </w:rPr>
            </w:pPr>
          </w:p>
        </w:tc>
        <w:tc>
          <w:tcPr>
            <w:tcW w:w="1701" w:type="dxa"/>
            <w:noWrap w:val="0"/>
            <w:vAlign w:val="center"/>
          </w:tcPr>
          <w:p w14:paraId="3D0F7C45">
            <w:pPr>
              <w:spacing w:line="240" w:lineRule="auto"/>
              <w:jc w:val="center"/>
              <w:rPr>
                <w:rFonts w:ascii="Times New Roman" w:hAnsi="Times New Roman"/>
                <w:color w:val="000000"/>
              </w:rPr>
            </w:pPr>
            <w:r>
              <w:rPr>
                <w:rFonts w:ascii="Times New Roman" w:hAnsi="Times New Roman"/>
                <w:color w:val="000000"/>
              </w:rPr>
              <w:t>高新技术企业认定</w:t>
            </w:r>
          </w:p>
        </w:tc>
        <w:tc>
          <w:tcPr>
            <w:tcW w:w="4961" w:type="dxa"/>
            <w:noWrap w:val="0"/>
            <w:vAlign w:val="center"/>
          </w:tcPr>
          <w:p w14:paraId="07CA6AD5">
            <w:pPr>
              <w:spacing w:line="240" w:lineRule="auto"/>
              <w:rPr>
                <w:rFonts w:ascii="Times New Roman" w:hAnsi="Times New Roman"/>
                <w:color w:val="000000"/>
              </w:rPr>
            </w:pPr>
            <w:r>
              <w:rPr>
                <w:rFonts w:ascii="Times New Roman" w:hAnsi="Times New Roman"/>
                <w:b/>
                <w:color w:val="000000"/>
              </w:rPr>
              <w:t xml:space="preserve">获国家级“高新技术企业”认定者，得 </w:t>
            </w:r>
            <w:r>
              <w:rPr>
                <w:rFonts w:hint="eastAsia" w:ascii="Times New Roman" w:hAnsi="Times New Roman"/>
                <w:b/>
                <w:color w:val="000000"/>
              </w:rPr>
              <w:t>15</w:t>
            </w:r>
            <w:r>
              <w:rPr>
                <w:rFonts w:ascii="Times New Roman" w:hAnsi="Times New Roman"/>
                <w:b/>
                <w:color w:val="000000"/>
              </w:rPr>
              <w:t xml:space="preserve"> 分。</w:t>
            </w:r>
            <w:r>
              <w:rPr>
                <w:rFonts w:ascii="Times New Roman" w:hAnsi="Times New Roman"/>
                <w:color w:val="000000"/>
              </w:rPr>
              <w:t>须提供：有效期内的高新企业认定证书复印件，否则不予计分。</w:t>
            </w:r>
          </w:p>
        </w:tc>
        <w:tc>
          <w:tcPr>
            <w:tcW w:w="1156" w:type="dxa"/>
            <w:noWrap w:val="0"/>
            <w:vAlign w:val="center"/>
          </w:tcPr>
          <w:p w14:paraId="5D2AC077">
            <w:pPr>
              <w:spacing w:line="240" w:lineRule="auto"/>
              <w:jc w:val="center"/>
              <w:rPr>
                <w:rFonts w:hint="eastAsia" w:ascii="Times New Roman" w:hAnsi="Times New Roman"/>
                <w:color w:val="000000"/>
              </w:rPr>
            </w:pPr>
            <w:r>
              <w:rPr>
                <w:rFonts w:hint="eastAsia" w:ascii="Times New Roman" w:hAnsi="Times New Roman"/>
                <w:color w:val="000000"/>
              </w:rPr>
              <w:t>15</w:t>
            </w:r>
          </w:p>
        </w:tc>
      </w:tr>
      <w:tr w14:paraId="6E66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3517D67D">
            <w:pPr>
              <w:pStyle w:val="26"/>
              <w:numPr>
                <w:ilvl w:val="0"/>
                <w:numId w:val="3"/>
              </w:numPr>
              <w:spacing w:line="240" w:lineRule="auto"/>
              <w:ind w:firstLineChars="0"/>
              <w:jc w:val="center"/>
              <w:rPr>
                <w:rFonts w:ascii="Times New Roman" w:hAnsi="Times New Roman"/>
                <w:color w:val="000000"/>
                <w:szCs w:val="21"/>
              </w:rPr>
            </w:pPr>
          </w:p>
        </w:tc>
        <w:tc>
          <w:tcPr>
            <w:tcW w:w="1701" w:type="dxa"/>
            <w:noWrap w:val="0"/>
            <w:vAlign w:val="center"/>
          </w:tcPr>
          <w:p w14:paraId="336F4FB2">
            <w:pPr>
              <w:spacing w:line="240" w:lineRule="auto"/>
              <w:jc w:val="center"/>
              <w:rPr>
                <w:rFonts w:ascii="Times New Roman" w:hAnsi="Times New Roman"/>
                <w:color w:val="000000"/>
              </w:rPr>
            </w:pPr>
            <w:r>
              <w:rPr>
                <w:rFonts w:ascii="Times New Roman" w:hAnsi="Times New Roman"/>
                <w:color w:val="000000"/>
              </w:rPr>
              <w:t>过往合作</w:t>
            </w:r>
          </w:p>
        </w:tc>
        <w:tc>
          <w:tcPr>
            <w:tcW w:w="4961" w:type="dxa"/>
            <w:noWrap w:val="0"/>
            <w:vAlign w:val="center"/>
          </w:tcPr>
          <w:p w14:paraId="4965A9D5">
            <w:pPr>
              <w:pStyle w:val="28"/>
              <w:jc w:val="both"/>
              <w:rPr>
                <w:rFonts w:ascii="Times New Roman" w:hAnsi="Times New Roman" w:cs="Times New Roman"/>
                <w:b/>
                <w:color w:val="000000"/>
                <w:sz w:val="21"/>
                <w:szCs w:val="21"/>
                <w:highlight w:val="none"/>
              </w:rPr>
            </w:pPr>
            <w:r>
              <w:rPr>
                <w:rFonts w:hint="eastAsia" w:ascii="Times New Roman" w:hAnsi="Times New Roman" w:cs="Times New Roman"/>
                <w:b/>
                <w:color w:val="000000"/>
                <w:sz w:val="21"/>
                <w:szCs w:val="21"/>
                <w:highlight w:val="none"/>
                <w:lang w:val="en-US"/>
              </w:rPr>
              <w:t>中海油</w:t>
            </w:r>
            <w:r>
              <w:rPr>
                <w:rFonts w:ascii="Times New Roman" w:hAnsi="Times New Roman" w:cs="Times New Roman"/>
                <w:b/>
                <w:color w:val="000000"/>
                <w:sz w:val="21"/>
                <w:szCs w:val="21"/>
                <w:highlight w:val="none"/>
              </w:rPr>
              <w:t>内合作过与本项目类似的循环水余压发电改造项</w:t>
            </w:r>
            <w:r>
              <w:rPr>
                <w:rFonts w:ascii="Times New Roman" w:hAnsi="Times New Roman" w:cs="Times New Roman"/>
                <w:b/>
                <w:color w:val="000000"/>
                <w:spacing w:val="-11"/>
                <w:sz w:val="21"/>
                <w:szCs w:val="21"/>
                <w:highlight w:val="none"/>
              </w:rPr>
              <w:t>目，</w:t>
            </w:r>
            <w:r>
              <w:rPr>
                <w:rFonts w:hint="eastAsia" w:ascii="Times New Roman" w:hAnsi="Times New Roman" w:cs="Times New Roman"/>
                <w:b/>
                <w:color w:val="000000"/>
                <w:spacing w:val="-11"/>
                <w:sz w:val="21"/>
                <w:szCs w:val="21"/>
                <w:highlight w:val="none"/>
                <w:lang w:val="en-US" w:eastAsia="zh-CN"/>
              </w:rPr>
              <w:t>每提供合格的项目加5分，上限</w:t>
            </w:r>
            <w:r>
              <w:rPr>
                <w:rFonts w:ascii="Times New Roman" w:hAnsi="Times New Roman" w:cs="Times New Roman"/>
                <w:b/>
                <w:color w:val="000000"/>
                <w:sz w:val="21"/>
                <w:szCs w:val="21"/>
                <w:highlight w:val="none"/>
              </w:rPr>
              <w:t>1</w:t>
            </w:r>
            <w:r>
              <w:rPr>
                <w:rFonts w:hint="eastAsia" w:ascii="Times New Roman" w:hAnsi="Times New Roman" w:cs="Times New Roman"/>
                <w:b/>
                <w:color w:val="000000"/>
                <w:sz w:val="21"/>
                <w:szCs w:val="21"/>
                <w:highlight w:val="none"/>
              </w:rPr>
              <w:t>5</w:t>
            </w:r>
            <w:r>
              <w:rPr>
                <w:rFonts w:ascii="Times New Roman" w:hAnsi="Times New Roman" w:cs="Times New Roman"/>
                <w:b/>
                <w:color w:val="000000"/>
                <w:spacing w:val="-18"/>
                <w:sz w:val="21"/>
                <w:szCs w:val="21"/>
                <w:highlight w:val="none"/>
              </w:rPr>
              <w:t>分</w:t>
            </w:r>
            <w:r>
              <w:rPr>
                <w:rFonts w:ascii="Times New Roman" w:hAnsi="Times New Roman" w:cs="Times New Roman"/>
                <w:b/>
                <w:color w:val="000000"/>
                <w:spacing w:val="-20"/>
                <w:sz w:val="21"/>
                <w:szCs w:val="21"/>
                <w:highlight w:val="none"/>
              </w:rPr>
              <w:t>。</w:t>
            </w:r>
          </w:p>
          <w:p w14:paraId="2D185A2B">
            <w:pPr>
              <w:spacing w:line="240" w:lineRule="auto"/>
              <w:rPr>
                <w:rFonts w:ascii="Times New Roman" w:hAnsi="Times New Roman"/>
                <w:color w:val="000000"/>
              </w:rPr>
            </w:pPr>
            <w:r>
              <w:rPr>
                <w:rFonts w:ascii="Times New Roman" w:hAnsi="Times New Roman"/>
                <w:color w:val="000000"/>
                <w:highlight w:val="none"/>
              </w:rPr>
              <w:t>须提供：提供与中海油的循环水余压发电项目合同首位页复印件，否则不予计分。</w:t>
            </w:r>
          </w:p>
        </w:tc>
        <w:tc>
          <w:tcPr>
            <w:tcW w:w="1156" w:type="dxa"/>
            <w:noWrap w:val="0"/>
            <w:vAlign w:val="center"/>
          </w:tcPr>
          <w:p w14:paraId="702AE7F4">
            <w:pPr>
              <w:spacing w:line="240" w:lineRule="auto"/>
              <w:jc w:val="center"/>
              <w:rPr>
                <w:rFonts w:hint="eastAsia" w:ascii="Times New Roman" w:hAnsi="Times New Roman"/>
                <w:color w:val="000000"/>
              </w:rPr>
            </w:pPr>
            <w:r>
              <w:rPr>
                <w:rFonts w:ascii="Times New Roman" w:hAnsi="Times New Roman"/>
                <w:color w:val="000000"/>
              </w:rPr>
              <w:t>1</w:t>
            </w:r>
            <w:r>
              <w:rPr>
                <w:rFonts w:hint="eastAsia" w:ascii="Times New Roman" w:hAnsi="Times New Roman"/>
                <w:color w:val="000000"/>
              </w:rPr>
              <w:t>5</w:t>
            </w:r>
          </w:p>
        </w:tc>
      </w:tr>
      <w:tr w14:paraId="4110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1F7CC7C1">
            <w:pPr>
              <w:pStyle w:val="26"/>
              <w:numPr>
                <w:ilvl w:val="0"/>
                <w:numId w:val="3"/>
              </w:numPr>
              <w:spacing w:line="240" w:lineRule="auto"/>
              <w:ind w:firstLineChars="0"/>
              <w:jc w:val="center"/>
              <w:rPr>
                <w:rFonts w:ascii="Times New Roman" w:hAnsi="Times New Roman"/>
                <w:color w:val="000000"/>
                <w:szCs w:val="21"/>
              </w:rPr>
            </w:pPr>
          </w:p>
        </w:tc>
        <w:tc>
          <w:tcPr>
            <w:tcW w:w="1701" w:type="dxa"/>
            <w:noWrap w:val="0"/>
            <w:vAlign w:val="center"/>
          </w:tcPr>
          <w:p w14:paraId="38DFA431">
            <w:pPr>
              <w:spacing w:line="240" w:lineRule="auto"/>
              <w:jc w:val="center"/>
              <w:rPr>
                <w:rFonts w:ascii="Times New Roman" w:hAnsi="Times New Roman"/>
                <w:color w:val="000000"/>
              </w:rPr>
            </w:pPr>
            <w:r>
              <w:rPr>
                <w:rFonts w:ascii="Times New Roman" w:hAnsi="Times New Roman"/>
                <w:color w:val="000000"/>
              </w:rPr>
              <w:t>投标人业绩</w:t>
            </w:r>
          </w:p>
        </w:tc>
        <w:tc>
          <w:tcPr>
            <w:tcW w:w="4961" w:type="dxa"/>
            <w:noWrap w:val="0"/>
            <w:vAlign w:val="center"/>
          </w:tcPr>
          <w:p w14:paraId="20DBE5CA">
            <w:pPr>
              <w:spacing w:line="240" w:lineRule="auto"/>
              <w:rPr>
                <w:rFonts w:ascii="Times New Roman" w:hAnsi="Times New Roman"/>
                <w:color w:val="000000"/>
              </w:rPr>
            </w:pPr>
            <w:r>
              <w:rPr>
                <w:rFonts w:ascii="Times New Roman" w:hAnsi="Times New Roman"/>
                <w:color w:val="000000"/>
              </w:rPr>
              <w:t>2022年至今（合同签订时间为准），应用于循环水回水余压系统、机组采用</w:t>
            </w:r>
            <w:r>
              <w:rPr>
                <w:rFonts w:hint="eastAsia" w:ascii="Times New Roman" w:hAnsi="Times New Roman"/>
                <w:color w:val="000000"/>
              </w:rPr>
              <w:t>贯流式</w:t>
            </w:r>
            <w:r>
              <w:rPr>
                <w:rFonts w:ascii="Times New Roman" w:hAnsi="Times New Roman"/>
                <w:color w:val="000000"/>
              </w:rPr>
              <w:t>水轮机、单机组装机功率100kW 以上、单项目合计装机发电量 600kW 以上业绩，得</w:t>
            </w:r>
            <w:r>
              <w:rPr>
                <w:rFonts w:hint="eastAsia" w:ascii="Times New Roman" w:hAnsi="Times New Roman"/>
                <w:color w:val="000000"/>
              </w:rPr>
              <w:t>10</w:t>
            </w:r>
            <w:r>
              <w:rPr>
                <w:rFonts w:ascii="Times New Roman" w:hAnsi="Times New Roman"/>
                <w:color w:val="000000"/>
              </w:rPr>
              <w:t>分/项目</w:t>
            </w:r>
            <w:r>
              <w:rPr>
                <w:rFonts w:hint="eastAsia" w:ascii="Times New Roman" w:hAnsi="Times New Roman"/>
                <w:color w:val="000000"/>
              </w:rPr>
              <w:t>；每多提供一项合格业绩得10分，满分50分；</w:t>
            </w:r>
            <w:r>
              <w:rPr>
                <w:rFonts w:ascii="Times New Roman" w:hAnsi="Times New Roman"/>
                <w:color w:val="000000"/>
              </w:rPr>
              <w:t>以合同、技术协议和验收报告原件扫描件及现场余压发电设备完工照片等为依据，证明材料不全不得分。</w:t>
            </w:r>
          </w:p>
        </w:tc>
        <w:tc>
          <w:tcPr>
            <w:tcW w:w="1156" w:type="dxa"/>
            <w:noWrap w:val="0"/>
            <w:vAlign w:val="center"/>
          </w:tcPr>
          <w:p w14:paraId="72C523C0">
            <w:pPr>
              <w:spacing w:line="240" w:lineRule="auto"/>
              <w:jc w:val="center"/>
              <w:rPr>
                <w:rFonts w:ascii="Times New Roman" w:hAnsi="Times New Roman"/>
                <w:color w:val="000000"/>
              </w:rPr>
            </w:pPr>
            <w:r>
              <w:rPr>
                <w:rFonts w:ascii="Times New Roman" w:hAnsi="Times New Roman"/>
                <w:color w:val="000000"/>
              </w:rPr>
              <w:t>50</w:t>
            </w:r>
          </w:p>
        </w:tc>
      </w:tr>
    </w:tbl>
    <w:p w14:paraId="7F71AC76">
      <w:pPr>
        <w:pStyle w:val="9"/>
        <w:widowControl w:val="0"/>
        <w:numPr>
          <w:ilvl w:val="0"/>
          <w:numId w:val="0"/>
        </w:numPr>
        <w:spacing w:before="0" w:beforeAutospacing="0" w:after="0" w:afterAutospacing="0" w:line="480" w:lineRule="exact"/>
        <w:jc w:val="both"/>
        <w:rPr>
          <w:rFonts w:hint="eastAsia" w:cs="宋体"/>
          <w:b/>
        </w:rPr>
      </w:pPr>
    </w:p>
    <w:p w14:paraId="6089E78C">
      <w:pPr>
        <w:pStyle w:val="9"/>
        <w:widowControl w:val="0"/>
        <w:numPr>
          <w:ilvl w:val="255"/>
          <w:numId w:val="0"/>
        </w:numPr>
        <w:spacing w:before="0" w:beforeAutospacing="0" w:after="0" w:afterAutospacing="0" w:line="480" w:lineRule="exact"/>
        <w:ind w:firstLine="482" w:firstLineChars="200"/>
        <w:jc w:val="center"/>
        <w:rPr>
          <w:rFonts w:cs="宋体"/>
          <w:b/>
          <w:iCs/>
        </w:rPr>
      </w:pPr>
      <w:r>
        <w:rPr>
          <w:rFonts w:hint="eastAsia" w:cs="宋体"/>
          <w:b/>
          <w:iCs/>
        </w:rPr>
        <w:t>表5商务评审表</w:t>
      </w:r>
    </w:p>
    <w:p w14:paraId="36D42851">
      <w:pPr>
        <w:pStyle w:val="9"/>
        <w:widowControl w:val="0"/>
        <w:spacing w:before="0" w:beforeAutospacing="0" w:after="0" w:afterAutospacing="0" w:line="480" w:lineRule="exact"/>
        <w:ind w:firstLine="480" w:firstLineChars="200"/>
        <w:jc w:val="both"/>
        <w:rPr>
          <w:rFonts w:hint="eastAsia" w:cs="宋体"/>
          <w:kern w:val="2"/>
        </w:rPr>
      </w:pPr>
      <w:r>
        <w:rPr>
          <w:rFonts w:hint="eastAsia" w:cs="宋体"/>
          <w:kern w:val="2"/>
        </w:rPr>
        <w:t>价格标、技术标、商务标按上表设定的评审内容和评分标准进行量化打分。</w:t>
      </w:r>
    </w:p>
    <w:p w14:paraId="0A6D662E">
      <w:pPr>
        <w:spacing w:line="480" w:lineRule="exact"/>
        <w:ind w:firstLine="472" w:firstLineChars="196"/>
        <w:rPr>
          <w:rFonts w:hint="eastAsia" w:ascii="宋体" w:hAnsi="宋体" w:cs="宋体"/>
          <w:b/>
          <w:sz w:val="24"/>
        </w:rPr>
      </w:pPr>
      <w:r>
        <w:rPr>
          <w:rFonts w:hint="eastAsia" w:ascii="宋体" w:hAnsi="宋体" w:cs="宋体"/>
          <w:b/>
          <w:sz w:val="24"/>
        </w:rPr>
        <w:t>第十一条  汇总评分结果</w:t>
      </w:r>
    </w:p>
    <w:p w14:paraId="6E56271E">
      <w:pPr>
        <w:pStyle w:val="9"/>
        <w:widowControl w:val="0"/>
        <w:spacing w:before="0" w:beforeAutospacing="0" w:after="0" w:afterAutospacing="0" w:line="480" w:lineRule="exact"/>
        <w:ind w:firstLine="480" w:firstLineChars="200"/>
        <w:jc w:val="both"/>
        <w:rPr>
          <w:rFonts w:hint="eastAsia" w:cs="宋体"/>
          <w:kern w:val="2"/>
        </w:rPr>
      </w:pPr>
      <w:r>
        <w:rPr>
          <w:rFonts w:hint="eastAsia" w:cs="宋体"/>
          <w:kern w:val="2"/>
        </w:rPr>
        <w:t>评标委员会成员按照招标文件的要求分别给投标人的价格标、技术标、商务标打分并加权汇总，投标人的得分为各评委所评定分数平均值。各项统计结果和评分结果均按四舍五入方法精确到小数点后两位。</w:t>
      </w:r>
    </w:p>
    <w:p w14:paraId="604211E9">
      <w:pPr>
        <w:spacing w:line="480" w:lineRule="exact"/>
        <w:ind w:firstLine="472" w:firstLineChars="196"/>
        <w:rPr>
          <w:rFonts w:hint="eastAsia" w:ascii="宋体" w:hAnsi="宋体" w:cs="宋体"/>
          <w:b/>
          <w:sz w:val="24"/>
        </w:rPr>
      </w:pPr>
      <w:r>
        <w:rPr>
          <w:rFonts w:hint="eastAsia" w:ascii="宋体" w:hAnsi="宋体" w:cs="宋体"/>
          <w:b/>
          <w:sz w:val="24"/>
        </w:rPr>
        <w:t>第十二条  推荐中标候选人</w:t>
      </w:r>
    </w:p>
    <w:p w14:paraId="611FE572">
      <w:pPr>
        <w:spacing w:line="480" w:lineRule="exact"/>
        <w:ind w:firstLine="480" w:firstLineChars="200"/>
        <w:rPr>
          <w:rFonts w:hint="eastAsia" w:ascii="宋体" w:hAnsi="宋体" w:cs="宋体"/>
          <w:sz w:val="24"/>
        </w:rPr>
      </w:pPr>
      <w:r>
        <w:rPr>
          <w:rFonts w:hint="eastAsia" w:ascii="宋体" w:hAnsi="宋体" w:cs="宋体"/>
          <w:sz w:val="24"/>
        </w:rPr>
        <w:t>评标委员会在评标报告中推荐中标候选人时，应遵照以下原则：</w:t>
      </w:r>
    </w:p>
    <w:p w14:paraId="6324A3CC">
      <w:pPr>
        <w:spacing w:line="480" w:lineRule="exact"/>
        <w:ind w:firstLine="480" w:firstLineChars="200"/>
        <w:rPr>
          <w:rFonts w:hint="eastAsia" w:ascii="宋体" w:hAnsi="宋体" w:cs="宋体"/>
          <w:sz w:val="24"/>
        </w:rPr>
      </w:pPr>
      <w:r>
        <w:rPr>
          <w:rFonts w:hint="eastAsia" w:ascii="宋体" w:hAnsi="宋体" w:cs="宋体"/>
          <w:sz w:val="24"/>
        </w:rPr>
        <w:t>(1)评标委员会按得分由高至低的次序，推荐排名第一名的投标人作为中标候选人向招标人推荐。</w:t>
      </w:r>
    </w:p>
    <w:p w14:paraId="3F6CB689">
      <w:pPr>
        <w:spacing w:line="480" w:lineRule="exact"/>
        <w:rPr>
          <w:rFonts w:hint="eastAsia" w:ascii="宋体" w:hAnsi="宋体" w:cs="宋体"/>
          <w:sz w:val="24"/>
        </w:rPr>
      </w:pPr>
      <w:r>
        <w:rPr>
          <w:rFonts w:hint="eastAsia" w:ascii="宋体" w:hAnsi="宋体" w:cs="宋体"/>
          <w:sz w:val="24"/>
        </w:rPr>
        <w:t xml:space="preserve">    如果在排序中出现评审得分相同的情况，则投标价格较低的投标人排序优先；如果投标价格也一样，则技术部分得分较高者排序优先。</w:t>
      </w:r>
    </w:p>
    <w:p w14:paraId="38FF6BEF">
      <w:pPr>
        <w:spacing w:line="480" w:lineRule="exact"/>
        <w:ind w:firstLine="480" w:firstLineChars="200"/>
        <w:rPr>
          <w:rFonts w:hint="eastAsia" w:ascii="宋体" w:hAnsi="宋体" w:cs="宋体"/>
          <w:sz w:val="24"/>
        </w:rPr>
      </w:pPr>
      <w:r>
        <w:rPr>
          <w:rFonts w:hint="eastAsia" w:ascii="宋体" w:hAnsi="宋体" w:cs="宋体"/>
          <w:sz w:val="24"/>
        </w:rPr>
        <w:t>(2)当评标委员会根据本办法的规定否决不合格投标或者界定为废标后，有效投标不足三个时，如果评标委员会没有否决全部投标，则评标委员会可以将所有有效投标按得分由高至低的次序作为中标候选人向招标人推荐；如果经过评审后认为，有效投标不足三个使得投标明显缺乏竞争，则建议招标人重新招标。</w:t>
      </w:r>
    </w:p>
    <w:p w14:paraId="520D0758">
      <w:pPr>
        <w:spacing w:line="480" w:lineRule="exact"/>
        <w:ind w:firstLine="480" w:firstLineChars="200"/>
        <w:rPr>
          <w:rFonts w:hint="eastAsia" w:ascii="宋体" w:hAnsi="宋体" w:cs="宋体"/>
          <w:sz w:val="24"/>
        </w:rPr>
      </w:pPr>
      <w:r>
        <w:rPr>
          <w:rFonts w:hint="eastAsia" w:ascii="宋体" w:hAnsi="宋体" w:cs="宋体"/>
          <w:sz w:val="24"/>
        </w:rPr>
        <w:t>(3)投标人数量少于三个或者所有投标被否决的，招标人应当依法重新招标。</w:t>
      </w:r>
    </w:p>
    <w:p w14:paraId="28A745C5">
      <w:pPr>
        <w:spacing w:line="480" w:lineRule="exact"/>
        <w:ind w:firstLine="472" w:firstLineChars="196"/>
        <w:rPr>
          <w:rFonts w:hint="eastAsia" w:ascii="宋体" w:hAnsi="宋体" w:cs="宋体"/>
          <w:b/>
          <w:sz w:val="24"/>
        </w:rPr>
      </w:pPr>
      <w:r>
        <w:rPr>
          <w:rFonts w:hint="eastAsia" w:ascii="宋体" w:hAnsi="宋体" w:cs="宋体"/>
          <w:b/>
          <w:sz w:val="24"/>
        </w:rPr>
        <w:t>第十三条  定标原则</w:t>
      </w:r>
    </w:p>
    <w:p w14:paraId="43B4F96A">
      <w:pPr>
        <w:spacing w:line="480" w:lineRule="exact"/>
        <w:ind w:firstLine="480" w:firstLineChars="200"/>
        <w:rPr>
          <w:rFonts w:hint="eastAsia" w:ascii="宋体" w:hAnsi="宋体" w:cs="宋体"/>
          <w:sz w:val="24"/>
        </w:rPr>
      </w:pPr>
      <w:r>
        <w:rPr>
          <w:rFonts w:hint="eastAsia" w:ascii="宋体" w:hAnsi="宋体" w:cs="宋体"/>
          <w:sz w:val="24"/>
        </w:rPr>
        <w:t>本招标项目定标原则为能够最大限度地满足招标文件中规定的各项评价标准的投标所对应的投标人为中标人。</w:t>
      </w:r>
    </w:p>
    <w:p w14:paraId="5046A170">
      <w:pPr>
        <w:spacing w:line="480" w:lineRule="exact"/>
        <w:ind w:firstLine="472" w:firstLineChars="196"/>
        <w:rPr>
          <w:rFonts w:hint="eastAsia" w:ascii="宋体" w:hAnsi="宋体" w:cs="宋体"/>
          <w:b/>
          <w:sz w:val="24"/>
        </w:rPr>
      </w:pPr>
      <w:r>
        <w:rPr>
          <w:rFonts w:hint="eastAsia" w:ascii="宋体" w:hAnsi="宋体" w:cs="宋体"/>
          <w:b/>
          <w:sz w:val="24"/>
        </w:rPr>
        <w:t>第十四条  定标方法</w:t>
      </w:r>
    </w:p>
    <w:p w14:paraId="6A3C1F2F">
      <w:pPr>
        <w:spacing w:line="480" w:lineRule="exact"/>
        <w:ind w:firstLine="480" w:firstLineChars="200"/>
        <w:rPr>
          <w:rFonts w:hint="eastAsia" w:ascii="宋体" w:hAnsi="宋体" w:cs="宋体"/>
          <w:sz w:val="24"/>
        </w:rPr>
      </w:pPr>
      <w:r>
        <w:rPr>
          <w:rFonts w:hint="eastAsia" w:ascii="宋体" w:hAnsi="宋体" w:cs="宋体"/>
          <w:sz w:val="24"/>
        </w:rPr>
        <w:t>按照本办法的定标原则，招标人确定中标人的方法如下：</w:t>
      </w:r>
    </w:p>
    <w:p w14:paraId="67D591F8">
      <w:pPr>
        <w:spacing w:line="480" w:lineRule="exact"/>
        <w:ind w:firstLine="480" w:firstLineChars="200"/>
        <w:rPr>
          <w:rFonts w:hint="eastAsia" w:ascii="宋体" w:hAnsi="宋体" w:cs="宋体"/>
          <w:sz w:val="24"/>
        </w:rPr>
      </w:pPr>
      <w:r>
        <w:rPr>
          <w:rFonts w:hint="eastAsia" w:ascii="宋体" w:hAnsi="宋体" w:cs="宋体"/>
          <w:sz w:val="24"/>
        </w:rPr>
        <w:t>1、招标人应当选择评标委员会在评标报告中列为排名第一的中标候选人作为中标人。</w:t>
      </w:r>
    </w:p>
    <w:p w14:paraId="4D3FF0F3">
      <w:pPr>
        <w:spacing w:line="480" w:lineRule="exact"/>
        <w:ind w:firstLine="480" w:firstLineChars="200"/>
        <w:rPr>
          <w:rFonts w:hint="eastAsia" w:ascii="宋体" w:hAnsi="宋体" w:cs="宋体"/>
          <w:sz w:val="24"/>
        </w:rPr>
      </w:pPr>
      <w:r>
        <w:rPr>
          <w:rFonts w:hint="eastAsia" w:ascii="宋体" w:hAnsi="宋体" w:cs="宋体"/>
          <w:sz w:val="24"/>
        </w:rPr>
        <w:t>2、如果排名第一的中标候选人放弃中标、因不可抗力提出不能履行合同，或者招标文件规定应当提交履约保证担保而在规定的期限内未能提交的，招标人可以选择排名第二的中标候选人为中标人。</w:t>
      </w:r>
    </w:p>
    <w:p w14:paraId="5E3C8F6D">
      <w:pPr>
        <w:spacing w:line="480" w:lineRule="exact"/>
        <w:ind w:firstLine="472" w:firstLineChars="196"/>
        <w:rPr>
          <w:rFonts w:hint="eastAsia" w:ascii="宋体" w:hAnsi="宋体" w:cs="宋体"/>
          <w:b/>
          <w:sz w:val="24"/>
        </w:rPr>
      </w:pPr>
      <w:r>
        <w:rPr>
          <w:rFonts w:hint="eastAsia" w:ascii="宋体" w:hAnsi="宋体" w:cs="宋体"/>
          <w:b/>
          <w:sz w:val="24"/>
        </w:rPr>
        <w:t>第十五条  解释权</w:t>
      </w:r>
    </w:p>
    <w:p w14:paraId="771855E0">
      <w:pPr>
        <w:spacing w:line="480" w:lineRule="exact"/>
        <w:ind w:firstLine="480" w:firstLineChars="200"/>
        <w:rPr>
          <w:rFonts w:hint="eastAsia" w:ascii="宋体" w:hAnsi="宋体" w:cs="宋体"/>
          <w:sz w:val="24"/>
        </w:rPr>
      </w:pPr>
      <w:r>
        <w:rPr>
          <w:rFonts w:hint="eastAsia" w:ascii="宋体" w:hAnsi="宋体" w:cs="宋体"/>
          <w:sz w:val="24"/>
        </w:rPr>
        <w:t>本办法由招标人负责解释。</w:t>
      </w:r>
    </w:p>
    <w:p w14:paraId="41719EC1">
      <w:pPr>
        <w:rPr>
          <w:rFonts w:hint="eastAsia" w:ascii="宋体" w:hAnsi="宋体" w:cs="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FFE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ED277">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FED277">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B14B0"/>
    <w:multiLevelType w:val="multilevel"/>
    <w:tmpl w:val="350B14B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0622915"/>
    <w:multiLevelType w:val="multilevel"/>
    <w:tmpl w:val="406229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2863F82"/>
    <w:multiLevelType w:val="singleLevel"/>
    <w:tmpl w:val="62863F82"/>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xNTFhMThlZWIyNTMwM2QxNTc4YzNmOTdiMTc0Y2IifQ=="/>
  </w:docVars>
  <w:rsids>
    <w:rsidRoot w:val="00EF2398"/>
    <w:rsid w:val="000564B8"/>
    <w:rsid w:val="000845F0"/>
    <w:rsid w:val="00092561"/>
    <w:rsid w:val="000B622C"/>
    <w:rsid w:val="000B69EC"/>
    <w:rsid w:val="0014679F"/>
    <w:rsid w:val="00165E35"/>
    <w:rsid w:val="00191460"/>
    <w:rsid w:val="002327FF"/>
    <w:rsid w:val="00262B8E"/>
    <w:rsid w:val="00301D54"/>
    <w:rsid w:val="00310C45"/>
    <w:rsid w:val="003B10EE"/>
    <w:rsid w:val="003C32BE"/>
    <w:rsid w:val="00403678"/>
    <w:rsid w:val="004A54A2"/>
    <w:rsid w:val="004C375F"/>
    <w:rsid w:val="00501369"/>
    <w:rsid w:val="00505F53"/>
    <w:rsid w:val="005C1EDB"/>
    <w:rsid w:val="005D113E"/>
    <w:rsid w:val="00617FCB"/>
    <w:rsid w:val="007446A0"/>
    <w:rsid w:val="00745497"/>
    <w:rsid w:val="007557C1"/>
    <w:rsid w:val="007F1C3F"/>
    <w:rsid w:val="008058B6"/>
    <w:rsid w:val="008163E2"/>
    <w:rsid w:val="0087151A"/>
    <w:rsid w:val="00883C88"/>
    <w:rsid w:val="00926780"/>
    <w:rsid w:val="009314C3"/>
    <w:rsid w:val="0095425A"/>
    <w:rsid w:val="009C20E8"/>
    <w:rsid w:val="009C4433"/>
    <w:rsid w:val="009D1F4A"/>
    <w:rsid w:val="00A12489"/>
    <w:rsid w:val="00A50C57"/>
    <w:rsid w:val="00B538CE"/>
    <w:rsid w:val="00B602B5"/>
    <w:rsid w:val="00BD45BA"/>
    <w:rsid w:val="00C419FE"/>
    <w:rsid w:val="00C85F20"/>
    <w:rsid w:val="00CE6FE3"/>
    <w:rsid w:val="00D62CA9"/>
    <w:rsid w:val="00D8153A"/>
    <w:rsid w:val="00DF20BF"/>
    <w:rsid w:val="00E64E7D"/>
    <w:rsid w:val="00E8775C"/>
    <w:rsid w:val="00E92B06"/>
    <w:rsid w:val="00EC17AF"/>
    <w:rsid w:val="00EF047B"/>
    <w:rsid w:val="00EF2398"/>
    <w:rsid w:val="00F173C5"/>
    <w:rsid w:val="00F972EC"/>
    <w:rsid w:val="01155731"/>
    <w:rsid w:val="02254E48"/>
    <w:rsid w:val="02BB5256"/>
    <w:rsid w:val="040A6489"/>
    <w:rsid w:val="04580B99"/>
    <w:rsid w:val="04B7134B"/>
    <w:rsid w:val="04D37589"/>
    <w:rsid w:val="05AE01F1"/>
    <w:rsid w:val="05CE6AD1"/>
    <w:rsid w:val="06155E69"/>
    <w:rsid w:val="06D41556"/>
    <w:rsid w:val="07547DEC"/>
    <w:rsid w:val="07552F18"/>
    <w:rsid w:val="0796108C"/>
    <w:rsid w:val="07CD4E26"/>
    <w:rsid w:val="084A0DC3"/>
    <w:rsid w:val="0924682D"/>
    <w:rsid w:val="092D1499"/>
    <w:rsid w:val="097A7336"/>
    <w:rsid w:val="09C53577"/>
    <w:rsid w:val="0A060968"/>
    <w:rsid w:val="0A6E09BA"/>
    <w:rsid w:val="0AF30B94"/>
    <w:rsid w:val="0D1C46B4"/>
    <w:rsid w:val="0D346943"/>
    <w:rsid w:val="0DE51D6D"/>
    <w:rsid w:val="0F195CD1"/>
    <w:rsid w:val="0FBA737B"/>
    <w:rsid w:val="129E2610"/>
    <w:rsid w:val="13400EAE"/>
    <w:rsid w:val="134038E0"/>
    <w:rsid w:val="136E0BA9"/>
    <w:rsid w:val="14002F0A"/>
    <w:rsid w:val="14E924D8"/>
    <w:rsid w:val="15453419"/>
    <w:rsid w:val="15690030"/>
    <w:rsid w:val="15CA4627"/>
    <w:rsid w:val="1611057B"/>
    <w:rsid w:val="16284281"/>
    <w:rsid w:val="162A486A"/>
    <w:rsid w:val="16B05DC8"/>
    <w:rsid w:val="16EC1BB1"/>
    <w:rsid w:val="17126FA2"/>
    <w:rsid w:val="178D3AD3"/>
    <w:rsid w:val="1872121A"/>
    <w:rsid w:val="19394701"/>
    <w:rsid w:val="197B4E29"/>
    <w:rsid w:val="19DE1D26"/>
    <w:rsid w:val="1A0B6023"/>
    <w:rsid w:val="1A322187"/>
    <w:rsid w:val="1A394981"/>
    <w:rsid w:val="1A451CBD"/>
    <w:rsid w:val="1AA15E10"/>
    <w:rsid w:val="1AD56882"/>
    <w:rsid w:val="1B397136"/>
    <w:rsid w:val="1B69771E"/>
    <w:rsid w:val="1B8F1F14"/>
    <w:rsid w:val="1C03166F"/>
    <w:rsid w:val="1C095C7C"/>
    <w:rsid w:val="1D7D3211"/>
    <w:rsid w:val="1D7E3B6D"/>
    <w:rsid w:val="1DAF38B4"/>
    <w:rsid w:val="1DBE004E"/>
    <w:rsid w:val="1DD56F07"/>
    <w:rsid w:val="1DD634EE"/>
    <w:rsid w:val="1F933DE1"/>
    <w:rsid w:val="201554E7"/>
    <w:rsid w:val="20872BA5"/>
    <w:rsid w:val="22877F6D"/>
    <w:rsid w:val="229E5E60"/>
    <w:rsid w:val="22E34AF4"/>
    <w:rsid w:val="22F351E3"/>
    <w:rsid w:val="2351194D"/>
    <w:rsid w:val="242E16E8"/>
    <w:rsid w:val="24C0297C"/>
    <w:rsid w:val="253A52A2"/>
    <w:rsid w:val="266047A5"/>
    <w:rsid w:val="267927F7"/>
    <w:rsid w:val="270F1F6F"/>
    <w:rsid w:val="271F0E54"/>
    <w:rsid w:val="27332C0E"/>
    <w:rsid w:val="275008B1"/>
    <w:rsid w:val="276E278D"/>
    <w:rsid w:val="27B04BAD"/>
    <w:rsid w:val="280C7422"/>
    <w:rsid w:val="29C56BF1"/>
    <w:rsid w:val="29EA2157"/>
    <w:rsid w:val="2A257953"/>
    <w:rsid w:val="2A3405C1"/>
    <w:rsid w:val="2AD7450F"/>
    <w:rsid w:val="2AF06195"/>
    <w:rsid w:val="2B241E80"/>
    <w:rsid w:val="2B7938D4"/>
    <w:rsid w:val="2B846C0E"/>
    <w:rsid w:val="2C590462"/>
    <w:rsid w:val="2C6D18EA"/>
    <w:rsid w:val="2C9A11AA"/>
    <w:rsid w:val="2CD12F5C"/>
    <w:rsid w:val="2CD22C15"/>
    <w:rsid w:val="2D52672E"/>
    <w:rsid w:val="2ECA01BB"/>
    <w:rsid w:val="2F19348A"/>
    <w:rsid w:val="2FFF278B"/>
    <w:rsid w:val="30943C3E"/>
    <w:rsid w:val="30A67288"/>
    <w:rsid w:val="31EE01DD"/>
    <w:rsid w:val="322D533E"/>
    <w:rsid w:val="329D6599"/>
    <w:rsid w:val="32F169A3"/>
    <w:rsid w:val="3405722E"/>
    <w:rsid w:val="342F3E2C"/>
    <w:rsid w:val="34673064"/>
    <w:rsid w:val="349E4AF7"/>
    <w:rsid w:val="34BE0B12"/>
    <w:rsid w:val="35310631"/>
    <w:rsid w:val="367F73ED"/>
    <w:rsid w:val="36E70FE1"/>
    <w:rsid w:val="370A20E7"/>
    <w:rsid w:val="375168B8"/>
    <w:rsid w:val="37B809C5"/>
    <w:rsid w:val="37D34614"/>
    <w:rsid w:val="37F321BF"/>
    <w:rsid w:val="3A4820A2"/>
    <w:rsid w:val="3B5678BB"/>
    <w:rsid w:val="3CBD1FE8"/>
    <w:rsid w:val="3DC553D4"/>
    <w:rsid w:val="3DD269FF"/>
    <w:rsid w:val="3E6F0DA5"/>
    <w:rsid w:val="3EA3354D"/>
    <w:rsid w:val="3FB236F4"/>
    <w:rsid w:val="3FD9785C"/>
    <w:rsid w:val="3FE553C4"/>
    <w:rsid w:val="404C344C"/>
    <w:rsid w:val="420C2FE8"/>
    <w:rsid w:val="42643EB7"/>
    <w:rsid w:val="4283791D"/>
    <w:rsid w:val="42C8119D"/>
    <w:rsid w:val="42F45D18"/>
    <w:rsid w:val="438A2A46"/>
    <w:rsid w:val="43B05EF0"/>
    <w:rsid w:val="43EC78AA"/>
    <w:rsid w:val="4472159E"/>
    <w:rsid w:val="452B0D89"/>
    <w:rsid w:val="47182F1A"/>
    <w:rsid w:val="47874C1F"/>
    <w:rsid w:val="47AE3889"/>
    <w:rsid w:val="47EE3067"/>
    <w:rsid w:val="47F136F8"/>
    <w:rsid w:val="48C017E8"/>
    <w:rsid w:val="49ED372D"/>
    <w:rsid w:val="4A820150"/>
    <w:rsid w:val="4AB347AB"/>
    <w:rsid w:val="4AB846CB"/>
    <w:rsid w:val="4C363805"/>
    <w:rsid w:val="4C704A1B"/>
    <w:rsid w:val="4C7622A1"/>
    <w:rsid w:val="4CB6282A"/>
    <w:rsid w:val="4CFB3FF3"/>
    <w:rsid w:val="4D001A4B"/>
    <w:rsid w:val="4E71569C"/>
    <w:rsid w:val="4E995F8F"/>
    <w:rsid w:val="4EDD0497"/>
    <w:rsid w:val="4F0E3570"/>
    <w:rsid w:val="4F7A7972"/>
    <w:rsid w:val="4FA2292D"/>
    <w:rsid w:val="4FD23187"/>
    <w:rsid w:val="4FDE579A"/>
    <w:rsid w:val="4FDE5AD8"/>
    <w:rsid w:val="500649A2"/>
    <w:rsid w:val="509B1877"/>
    <w:rsid w:val="519B69A3"/>
    <w:rsid w:val="52D76A4D"/>
    <w:rsid w:val="53497D85"/>
    <w:rsid w:val="53785B1E"/>
    <w:rsid w:val="53A50812"/>
    <w:rsid w:val="58702083"/>
    <w:rsid w:val="58A62BD4"/>
    <w:rsid w:val="590C0582"/>
    <w:rsid w:val="59A45E2C"/>
    <w:rsid w:val="5A425322"/>
    <w:rsid w:val="5A7449A0"/>
    <w:rsid w:val="5B8A0C0A"/>
    <w:rsid w:val="5C3B50F0"/>
    <w:rsid w:val="5D6961E9"/>
    <w:rsid w:val="5D724A77"/>
    <w:rsid w:val="5F7D1D36"/>
    <w:rsid w:val="60E82D89"/>
    <w:rsid w:val="60F715A3"/>
    <w:rsid w:val="61681B5E"/>
    <w:rsid w:val="62157E8C"/>
    <w:rsid w:val="628F123C"/>
    <w:rsid w:val="62D00E29"/>
    <w:rsid w:val="630861CC"/>
    <w:rsid w:val="64B64239"/>
    <w:rsid w:val="651E347B"/>
    <w:rsid w:val="65835BB8"/>
    <w:rsid w:val="65901B5F"/>
    <w:rsid w:val="65AF0B26"/>
    <w:rsid w:val="6640379B"/>
    <w:rsid w:val="67EA1F60"/>
    <w:rsid w:val="699915C5"/>
    <w:rsid w:val="6BD76FB7"/>
    <w:rsid w:val="6BFA3707"/>
    <w:rsid w:val="6C817A6D"/>
    <w:rsid w:val="6CDE7112"/>
    <w:rsid w:val="6DB20BE9"/>
    <w:rsid w:val="6E3E7C29"/>
    <w:rsid w:val="6EA16E48"/>
    <w:rsid w:val="6F7A30D8"/>
    <w:rsid w:val="70227AA5"/>
    <w:rsid w:val="703A30F4"/>
    <w:rsid w:val="707F5FAB"/>
    <w:rsid w:val="70985A9B"/>
    <w:rsid w:val="71472F30"/>
    <w:rsid w:val="716B26A0"/>
    <w:rsid w:val="71D36699"/>
    <w:rsid w:val="72275D5C"/>
    <w:rsid w:val="73C05424"/>
    <w:rsid w:val="7400149D"/>
    <w:rsid w:val="74413181"/>
    <w:rsid w:val="74AC5479"/>
    <w:rsid w:val="7543591C"/>
    <w:rsid w:val="75AC78A8"/>
    <w:rsid w:val="75B00123"/>
    <w:rsid w:val="7604757E"/>
    <w:rsid w:val="765150B3"/>
    <w:rsid w:val="76BD3456"/>
    <w:rsid w:val="76F3172B"/>
    <w:rsid w:val="771A4C96"/>
    <w:rsid w:val="779E581F"/>
    <w:rsid w:val="792425B9"/>
    <w:rsid w:val="79E41D86"/>
    <w:rsid w:val="7A5659B5"/>
    <w:rsid w:val="7A8E49BB"/>
    <w:rsid w:val="7B166C80"/>
    <w:rsid w:val="7B5268F9"/>
    <w:rsid w:val="7BD147AF"/>
    <w:rsid w:val="7CD54E71"/>
    <w:rsid w:val="7D1542AC"/>
    <w:rsid w:val="7DA8525F"/>
    <w:rsid w:val="7E2305D2"/>
    <w:rsid w:val="7E407130"/>
    <w:rsid w:val="7E501BB9"/>
    <w:rsid w:val="7E775A13"/>
    <w:rsid w:val="7F335121"/>
    <w:rsid w:val="7F7B6139"/>
    <w:rsid w:val="7FBD2342"/>
    <w:rsid w:val="7FBE1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w:basedOn w:val="1"/>
    <w:link w:val="16"/>
    <w:qFormat/>
    <w:uiPriority w:val="0"/>
    <w:rPr>
      <w:sz w:val="30"/>
    </w:rPr>
  </w:style>
  <w:style w:type="paragraph" w:styleId="4">
    <w:name w:val="Body Text Indent"/>
    <w:basedOn w:val="1"/>
    <w:next w:val="5"/>
    <w:qFormat/>
    <w:uiPriority w:val="99"/>
    <w:pPr>
      <w:spacing w:after="120"/>
      <w:ind w:left="420" w:leftChars="200"/>
    </w:pPr>
  </w:style>
  <w:style w:type="paragraph" w:styleId="5">
    <w:name w:val="Body Text First Indent 2"/>
    <w:basedOn w:val="4"/>
    <w:next w:val="1"/>
    <w:qFormat/>
    <w:uiPriority w:val="99"/>
    <w:pPr>
      <w:ind w:firstLine="420" w:firstLineChars="200"/>
    </w:pPr>
  </w:style>
  <w:style w:type="paragraph" w:styleId="6">
    <w:name w:val="Balloon Text"/>
    <w:basedOn w:val="1"/>
    <w:link w:val="19"/>
    <w:semiHidden/>
    <w:unhideWhenUsed/>
    <w:qFormat/>
    <w:uiPriority w:val="99"/>
    <w:rPr>
      <w:sz w:val="18"/>
      <w:szCs w:val="18"/>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annotation subject"/>
    <w:basedOn w:val="2"/>
    <w:next w:val="2"/>
    <w:link w:val="21"/>
    <w:semiHidden/>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semiHidden/>
    <w:unhideWhenUsed/>
    <w:qFormat/>
    <w:uiPriority w:val="99"/>
    <w:rPr>
      <w:sz w:val="21"/>
      <w:szCs w:val="21"/>
    </w:rPr>
  </w:style>
  <w:style w:type="character" w:customStyle="1" w:styleId="16">
    <w:name w:val="正文文本 字符"/>
    <w:basedOn w:val="13"/>
    <w:link w:val="3"/>
    <w:qFormat/>
    <w:uiPriority w:val="0"/>
    <w:rPr>
      <w:rFonts w:ascii="Times New Roman" w:hAnsi="Times New Roman" w:eastAsia="宋体" w:cs="Times New Roman"/>
      <w:sz w:val="30"/>
      <w:szCs w:val="24"/>
    </w:rPr>
  </w:style>
  <w:style w:type="paragraph" w:customStyle="1" w:styleId="17">
    <w:name w:val="Char"/>
    <w:basedOn w:val="1"/>
    <w:qFormat/>
    <w:uiPriority w:val="0"/>
    <w:rPr>
      <w:rFonts w:ascii="Tahoma" w:hAnsi="Tahoma" w:eastAsia="仿宋_GB2312"/>
      <w:sz w:val="24"/>
      <w:szCs w:val="20"/>
    </w:rPr>
  </w:style>
  <w:style w:type="paragraph" w:customStyle="1" w:styleId="18">
    <w:name w:val="Normal_0"/>
    <w:qFormat/>
    <w:uiPriority w:val="0"/>
    <w:rPr>
      <w:rFonts w:ascii="Times New Roman" w:hAnsi="Times New Roman" w:eastAsia="Times New Roman" w:cs="Times New Roman"/>
      <w:sz w:val="24"/>
      <w:szCs w:val="24"/>
      <w:lang w:val="en-US" w:eastAsia="zh-CN" w:bidi="ar-SA"/>
    </w:rPr>
  </w:style>
  <w:style w:type="character" w:customStyle="1" w:styleId="19">
    <w:name w:val="批注框文本 字符"/>
    <w:basedOn w:val="13"/>
    <w:link w:val="6"/>
    <w:semiHidden/>
    <w:qFormat/>
    <w:uiPriority w:val="99"/>
    <w:rPr>
      <w:rFonts w:ascii="Times New Roman" w:hAnsi="Times New Roman" w:eastAsia="宋体" w:cs="Times New Roman"/>
      <w:kern w:val="2"/>
      <w:sz w:val="18"/>
      <w:szCs w:val="18"/>
    </w:rPr>
  </w:style>
  <w:style w:type="character" w:customStyle="1" w:styleId="20">
    <w:name w:val="批注文字 字符"/>
    <w:basedOn w:val="13"/>
    <w:link w:val="2"/>
    <w:semiHidden/>
    <w:qFormat/>
    <w:uiPriority w:val="99"/>
    <w:rPr>
      <w:rFonts w:ascii="Times New Roman" w:hAnsi="Times New Roman" w:eastAsia="宋体" w:cs="Times New Roman"/>
      <w:kern w:val="2"/>
      <w:sz w:val="21"/>
      <w:szCs w:val="24"/>
    </w:rPr>
  </w:style>
  <w:style w:type="character" w:customStyle="1" w:styleId="21">
    <w:name w:val="批注主题 字符"/>
    <w:basedOn w:val="20"/>
    <w:link w:val="10"/>
    <w:semiHidden/>
    <w:qFormat/>
    <w:uiPriority w:val="99"/>
    <w:rPr>
      <w:rFonts w:ascii="Times New Roman" w:hAnsi="Times New Roman" w:eastAsia="宋体" w:cs="Times New Roman"/>
      <w:b/>
      <w:bCs/>
      <w:kern w:val="2"/>
      <w:sz w:val="21"/>
      <w:szCs w:val="24"/>
    </w:rPr>
  </w:style>
  <w:style w:type="paragraph" w:customStyle="1" w:styleId="2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3">
    <w:name w:val="fontstyle01"/>
    <w:basedOn w:val="13"/>
    <w:qFormat/>
    <w:uiPriority w:val="0"/>
    <w:rPr>
      <w:rFonts w:ascii="宋体" w:hAnsi="宋体" w:eastAsia="宋体" w:cs="宋体"/>
      <w:color w:val="000000"/>
      <w:sz w:val="22"/>
      <w:szCs w:val="22"/>
    </w:rPr>
  </w:style>
  <w:style w:type="character" w:customStyle="1" w:styleId="24">
    <w:name w:val="fontstyle11"/>
    <w:basedOn w:val="13"/>
    <w:qFormat/>
    <w:uiPriority w:val="0"/>
    <w:rPr>
      <w:rFonts w:ascii="TimesNewRomanPSMT" w:hAnsi="TimesNewRomanPSMT" w:eastAsia="TimesNewRomanPSMT" w:cs="TimesNewRomanPSMT"/>
      <w:color w:val="000000"/>
      <w:sz w:val="32"/>
      <w:szCs w:val="32"/>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26">
    <w:name w:val="List Paragraph"/>
    <w:basedOn w:val="1"/>
    <w:link w:val="27"/>
    <w:qFormat/>
    <w:uiPriority w:val="34"/>
    <w:pPr>
      <w:spacing w:line="360" w:lineRule="auto"/>
      <w:ind w:firstLine="420" w:firstLineChars="200"/>
      <w:jc w:val="left"/>
    </w:pPr>
    <w:rPr>
      <w:rFonts w:ascii="宋体" w:hAnsi="宋体" w:cs="宋体"/>
      <w:szCs w:val="20"/>
    </w:rPr>
  </w:style>
  <w:style w:type="character" w:customStyle="1" w:styleId="27">
    <w:name w:val="列表段落 字符"/>
    <w:link w:val="26"/>
    <w:qFormat/>
    <w:uiPriority w:val="34"/>
    <w:rPr>
      <w:rFonts w:ascii="宋体" w:hAnsi="宋体" w:cs="宋体"/>
      <w:kern w:val="2"/>
      <w:sz w:val="21"/>
    </w:rPr>
  </w:style>
  <w:style w:type="paragraph" w:customStyle="1" w:styleId="28">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8538</Words>
  <Characters>9042</Characters>
  <Lines>283</Lines>
  <Paragraphs>238</Paragraphs>
  <TotalTime>27</TotalTime>
  <ScaleCrop>false</ScaleCrop>
  <LinksUpToDate>false</LinksUpToDate>
  <CharactersWithSpaces>9143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2024-12-04T03:31:00Z</dcterms:created>
  <dc:creator>test</dc:creator>
  <cp:lastModifiedBy>zzh</cp:lastModifiedBy>
  <cp:lastPrinted>2022-09-21T09:31:00Z</cp:lastPrinted>
  <dcterms:modified xsi:type="dcterms:W3CDTF">2025-12-16T10:45:20Z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73B851ED2FBA4D468A3E454AF1B3C655_13</vt:lpwstr>
  </property>
  <property fmtid="{D5CDD505-2E9C-101B-9397-08002B2CF9AE}" pid="4" name="KSOTemplateDocerSaveRecord">
    <vt:lpwstr>eyJoZGlkIjoiZTA5NGRkYzY3NTgwMzE0ZDU0OWExOTI0ODZhMDE1OGYiLCJ1c2VySWQiOiIxMDYyMjg1MzIzIn0=</vt:lpwstr>
  </property>
</Properties>
</file>