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CA608">
      <w:pPr>
        <w:spacing w:line="360" w:lineRule="auto"/>
        <w:rPr>
          <w:b/>
          <w:bCs/>
          <w:sz w:val="44"/>
          <w:szCs w:val="52"/>
        </w:rPr>
      </w:pPr>
      <w:bookmarkStart w:id="9" w:name="_GoBack"/>
      <w:bookmarkEnd w:id="9"/>
    </w:p>
    <w:p w14:paraId="126A8229">
      <w:pPr>
        <w:spacing w:line="360" w:lineRule="auto"/>
        <w:jc w:val="center"/>
        <w:rPr>
          <w:b/>
          <w:bCs/>
          <w:sz w:val="52"/>
          <w:szCs w:val="52"/>
        </w:rPr>
      </w:pPr>
    </w:p>
    <w:p w14:paraId="1B101F1C">
      <w:pPr>
        <w:spacing w:line="36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陕西省产权交易系统挂牌流程</w:t>
      </w:r>
    </w:p>
    <w:p w14:paraId="54864232">
      <w:pPr>
        <w:spacing w:line="360" w:lineRule="auto"/>
        <w:ind w:firstLine="2610" w:firstLineChars="500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会员端操作手册</w:t>
      </w:r>
    </w:p>
    <w:p w14:paraId="3DA66DE0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34D211ED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7A068BFC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6835290C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5A749DC8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46D5D520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145E13CE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782A7DE1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112C1BD9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64351817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63EA1666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266A4469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55CF4590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0BAC81DA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73FE482E">
      <w:pPr>
        <w:spacing w:line="360" w:lineRule="auto"/>
        <w:ind w:firstLine="2209" w:firstLineChars="500"/>
        <w:jc w:val="left"/>
        <w:rPr>
          <w:b/>
          <w:bCs/>
          <w:sz w:val="44"/>
          <w:szCs w:val="52"/>
        </w:rPr>
      </w:pPr>
    </w:p>
    <w:p w14:paraId="7D24118E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202</w:t>
      </w:r>
      <w:r>
        <w:rPr>
          <w:b/>
          <w:bCs/>
          <w:sz w:val="30"/>
          <w:szCs w:val="30"/>
        </w:rPr>
        <w:t>3</w:t>
      </w:r>
      <w:r>
        <w:rPr>
          <w:rFonts w:hint="eastAsia"/>
          <w:b/>
          <w:bCs/>
          <w:sz w:val="30"/>
          <w:szCs w:val="30"/>
        </w:rPr>
        <w:t>年</w:t>
      </w:r>
      <w:r>
        <w:rPr>
          <w:b/>
          <w:bCs/>
          <w:sz w:val="30"/>
          <w:szCs w:val="30"/>
        </w:rPr>
        <w:t>7</w:t>
      </w:r>
      <w:r>
        <w:rPr>
          <w:rFonts w:hint="eastAsia"/>
          <w:b/>
          <w:bCs/>
          <w:sz w:val="30"/>
          <w:szCs w:val="30"/>
        </w:rPr>
        <w:t>月</w:t>
      </w:r>
    </w:p>
    <w:p w14:paraId="6BC276BC">
      <w:pPr>
        <w:spacing w:line="360" w:lineRule="auto"/>
        <w:jc w:val="left"/>
        <w:rPr>
          <w:b/>
          <w:bCs/>
          <w:sz w:val="44"/>
          <w:szCs w:val="52"/>
        </w:rPr>
      </w:pPr>
    </w:p>
    <w:p w14:paraId="1E51F7C5">
      <w:pPr>
        <w:spacing w:line="360" w:lineRule="auto"/>
        <w:jc w:val="center"/>
        <w:rPr>
          <w:sz w:val="32"/>
          <w:szCs w:val="32"/>
        </w:rPr>
      </w:pPr>
      <w:bookmarkStart w:id="0" w:name="_Toc3843_WPSOffice_Type1"/>
      <w:r>
        <w:rPr>
          <w:rFonts w:ascii="宋体" w:hAnsi="宋体"/>
          <w:sz w:val="32"/>
          <w:szCs w:val="32"/>
        </w:rPr>
        <w:t>目录</w:t>
      </w:r>
    </w:p>
    <w:p w14:paraId="499B0294">
      <w:pPr>
        <w:pStyle w:val="36"/>
        <w:tabs>
          <w:tab w:val="right" w:leader="dot" w:pos="8306"/>
        </w:tabs>
        <w:spacing w:line="360" w:lineRule="auto"/>
        <w:rPr>
          <w:sz w:val="28"/>
          <w:szCs w:val="28"/>
        </w:rPr>
      </w:pPr>
      <w:r>
        <w:fldChar w:fldCharType="begin"/>
      </w:r>
      <w:r>
        <w:instrText xml:space="preserve"> HYPERLINK \l "_Toc127_WPSOffice_Level1" </w:instrText>
      </w:r>
      <w:r>
        <w:fldChar w:fldCharType="separate"/>
      </w:r>
      <w:r>
        <w:rPr>
          <w:rFonts w:hint="eastAsia" w:ascii="Calibri" w:hAnsi="Calibri"/>
          <w:sz w:val="28"/>
          <w:szCs w:val="28"/>
        </w:rPr>
        <w:t>一、 登录</w:t>
      </w:r>
      <w:r>
        <w:rPr>
          <w:sz w:val="28"/>
          <w:szCs w:val="28"/>
        </w:rPr>
        <w:tab/>
      </w:r>
      <w:bookmarkStart w:id="1" w:name="_Toc127_WPSOffice_Level1Page"/>
      <w:r>
        <w:rPr>
          <w:sz w:val="28"/>
          <w:szCs w:val="28"/>
        </w:rPr>
        <w:t>1</w:t>
      </w:r>
      <w:bookmarkEnd w:id="1"/>
      <w:r>
        <w:rPr>
          <w:sz w:val="28"/>
          <w:szCs w:val="28"/>
        </w:rPr>
        <w:fldChar w:fldCharType="end"/>
      </w:r>
    </w:p>
    <w:p w14:paraId="5ABEC294">
      <w:pPr>
        <w:pStyle w:val="36"/>
        <w:tabs>
          <w:tab w:val="right" w:leader="dot" w:pos="8306"/>
        </w:tabs>
        <w:spacing w:line="360" w:lineRule="auto"/>
        <w:rPr>
          <w:sz w:val="28"/>
          <w:szCs w:val="28"/>
        </w:rPr>
      </w:pPr>
      <w:r>
        <w:fldChar w:fldCharType="begin"/>
      </w:r>
      <w:r>
        <w:instrText xml:space="preserve"> HYPERLINK \l "_Toc30965_WPSOffice_Level1" </w:instrText>
      </w:r>
      <w:r>
        <w:fldChar w:fldCharType="separate"/>
      </w:r>
      <w:r>
        <w:rPr>
          <w:rFonts w:hint="eastAsia" w:ascii="Calibri" w:hAnsi="Calibri"/>
          <w:sz w:val="28"/>
          <w:szCs w:val="28"/>
        </w:rPr>
        <w:t>二、 产权报名</w:t>
      </w:r>
      <w:r>
        <w:rPr>
          <w:sz w:val="28"/>
          <w:szCs w:val="28"/>
        </w:rPr>
        <w:tab/>
      </w:r>
      <w:bookmarkStart w:id="2" w:name="_Toc30965_WPSOffice_Level1Page"/>
      <w:r>
        <w:rPr>
          <w:sz w:val="28"/>
          <w:szCs w:val="28"/>
        </w:rPr>
        <w:t>3</w:t>
      </w:r>
      <w:bookmarkEnd w:id="2"/>
      <w:r>
        <w:rPr>
          <w:sz w:val="28"/>
          <w:szCs w:val="28"/>
        </w:rPr>
        <w:fldChar w:fldCharType="end"/>
      </w:r>
    </w:p>
    <w:p w14:paraId="633B874C">
      <w:pPr>
        <w:pStyle w:val="36"/>
        <w:tabs>
          <w:tab w:val="right" w:leader="dot" w:pos="8306"/>
        </w:tabs>
        <w:spacing w:line="360" w:lineRule="auto"/>
        <w:rPr>
          <w:sz w:val="28"/>
          <w:szCs w:val="28"/>
        </w:rPr>
      </w:pPr>
      <w:r>
        <w:fldChar w:fldCharType="begin"/>
      </w:r>
      <w:r>
        <w:instrText xml:space="preserve"> HYPERLINK \l "_Toc1186_WPSOffice_Level1" </w:instrText>
      </w:r>
      <w:r>
        <w:fldChar w:fldCharType="separate"/>
      </w:r>
      <w:r>
        <w:rPr>
          <w:rFonts w:hint="eastAsia" w:ascii="Calibri" w:hAnsi="Calibri"/>
          <w:sz w:val="28"/>
          <w:szCs w:val="28"/>
        </w:rPr>
        <w:t>三、 报价操作</w:t>
      </w:r>
      <w:r>
        <w:rPr>
          <w:sz w:val="28"/>
          <w:szCs w:val="28"/>
        </w:rPr>
        <w:tab/>
      </w:r>
      <w:bookmarkStart w:id="3" w:name="_Toc1186_WPSOffice_Level1Page"/>
      <w:r>
        <w:rPr>
          <w:sz w:val="28"/>
          <w:szCs w:val="28"/>
        </w:rPr>
        <w:t>10</w:t>
      </w:r>
      <w:bookmarkEnd w:id="3"/>
      <w:r>
        <w:rPr>
          <w:sz w:val="28"/>
          <w:szCs w:val="28"/>
        </w:rPr>
        <w:fldChar w:fldCharType="end"/>
      </w:r>
    </w:p>
    <w:p w14:paraId="7DC25F26">
      <w:pPr>
        <w:pStyle w:val="36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"_Toc11616_WPSOffice_Level1" </w:instrText>
      </w:r>
      <w:r>
        <w:fldChar w:fldCharType="separate"/>
      </w:r>
      <w:r>
        <w:rPr>
          <w:rFonts w:hint="eastAsia" w:ascii="Calibri" w:hAnsi="Calibri"/>
          <w:sz w:val="28"/>
          <w:szCs w:val="28"/>
        </w:rPr>
        <w:t>四、 竞买结束操作</w:t>
      </w:r>
      <w:r>
        <w:rPr>
          <w:sz w:val="28"/>
          <w:szCs w:val="28"/>
        </w:rPr>
        <w:tab/>
      </w:r>
      <w:bookmarkStart w:id="4" w:name="_Toc11616_WPSOffice_Level1Page"/>
      <w:r>
        <w:rPr>
          <w:sz w:val="28"/>
          <w:szCs w:val="28"/>
        </w:rPr>
        <w:t>14</w:t>
      </w:r>
      <w:bookmarkEnd w:id="4"/>
      <w:r>
        <w:rPr>
          <w:sz w:val="28"/>
          <w:szCs w:val="28"/>
        </w:rPr>
        <w:fldChar w:fldCharType="end"/>
      </w:r>
      <w:bookmarkEnd w:id="0"/>
    </w:p>
    <w:p w14:paraId="24C92E44">
      <w:pPr>
        <w:pStyle w:val="36"/>
        <w:tabs>
          <w:tab w:val="right" w:leader="dot" w:pos="8306"/>
        </w:tabs>
        <w:spacing w:line="360" w:lineRule="auto"/>
      </w:pPr>
    </w:p>
    <w:p w14:paraId="5500AB1D">
      <w:pPr>
        <w:pStyle w:val="36"/>
        <w:tabs>
          <w:tab w:val="right" w:leader="dot" w:pos="8306"/>
        </w:tabs>
        <w:spacing w:line="360" w:lineRule="auto"/>
      </w:pPr>
    </w:p>
    <w:p w14:paraId="15B14B28">
      <w:pPr>
        <w:pStyle w:val="36"/>
        <w:tabs>
          <w:tab w:val="right" w:leader="dot" w:pos="8306"/>
        </w:tabs>
        <w:spacing w:line="360" w:lineRule="auto"/>
      </w:pPr>
    </w:p>
    <w:p w14:paraId="4D9D0C48">
      <w:pPr>
        <w:pStyle w:val="36"/>
        <w:tabs>
          <w:tab w:val="right" w:leader="dot" w:pos="8306"/>
        </w:tabs>
        <w:spacing w:line="360" w:lineRule="auto"/>
      </w:pPr>
    </w:p>
    <w:p w14:paraId="1CECFC54">
      <w:pPr>
        <w:pStyle w:val="36"/>
        <w:tabs>
          <w:tab w:val="right" w:leader="dot" w:pos="8306"/>
        </w:tabs>
        <w:spacing w:line="360" w:lineRule="auto"/>
      </w:pPr>
    </w:p>
    <w:p w14:paraId="4A98D1A5">
      <w:pPr>
        <w:pStyle w:val="36"/>
        <w:tabs>
          <w:tab w:val="right" w:leader="dot" w:pos="8306"/>
        </w:tabs>
        <w:spacing w:line="360" w:lineRule="auto"/>
      </w:pPr>
    </w:p>
    <w:p w14:paraId="63AF8A72">
      <w:pPr>
        <w:pStyle w:val="36"/>
        <w:tabs>
          <w:tab w:val="right" w:leader="dot" w:pos="8306"/>
        </w:tabs>
        <w:spacing w:line="360" w:lineRule="auto"/>
      </w:pPr>
    </w:p>
    <w:p w14:paraId="605F19A5">
      <w:pPr>
        <w:pStyle w:val="36"/>
        <w:tabs>
          <w:tab w:val="right" w:leader="dot" w:pos="8306"/>
        </w:tabs>
        <w:spacing w:line="360" w:lineRule="auto"/>
      </w:pPr>
    </w:p>
    <w:p w14:paraId="3B67ADCD">
      <w:pPr>
        <w:pStyle w:val="36"/>
        <w:tabs>
          <w:tab w:val="right" w:leader="dot" w:pos="8306"/>
        </w:tabs>
        <w:spacing w:line="360" w:lineRule="auto"/>
      </w:pPr>
    </w:p>
    <w:p w14:paraId="138369AB">
      <w:pPr>
        <w:pStyle w:val="36"/>
        <w:tabs>
          <w:tab w:val="right" w:leader="dot" w:pos="8306"/>
        </w:tabs>
        <w:spacing w:line="360" w:lineRule="auto"/>
      </w:pPr>
    </w:p>
    <w:p w14:paraId="33797095">
      <w:pPr>
        <w:pStyle w:val="36"/>
        <w:tabs>
          <w:tab w:val="right" w:leader="dot" w:pos="8306"/>
        </w:tabs>
        <w:spacing w:line="360" w:lineRule="auto"/>
      </w:pPr>
    </w:p>
    <w:p w14:paraId="54E0C517">
      <w:pPr>
        <w:pStyle w:val="36"/>
        <w:tabs>
          <w:tab w:val="right" w:leader="dot" w:pos="8306"/>
        </w:tabs>
        <w:spacing w:line="360" w:lineRule="auto"/>
      </w:pPr>
    </w:p>
    <w:p w14:paraId="4DF5EFB4">
      <w:pPr>
        <w:pStyle w:val="36"/>
        <w:tabs>
          <w:tab w:val="right" w:leader="dot" w:pos="8306"/>
        </w:tabs>
        <w:spacing w:line="360" w:lineRule="auto"/>
      </w:pPr>
    </w:p>
    <w:p w14:paraId="6EF998E4">
      <w:pPr>
        <w:pStyle w:val="36"/>
        <w:tabs>
          <w:tab w:val="right" w:leader="dot" w:pos="8306"/>
        </w:tabs>
        <w:spacing w:line="360" w:lineRule="auto"/>
      </w:pPr>
    </w:p>
    <w:p w14:paraId="786B4E1F">
      <w:pPr>
        <w:pStyle w:val="36"/>
        <w:tabs>
          <w:tab w:val="right" w:leader="dot" w:pos="8306"/>
        </w:tabs>
        <w:spacing w:line="360" w:lineRule="auto"/>
      </w:pPr>
    </w:p>
    <w:p w14:paraId="47A0FFA9">
      <w:pPr>
        <w:pStyle w:val="36"/>
        <w:tabs>
          <w:tab w:val="right" w:leader="dot" w:pos="8306"/>
        </w:tabs>
        <w:spacing w:line="360" w:lineRule="auto"/>
      </w:pPr>
    </w:p>
    <w:p w14:paraId="067CCEBD">
      <w:pPr>
        <w:pStyle w:val="36"/>
        <w:tabs>
          <w:tab w:val="right" w:leader="dot" w:pos="8306"/>
        </w:tabs>
        <w:spacing w:line="360" w:lineRule="auto"/>
      </w:pPr>
    </w:p>
    <w:p w14:paraId="7D13E20D">
      <w:pPr>
        <w:pStyle w:val="36"/>
        <w:tabs>
          <w:tab w:val="right" w:leader="dot" w:pos="8306"/>
        </w:tabs>
        <w:spacing w:line="360" w:lineRule="auto"/>
      </w:pPr>
    </w:p>
    <w:p w14:paraId="7ED4122B">
      <w:pPr>
        <w:pStyle w:val="36"/>
        <w:tabs>
          <w:tab w:val="right" w:leader="dot" w:pos="8306"/>
        </w:tabs>
        <w:spacing w:line="360" w:lineRule="auto"/>
      </w:pPr>
    </w:p>
    <w:p w14:paraId="28C9E8CB">
      <w:pPr>
        <w:pStyle w:val="36"/>
        <w:tabs>
          <w:tab w:val="right" w:leader="dot" w:pos="8306"/>
        </w:tabs>
        <w:spacing w:line="360" w:lineRule="auto"/>
      </w:pPr>
    </w:p>
    <w:p w14:paraId="64F4803F">
      <w:pPr>
        <w:pStyle w:val="36"/>
        <w:tabs>
          <w:tab w:val="right" w:leader="dot" w:pos="8306"/>
        </w:tabs>
        <w:spacing w:line="360" w:lineRule="auto"/>
      </w:pPr>
    </w:p>
    <w:p w14:paraId="12E8DC30">
      <w:pPr>
        <w:pStyle w:val="36"/>
        <w:tabs>
          <w:tab w:val="right" w:leader="dot" w:pos="8306"/>
        </w:tabs>
        <w:spacing w:line="360" w:lineRule="auto"/>
      </w:pPr>
    </w:p>
    <w:p w14:paraId="0A53D51D">
      <w:pPr>
        <w:pStyle w:val="2"/>
        <w:numPr>
          <w:ilvl w:val="0"/>
          <w:numId w:val="16"/>
        </w:numPr>
        <w:spacing w:line="360" w:lineRule="auto"/>
      </w:pPr>
      <w:bookmarkStart w:id="5" w:name="_Toc127_WPSOffice_Level1"/>
      <w:r>
        <w:rPr>
          <w:rFonts w:hint="eastAsia"/>
        </w:rPr>
        <w:t>登录</w:t>
      </w:r>
      <w:bookmarkEnd w:id="5"/>
    </w:p>
    <w:p w14:paraId="4D236B70">
      <w:pPr>
        <w:numPr>
          <w:ilvl w:val="0"/>
          <w:numId w:val="17"/>
        </w:numPr>
        <w:spacing w:line="360" w:lineRule="auto"/>
        <w:jc w:val="left"/>
      </w:pPr>
      <w:r>
        <w:rPr>
          <w:rFonts w:hint="eastAsia"/>
        </w:rPr>
        <w:t>百度搜索“宝鸡市公共资源交易中心”</w:t>
      </w:r>
    </w:p>
    <w:p w14:paraId="62DD807A">
      <w:pPr>
        <w:spacing w:line="360" w:lineRule="auto"/>
        <w:ind w:left="210" w:firstLine="210" w:firstLineChars="100"/>
        <w:jc w:val="left"/>
        <w:rPr>
          <w:color w:val="FF0000"/>
          <w:highlight w:val="yellow"/>
        </w:rPr>
      </w:pPr>
      <w:r>
        <w:rPr>
          <w:rFonts w:hint="eastAsia"/>
          <w:color w:val="FF0000"/>
          <w:highlight w:val="yellow"/>
        </w:rPr>
        <w:t>注：推荐使用window7、Windows8、Windows10及其以上版本的电脑操作系统，IE浏览器版本建议使用IE11及以上版本浏览器。</w:t>
      </w:r>
    </w:p>
    <w:p w14:paraId="6696AB86">
      <w:pPr>
        <w:spacing w:line="360" w:lineRule="auto"/>
        <w:ind w:left="210" w:firstLine="210" w:firstLineChars="100"/>
        <w:jc w:val="left"/>
      </w:pPr>
      <w:r>
        <w:drawing>
          <wp:inline distT="0" distB="0" distL="0" distR="0">
            <wp:extent cx="5274310" cy="21621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2067">
      <w:pPr>
        <w:numPr>
          <w:ilvl w:val="0"/>
          <w:numId w:val="17"/>
        </w:numPr>
        <w:spacing w:line="360" w:lineRule="auto"/>
        <w:jc w:val="left"/>
      </w:pPr>
      <w:r>
        <w:rPr>
          <w:rFonts w:hint="eastAsia"/>
        </w:rPr>
        <w:t>点击进入“陕西省公共资源交易中心”网站，城市选择“宝鸡市”，点击“电子交易平台”；网址：http://www.sxggzyjy.cn/</w:t>
      </w:r>
    </w:p>
    <w:p w14:paraId="39CAD866">
      <w:pPr>
        <w:spacing w:line="360" w:lineRule="auto"/>
        <w:ind w:left="210"/>
        <w:jc w:val="left"/>
      </w:pPr>
      <w:r>
        <w:drawing>
          <wp:inline distT="0" distB="0" distL="0" distR="0">
            <wp:extent cx="5274310" cy="22440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97BF">
      <w:pPr>
        <w:pStyle w:val="38"/>
        <w:numPr>
          <w:ilvl w:val="0"/>
          <w:numId w:val="18"/>
        </w:numPr>
        <w:spacing w:line="360" w:lineRule="auto"/>
        <w:ind w:firstLineChars="0"/>
        <w:jc w:val="left"/>
      </w:pPr>
      <w:r>
        <w:rPr>
          <w:rFonts w:hint="eastAsia"/>
        </w:rPr>
        <w:t>点击“企业端”进行登录</w:t>
      </w:r>
    </w:p>
    <w:p w14:paraId="6AB65A4B">
      <w:pPr>
        <w:spacing w:line="360" w:lineRule="auto"/>
        <w:ind w:left="210"/>
        <w:jc w:val="left"/>
      </w:pPr>
      <w:r>
        <w:drawing>
          <wp:inline distT="0" distB="0" distL="114300" distR="114300">
            <wp:extent cx="5271135" cy="2332355"/>
            <wp:effectExtent l="0" t="0" r="571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DC44">
      <w:pPr>
        <w:spacing w:line="390" w:lineRule="atLeast"/>
        <w:jc w:val="left"/>
      </w:pPr>
      <w:r>
        <w:rPr>
          <w:rFonts w:hint="eastAsia"/>
        </w:rPr>
        <w:t xml:space="preserve">4、选择“用户名登录”，输入用户名及其密码，点击登录登录系统，选择“证书key登录”插锁输入密码后直接点击登录（第一次登录选择 </w:t>
      </w:r>
      <w:r>
        <w:fldChar w:fldCharType="begin"/>
      </w:r>
      <w:r>
        <w:instrText xml:space="preserve"> HYPERLINK "http://www.sxggzyjy.cn:9002/TPBidder/ssoLogin" </w:instrText>
      </w:r>
      <w:r>
        <w:fldChar w:fldCharType="separate"/>
      </w:r>
      <w:r>
        <w:rPr>
          <w:rFonts w:hint="eastAsia" w:ascii="微软雅黑" w:hAnsi="微软雅黑" w:eastAsia="微软雅黑" w:cs="Tahoma"/>
          <w:color w:val="FF9933"/>
          <w:kern w:val="0"/>
          <w:sz w:val="15"/>
          <w:szCs w:val="15"/>
        </w:rPr>
        <w:t>OAuth登录</w:t>
      </w:r>
      <w:r>
        <w:rPr>
          <w:rFonts w:hint="eastAsia" w:ascii="微软雅黑" w:hAnsi="微软雅黑" w:eastAsia="微软雅黑" w:cs="Tahoma"/>
          <w:color w:val="FF9933"/>
          <w:kern w:val="0"/>
          <w:sz w:val="15"/>
          <w:szCs w:val="15"/>
        </w:rPr>
        <w:fldChar w:fldCharType="end"/>
      </w:r>
      <w:r>
        <w:rPr>
          <w:rFonts w:hint="eastAsia" w:ascii="微软雅黑" w:hAnsi="微软雅黑" w:eastAsia="微软雅黑" w:cs="Tahoma"/>
          <w:color w:val="3D4B64"/>
          <w:kern w:val="0"/>
          <w:sz w:val="15"/>
          <w:szCs w:val="15"/>
        </w:rPr>
        <w:t xml:space="preserve"> </w:t>
      </w:r>
      <w:r>
        <w:rPr>
          <w:rFonts w:hint="eastAsia"/>
        </w:rPr>
        <w:t>）</w:t>
      </w:r>
      <w:r>
        <w:drawing>
          <wp:inline distT="0" distB="0" distL="114300" distR="114300">
            <wp:extent cx="5266690" cy="2240915"/>
            <wp:effectExtent l="0" t="0" r="10160" b="698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018F">
      <w:pPr>
        <w:tabs>
          <w:tab w:val="left" w:pos="244"/>
        </w:tabs>
        <w:spacing w:line="360" w:lineRule="auto"/>
        <w:ind w:left="142"/>
        <w:jc w:val="left"/>
      </w:pPr>
      <w:r>
        <w:rPr>
          <w:rFonts w:hint="eastAsia"/>
        </w:rPr>
        <w:t>5、登陆后点击“交易乙方”登录进入系统</w:t>
      </w:r>
    </w:p>
    <w:p w14:paraId="0C7D914F">
      <w:pPr>
        <w:spacing w:line="360" w:lineRule="auto"/>
        <w:ind w:left="210"/>
        <w:jc w:val="left"/>
      </w:pPr>
      <w:r>
        <w:drawing>
          <wp:inline distT="0" distB="0" distL="114300" distR="114300">
            <wp:extent cx="5269230" cy="2428240"/>
            <wp:effectExtent l="0" t="0" r="762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4CAE">
      <w:pPr>
        <w:spacing w:line="360" w:lineRule="auto"/>
        <w:ind w:left="210"/>
        <w:jc w:val="left"/>
      </w:pPr>
    </w:p>
    <w:p w14:paraId="4C5685E7">
      <w:pPr>
        <w:spacing w:line="360" w:lineRule="auto"/>
        <w:ind w:left="210"/>
        <w:jc w:val="left"/>
      </w:pPr>
    </w:p>
    <w:p w14:paraId="2E5BCED4">
      <w:pPr>
        <w:spacing w:line="360" w:lineRule="auto"/>
        <w:ind w:left="210"/>
        <w:jc w:val="left"/>
      </w:pPr>
    </w:p>
    <w:p w14:paraId="131A61AD">
      <w:pPr>
        <w:pStyle w:val="2"/>
        <w:numPr>
          <w:ilvl w:val="0"/>
          <w:numId w:val="16"/>
        </w:numPr>
        <w:spacing w:line="360" w:lineRule="auto"/>
      </w:pPr>
      <w:bookmarkStart w:id="6" w:name="_Toc30965_WPSOffice_Level1"/>
      <w:r>
        <w:rPr>
          <w:rFonts w:hint="eastAsia"/>
        </w:rPr>
        <w:t>报名</w:t>
      </w:r>
      <w:bookmarkEnd w:id="6"/>
    </w:p>
    <w:p w14:paraId="7621E856">
      <w:pPr>
        <w:spacing w:line="360" w:lineRule="auto"/>
      </w:pPr>
      <w:r>
        <w:rPr>
          <w:rFonts w:hint="eastAsia"/>
        </w:rPr>
        <w:t xml:space="preserve">    1、选择状态“公告中”-&gt;“产权”。</w:t>
      </w:r>
    </w:p>
    <w:p w14:paraId="0DDB17D1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680C">
      <w:pPr>
        <w:spacing w:line="360" w:lineRule="auto"/>
      </w:pPr>
    </w:p>
    <w:p w14:paraId="4DFD53E6">
      <w:pPr>
        <w:spacing w:line="360" w:lineRule="auto"/>
      </w:pPr>
      <w:r>
        <w:rPr>
          <w:rFonts w:hint="eastAsia"/>
        </w:rPr>
        <w:t xml:space="preserve">   </w:t>
      </w:r>
    </w:p>
    <w:p w14:paraId="0A887999">
      <w:pPr>
        <w:spacing w:line="360" w:lineRule="auto"/>
      </w:pPr>
      <w:r>
        <w:rPr>
          <w:rFonts w:hint="eastAsia"/>
        </w:rPr>
        <w:t xml:space="preserve">    2、选择“我要报名”按钮。</w:t>
      </w:r>
    </w:p>
    <w:p w14:paraId="30AD8A4C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436E">
      <w:pPr>
        <w:spacing w:line="360" w:lineRule="auto"/>
      </w:pPr>
      <w:r>
        <w:rPr>
          <w:rFonts w:hint="eastAsia"/>
        </w:rPr>
        <w:t xml:space="preserve">    3、阅读报名规则，并勾选以及点击“同意”按钮。</w:t>
      </w:r>
    </w:p>
    <w:p w14:paraId="54EA80D1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B20F">
      <w:pPr>
        <w:spacing w:line="360" w:lineRule="auto"/>
      </w:pPr>
    </w:p>
    <w:p w14:paraId="5627C503">
      <w:pPr>
        <w:spacing w:line="360" w:lineRule="auto"/>
      </w:pPr>
      <w:r>
        <w:rPr>
          <w:rFonts w:hint="eastAsia"/>
        </w:rPr>
        <w:t xml:space="preserve">    4、申请人信息核实无误，点击下一步。</w:t>
      </w:r>
    </w:p>
    <w:p w14:paraId="4EBDDC94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0775">
      <w:pPr>
        <w:spacing w:line="360" w:lineRule="auto"/>
        <w:ind w:firstLine="420"/>
      </w:pPr>
      <w:r>
        <w:rPr>
          <w:rFonts w:hint="eastAsia"/>
        </w:rPr>
        <w:t>5、点击“电子件管理”上传报名所需文件。</w:t>
      </w:r>
      <w:r>
        <w:rPr>
          <w:rFonts w:hint="eastAsia" w:ascii="微软雅黑" w:hAnsi="微软雅黑" w:eastAsia="微软雅黑"/>
          <w:color w:val="FF0000"/>
          <w:sz w:val="20"/>
          <w:szCs w:val="20"/>
          <w:shd w:val="clear" w:color="auto" w:fill="ADDFFE"/>
        </w:rPr>
        <w:t>(必传)为必须上传文件</w:t>
      </w:r>
    </w:p>
    <w:p w14:paraId="4F5F10B5">
      <w:pPr>
        <w:spacing w:line="360" w:lineRule="auto"/>
        <w:ind w:firstLine="420"/>
      </w:pPr>
      <w:r>
        <w:drawing>
          <wp:inline distT="0" distB="0" distL="0" distR="0">
            <wp:extent cx="5274310" cy="257365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DD9A">
      <w:pPr>
        <w:spacing w:line="360" w:lineRule="auto"/>
        <w:ind w:firstLine="420"/>
      </w:pPr>
      <w:r>
        <w:rPr>
          <w:rFonts w:hint="eastAsia"/>
        </w:rPr>
        <w:t>6、上传完毕报名所需文件后，点击“申请”后，提示报名成功。如多次点击会提示“您的申请信息已经提交，正在审核中</w:t>
      </w:r>
      <w:r>
        <w:t>…</w:t>
      </w:r>
      <w:r>
        <w:rPr>
          <w:rFonts w:hint="eastAsia"/>
        </w:rPr>
        <w:t>”</w:t>
      </w:r>
      <w:r>
        <w:t xml:space="preserve"> </w:t>
      </w:r>
    </w:p>
    <w:p w14:paraId="5B121B5C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2A4A">
      <w:pPr>
        <w:spacing w:line="360" w:lineRule="auto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注意：报名时如果单位有优先权交易，可以进行选择；</w:t>
      </w:r>
    </w:p>
    <w:p w14:paraId="0F6D3A68"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282190"/>
            <wp:effectExtent l="0" t="0" r="2540" b="3810"/>
            <wp:docPr id="1028048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4803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7E06">
      <w:pPr>
        <w:spacing w:line="360" w:lineRule="auto"/>
      </w:pPr>
      <w:r>
        <w:t>此时需等待甲方或交易中心审批通过</w:t>
      </w:r>
      <w:r>
        <w:rPr>
          <w:rFonts w:hint="eastAsia"/>
        </w:rPr>
        <w:t>。</w:t>
      </w:r>
    </w:p>
    <w:p w14:paraId="6DDF91B4">
      <w:pPr>
        <w:spacing w:line="360" w:lineRule="auto"/>
      </w:pPr>
    </w:p>
    <w:p w14:paraId="34E5AB50">
      <w:pPr>
        <w:spacing w:line="360" w:lineRule="auto"/>
      </w:pPr>
      <w:r>
        <w:rPr>
          <w:rFonts w:hint="eastAsia"/>
        </w:rPr>
        <w:t>6、点击“查询”，弹跳提示“您的申请信息已经审核通过！请点击资格确认”。</w:t>
      </w:r>
      <w:r>
        <w:drawing>
          <wp:inline distT="0" distB="0" distL="0" distR="0">
            <wp:extent cx="5274310" cy="2573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FEE4">
      <w:pPr>
        <w:spacing w:line="360" w:lineRule="auto"/>
      </w:pPr>
      <w:r>
        <w:rPr>
          <w:rFonts w:hint="eastAsia"/>
        </w:rPr>
        <w:t>申请信息通过后，点击“资格确认”即可查看“业务受理通知书”</w:t>
      </w:r>
    </w:p>
    <w:p w14:paraId="50E46112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CD1F">
      <w:pPr>
        <w:spacing w:line="360" w:lineRule="auto"/>
      </w:pPr>
      <w:r>
        <w:rPr>
          <w:rFonts w:hint="eastAsia"/>
        </w:rPr>
        <w:t>7、点击“下一步”会弹跳至“保证金子账号查看页面”。</w:t>
      </w:r>
    </w:p>
    <w:p w14:paraId="3D061972">
      <w:pPr>
        <w:spacing w:line="360" w:lineRule="auto"/>
      </w:pPr>
      <w:r>
        <w:drawing>
          <wp:inline distT="0" distB="0" distL="0" distR="0">
            <wp:extent cx="5274310" cy="1362710"/>
            <wp:effectExtent l="0" t="0" r="2540" b="8890"/>
            <wp:docPr id="957273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73683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F592">
      <w:pPr>
        <w:spacing w:line="360" w:lineRule="auto"/>
      </w:pPr>
    </w:p>
    <w:p w14:paraId="67897485">
      <w:pPr>
        <w:spacing w:line="360" w:lineRule="auto"/>
      </w:pPr>
      <w:r>
        <w:rPr>
          <w:rFonts w:hint="eastAsia"/>
        </w:rPr>
        <w:t>可看到选择缴纳保证金银行的相关信息；包含开户行、保证金账号、保证金金额、保证金缴纳截止时间；</w:t>
      </w:r>
    </w:p>
    <w:p w14:paraId="1F480855">
      <w:pPr>
        <w:numPr>
          <w:ilvl w:val="0"/>
          <w:numId w:val="19"/>
        </w:numPr>
        <w:spacing w:line="360" w:lineRule="auto"/>
      </w:pPr>
      <w:r>
        <w:rPr>
          <w:rFonts w:hint="eastAsia"/>
        </w:rPr>
        <w:t>缴纳完成后，在页面下方点击“保证金查询”按钮，进入保证金查询页面；</w:t>
      </w:r>
    </w:p>
    <w:p w14:paraId="29745B94">
      <w:pPr>
        <w:spacing w:line="360" w:lineRule="auto"/>
      </w:pPr>
    </w:p>
    <w:p w14:paraId="6FEA072B">
      <w:pPr>
        <w:spacing w:line="360" w:lineRule="auto"/>
      </w:pPr>
      <w:r>
        <w:drawing>
          <wp:inline distT="0" distB="0" distL="114300" distR="114300">
            <wp:extent cx="5264150" cy="2270125"/>
            <wp:effectExtent l="0" t="0" r="1270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E4A0">
      <w:pPr>
        <w:spacing w:line="360" w:lineRule="auto"/>
      </w:pPr>
      <w:r>
        <w:drawing>
          <wp:inline distT="0" distB="0" distL="114300" distR="114300">
            <wp:extent cx="5273675" cy="1971675"/>
            <wp:effectExtent l="0" t="0" r="317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8619">
      <w:pPr>
        <w:spacing w:line="360" w:lineRule="auto"/>
      </w:pPr>
    </w:p>
    <w:p w14:paraId="25C13ADC">
      <w:pPr>
        <w:spacing w:line="360" w:lineRule="auto"/>
      </w:pPr>
      <w:r>
        <w:rPr>
          <w:rFonts w:hint="eastAsia"/>
        </w:rPr>
        <w:t>点击【查询】按钮，系统会查询保证金是否缴纳成功；（基本户缴纳）</w:t>
      </w:r>
    </w:p>
    <w:p w14:paraId="00FBE09E">
      <w:pPr>
        <w:spacing w:line="360" w:lineRule="auto"/>
      </w:pPr>
      <w:r>
        <w:rPr>
          <w:rFonts w:hint="eastAsia"/>
        </w:rPr>
        <w:t>如果成功，则会出现保证金缴纳记录；</w:t>
      </w:r>
    </w:p>
    <w:p w14:paraId="59E4C6F1">
      <w:pPr>
        <w:spacing w:line="360" w:lineRule="auto"/>
      </w:pPr>
      <w:r>
        <w:drawing>
          <wp:inline distT="0" distB="0" distL="114300" distR="114300">
            <wp:extent cx="5264150" cy="1800225"/>
            <wp:effectExtent l="0" t="0" r="1270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0F893">
      <w:pPr>
        <w:spacing w:line="360" w:lineRule="auto"/>
      </w:pPr>
    </w:p>
    <w:p w14:paraId="783CE95A">
      <w:pPr>
        <w:numPr>
          <w:ilvl w:val="0"/>
          <w:numId w:val="19"/>
        </w:numPr>
        <w:spacing w:line="360" w:lineRule="auto"/>
      </w:pPr>
      <w:r>
        <w:rPr>
          <w:rFonts w:hint="eastAsia"/>
        </w:rPr>
        <w:t>点击“项目流程”进入，即可进入选择打印。如下图：</w:t>
      </w:r>
    </w:p>
    <w:p w14:paraId="53D12C9D">
      <w:pPr>
        <w:spacing w:line="360" w:lineRule="auto"/>
        <w:ind w:firstLine="420"/>
      </w:pPr>
      <w:r>
        <w:drawing>
          <wp:inline distT="0" distB="0" distL="0" distR="0">
            <wp:extent cx="5274310" cy="257365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53E3">
      <w:pPr>
        <w:spacing w:line="360" w:lineRule="auto"/>
        <w:ind w:firstLine="420"/>
      </w:pPr>
      <w:r>
        <w:drawing>
          <wp:inline distT="0" distB="0" distL="0" distR="0">
            <wp:extent cx="5274310" cy="257365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73B8">
      <w:pPr>
        <w:pStyle w:val="2"/>
        <w:numPr>
          <w:ilvl w:val="0"/>
          <w:numId w:val="16"/>
        </w:numPr>
        <w:spacing w:line="360" w:lineRule="auto"/>
      </w:pPr>
      <w:bookmarkStart w:id="7" w:name="_Toc1186_WPSOffice_Level1"/>
      <w:r>
        <w:rPr>
          <w:rFonts w:hint="eastAsia"/>
        </w:rPr>
        <w:t>报价操作</w:t>
      </w:r>
      <w:bookmarkEnd w:id="7"/>
    </w:p>
    <w:p w14:paraId="79952D29">
      <w:pPr>
        <w:spacing w:line="360" w:lineRule="auto"/>
        <w:jc w:val="left"/>
      </w:pPr>
      <w:r>
        <w:rPr>
          <w:rFonts w:hint="eastAsia"/>
        </w:rPr>
        <w:t>1、我的项目—&gt;项目详情查看当前报名项目状态</w:t>
      </w:r>
      <w:r>
        <w:drawing>
          <wp:inline distT="0" distB="0" distL="114300" distR="114300">
            <wp:extent cx="5271770" cy="2092325"/>
            <wp:effectExtent l="0" t="0" r="5080" b="317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7D7F">
      <w:pPr>
        <w:spacing w:line="360" w:lineRule="auto"/>
      </w:pPr>
      <w:r>
        <w:drawing>
          <wp:inline distT="0" distB="0" distL="114300" distR="114300">
            <wp:extent cx="5267325" cy="2339340"/>
            <wp:effectExtent l="0" t="0" r="9525" b="3810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557DC">
      <w:pPr>
        <w:spacing w:line="360" w:lineRule="auto"/>
      </w:pPr>
      <w:r>
        <w:rPr>
          <w:rFonts w:hint="eastAsia"/>
        </w:rPr>
        <w:t>2.点击“我的项目—我要报价”进入报价页面</w:t>
      </w:r>
    </w:p>
    <w:p w14:paraId="74C89452">
      <w:pPr>
        <w:spacing w:line="360" w:lineRule="auto"/>
      </w:pPr>
      <w:r>
        <w:drawing>
          <wp:inline distT="0" distB="0" distL="114300" distR="114300">
            <wp:extent cx="5266690" cy="2512695"/>
            <wp:effectExtent l="0" t="0" r="10160" b="1905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024D">
      <w:pPr>
        <w:spacing w:line="360" w:lineRule="auto"/>
      </w:pPr>
      <w:r>
        <w:rPr>
          <w:rFonts w:hint="eastAsia"/>
        </w:rPr>
        <w:t>3.报价页面勾选“我已看过，并同意《电子竞价风险告知及接受确认书》”</w:t>
      </w:r>
    </w:p>
    <w:p w14:paraId="65382F31">
      <w:pPr>
        <w:spacing w:line="360" w:lineRule="auto"/>
      </w:pPr>
      <w:r>
        <w:drawing>
          <wp:inline distT="0" distB="0" distL="114300" distR="114300">
            <wp:extent cx="5271135" cy="2449830"/>
            <wp:effectExtent l="0" t="0" r="5715" b="762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7683B">
      <w:pPr>
        <w:spacing w:line="360" w:lineRule="auto"/>
      </w:pPr>
      <w:r>
        <w:rPr>
          <w:rFonts w:hint="eastAsia"/>
        </w:rPr>
        <w:t>4.在竞价页面选择报价倍数点击“提交报价”，弹出报价后不可更改点击确定按钮，提交成功，其中报价倍数为“增价幅度”的倍数，“快速报价”是直接以一倍的价格进行快速报价；</w:t>
      </w:r>
    </w:p>
    <w:p w14:paraId="7AE67BD1">
      <w:pPr>
        <w:spacing w:line="360" w:lineRule="auto"/>
      </w:pPr>
      <w:r>
        <w:drawing>
          <wp:inline distT="0" distB="0" distL="114300" distR="114300">
            <wp:extent cx="5266690" cy="2693670"/>
            <wp:effectExtent l="0" t="0" r="10160" b="1143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FFB4">
      <w:pPr>
        <w:spacing w:line="360" w:lineRule="auto"/>
      </w:pPr>
    </w:p>
    <w:p w14:paraId="7AE6831D">
      <w:pPr>
        <w:spacing w:line="360" w:lineRule="auto"/>
      </w:pPr>
      <w:r>
        <w:rPr>
          <w:rFonts w:hint="eastAsia"/>
        </w:rPr>
        <w:t>5.点击左上角如图所示图标，可查看当前产权竞价记录及信息（快速报价：以1倍的价格提交报价；提交报价：可自行设置选择倍数进行报价），从报价记录可查看当前宗地所有的报价记录；</w:t>
      </w:r>
    </w:p>
    <w:p w14:paraId="7840F0EF">
      <w:pPr>
        <w:spacing w:line="360" w:lineRule="auto"/>
      </w:pPr>
      <w:r>
        <w:drawing>
          <wp:inline distT="0" distB="0" distL="114300" distR="114300">
            <wp:extent cx="5269865" cy="3502025"/>
            <wp:effectExtent l="0" t="0" r="6985" b="3175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F556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注：若竞买人在竞价结束前30秒提交了报价，则会询问是否进入延时报价，若结束前30秒无人报价，则报价结束，价高者竞得此标的。</w:t>
      </w:r>
    </w:p>
    <w:p w14:paraId="4DAD42A7">
      <w:pPr>
        <w:spacing w:line="360" w:lineRule="auto"/>
      </w:pPr>
      <w:r>
        <w:rPr>
          <w:rFonts w:hint="eastAsia"/>
          <w:color w:val="FF0000"/>
        </w:rPr>
        <w:t>另外，具有优先权交易的竞价人可以进行同等价格的申报，前提是比上一个竞价人的优先权交易等级高；</w:t>
      </w:r>
    </w:p>
    <w:p w14:paraId="253BCF77">
      <w:pPr>
        <w:spacing w:line="360" w:lineRule="auto"/>
      </w:pPr>
      <w:r>
        <w:rPr>
          <w:rFonts w:hint="eastAsia"/>
        </w:rPr>
        <w:t>6.进入延时竞价报价同操作步骤4和5操作一致；</w:t>
      </w:r>
    </w:p>
    <w:p w14:paraId="0292DF60">
      <w:pPr>
        <w:spacing w:line="360" w:lineRule="auto"/>
      </w:pPr>
      <w:r>
        <w:drawing>
          <wp:inline distT="0" distB="0" distL="114300" distR="114300">
            <wp:extent cx="5273675" cy="2863850"/>
            <wp:effectExtent l="0" t="0" r="3175" b="12700"/>
            <wp:docPr id="32" name="图片 28" descr="c00870409b3745426fa948584496d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c00870409b3745426fa948584496dc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22DE">
      <w:pPr>
        <w:spacing w:line="360" w:lineRule="auto"/>
      </w:pPr>
      <w:r>
        <w:rPr>
          <w:rFonts w:hint="eastAsia"/>
        </w:rPr>
        <w:t>7.延时竞价结束后，页面自动弹出本次竞价结果通知，未进入限时竞价的竞买人可以在“我的项目”-“产权”-“我要报价”-进入竞价页面，等竞价结束后，竞买人刷新页面，系统弹出竞价结果</w:t>
      </w:r>
    </w:p>
    <w:p w14:paraId="4F9672F2">
      <w:pPr>
        <w:spacing w:line="360" w:lineRule="auto"/>
      </w:pPr>
      <w:r>
        <w:drawing>
          <wp:inline distT="0" distB="0" distL="114300" distR="114300">
            <wp:extent cx="5266055" cy="2175510"/>
            <wp:effectExtent l="0" t="0" r="10795" b="1524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85A7">
      <w:pPr>
        <w:spacing w:line="360" w:lineRule="auto"/>
        <w:jc w:val="left"/>
      </w:pPr>
      <w:r>
        <w:drawing>
          <wp:inline distT="0" distB="0" distL="114300" distR="114300">
            <wp:extent cx="5266690" cy="2512695"/>
            <wp:effectExtent l="0" t="0" r="10160" b="1905"/>
            <wp:docPr id="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4C68">
      <w:pPr>
        <w:spacing w:line="360" w:lineRule="auto"/>
        <w:jc w:val="left"/>
      </w:pPr>
      <w:r>
        <w:rPr>
          <w:rFonts w:hint="eastAsia"/>
        </w:rPr>
        <w:t>10.竞价结束后还可在“我的项目”-“产权”-“项目流程”-“报价历史记录”查看竞价记录</w:t>
      </w:r>
      <w:r>
        <w:drawing>
          <wp:inline distT="0" distB="0" distL="114300" distR="114300">
            <wp:extent cx="5267960" cy="1724660"/>
            <wp:effectExtent l="0" t="0" r="8890" b="889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80B78">
      <w:pPr>
        <w:spacing w:line="360" w:lineRule="auto"/>
      </w:pPr>
    </w:p>
    <w:p w14:paraId="34CCE4B1">
      <w:pPr>
        <w:pStyle w:val="2"/>
        <w:numPr>
          <w:ilvl w:val="0"/>
          <w:numId w:val="16"/>
        </w:numPr>
        <w:spacing w:line="360" w:lineRule="auto"/>
      </w:pPr>
      <w:bookmarkStart w:id="8" w:name="_Toc11616_WPSOffice_Level1"/>
      <w:r>
        <w:rPr>
          <w:rFonts w:hint="eastAsia"/>
        </w:rPr>
        <w:t>竞买结束操作</w:t>
      </w:r>
      <w:bookmarkEnd w:id="8"/>
    </w:p>
    <w:p w14:paraId="336E3BEF">
      <w:pPr>
        <w:spacing w:line="360" w:lineRule="auto"/>
      </w:pPr>
      <w:r>
        <w:rPr>
          <w:rFonts w:hint="eastAsia"/>
        </w:rPr>
        <w:t xml:space="preserve">   1、选择“我的项目”-&gt;“产权”-&gt;“项目流程”。</w:t>
      </w:r>
    </w:p>
    <w:p w14:paraId="26FE0D4D"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15C4">
      <w:pPr>
        <w:spacing w:line="360" w:lineRule="auto"/>
      </w:pPr>
      <w:r>
        <w:rPr>
          <w:rFonts w:hint="eastAsia"/>
        </w:rPr>
        <w:t xml:space="preserve">   2、如竞得此标的，页面会有“结果通知书”按钮，并可以点击查看。</w:t>
      </w:r>
    </w:p>
    <w:p w14:paraId="70BCF563">
      <w:pPr>
        <w:spacing w:line="360" w:lineRule="auto"/>
      </w:pPr>
    </w:p>
    <w:p w14:paraId="1C1EDA77">
      <w:pPr>
        <w:spacing w:line="360" w:lineRule="auto"/>
      </w:pPr>
    </w:p>
    <w:p w14:paraId="66AFD8AD">
      <w:pPr>
        <w:spacing w:line="360" w:lineRule="auto"/>
      </w:pPr>
    </w:p>
    <w:p w14:paraId="03184FB3"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9164AD"/>
    <w:multiLevelType w:val="singleLevel"/>
    <w:tmpl w:val="9D9164AD"/>
    <w:lvl w:ilvl="0" w:tentative="0">
      <w:start w:val="1"/>
      <w:numFmt w:val="bullet"/>
      <w:pStyle w:val="23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4AF589D"/>
    <w:multiLevelType w:val="singleLevel"/>
    <w:tmpl w:val="A4AF589D"/>
    <w:lvl w:ilvl="0" w:tentative="0">
      <w:start w:val="1"/>
      <w:numFmt w:val="chineseCounting"/>
      <w:pStyle w:val="16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AD2F0F9D"/>
    <w:multiLevelType w:val="singleLevel"/>
    <w:tmpl w:val="AD2F0F9D"/>
    <w:lvl w:ilvl="0" w:tentative="0">
      <w:start w:val="1"/>
      <w:numFmt w:val="none"/>
      <w:pStyle w:val="31"/>
      <w:lvlText w:val="1.1.1.1.1.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3">
    <w:nsid w:val="C6616639"/>
    <w:multiLevelType w:val="multilevel"/>
    <w:tmpl w:val="C6616639"/>
    <w:lvl w:ilvl="0" w:tentative="0">
      <w:start w:val="1"/>
      <w:numFmt w:val="chineseCountingThousand"/>
      <w:pStyle w:val="29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CB1B2E2F"/>
    <w:multiLevelType w:val="singleLevel"/>
    <w:tmpl w:val="CB1B2E2F"/>
    <w:lvl w:ilvl="0" w:tentative="0">
      <w:start w:val="1"/>
      <w:numFmt w:val="decimal"/>
      <w:pStyle w:val="19"/>
      <w:suff w:val="nothing"/>
      <w:lvlText w:val="%11.1.1.1"/>
      <w:lvlJc w:val="left"/>
      <w:pPr>
        <w:ind w:left="0" w:firstLine="397"/>
      </w:pPr>
      <w:rPr>
        <w:rFonts w:hint="default"/>
      </w:rPr>
    </w:lvl>
  </w:abstractNum>
  <w:abstractNum w:abstractNumId="5">
    <w:nsid w:val="D07ACBFD"/>
    <w:multiLevelType w:val="singleLevel"/>
    <w:tmpl w:val="D07ACBFD"/>
    <w:lvl w:ilvl="0" w:tentative="0">
      <w:start w:val="1"/>
      <w:numFmt w:val="bullet"/>
      <w:pStyle w:val="35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D62871D6"/>
    <w:multiLevelType w:val="singleLevel"/>
    <w:tmpl w:val="D62871D6"/>
    <w:lvl w:ilvl="0" w:tentative="0">
      <w:start w:val="1"/>
      <w:numFmt w:val="decimal"/>
      <w:pStyle w:val="17"/>
      <w:lvlText w:val="%1."/>
      <w:lvlJc w:val="left"/>
      <w:pPr>
        <w:tabs>
          <w:tab w:val="left" w:pos="312"/>
        </w:tabs>
      </w:pPr>
    </w:lvl>
  </w:abstractNum>
  <w:abstractNum w:abstractNumId="7">
    <w:nsid w:val="E4AE8D65"/>
    <w:multiLevelType w:val="singleLevel"/>
    <w:tmpl w:val="E4AE8D65"/>
    <w:lvl w:ilvl="0" w:tentative="0">
      <w:start w:val="1"/>
      <w:numFmt w:val="none"/>
      <w:pStyle w:val="20"/>
      <w:lvlText w:val="1.1.1.1.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8">
    <w:nsid w:val="F2837780"/>
    <w:multiLevelType w:val="singleLevel"/>
    <w:tmpl w:val="F2837780"/>
    <w:lvl w:ilvl="0" w:tentative="0">
      <w:start w:val="1"/>
      <w:numFmt w:val="none"/>
      <w:pStyle w:val="21"/>
      <w:lvlText w:val="1.1.1.1.1.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9">
    <w:nsid w:val="0690F926"/>
    <w:multiLevelType w:val="singleLevel"/>
    <w:tmpl w:val="0690F926"/>
    <w:lvl w:ilvl="0" w:tentative="0">
      <w:start w:val="1"/>
      <w:numFmt w:val="none"/>
      <w:pStyle w:val="18"/>
      <w:lvlText w:val="1.1.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10">
    <w:nsid w:val="10DD6E06"/>
    <w:multiLevelType w:val="multilevel"/>
    <w:tmpl w:val="10DD6E06"/>
    <w:lvl w:ilvl="0" w:tentative="0">
      <w:start w:val="1"/>
      <w:numFmt w:val="chineseCountingThousand"/>
      <w:pStyle w:val="30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>
    <w:nsid w:val="200A7B24"/>
    <w:multiLevelType w:val="multilevel"/>
    <w:tmpl w:val="200A7B24"/>
    <w:lvl w:ilvl="0" w:tentative="0">
      <w:start w:val="1"/>
      <w:numFmt w:val="chineseCountingThousand"/>
      <w:pStyle w:val="28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2">
    <w:nsid w:val="248D0B27"/>
    <w:multiLevelType w:val="singleLevel"/>
    <w:tmpl w:val="248D0B27"/>
    <w:lvl w:ilvl="0" w:tentative="0">
      <w:start w:val="1"/>
      <w:numFmt w:val="decimal"/>
      <w:lvlText w:val="%1."/>
      <w:lvlJc w:val="left"/>
      <w:pPr>
        <w:tabs>
          <w:tab w:val="left" w:pos="244"/>
        </w:tabs>
        <w:ind w:left="142" w:firstLine="0"/>
      </w:pPr>
    </w:lvl>
  </w:abstractNum>
  <w:abstractNum w:abstractNumId="13">
    <w:nsid w:val="26EBA7A5"/>
    <w:multiLevelType w:val="singleLevel"/>
    <w:tmpl w:val="26EBA7A5"/>
    <w:lvl w:ilvl="0" w:tentative="0">
      <w:start w:val="7"/>
      <w:numFmt w:val="decimal"/>
      <w:suff w:val="nothing"/>
      <w:lvlText w:val="%1、"/>
      <w:lvlJc w:val="left"/>
    </w:lvl>
  </w:abstractNum>
  <w:abstractNum w:abstractNumId="14">
    <w:nsid w:val="2721F9BC"/>
    <w:multiLevelType w:val="multilevel"/>
    <w:tmpl w:val="2721F9BC"/>
    <w:lvl w:ilvl="0" w:tentative="0">
      <w:start w:val="1"/>
      <w:numFmt w:val="chineseCountingThousand"/>
      <w:pStyle w:val="26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5">
    <w:nsid w:val="312A8C7E"/>
    <w:multiLevelType w:val="singleLevel"/>
    <w:tmpl w:val="312A8C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6">
    <w:nsid w:val="3698340B"/>
    <w:multiLevelType w:val="singleLevel"/>
    <w:tmpl w:val="3698340B"/>
    <w:lvl w:ilvl="0" w:tentative="0">
      <w:start w:val="1"/>
      <w:numFmt w:val="bullet"/>
      <w:pStyle w:val="24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46CF1560"/>
    <w:multiLevelType w:val="multilevel"/>
    <w:tmpl w:val="46CF1560"/>
    <w:lvl w:ilvl="0" w:tentative="0">
      <w:start w:val="1"/>
      <w:numFmt w:val="chineseCountingThousand"/>
      <w:pStyle w:val="27"/>
      <w:lvlText w:val="%1、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8">
    <w:nsid w:val="61CA6080"/>
    <w:multiLevelType w:val="multilevel"/>
    <w:tmpl w:val="61CA6080"/>
    <w:lvl w:ilvl="0" w:tentative="0">
      <w:start w:val="3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0"/>
  </w:num>
  <w:num w:numId="9">
    <w:abstractNumId w:val="16"/>
  </w:num>
  <w:num w:numId="10">
    <w:abstractNumId w:val="14"/>
  </w:num>
  <w:num w:numId="11">
    <w:abstractNumId w:val="17"/>
  </w:num>
  <w:num w:numId="12">
    <w:abstractNumId w:val="11"/>
  </w:num>
  <w:num w:numId="13">
    <w:abstractNumId w:val="3"/>
  </w:num>
  <w:num w:numId="14">
    <w:abstractNumId w:val="2"/>
  </w:num>
  <w:num w:numId="15">
    <w:abstractNumId w:val="5"/>
  </w:num>
  <w:num w:numId="16">
    <w:abstractNumId w:val="15"/>
  </w:num>
  <w:num w:numId="17">
    <w:abstractNumId w:val="12"/>
  </w:num>
  <w:num w:numId="18">
    <w:abstractNumId w:val="1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9BA"/>
    <w:rsid w:val="000A61A2"/>
    <w:rsid w:val="00177CCF"/>
    <w:rsid w:val="00413287"/>
    <w:rsid w:val="00456714"/>
    <w:rsid w:val="005F58E7"/>
    <w:rsid w:val="00654CA9"/>
    <w:rsid w:val="00702C50"/>
    <w:rsid w:val="00757827"/>
    <w:rsid w:val="00774B4B"/>
    <w:rsid w:val="00795809"/>
    <w:rsid w:val="00884201"/>
    <w:rsid w:val="009B19BA"/>
    <w:rsid w:val="00D2658F"/>
    <w:rsid w:val="00F60B52"/>
    <w:rsid w:val="00FC3CB8"/>
    <w:rsid w:val="03F947D3"/>
    <w:rsid w:val="09161FC5"/>
    <w:rsid w:val="0BC216C3"/>
    <w:rsid w:val="0DAB11DE"/>
    <w:rsid w:val="0E8C2155"/>
    <w:rsid w:val="151B4D8A"/>
    <w:rsid w:val="15B51121"/>
    <w:rsid w:val="17BD0792"/>
    <w:rsid w:val="18A6731E"/>
    <w:rsid w:val="196D7FCB"/>
    <w:rsid w:val="19854DA4"/>
    <w:rsid w:val="19A22FFA"/>
    <w:rsid w:val="1B6F15CF"/>
    <w:rsid w:val="21F74B1D"/>
    <w:rsid w:val="274556FA"/>
    <w:rsid w:val="27CA6D5E"/>
    <w:rsid w:val="28755298"/>
    <w:rsid w:val="291B7D5D"/>
    <w:rsid w:val="2CFD037E"/>
    <w:rsid w:val="2E0B23BE"/>
    <w:rsid w:val="2FE954B7"/>
    <w:rsid w:val="316C7CB7"/>
    <w:rsid w:val="337E44FE"/>
    <w:rsid w:val="33863C34"/>
    <w:rsid w:val="349E48F2"/>
    <w:rsid w:val="35814EE4"/>
    <w:rsid w:val="35D71826"/>
    <w:rsid w:val="36E91EE5"/>
    <w:rsid w:val="3EBB6335"/>
    <w:rsid w:val="3FF93540"/>
    <w:rsid w:val="43BF7CD5"/>
    <w:rsid w:val="47F357FB"/>
    <w:rsid w:val="492350E7"/>
    <w:rsid w:val="4D8351C2"/>
    <w:rsid w:val="4F967836"/>
    <w:rsid w:val="50674D62"/>
    <w:rsid w:val="50DA2A82"/>
    <w:rsid w:val="51046EB8"/>
    <w:rsid w:val="53F87D81"/>
    <w:rsid w:val="56561CB0"/>
    <w:rsid w:val="583F4E2E"/>
    <w:rsid w:val="58DD4177"/>
    <w:rsid w:val="60C03386"/>
    <w:rsid w:val="62240F05"/>
    <w:rsid w:val="635852F1"/>
    <w:rsid w:val="68A41D3B"/>
    <w:rsid w:val="69906BF1"/>
    <w:rsid w:val="6B107B6A"/>
    <w:rsid w:val="6BBF342D"/>
    <w:rsid w:val="6CF34B1C"/>
    <w:rsid w:val="6DB843A2"/>
    <w:rsid w:val="6E2634F2"/>
    <w:rsid w:val="711E538F"/>
    <w:rsid w:val="73DE6C48"/>
    <w:rsid w:val="79A96FBB"/>
    <w:rsid w:val="7A093F33"/>
    <w:rsid w:val="7C815B5E"/>
    <w:rsid w:val="7E67392A"/>
    <w:rsid w:val="7E681DCC"/>
    <w:rsid w:val="7F56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37"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2">
    <w:name w:val="Hyperlink"/>
    <w:basedOn w:val="11"/>
    <w:unhideWhenUsed/>
    <w:qFormat/>
    <w:uiPriority w:val="99"/>
    <w:rPr>
      <w:color w:val="0000FF"/>
      <w:u w:val="none"/>
    </w:rPr>
  </w:style>
  <w:style w:type="paragraph" w:customStyle="1" w:styleId="13">
    <w:name w:val="规范页眉"/>
    <w:basedOn w:val="8"/>
    <w:qFormat/>
    <w:uiPriority w:val="0"/>
    <w:pPr>
      <w:jc w:val="right"/>
    </w:pPr>
    <w:rPr>
      <w:rFonts w:asciiTheme="minorHAnsi" w:hAnsiTheme="minorHAnsi"/>
      <w:szCs w:val="18"/>
    </w:rPr>
  </w:style>
  <w:style w:type="paragraph" w:customStyle="1" w:styleId="14">
    <w:name w:val="规范-页脚"/>
    <w:basedOn w:val="7"/>
    <w:qFormat/>
    <w:uiPriority w:val="0"/>
    <w:rPr>
      <w:rFonts w:asciiTheme="minorHAnsi" w:hAnsiTheme="minorHAnsi"/>
      <w:szCs w:val="18"/>
    </w:rPr>
  </w:style>
  <w:style w:type="paragraph" w:customStyle="1" w:styleId="15">
    <w:name w:val="规范-正文内容"/>
    <w:basedOn w:val="1"/>
    <w:qFormat/>
    <w:uiPriority w:val="0"/>
    <w:pPr>
      <w:spacing w:line="360" w:lineRule="auto"/>
      <w:ind w:firstLine="420" w:firstLineChars="200"/>
      <w:jc w:val="left"/>
    </w:pPr>
    <w:rPr>
      <w:rFonts w:asciiTheme="minorHAnsi" w:hAnsiTheme="minorHAnsi"/>
      <w:szCs w:val="21"/>
    </w:rPr>
  </w:style>
  <w:style w:type="paragraph" w:customStyle="1" w:styleId="16">
    <w:name w:val="规范-小标题第一级"/>
    <w:basedOn w:val="1"/>
    <w:qFormat/>
    <w:uiPriority w:val="0"/>
    <w:pPr>
      <w:numPr>
        <w:ilvl w:val="0"/>
        <w:numId w:val="2"/>
      </w:numPr>
      <w:spacing w:before="120" w:after="120" w:line="360" w:lineRule="auto"/>
      <w:outlineLvl w:val="0"/>
    </w:pPr>
    <w:rPr>
      <w:rFonts w:asciiTheme="minorHAnsi" w:hAnsiTheme="minorHAnsi"/>
      <w:b/>
      <w:sz w:val="32"/>
    </w:rPr>
  </w:style>
  <w:style w:type="paragraph" w:customStyle="1" w:styleId="17">
    <w:name w:val="规范-小标题第二级"/>
    <w:basedOn w:val="1"/>
    <w:qFormat/>
    <w:uiPriority w:val="0"/>
    <w:pPr>
      <w:numPr>
        <w:ilvl w:val="0"/>
        <w:numId w:val="3"/>
      </w:numPr>
      <w:spacing w:before="120" w:after="120" w:line="360" w:lineRule="auto"/>
      <w:outlineLvl w:val="1"/>
    </w:pPr>
    <w:rPr>
      <w:rFonts w:asciiTheme="minorHAnsi" w:hAnsiTheme="minorHAnsi"/>
      <w:b/>
      <w:sz w:val="30"/>
    </w:rPr>
  </w:style>
  <w:style w:type="paragraph" w:customStyle="1" w:styleId="18">
    <w:name w:val="规范-小标题第三级"/>
    <w:basedOn w:val="1"/>
    <w:qFormat/>
    <w:uiPriority w:val="0"/>
    <w:pPr>
      <w:numPr>
        <w:ilvl w:val="0"/>
        <w:numId w:val="4"/>
      </w:numPr>
      <w:spacing w:before="120" w:after="120" w:line="360" w:lineRule="auto"/>
      <w:outlineLvl w:val="2"/>
    </w:pPr>
    <w:rPr>
      <w:rFonts w:asciiTheme="minorHAnsi" w:hAnsiTheme="minorHAnsi"/>
      <w:b/>
      <w:sz w:val="30"/>
    </w:rPr>
  </w:style>
  <w:style w:type="paragraph" w:customStyle="1" w:styleId="19">
    <w:name w:val="规范-小标题第四级"/>
    <w:basedOn w:val="1"/>
    <w:qFormat/>
    <w:uiPriority w:val="0"/>
    <w:pPr>
      <w:numPr>
        <w:ilvl w:val="0"/>
        <w:numId w:val="5"/>
      </w:numPr>
      <w:spacing w:before="120" w:after="120" w:line="360" w:lineRule="auto"/>
      <w:outlineLvl w:val="3"/>
    </w:pPr>
    <w:rPr>
      <w:rFonts w:asciiTheme="minorHAnsi" w:hAnsiTheme="minorHAnsi" w:eastAsiaTheme="minorEastAsia"/>
      <w:b/>
      <w:sz w:val="24"/>
    </w:rPr>
  </w:style>
  <w:style w:type="paragraph" w:customStyle="1" w:styleId="20">
    <w:name w:val="规范-小标题第五级"/>
    <w:basedOn w:val="1"/>
    <w:qFormat/>
    <w:uiPriority w:val="0"/>
    <w:pPr>
      <w:numPr>
        <w:ilvl w:val="0"/>
        <w:numId w:val="6"/>
      </w:numPr>
      <w:spacing w:before="120" w:after="120" w:line="360" w:lineRule="auto"/>
      <w:outlineLvl w:val="3"/>
    </w:pPr>
    <w:rPr>
      <w:rFonts w:asciiTheme="minorHAnsi" w:hAnsiTheme="minorHAnsi"/>
      <w:b/>
    </w:rPr>
  </w:style>
  <w:style w:type="paragraph" w:customStyle="1" w:styleId="21">
    <w:name w:val="规范-小标题第六级"/>
    <w:basedOn w:val="1"/>
    <w:qFormat/>
    <w:uiPriority w:val="0"/>
    <w:pPr>
      <w:numPr>
        <w:ilvl w:val="0"/>
        <w:numId w:val="7"/>
      </w:numPr>
      <w:spacing w:before="120" w:after="120" w:line="360" w:lineRule="auto"/>
      <w:outlineLvl w:val="3"/>
    </w:pPr>
    <w:rPr>
      <w:rFonts w:asciiTheme="minorHAnsi" w:hAnsiTheme="minorHAnsi"/>
    </w:rPr>
  </w:style>
  <w:style w:type="paragraph" w:customStyle="1" w:styleId="22">
    <w:name w:val="表格标题"/>
    <w:basedOn w:val="1"/>
    <w:qFormat/>
    <w:uiPriority w:val="0"/>
    <w:pPr>
      <w:jc w:val="center"/>
    </w:pPr>
    <w:rPr>
      <w:rFonts w:asciiTheme="minorHAnsi" w:hAnsiTheme="minorHAnsi" w:eastAsiaTheme="minorEastAsia"/>
      <w:b/>
    </w:rPr>
  </w:style>
  <w:style w:type="paragraph" w:customStyle="1" w:styleId="23">
    <w:name w:val="功能点"/>
    <w:basedOn w:val="5"/>
    <w:next w:val="1"/>
    <w:qFormat/>
    <w:uiPriority w:val="0"/>
    <w:pPr>
      <w:numPr>
        <w:ilvl w:val="0"/>
        <w:numId w:val="8"/>
      </w:numPr>
      <w:spacing w:line="360" w:lineRule="auto"/>
      <w:ind w:left="200" w:leftChars="200"/>
      <w:jc w:val="left"/>
      <w:outlineLvl w:val="9"/>
    </w:pPr>
    <w:rPr>
      <w:sz w:val="21"/>
    </w:rPr>
  </w:style>
  <w:style w:type="paragraph" w:customStyle="1" w:styleId="24">
    <w:name w:val="规范-列表"/>
    <w:basedOn w:val="5"/>
    <w:next w:val="1"/>
    <w:qFormat/>
    <w:uiPriority w:val="0"/>
    <w:pPr>
      <w:numPr>
        <w:ilvl w:val="0"/>
        <w:numId w:val="9"/>
      </w:numPr>
      <w:spacing w:line="360" w:lineRule="auto"/>
      <w:ind w:left="840" w:leftChars="200"/>
      <w:jc w:val="left"/>
      <w:outlineLvl w:val="9"/>
    </w:pPr>
    <w:rPr>
      <w:rFonts w:hint="eastAsia" w:eastAsia="宋体"/>
      <w:b w:val="0"/>
      <w:kern w:val="0"/>
      <w:sz w:val="21"/>
    </w:rPr>
  </w:style>
  <w:style w:type="paragraph" w:customStyle="1" w:styleId="25">
    <w:name w:val="正文规范内容"/>
    <w:basedOn w:val="1"/>
    <w:qFormat/>
    <w:uiPriority w:val="0"/>
    <w:pPr>
      <w:spacing w:line="360" w:lineRule="auto"/>
      <w:ind w:firstLine="420" w:firstLineChars="200"/>
      <w:jc w:val="left"/>
    </w:pPr>
    <w:rPr>
      <w:rFonts w:asciiTheme="minorHAnsi" w:hAnsiTheme="minorHAnsi"/>
      <w:szCs w:val="21"/>
    </w:rPr>
  </w:style>
  <w:style w:type="paragraph" w:customStyle="1" w:styleId="26">
    <w:name w:val="小标一级"/>
    <w:basedOn w:val="1"/>
    <w:qFormat/>
    <w:uiPriority w:val="0"/>
    <w:pPr>
      <w:numPr>
        <w:ilvl w:val="0"/>
        <w:numId w:val="10"/>
      </w:numPr>
      <w:spacing w:before="120" w:after="120" w:line="360" w:lineRule="auto"/>
      <w:outlineLvl w:val="0"/>
    </w:pPr>
    <w:rPr>
      <w:rFonts w:asciiTheme="minorHAnsi" w:hAnsiTheme="minorHAnsi"/>
      <w:b/>
      <w:sz w:val="32"/>
    </w:rPr>
  </w:style>
  <w:style w:type="paragraph" w:customStyle="1" w:styleId="27">
    <w:name w:val="小标二级"/>
    <w:basedOn w:val="1"/>
    <w:qFormat/>
    <w:uiPriority w:val="0"/>
    <w:pPr>
      <w:numPr>
        <w:ilvl w:val="0"/>
        <w:numId w:val="11"/>
      </w:numPr>
      <w:tabs>
        <w:tab w:val="left" w:pos="312"/>
      </w:tabs>
      <w:spacing w:before="120" w:after="120" w:line="360" w:lineRule="auto"/>
      <w:outlineLvl w:val="1"/>
    </w:pPr>
    <w:rPr>
      <w:rFonts w:asciiTheme="minorHAnsi" w:hAnsiTheme="minorHAnsi"/>
      <w:b/>
      <w:sz w:val="30"/>
    </w:rPr>
  </w:style>
  <w:style w:type="paragraph" w:customStyle="1" w:styleId="28">
    <w:name w:val="小标三级"/>
    <w:basedOn w:val="1"/>
    <w:qFormat/>
    <w:uiPriority w:val="0"/>
    <w:pPr>
      <w:numPr>
        <w:ilvl w:val="0"/>
        <w:numId w:val="12"/>
      </w:numPr>
      <w:tabs>
        <w:tab w:val="left" w:pos="420"/>
      </w:tabs>
      <w:spacing w:before="120" w:after="120" w:line="360" w:lineRule="auto"/>
      <w:outlineLvl w:val="2"/>
    </w:pPr>
    <w:rPr>
      <w:rFonts w:asciiTheme="minorHAnsi" w:hAnsiTheme="minorHAnsi"/>
      <w:b/>
      <w:sz w:val="30"/>
    </w:rPr>
  </w:style>
  <w:style w:type="paragraph" w:customStyle="1" w:styleId="29">
    <w:name w:val="小标四级"/>
    <w:basedOn w:val="1"/>
    <w:qFormat/>
    <w:uiPriority w:val="0"/>
    <w:pPr>
      <w:numPr>
        <w:ilvl w:val="0"/>
        <w:numId w:val="13"/>
      </w:numPr>
      <w:spacing w:before="120" w:after="120" w:line="360" w:lineRule="auto"/>
      <w:outlineLvl w:val="3"/>
    </w:pPr>
    <w:rPr>
      <w:rFonts w:asciiTheme="minorHAnsi" w:hAnsiTheme="minorHAnsi"/>
      <w:b/>
      <w:sz w:val="24"/>
    </w:rPr>
  </w:style>
  <w:style w:type="paragraph" w:customStyle="1" w:styleId="30">
    <w:name w:val="小标五级"/>
    <w:basedOn w:val="1"/>
    <w:qFormat/>
    <w:uiPriority w:val="0"/>
    <w:pPr>
      <w:numPr>
        <w:ilvl w:val="0"/>
        <w:numId w:val="1"/>
      </w:numPr>
      <w:tabs>
        <w:tab w:val="left" w:pos="420"/>
      </w:tabs>
      <w:spacing w:before="120" w:after="120" w:line="360" w:lineRule="auto"/>
      <w:outlineLvl w:val="3"/>
    </w:pPr>
    <w:rPr>
      <w:rFonts w:asciiTheme="minorHAnsi" w:hAnsiTheme="minorHAnsi"/>
      <w:b/>
    </w:rPr>
  </w:style>
  <w:style w:type="paragraph" w:customStyle="1" w:styleId="31">
    <w:name w:val="小标六级"/>
    <w:basedOn w:val="1"/>
    <w:qFormat/>
    <w:uiPriority w:val="0"/>
    <w:pPr>
      <w:numPr>
        <w:ilvl w:val="0"/>
        <w:numId w:val="14"/>
      </w:numPr>
      <w:spacing w:before="120" w:after="120" w:line="360" w:lineRule="auto"/>
      <w:outlineLvl w:val="3"/>
    </w:pPr>
    <w:rPr>
      <w:rFonts w:asciiTheme="minorHAnsi" w:hAnsiTheme="minorHAnsi"/>
    </w:rPr>
  </w:style>
  <w:style w:type="paragraph" w:customStyle="1" w:styleId="32">
    <w:name w:val="规范标题"/>
    <w:basedOn w:val="9"/>
    <w:uiPriority w:val="0"/>
    <w:pPr>
      <w:spacing w:line="960" w:lineRule="auto"/>
      <w:outlineLvl w:val="9"/>
    </w:pPr>
    <w:rPr>
      <w:rFonts w:ascii="Cambria" w:hAnsi="Cambria" w:eastAsia="黑体"/>
      <w:bCs/>
      <w:sz w:val="52"/>
      <w:szCs w:val="32"/>
    </w:rPr>
  </w:style>
  <w:style w:type="paragraph" w:customStyle="1" w:styleId="33">
    <w:name w:val="规范目录"/>
    <w:basedOn w:val="1"/>
    <w:uiPriority w:val="0"/>
    <w:pPr>
      <w:spacing w:line="360" w:lineRule="auto"/>
      <w:jc w:val="center"/>
    </w:pPr>
    <w:rPr>
      <w:rFonts w:asciiTheme="minorHAnsi" w:hAnsiTheme="minorHAnsi"/>
      <w:b/>
      <w:spacing w:val="200"/>
      <w:sz w:val="32"/>
    </w:rPr>
  </w:style>
  <w:style w:type="paragraph" w:customStyle="1" w:styleId="34">
    <w:name w:val="目录正文规范"/>
    <w:basedOn w:val="1"/>
    <w:qFormat/>
    <w:uiPriority w:val="0"/>
    <w:rPr>
      <w:rFonts w:asciiTheme="minorHAnsi" w:hAnsiTheme="minorHAnsi"/>
    </w:rPr>
  </w:style>
  <w:style w:type="paragraph" w:customStyle="1" w:styleId="35">
    <w:name w:val="列表new"/>
    <w:basedOn w:val="24"/>
    <w:qFormat/>
    <w:uiPriority w:val="0"/>
    <w:pPr>
      <w:numPr>
        <w:numId w:val="15"/>
      </w:numPr>
      <w:ind w:left="0" w:leftChars="0"/>
    </w:p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37">
    <w:name w:val="批注框文本 字符"/>
    <w:basedOn w:val="11"/>
    <w:link w:val="6"/>
    <w:uiPriority w:val="0"/>
    <w:rPr>
      <w:rFonts w:ascii="Calibri" w:hAnsi="Calibri"/>
      <w:kern w:val="2"/>
      <w:sz w:val="18"/>
      <w:szCs w:val="18"/>
    </w:rPr>
  </w:style>
  <w:style w:type="paragraph" w:styleId="3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EB71E-8617-4F69-B45F-B6CABDA0D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1261</Words>
  <Characters>1332</Characters>
  <Lines>12</Lines>
  <Paragraphs>3</Paragraphs>
  <TotalTime>284</TotalTime>
  <ScaleCrop>false</ScaleCrop>
  <LinksUpToDate>false</LinksUpToDate>
  <CharactersWithSpaces>1368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2019-11-06T08:52:00Z</dcterms:created>
  <dc:creator>38027</dc:creator>
  <cp:lastModifiedBy>那什么</cp:lastModifiedBy>
  <dcterms:modified xsi:type="dcterms:W3CDTF">2025-08-08T09:31:08Z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16F9FDFC72A342BBAA3A364F5EC274B0_13</vt:lpwstr>
  </property>
</Properties>
</file>