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460" w:lineRule="exact"/>
        <w:ind w:left="0" w:firstLineChars="0" w:firstLine="0"/>
        <w:jc w:val="center"/>
        <w:textAlignment w:val="auto"/>
        <w:rPr>
          <w:rStyle w:val="17"/>
          <w:rFonts w:ascii="宋体" w:eastAsia="宋体" w:cs="宋体" w:hAnsi="宋体" w:hint="eastAsia"/>
          <w:b/>
          <w:bCs w:val="0"/>
          <w:color w:val="auto"/>
          <w:sz w:val="28"/>
          <w:szCs w:val="28"/>
          <w:highlight w:val="auto"/>
        </w:rPr>
      </w:pPr>
      <w:bookmarkStart w:id="0" w:name="_Toc407182663"/>
      <w:r>
        <w:rPr>
          <w:rStyle w:val="17"/>
          <w:rFonts w:ascii="宋体" w:eastAsia="宋体" w:cs="宋体" w:hAnsi="宋体" w:hint="eastAsia"/>
          <w:b/>
          <w:bCs w:val="0"/>
          <w:color w:val="auto"/>
          <w:sz w:val="28"/>
          <w:szCs w:val="28"/>
          <w:highlight w:val="auto"/>
        </w:rPr>
        <w:t>中国邮政储蓄银行安顺市分行2023-2025年新增律师库入库名单采购项目</w:t>
      </w:r>
    </w:p>
    <w:p>
      <w:pPr>
        <w:keepNext w:val="0"/>
        <w:keepLines w:val="0"/>
        <w:pageBreakBefore w:val="0"/>
        <w:widowControl w:val="0"/>
        <w:kinsoku/>
        <w:wordWrap/>
        <w:overflowPunct/>
        <w:topLinePunct w:val="0"/>
        <w:autoSpaceDE/>
        <w:autoSpaceDN/>
        <w:bidi w:val="0"/>
        <w:adjustRightInd/>
        <w:snapToGrid/>
        <w:spacing w:line="460" w:lineRule="exact"/>
        <w:ind w:left="0" w:firstLineChars="0" w:firstLine="0"/>
        <w:jc w:val="center"/>
        <w:textAlignment w:val="auto"/>
        <w:rPr>
          <w:rStyle w:val="17"/>
          <w:rFonts w:ascii="宋体" w:eastAsia="宋体" w:cs="宋体" w:hAnsi="宋体" w:hint="eastAsia"/>
          <w:b/>
          <w:bCs w:val="0"/>
          <w:color w:val="auto"/>
          <w:sz w:val="28"/>
          <w:szCs w:val="28"/>
          <w:lang w:val="en-US" w:eastAsia="zh-CN"/>
          <w:highlight w:val="auto"/>
        </w:rPr>
      </w:pPr>
      <w:r>
        <w:rPr>
          <w:rStyle w:val="17"/>
          <w:rFonts w:ascii="宋体" w:eastAsia="宋体" w:cs="宋体" w:hAnsi="宋体" w:hint="eastAsia"/>
          <w:b/>
          <w:bCs w:val="0"/>
          <w:color w:val="auto"/>
          <w:sz w:val="28"/>
          <w:szCs w:val="28"/>
          <w:lang w:eastAsia="zh-CN"/>
          <w:highlight w:val="auto"/>
        </w:rPr>
        <w:t>采购公告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7"/>
          <w:rFonts w:ascii="宋体" w:eastAsia="宋体" w:cs="宋体" w:hAnsi="宋体" w:hint="eastAsia"/>
          <w:b/>
          <w:bCs w:val="0"/>
          <w:color w:val="auto"/>
          <w:highlight w:val="auto"/>
        </w:rPr>
      </w:pPr>
      <w:r>
        <w:rPr>
          <w:rStyle w:val="17"/>
          <w:rFonts w:ascii="宋体" w:eastAsia="宋体" w:cs="宋体" w:hAnsi="宋体" w:hint="eastAsia"/>
          <w:b/>
          <w:bCs w:val="0"/>
          <w:color w:val="auto"/>
          <w:highlight w:val="auto"/>
        </w:rPr>
        <w:t>一、项目概述：</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bookmarkStart w:id="1" w:name="_Toc406670714"/>
      <w:bookmarkStart w:id="2" w:name="_Toc406671085"/>
      <w:r>
        <w:rPr>
          <w:rFonts w:ascii="宋体" w:eastAsia="宋体" w:cs="宋体" w:hAnsi="宋体" w:hint="eastAsia"/>
          <w:color w:val="auto"/>
          <w:sz w:val="24"/>
          <w:szCs w:val="24"/>
          <w:u w:val="none"/>
          <w:lang w:val="en-US" w:eastAsia="zh-CN"/>
          <w:highlight w:val="auto"/>
        </w:rPr>
        <w:t>1、项目名称：中国邮政储蓄银行安顺市分行2023-2025年新增律师库入库名单采购项目；</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2、采购方式：公开招标</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3、项目编号：PYYT2023-ZB3092</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4、采购预算：250万元，实际支付以后期收回贷款金额实际支付费用为准。</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5、服务期：2年；</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bookmarkEnd w:id="1"/>
      <w:bookmarkEnd w:id="2"/>
      <w:r>
        <w:rPr>
          <w:rFonts w:ascii="宋体" w:eastAsia="宋体" w:cs="宋体" w:hAnsi="宋体" w:hint="eastAsia"/>
          <w:color w:val="auto"/>
          <w:sz w:val="24"/>
          <w:szCs w:val="24"/>
          <w:u w:val="none"/>
          <w:lang w:val="en-US" w:eastAsia="zh-CN"/>
          <w:highlight w:val="auto"/>
        </w:rPr>
        <w:t>6、服务地点：采购人指定地点；</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7、采购内容：拟增补入围3家律师事务所，做好常规法律顾问服务，代理我行不良贷款诉讼、执行等工作。</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8、入围供应商数量：3家。</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9、中标原则：原则上选择综合排名前3的供应商入围，综合排名第4名、第5名作为备选供应商，当主选供应商不符合需求或退出时，则启用备选供应商。为保证项目的充分竞争性，若符合资格要求的供应商数量小于需入围数量与备选供应商之和时，该项目重新进行招标流程。入库后律所抽取标准由需求部门或使用部门双人按照实际情况随机进行抽取。</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10、最高投标限价：</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10.1 一案一议价，根据风险代理模式，不同案件标的额（实际收回金额）确定律师代理费率。</w:t>
      </w:r>
    </w:p>
    <w:tbl>
      <w:tblPr>
        <w:jc w:val="cente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88"/>
        <w:gridCol w:w="2271"/>
        <w:gridCol w:w="2560"/>
      </w:tblGrid>
      <w:tr>
        <w:trPr>
          <w:trHeight w:val="364"/>
        </w:trPr>
        <w:tc>
          <w:tcPr>
            <w:tcW w:w="44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案件标的额</w:t>
            </w:r>
          </w:p>
        </w:tc>
        <w:tc>
          <w:tcPr>
            <w:tcW w:w="227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报价限额</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价格分占比</w:t>
            </w:r>
          </w:p>
        </w:tc>
      </w:tr>
      <w:tr>
        <w:trPr>
          <w:trHeight w:val="364"/>
        </w:trPr>
        <w:tc>
          <w:tcPr>
            <w:tcW w:w="44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100万以下（含）</w:t>
            </w:r>
          </w:p>
        </w:tc>
        <w:tc>
          <w:tcPr>
            <w:tcW w:w="2271"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16%</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10分</w:t>
            </w:r>
          </w:p>
        </w:tc>
      </w:tr>
      <w:tr>
        <w:trPr>
          <w:trHeight w:val="364"/>
        </w:trPr>
        <w:tc>
          <w:tcPr>
            <w:tcW w:w="44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100万（不含）-500万（含）</w:t>
            </w:r>
          </w:p>
        </w:tc>
        <w:tc>
          <w:tcPr>
            <w:tcW w:w="2271"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14%</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8分</w:t>
            </w:r>
          </w:p>
        </w:tc>
      </w:tr>
      <w:tr>
        <w:trPr>
          <w:trHeight w:val="364"/>
        </w:trPr>
        <w:tc>
          <w:tcPr>
            <w:tcW w:w="44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500万（不含）-1000万（含）</w:t>
            </w:r>
          </w:p>
        </w:tc>
        <w:tc>
          <w:tcPr>
            <w:tcW w:w="2271"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12%</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6分</w:t>
            </w:r>
          </w:p>
        </w:tc>
      </w:tr>
      <w:tr>
        <w:trPr>
          <w:trHeight w:val="390"/>
        </w:trPr>
        <w:tc>
          <w:tcPr>
            <w:tcW w:w="44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1000万（不含）以上</w:t>
            </w:r>
          </w:p>
        </w:tc>
        <w:tc>
          <w:tcPr>
            <w:tcW w:w="2271"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9%</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3分</w:t>
            </w:r>
          </w:p>
        </w:tc>
      </w:tr>
    </w:tbl>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注：该代理方式采取一案一议价的方式进行确定具体费率，根据不同案件标的额金额确定费率上限（100万元以下上限为16%、100万元-500万元上限为14%、500万元-1000万元上限为12%、1000万元以上上限为9%），如一笔150万元代理案件收回50万元，计算方式为500000*14%=70000元。</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10.2 一般代理模式：根据一般代理模式要求，不同案件确定律师代理费。</w:t>
      </w:r>
    </w:p>
    <w:tbl>
      <w:tblPr>
        <w:jc w:val="cent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7"/>
        <w:gridCol w:w="5547"/>
        <w:gridCol w:w="1779"/>
      </w:tblGrid>
      <w:tr>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案件性质</w:t>
            </w:r>
          </w:p>
        </w:tc>
        <w:tc>
          <w:tcPr>
            <w:tcW w:w="55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报价限额</w:t>
            </w: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价格分占比</w:t>
            </w:r>
          </w:p>
        </w:tc>
      </w:tr>
      <w:tr>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贷款</w:t>
            </w:r>
          </w:p>
        </w:tc>
        <w:tc>
          <w:tcPr>
            <w:tcW w:w="554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2500元/笔+回款3%（回款3%为固定回款率）</w:t>
            </w: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7分</w:t>
            </w:r>
          </w:p>
        </w:tc>
      </w:tr>
      <w:tr>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信用卡</w:t>
            </w:r>
          </w:p>
        </w:tc>
        <w:tc>
          <w:tcPr>
            <w:tcW w:w="554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1500元/笔+回款5%（回款5%为固定回款率）</w:t>
            </w: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center"/>
              <w:textAlignment w:val="auto"/>
              <w:rPr>
                <w:rFonts w:ascii="宋体" w:cs="宋体" w:hAnsi="宋体" w:hint="eastAsia"/>
                <w:b w:val="0"/>
                <w:bCs w:val="0"/>
                <w:color w:val="auto"/>
                <w:kern w:val="2"/>
                <w:sz w:val="24"/>
                <w:szCs w:val="24"/>
                <w:u w:val="none"/>
                <w:lang w:val="en-US" w:eastAsia="zh-CN" w:bidi="ar-SA"/>
                <w:highlight w:val="auto"/>
              </w:rPr>
            </w:pPr>
            <w:r>
              <w:rPr>
                <w:rFonts w:ascii="宋体" w:cs="宋体" w:hAnsi="宋体" w:hint="eastAsia"/>
                <w:b w:val="0"/>
                <w:bCs w:val="0"/>
                <w:color w:val="auto"/>
                <w:kern w:val="2"/>
                <w:sz w:val="24"/>
                <w:szCs w:val="24"/>
                <w:u w:val="none"/>
                <w:lang w:val="en-US" w:eastAsia="zh-CN" w:bidi="ar-SA"/>
                <w:highlight w:val="auto"/>
              </w:rPr>
              <w:t>6分</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cs="宋体" w:hAnsi="宋体" w:hint="eastAsia"/>
          <w:b w:val="0"/>
          <w:bCs w:val="0"/>
          <w:color w:val="auto"/>
          <w:kern w:val="2"/>
          <w:sz w:val="24"/>
          <w:szCs w:val="24"/>
          <w:u w:val="none"/>
          <w:lang w:val="en-US" w:eastAsia="zh-CN" w:bidi="ar-SA"/>
          <w:highlight w:val="auto"/>
        </w:rPr>
      </w:pPr>
      <w:r>
        <w:rPr>
          <w:rFonts w:ascii="宋体" w:eastAsia="宋体" w:cs="宋体" w:hAnsi="宋体" w:hint="eastAsia"/>
          <w:b w:val="0"/>
          <w:bCs w:val="0"/>
          <w:color w:val="auto"/>
          <w:kern w:val="2"/>
          <w:sz w:val="24"/>
          <w:szCs w:val="24"/>
          <w:u w:val="none"/>
          <w:lang w:val="en-US" w:eastAsia="zh-CN" w:bidi="ar-SA"/>
          <w:highlight w:val="auto"/>
        </w:rPr>
        <w:t>注：以上回款率为固定回款率，只需对单笔案件金额报价。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17"/>
          <w:rFonts w:ascii="宋体" w:eastAsia="宋体" w:cs="宋体" w:hAnsi="宋体" w:hint="eastAsia"/>
          <w:b/>
          <w:bCs w:val="0"/>
          <w:color w:val="auto"/>
          <w:sz w:val="24"/>
          <w:szCs w:val="24"/>
          <w:highlight w:val="auto"/>
        </w:rPr>
      </w:pPr>
      <w:r>
        <w:rPr>
          <w:rStyle w:val="17"/>
          <w:rFonts w:ascii="宋体" w:eastAsia="宋体" w:cs="宋体" w:hAnsi="宋体" w:hint="eastAsia"/>
          <w:b/>
          <w:bCs w:val="0"/>
          <w:color w:val="auto"/>
          <w:sz w:val="24"/>
          <w:szCs w:val="24"/>
          <w:highlight w:val="auto"/>
        </w:rPr>
        <w:t>二、资金来源：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cs="宋体" w:hAnsi="宋体" w:hint="eastAsia"/>
          <w:color w:val="auto"/>
          <w:sz w:val="24"/>
          <w:szCs w:val="24"/>
          <w:highlight w:val="auto"/>
        </w:rPr>
      </w:pPr>
      <w:r>
        <w:rPr>
          <w:rFonts w:ascii="宋体" w:eastAsia="宋体" w:cs="宋体" w:hAnsi="宋体" w:hint="eastAsia"/>
          <w:color w:val="auto"/>
          <w:sz w:val="24"/>
          <w:szCs w:val="24"/>
          <w:highlight w:val="auto"/>
        </w:rPr>
        <w:t>本项目资金来源为：</w:t>
      </w:r>
      <w:r>
        <w:rPr>
          <w:rFonts w:ascii="宋体" w:eastAsia="宋体" w:cs="宋体" w:hAnsi="宋体" w:hint="eastAsia"/>
          <w:color w:val="auto"/>
          <w:sz w:val="24"/>
          <w:szCs w:val="24"/>
          <w:u w:val="none"/>
          <w:highlight w:val="auto"/>
        </w:rPr>
        <w:t>企业自筹；</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b/>
          <w:color w:val="auto"/>
          <w:sz w:val="24"/>
          <w:szCs w:val="24"/>
          <w:highlight w:val="auto"/>
        </w:rPr>
      </w:pPr>
      <w:r>
        <w:rPr>
          <w:rStyle w:val="17"/>
          <w:rFonts w:ascii="宋体" w:eastAsia="宋体" w:cs="宋体" w:hAnsi="宋体" w:hint="eastAsia"/>
          <w:b/>
          <w:bCs w:val="0"/>
          <w:color w:val="auto"/>
          <w:sz w:val="24"/>
          <w:szCs w:val="24"/>
          <w:highlight w:val="auto"/>
        </w:rPr>
        <w:t>三、</w:t>
      </w:r>
      <w:r>
        <w:rPr>
          <w:rFonts w:ascii="宋体" w:eastAsia="宋体" w:cs="宋体" w:hAnsi="宋体" w:hint="eastAsia"/>
          <w:b/>
          <w:color w:val="auto"/>
          <w:sz w:val="24"/>
          <w:szCs w:val="24"/>
          <w:highlight w:val="auto"/>
        </w:rPr>
        <w:t>公开招标</w:t>
      </w:r>
      <w:r>
        <w:rPr>
          <w:rFonts w:ascii="宋体" w:eastAsia="宋体" w:cs="宋体" w:hAnsi="宋体" w:hint="eastAsia"/>
          <w:b/>
          <w:color w:val="auto"/>
          <w:sz w:val="24"/>
          <w:szCs w:val="24"/>
          <w:lang w:eastAsia="zh-CN"/>
          <w:highlight w:val="auto"/>
        </w:rPr>
        <w:t>采购</w:t>
      </w:r>
      <w:r>
        <w:rPr>
          <w:rFonts w:ascii="宋体" w:eastAsia="宋体" w:cs="宋体" w:hAnsi="宋体" w:hint="eastAsia"/>
          <w:b/>
          <w:color w:val="auto"/>
          <w:sz w:val="24"/>
          <w:szCs w:val="24"/>
          <w:highlight w:val="auto"/>
        </w:rPr>
        <w:t>文件解释权：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cs="宋体" w:hAnsi="宋体" w:hint="eastAsia"/>
          <w:color w:val="auto"/>
          <w:sz w:val="24"/>
          <w:szCs w:val="24"/>
          <w:highlight w:val="auto"/>
        </w:rPr>
      </w:pPr>
      <w:r>
        <w:rPr>
          <w:rFonts w:ascii="宋体" w:eastAsia="宋体" w:cs="宋体" w:hAnsi="宋体" w:hint="eastAsia"/>
          <w:color w:val="auto"/>
          <w:sz w:val="24"/>
          <w:szCs w:val="24"/>
          <w:highlight w:val="auto"/>
        </w:rPr>
        <w:t>本项目</w:t>
      </w:r>
      <w:r>
        <w:rPr>
          <w:rFonts w:ascii="宋体" w:eastAsia="宋体" w:cs="宋体" w:hAnsi="宋体" w:hint="eastAsia"/>
          <w:color w:val="auto"/>
          <w:sz w:val="24"/>
          <w:szCs w:val="24"/>
          <w:lang w:eastAsia="zh-CN"/>
          <w:highlight w:val="auto"/>
        </w:rPr>
        <w:t>采购</w:t>
      </w:r>
      <w:r>
        <w:rPr>
          <w:rFonts w:ascii="宋体" w:eastAsia="宋体" w:cs="宋体" w:hAnsi="宋体" w:hint="eastAsia"/>
          <w:color w:val="auto"/>
          <w:sz w:val="24"/>
          <w:szCs w:val="24"/>
          <w:highlight w:val="auto"/>
        </w:rPr>
        <w:t>文件的最终解释权归采购人。</w:t>
      </w:r>
    </w:p>
    <w:p>
      <w:pPr>
        <w:keepNext w:val="0"/>
        <w:keepLines w:val="0"/>
        <w:pageBreakBefore w:val="0"/>
        <w:widowControl w:val="0"/>
        <w:numPr>
          <w:ilvl w:val="0"/>
          <w:numId w:val="1"/>
        </w:numPr>
        <w:kinsoku/>
        <w:wordWrap/>
        <w:overflowPunct/>
        <w:topLinePunct w:val="0"/>
        <w:autoSpaceDE/>
        <w:autoSpaceDN/>
        <w:bidi w:val="0"/>
        <w:adjustRightInd/>
        <w:snapToGrid/>
        <w:spacing w:beforeLines="50" w:before="156" w:afterLines="50" w:after="156" w:line="240" w:lineRule="auto"/>
        <w:ind w:firstLineChars="0"/>
        <w:jc w:val="both"/>
        <w:textAlignment w:val="auto"/>
        <w:rPr>
          <w:rFonts w:ascii="宋体" w:eastAsia="宋体" w:cs="宋体" w:hAnsi="宋体" w:hint="eastAsia"/>
          <w:b/>
          <w:bCs/>
          <w:color w:val="auto"/>
          <w:sz w:val="24"/>
          <w:szCs w:val="24"/>
          <w:highlight w:val="auto"/>
        </w:rPr>
      </w:pPr>
      <w:r>
        <w:rPr>
          <w:rFonts w:ascii="宋体" w:eastAsia="宋体" w:cs="宋体" w:hAnsi="宋体" w:hint="eastAsia"/>
          <w:b/>
          <w:bCs/>
          <w:color w:val="auto"/>
          <w:sz w:val="24"/>
          <w:szCs w:val="24"/>
          <w:highlight w:val="auto"/>
        </w:rPr>
        <w:t>供应商资格要求：</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1.投标人应为中华人民共和国境内（不含香港、澳门、台湾地区）法律上和财务上独立的法人或依法登记注册的组织，投标人合法运作并独立于招标人和招标代理机构，具备律师事务所执业许可证，并通过年检。</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2.本次招标不接受联合体。</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3.本次招标不接受代理商。</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4.律师事务所应具备以下条件：最近三年无重大违法违纪行为及不良记录，声誉良好提供承诺书并加盖公章。</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5.项目主办律师应具备以下条件：</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（1）持有有效的律师执业证；</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（2）擅长金融法律事务，理论功底扎实，实践经验丰富，提供承诺书并加盖公章；</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（3）职业道德良好，无违法违纪行为及不良记录，提供承诺书并加盖公章。</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6.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函加盖投标单位公章。</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7.投标人不得存在下列情形之一（提供承诺函加盖投标单位公章）：</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（1）投标人被责令停业停产或破产状态的；</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（2）投标人财产被重组、接管、查封、扣押或冻结的；</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（3）投标人或其投标产品/服务被列入招标人供应商管理灰名单或黑名</w:t>
      </w:r>
      <w:bookmarkStart w:id="3" w:name="_GoBack"/>
      <w:bookmarkEnd w:id="3"/>
      <w:r>
        <w:rPr>
          <w:rFonts w:ascii="宋体" w:eastAsia="宋体" w:cs="宋体" w:hAnsi="宋体" w:hint="eastAsia"/>
          <w:color w:val="auto"/>
          <w:sz w:val="24"/>
          <w:szCs w:val="24"/>
          <w:u w:val="none"/>
          <w:lang w:val="en-US" w:eastAsia="zh-CN"/>
          <w:highlight w:val="auto"/>
        </w:rPr>
        <w:t>单，且在禁入期内被暂停或取消投标资格的；</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4）投标人近三年内在经营活动中有重大税收违法案件当事人名单或被中国政府采购网（www.ccgp.gov.cn）列入政府采购严重违法失信行为记录名单或被国家企业信用信息公示系统（www.gsxt.gov.cn）列入严重违法失信企业名单；</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textAlignment w:val="auto"/>
        <w:rPr>
          <w:rFonts w:ascii="宋体" w:eastAsia="宋体" w:cs="宋体" w:hAnsi="宋体" w:hint="eastAsia"/>
          <w:color w:val="auto"/>
          <w:sz w:val="24"/>
          <w:szCs w:val="24"/>
          <w:u w:val="none"/>
          <w:lang w:val="en-US" w:eastAsia="zh-CN"/>
          <w:highlight w:val="auto"/>
        </w:rPr>
      </w:pPr>
      <w:r>
        <w:rPr>
          <w:rFonts w:ascii="宋体" w:eastAsia="宋体" w:cs="宋体" w:hAnsi="宋体" w:hint="eastAsia"/>
          <w:color w:val="auto"/>
          <w:sz w:val="24"/>
          <w:szCs w:val="24"/>
          <w:u w:val="none"/>
          <w:lang w:val="en-US" w:eastAsia="zh-CN"/>
          <w:highlight w:val="auto"/>
        </w:rPr>
        <w:t>（5）投标人（含其母子公司、关联公司）在邮储银行或邮政集团采购供货或服务中有不良记录的，其货物或服务在使用过程中出现过重大质量或安全问题且未妥善解决的。</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jc w:val="both"/>
        <w:textAlignment w:val="auto"/>
        <w:rPr>
          <w:rFonts w:ascii="宋体" w:eastAsia="宋体" w:cs="宋体" w:hAnsi="宋体" w:hint="eastAsia"/>
          <w:b/>
          <w:bCs/>
          <w:color w:val="auto"/>
          <w:sz w:val="24"/>
          <w:szCs w:val="24"/>
          <w:highlight w:val="auto"/>
        </w:rPr>
      </w:pPr>
      <w:r>
        <w:rPr>
          <w:rFonts w:ascii="宋体" w:eastAsia="宋体" w:cs="宋体" w:hAnsi="宋体" w:hint="eastAsia"/>
          <w:b/>
          <w:bCs/>
          <w:color w:val="auto"/>
          <w:sz w:val="24"/>
          <w:szCs w:val="24"/>
          <w:lang w:eastAsia="zh-CN"/>
          <w:highlight w:val="auto"/>
        </w:rPr>
        <w:t>五</w:t>
      </w:r>
      <w:r>
        <w:rPr>
          <w:rFonts w:ascii="宋体" w:eastAsia="宋体" w:cs="宋体" w:hAnsi="宋体" w:hint="eastAsia"/>
          <w:b/>
          <w:bCs/>
          <w:color w:val="auto"/>
          <w:sz w:val="24"/>
          <w:szCs w:val="24"/>
          <w:highlight w:val="auto"/>
        </w:rPr>
        <w:t>、</w:t>
      </w:r>
      <w:r>
        <w:rPr>
          <w:rFonts w:ascii="宋体" w:eastAsia="宋体" w:cs="宋体" w:hAnsi="宋体" w:hint="eastAsia"/>
          <w:b/>
          <w:bCs/>
          <w:color w:val="auto"/>
          <w:sz w:val="24"/>
          <w:szCs w:val="24"/>
          <w:lang w:eastAsia="zh-CN"/>
          <w:highlight w:val="auto"/>
        </w:rPr>
        <w:t>采购</w:t>
      </w:r>
      <w:r>
        <w:rPr>
          <w:rFonts w:ascii="宋体" w:eastAsia="宋体" w:cs="宋体" w:hAnsi="宋体" w:hint="eastAsia"/>
          <w:b/>
          <w:bCs/>
          <w:color w:val="auto"/>
          <w:sz w:val="24"/>
          <w:szCs w:val="24"/>
          <w:highlight w:val="auto"/>
        </w:rPr>
        <w:t>文件的获取：</w:t>
      </w:r>
    </w:p>
    <w:p>
      <w:pPr>
        <w:adjustRightInd w:val="0"/>
        <w:snapToGrid w:val="0"/>
        <w:spacing w:line="240" w:lineRule="auto"/>
        <w:jc w:val="left"/>
        <w:outlineLvl w:val="9"/>
        <w:rPr>
          <w:rFonts w:ascii="宋体" w:eastAsia="宋体" w:cs="宋体" w:hAnsi="宋体" w:hint="eastAsia"/>
          <w:color w:val="000000"/>
          <w:sz w:val="24"/>
          <w:szCs w:val="24"/>
        </w:rPr>
      </w:pPr>
      <w:bookmarkStart w:id="4" w:name="_Toc30048"/>
      <w:r>
        <w:rPr>
          <w:rFonts w:ascii="宋体" w:eastAsia="宋体" w:cs="宋体" w:hAnsi="宋体" w:hint="eastAsia"/>
          <w:color w:val="auto"/>
          <w:sz w:val="24"/>
          <w:szCs w:val="24"/>
          <w:lang w:val="en-US" w:eastAsia="zh-CN"/>
        </w:rPr>
        <w:t>1、</w:t>
      </w:r>
      <w:r>
        <w:rPr>
          <w:rFonts w:ascii="宋体" w:eastAsia="宋体" w:cs="宋体" w:hAnsi="宋体" w:hint="eastAsia"/>
          <w:color w:val="auto"/>
          <w:sz w:val="24"/>
          <w:szCs w:val="24"/>
        </w:rPr>
        <w:t>获取采购文件时</w:t>
      </w:r>
      <w:r>
        <w:rPr>
          <w:rFonts w:ascii="宋体" w:eastAsia="宋体" w:cs="宋体" w:hAnsi="宋体" w:hint="eastAsia"/>
          <w:color w:val="000000"/>
          <w:sz w:val="24"/>
          <w:szCs w:val="24"/>
        </w:rPr>
        <w:t>间：2023年</w:t>
      </w:r>
      <w:r>
        <w:rPr>
          <w:rFonts w:ascii="宋体" w:cs="宋体" w:hAnsi="宋体" w:hint="eastAsia"/>
          <w:color w:val="000000"/>
          <w:sz w:val="24"/>
          <w:szCs w:val="24"/>
          <w:lang w:val="en-US" w:eastAsia="zh-CN"/>
        </w:rPr>
        <w:t>8</w:t>
      </w:r>
      <w:r>
        <w:rPr>
          <w:rFonts w:ascii="宋体" w:eastAsia="宋体" w:cs="宋体" w:hAnsi="宋体" w:hint="eastAsia"/>
          <w:color w:val="000000"/>
          <w:sz w:val="24"/>
          <w:szCs w:val="24"/>
        </w:rPr>
        <w:t>月</w:t>
      </w:r>
      <w:r>
        <w:rPr>
          <w:rFonts w:ascii="宋体" w:cs="宋体" w:hAnsi="宋体" w:hint="eastAsia"/>
          <w:color w:val="000000"/>
          <w:sz w:val="24"/>
          <w:szCs w:val="24"/>
          <w:lang w:val="en-US" w:eastAsia="zh-CN"/>
        </w:rPr>
        <w:t>24</w:t>
      </w:r>
      <w:r>
        <w:rPr>
          <w:rFonts w:ascii="宋体" w:eastAsia="宋体" w:cs="宋体" w:hAnsi="宋体" w:hint="eastAsia"/>
          <w:color w:val="000000"/>
          <w:sz w:val="24"/>
          <w:szCs w:val="24"/>
        </w:rPr>
        <w:t>日09时00分至2023年</w:t>
      </w:r>
      <w:r>
        <w:rPr>
          <w:rFonts w:ascii="宋体" w:cs="宋体" w:hAnsi="宋体" w:hint="eastAsia"/>
          <w:color w:val="000000"/>
          <w:sz w:val="24"/>
          <w:szCs w:val="24"/>
          <w:lang w:val="en-US" w:eastAsia="zh-CN"/>
        </w:rPr>
        <w:t>9</w:t>
      </w:r>
      <w:r>
        <w:rPr>
          <w:rFonts w:ascii="宋体" w:eastAsia="宋体" w:cs="宋体" w:hAnsi="宋体" w:hint="eastAsia"/>
          <w:color w:val="000000"/>
          <w:sz w:val="24"/>
          <w:szCs w:val="24"/>
        </w:rPr>
        <w:t>月</w:t>
      </w:r>
      <w:r>
        <w:rPr>
          <w:rFonts w:ascii="宋体" w:cs="宋体" w:hAnsi="宋体" w:hint="eastAsia"/>
          <w:color w:val="000000"/>
          <w:sz w:val="24"/>
          <w:szCs w:val="24"/>
          <w:lang w:val="en-US" w:eastAsia="zh-CN"/>
        </w:rPr>
        <w:t>1</w:t>
      </w:r>
      <w:r>
        <w:rPr>
          <w:rFonts w:ascii="宋体" w:eastAsia="宋体" w:cs="宋体" w:hAnsi="宋体" w:hint="eastAsia"/>
          <w:color w:val="000000"/>
          <w:sz w:val="24"/>
          <w:szCs w:val="24"/>
        </w:rPr>
        <w:t>日17时00分。</w:t>
      </w:r>
    </w:p>
    <w:p>
      <w:pPr>
        <w:adjustRightInd w:val="0"/>
        <w:snapToGrid w:val="0"/>
        <w:spacing w:line="240" w:lineRule="auto"/>
        <w:jc w:val="left"/>
        <w:outlineLvl w:val="9"/>
        <w:rPr>
          <w:rFonts w:ascii="宋体" w:eastAsia="宋体" w:cs="宋体" w:hAnsi="宋体" w:hint="eastAsia"/>
          <w:color w:val="auto"/>
          <w:sz w:val="24"/>
          <w:szCs w:val="24"/>
        </w:rPr>
      </w:pPr>
      <w:bookmarkStart w:id="5" w:name="_Toc302"/>
      <w:r>
        <w:rPr>
          <w:rFonts w:ascii="宋体" w:eastAsia="宋体" w:cs="宋体" w:hAnsi="宋体" w:hint="eastAsia"/>
          <w:color w:val="auto"/>
          <w:sz w:val="24"/>
          <w:szCs w:val="24"/>
          <w:lang w:val="en-US" w:eastAsia="zh-CN"/>
        </w:rPr>
        <w:t>2、</w:t>
      </w:r>
      <w:r>
        <w:rPr>
          <w:rFonts w:ascii="宋体" w:eastAsia="宋体" w:cs="宋体" w:hAnsi="宋体" w:hint="eastAsia"/>
          <w:color w:val="auto"/>
          <w:sz w:val="24"/>
          <w:szCs w:val="24"/>
        </w:rPr>
        <w:t>获取采购文件地点：鹏业云通建设咨询有限公司（贵州省贵阳市观山湖区高新区联合广场4号楼33层）</w:t>
      </w:r>
      <w:bookmarkEnd w:id="5"/>
    </w:p>
    <w:p>
      <w:pPr>
        <w:adjustRightInd w:val="0"/>
        <w:snapToGrid w:val="0"/>
        <w:spacing w:line="240" w:lineRule="auto"/>
        <w:jc w:val="left"/>
        <w:outlineLvl w:val="9"/>
        <w:rPr>
          <w:rFonts w:ascii="宋体" w:eastAsia="宋体" w:cs="宋体" w:hAnsi="宋体" w:hint="eastAsia"/>
          <w:color w:val="auto"/>
          <w:sz w:val="24"/>
          <w:szCs w:val="24"/>
          <w:lang w:val="en-US" w:eastAsia="zh-CN"/>
        </w:rPr>
      </w:pPr>
      <w:bookmarkStart w:id="6" w:name="_Toc19430"/>
      <w:r>
        <w:rPr>
          <w:rFonts w:ascii="宋体" w:eastAsia="宋体" w:cs="宋体" w:hAnsi="宋体" w:hint="eastAsia"/>
          <w:color w:val="auto"/>
          <w:sz w:val="24"/>
          <w:szCs w:val="24"/>
          <w:lang w:val="en-US" w:eastAsia="zh-CN"/>
        </w:rPr>
        <w:t>3、</w:t>
      </w:r>
      <w:r>
        <w:rPr>
          <w:rFonts w:ascii="宋体" w:eastAsia="宋体" w:cs="宋体" w:hAnsi="宋体" w:hint="eastAsia"/>
          <w:color w:val="auto"/>
          <w:sz w:val="24"/>
          <w:szCs w:val="24"/>
        </w:rPr>
        <w:t>文件售价：人民币500.00元（含电子文档）售后不退。</w:t>
      </w:r>
      <w:bookmarkEnd w:id="6"/>
    </w:p>
    <w:p>
      <w:pPr>
        <w:adjustRightInd w:val="0"/>
        <w:snapToGrid w:val="0"/>
        <w:spacing w:line="240" w:lineRule="auto"/>
        <w:jc w:val="left"/>
        <w:outlineLvl w:val="9"/>
        <w:rPr>
          <w:rFonts w:ascii="宋体" w:eastAsia="宋体" w:cs="宋体" w:hAnsi="宋体" w:hint="eastAsia"/>
          <w:color w:val="auto"/>
          <w:sz w:val="24"/>
          <w:szCs w:val="24"/>
          <w:lang w:val="en-US" w:eastAsia="zh-CN"/>
        </w:rPr>
      </w:pPr>
      <w:r>
        <w:rPr>
          <w:rFonts w:ascii="宋体" w:eastAsia="宋体" w:cs="宋体" w:hAnsi="宋体" w:hint="eastAsia"/>
          <w:color w:val="auto"/>
          <w:sz w:val="24"/>
          <w:szCs w:val="24"/>
          <w:lang w:val="en-US" w:eastAsia="zh-CN"/>
        </w:rPr>
        <w:t>4、</w:t>
      </w:r>
      <w:r>
        <w:rPr>
          <w:rFonts w:ascii="宋体" w:eastAsia="宋体" w:cs="宋体" w:hAnsi="宋体" w:hint="eastAsia"/>
          <w:color w:val="auto"/>
          <w:sz w:val="24"/>
          <w:szCs w:val="24"/>
        </w:rPr>
        <w:t>获取方式：</w:t>
      </w:r>
      <w:r>
        <w:rPr>
          <w:rFonts w:ascii="宋体" w:eastAsia="宋体" w:cs="宋体" w:hAnsi="宋体" w:hint="eastAsia"/>
          <w:color w:val="auto"/>
          <w:sz w:val="24"/>
          <w:szCs w:val="24"/>
          <w:lang w:val="en-US" w:eastAsia="zh-CN"/>
        </w:rPr>
        <w:t>现场获取或网上获取。</w:t>
      </w:r>
    </w:p>
    <w:p>
      <w:pPr>
        <w:adjustRightInd w:val="0"/>
        <w:snapToGrid w:val="0"/>
        <w:spacing w:line="240" w:lineRule="auto"/>
        <w:jc w:val="left"/>
        <w:outlineLvl w:val="9"/>
        <w:rPr>
          <w:rFonts w:ascii="宋体" w:eastAsia="宋体" w:cs="宋体" w:hAnsi="宋体" w:hint="eastAsia"/>
          <w:color w:val="auto"/>
          <w:sz w:val="24"/>
          <w:szCs w:val="24"/>
          <w:lang w:eastAsia="zh-CN"/>
        </w:rPr>
      </w:pPr>
      <w:r>
        <w:rPr>
          <w:rFonts w:ascii="宋体" w:eastAsia="宋体" w:cs="宋体" w:hAnsi="宋体" w:hint="eastAsia"/>
          <w:color w:val="auto"/>
          <w:sz w:val="24"/>
          <w:szCs w:val="24"/>
          <w:lang w:val="en-US" w:eastAsia="zh-CN"/>
        </w:rPr>
        <w:t>（1）现场获取所需资料</w:t>
      </w:r>
      <w:bookmarkEnd w:id="4"/>
      <w:r>
        <w:rPr>
          <w:rFonts w:ascii="宋体" w:eastAsia="宋体" w:cs="宋体" w:hAnsi="宋体" w:hint="eastAsia"/>
          <w:color w:val="auto"/>
          <w:sz w:val="24"/>
          <w:szCs w:val="24"/>
          <w:lang w:eastAsia="zh-CN"/>
        </w:rPr>
        <w:t>：①律</w:t>
      </w:r>
      <w:r>
        <w:rPr>
          <w:rFonts w:ascii="宋体" w:eastAsia="宋体" w:cs="宋体" w:hAnsi="宋体" w:hint="eastAsia"/>
          <w:color w:val="auto"/>
          <w:sz w:val="24"/>
          <w:szCs w:val="24"/>
          <w:u w:val="none"/>
          <w:lang w:val="en-US" w:eastAsia="zh-CN"/>
          <w:highlight w:val="auto"/>
        </w:rPr>
        <w:t>师事务所执业许可证</w:t>
      </w:r>
      <w:r>
        <w:rPr>
          <w:rFonts w:ascii="宋体" w:eastAsia="宋体" w:cs="宋体" w:hAnsi="宋体" w:hint="eastAsia"/>
          <w:color w:val="auto"/>
          <w:sz w:val="24"/>
          <w:szCs w:val="24"/>
          <w:lang w:eastAsia="zh-CN"/>
        </w:rPr>
        <w:t>复印件，②负责人身份证明原件</w:t>
      </w:r>
      <w:r>
        <w:rPr>
          <w:rFonts w:ascii="宋体" w:eastAsia="宋体" w:cs="宋体" w:hAnsi="宋体" w:hint="eastAsia"/>
          <w:b/>
          <w:bCs/>
          <w:color w:val="auto"/>
          <w:sz w:val="24"/>
          <w:szCs w:val="24"/>
          <w:lang w:eastAsia="zh-CN"/>
        </w:rPr>
        <w:t>或</w:t>
      </w:r>
      <w:r>
        <w:rPr>
          <w:rFonts w:ascii="宋体" w:eastAsia="宋体" w:cs="宋体" w:hAnsi="宋体" w:hint="eastAsia"/>
          <w:color w:val="auto"/>
          <w:sz w:val="24"/>
          <w:szCs w:val="24"/>
          <w:lang w:eastAsia="zh-CN"/>
        </w:rPr>
        <w:t>授权委托书原件及本人身份证原件（需加盖投标单位公章）。</w:t>
      </w:r>
    </w:p>
    <w:p>
      <w:pPr>
        <w:adjustRightInd w:val="0"/>
        <w:snapToGrid w:val="0"/>
        <w:spacing w:line="240" w:lineRule="auto"/>
        <w:jc w:val="left"/>
        <w:outlineLvl w:val="9"/>
        <w:rPr>
          <w:rFonts w:ascii="宋体" w:eastAsia="宋体" w:cs="宋体" w:hAnsi="宋体" w:hint="eastAsia"/>
          <w:color w:val="auto"/>
          <w:sz w:val="24"/>
          <w:szCs w:val="24"/>
          <w:lang w:eastAsia="zh-CN"/>
        </w:rPr>
      </w:pPr>
      <w:r>
        <w:rPr>
          <w:rFonts w:ascii="宋体" w:eastAsia="宋体" w:cs="宋体" w:hAnsi="宋体" w:hint="eastAsia"/>
          <w:color w:val="auto"/>
          <w:sz w:val="24"/>
          <w:szCs w:val="24"/>
          <w:lang w:eastAsia="zh-CN"/>
        </w:rPr>
        <w:t>（</w:t>
      </w:r>
      <w:r>
        <w:rPr>
          <w:rFonts w:ascii="宋体" w:eastAsia="宋体" w:cs="宋体" w:hAnsi="宋体" w:hint="eastAsia"/>
          <w:color w:val="auto"/>
          <w:sz w:val="24"/>
          <w:szCs w:val="24"/>
          <w:lang w:val="en-US" w:eastAsia="zh-CN"/>
        </w:rPr>
        <w:t>2</w:t>
      </w:r>
      <w:r>
        <w:rPr>
          <w:rFonts w:ascii="宋体" w:eastAsia="宋体" w:cs="宋体" w:hAnsi="宋体" w:hint="eastAsia"/>
          <w:color w:val="auto"/>
          <w:sz w:val="24"/>
          <w:szCs w:val="24"/>
          <w:lang w:eastAsia="zh-CN"/>
        </w:rPr>
        <w:t>）网上获取所需资料：律</w:t>
      </w:r>
      <w:r>
        <w:rPr>
          <w:rFonts w:ascii="宋体" w:eastAsia="宋体" w:cs="宋体" w:hAnsi="宋体" w:hint="eastAsia"/>
          <w:color w:val="auto"/>
          <w:sz w:val="24"/>
          <w:szCs w:val="24"/>
          <w:u w:val="none"/>
          <w:lang w:val="en-US" w:eastAsia="zh-CN"/>
          <w:highlight w:val="auto"/>
        </w:rPr>
        <w:t>师事务所执业许可证</w:t>
      </w:r>
      <w:r>
        <w:rPr>
          <w:rFonts w:ascii="宋体" w:eastAsia="宋体" w:cs="宋体" w:hAnsi="宋体" w:hint="eastAsia"/>
          <w:color w:val="auto"/>
          <w:sz w:val="24"/>
          <w:szCs w:val="24"/>
          <w:lang w:eastAsia="zh-CN"/>
        </w:rPr>
        <w:t>、负责人身份证明原件或授权委托书原件及本人身份证原件（需加盖投标单位公章的扫描件）（以上资料扫描成一个PDF文档）发至代理机构电子邮箱：</w:t>
      </w:r>
      <w:r>
        <w:rPr>
          <w:rFonts w:ascii="宋体" w:cs="宋体" w:hAnsi="宋体" w:hint="eastAsia"/>
          <w:color w:val="auto"/>
          <w:sz w:val="24"/>
          <w:szCs w:val="24"/>
          <w:lang w:val="en-US" w:eastAsia="zh-CN"/>
        </w:rPr>
        <w:t>1507508832</w:t>
      </w:r>
      <w:r>
        <w:rPr>
          <w:rFonts w:ascii="宋体" w:eastAsia="宋体" w:cs="宋体" w:hAnsi="宋体" w:hint="eastAsia"/>
          <w:color w:val="auto"/>
          <w:sz w:val="24"/>
          <w:szCs w:val="24"/>
          <w:lang w:eastAsia="zh-CN"/>
        </w:rPr>
        <w:t>@qq.com（邮件以项目编号、联系人姓名、联系人手机号、投标单位名称进行命名，收到采购文件即为获取成功）。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cs="宋体" w:hAnsi="宋体" w:hint="eastAsia"/>
          <w:b/>
          <w:bCs/>
          <w:color w:val="auto"/>
          <w:sz w:val="24"/>
          <w:szCs w:val="24"/>
          <w:highlight w:val="auto"/>
        </w:rPr>
      </w:pPr>
      <w:r>
        <w:rPr>
          <w:rFonts w:ascii="宋体" w:eastAsia="宋体" w:cs="宋体" w:hAnsi="宋体" w:hint="eastAsia"/>
          <w:b/>
          <w:bCs/>
          <w:color w:val="auto"/>
          <w:sz w:val="24"/>
          <w:szCs w:val="24"/>
          <w:lang w:eastAsia="zh-CN"/>
          <w:highlight w:val="auto"/>
        </w:rPr>
        <w:t>六、</w:t>
      </w:r>
      <w:r>
        <w:rPr>
          <w:rFonts w:ascii="宋体" w:eastAsia="宋体" w:cs="宋体" w:hAnsi="宋体" w:hint="eastAsia"/>
          <w:b/>
          <w:bCs/>
          <w:color w:val="auto"/>
          <w:sz w:val="24"/>
          <w:szCs w:val="24"/>
          <w:highlight w:val="auto"/>
        </w:rPr>
        <w:t>投标文件递交的截止时间：</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jc w:val="both"/>
        <w:textAlignment w:val="auto"/>
        <w:rPr>
          <w:rFonts w:ascii="宋体" w:eastAsia="宋体" w:cs="宋体" w:hAnsi="宋体" w:hint="eastAsia"/>
          <w:color w:val="auto"/>
          <w:sz w:val="24"/>
          <w:szCs w:val="24"/>
          <w:lang w:val="en-US" w:eastAsia="zh-CN"/>
          <w:highlight w:val="auto"/>
        </w:rPr>
      </w:pPr>
      <w:r>
        <w:rPr>
          <w:rFonts w:ascii="宋体" w:eastAsia="宋体" w:cs="宋体" w:hAnsi="宋体" w:hint="eastAsia"/>
          <w:color w:val="auto"/>
          <w:sz w:val="24"/>
          <w:szCs w:val="24"/>
          <w:lang w:val="en-US" w:eastAsia="zh-CN"/>
          <w:highlight w:val="auto"/>
        </w:rPr>
        <w:t>投标文件递交的截止时间为</w:t>
      </w:r>
      <w:r>
        <w:rPr>
          <w:rFonts w:ascii="宋体" w:eastAsia="宋体" w:cs="宋体" w:hAnsi="宋体" w:hint="eastAsia"/>
          <w:color w:val="000000"/>
          <w:sz w:val="24"/>
          <w:szCs w:val="24"/>
          <w:lang w:val="en-US" w:eastAsia="zh-CN"/>
          <w:highlight w:val="auto"/>
        </w:rPr>
        <w:t>2023年</w:t>
      </w:r>
      <w:r>
        <w:rPr>
          <w:rFonts w:ascii="宋体" w:cs="宋体" w:hAnsi="宋体" w:hint="eastAsia"/>
          <w:color w:val="000000"/>
          <w:sz w:val="24"/>
          <w:szCs w:val="24"/>
          <w:lang w:val="en-US" w:eastAsia="zh-CN"/>
          <w:highlight w:val="auto"/>
        </w:rPr>
        <w:t>9</w:t>
      </w:r>
      <w:r>
        <w:rPr>
          <w:rFonts w:ascii="宋体" w:eastAsia="宋体" w:cs="宋体" w:hAnsi="宋体" w:hint="eastAsia"/>
          <w:color w:val="000000"/>
          <w:sz w:val="24"/>
          <w:szCs w:val="24"/>
          <w:lang w:val="en-US" w:eastAsia="zh-CN"/>
          <w:highlight w:val="auto"/>
        </w:rPr>
        <w:t>月</w:t>
      </w:r>
      <w:r>
        <w:rPr>
          <w:rFonts w:ascii="宋体" w:cs="宋体" w:hAnsi="宋体" w:hint="eastAsia"/>
          <w:color w:val="000000"/>
          <w:sz w:val="24"/>
          <w:szCs w:val="24"/>
          <w:lang w:val="en-US" w:eastAsia="zh-CN"/>
          <w:highlight w:val="auto"/>
        </w:rPr>
        <w:t>15</w:t>
      </w:r>
      <w:r>
        <w:rPr>
          <w:rFonts w:ascii="宋体" w:eastAsia="宋体" w:cs="宋体" w:hAnsi="宋体" w:hint="eastAsia"/>
          <w:color w:val="000000"/>
          <w:sz w:val="24"/>
          <w:szCs w:val="24"/>
          <w:lang w:val="en-US" w:eastAsia="zh-CN"/>
          <w:highlight w:val="auto"/>
        </w:rPr>
        <w:t>日1</w:t>
      </w:r>
      <w:r>
        <w:rPr>
          <w:rFonts w:ascii="宋体" w:cs="宋体" w:hAnsi="宋体" w:hint="eastAsia"/>
          <w:color w:val="000000"/>
          <w:sz w:val="24"/>
          <w:szCs w:val="24"/>
          <w:lang w:val="en-US" w:eastAsia="zh-CN"/>
          <w:highlight w:val="auto"/>
        </w:rPr>
        <w:t>4</w:t>
      </w:r>
      <w:r>
        <w:rPr>
          <w:rFonts w:ascii="宋体" w:eastAsia="宋体" w:cs="宋体" w:hAnsi="宋体" w:hint="eastAsia"/>
          <w:color w:val="000000"/>
          <w:sz w:val="24"/>
          <w:szCs w:val="24"/>
          <w:lang w:val="en-US" w:eastAsia="zh-CN"/>
          <w:highlight w:val="auto"/>
        </w:rPr>
        <w:t>时00分，</w:t>
      </w:r>
      <w:r>
        <w:rPr>
          <w:rFonts w:ascii="宋体" w:eastAsia="宋体" w:cs="宋体" w:hAnsi="宋体" w:hint="eastAsia"/>
          <w:color w:val="auto"/>
          <w:sz w:val="24"/>
          <w:szCs w:val="24"/>
          <w:lang w:val="en-US" w:eastAsia="zh-CN"/>
          <w:highlight w:val="auto"/>
        </w:rPr>
        <w:t>地点：贵州省贵阳市观山湖区高新区联合广场4号楼M层。</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jc w:val="both"/>
        <w:textAlignment w:val="auto"/>
        <w:rPr>
          <w:rFonts w:ascii="宋体" w:eastAsia="宋体" w:cs="宋体" w:hAnsi="宋体" w:hint="eastAsia"/>
          <w:color w:val="auto"/>
          <w:sz w:val="24"/>
          <w:szCs w:val="24"/>
          <w:lang w:val="en-US" w:eastAsia="zh-CN"/>
          <w:highlight w:val="auto"/>
        </w:rPr>
      </w:pPr>
      <w:r>
        <w:rPr>
          <w:rFonts w:ascii="宋体" w:eastAsia="宋体" w:cs="宋体" w:hAnsi="宋体" w:hint="eastAsia"/>
          <w:color w:val="auto"/>
          <w:sz w:val="24"/>
          <w:szCs w:val="24"/>
          <w:lang w:val="en-US" w:eastAsia="zh-CN"/>
          <w:highlight w:val="auto"/>
        </w:rPr>
        <w:t>逾期送达的或者未送达指定地点的投标文件，采购人不予受理。</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jc w:val="both"/>
        <w:textAlignment w:val="auto"/>
        <w:rPr>
          <w:rFonts w:ascii="宋体" w:eastAsia="宋体" w:cs="宋体" w:hAnsi="宋体" w:hint="eastAsia"/>
          <w:b/>
          <w:bCs/>
          <w:color w:val="auto"/>
          <w:sz w:val="24"/>
          <w:szCs w:val="24"/>
          <w:highlight w:val="auto"/>
        </w:rPr>
      </w:pPr>
      <w:r>
        <w:rPr>
          <w:rFonts w:ascii="宋体" w:eastAsia="宋体" w:cs="宋体" w:hAnsi="宋体" w:hint="eastAsia"/>
          <w:b/>
          <w:bCs/>
          <w:color w:val="auto"/>
          <w:sz w:val="24"/>
          <w:szCs w:val="24"/>
          <w:lang w:eastAsia="zh-CN"/>
          <w:highlight w:val="auto"/>
        </w:rPr>
        <w:t>七、</w:t>
      </w:r>
      <w:r>
        <w:rPr>
          <w:rFonts w:ascii="宋体" w:eastAsia="宋体" w:cs="宋体" w:hAnsi="宋体" w:hint="eastAsia"/>
          <w:b/>
          <w:bCs/>
          <w:color w:val="auto"/>
          <w:sz w:val="24"/>
          <w:szCs w:val="24"/>
          <w:highlight w:val="auto"/>
        </w:rPr>
        <w:t>发布公告的媒介：</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jc w:val="both"/>
        <w:textAlignment w:val="auto"/>
        <w:rPr>
          <w:rFonts w:ascii="宋体" w:eastAsia="宋体" w:cs="宋体" w:hAnsi="宋体" w:hint="eastAsia"/>
          <w:b/>
          <w:bCs/>
          <w:color w:val="auto"/>
          <w:sz w:val="24"/>
          <w:szCs w:val="24"/>
          <w:highlight w:val="auto"/>
        </w:rPr>
      </w:pPr>
      <w:r>
        <w:rPr>
          <w:rFonts w:ascii="宋体" w:eastAsia="宋体" w:cs="宋体" w:hAnsi="宋体" w:hint="eastAsia"/>
          <w:b w:val="0"/>
          <w:bCs w:val="0"/>
          <w:color w:val="auto"/>
          <w:sz w:val="24"/>
          <w:szCs w:val="24"/>
          <w:highlight w:val="auto"/>
        </w:rPr>
        <w:t>本次招标公告同时在</w:t>
      </w:r>
      <w:r>
        <w:rPr>
          <w:rFonts w:ascii="宋体" w:eastAsia="宋体" w:cs="宋体" w:hAnsi="宋体" w:hint="eastAsia"/>
          <w:b w:val="0"/>
          <w:bCs w:val="0"/>
          <w:color w:val="auto"/>
          <w:sz w:val="24"/>
          <w:szCs w:val="24"/>
          <w:u w:val="single"/>
          <w:highlight w:val="auto"/>
        </w:rPr>
        <w:t>中国邮政网、中国金融集中采购网</w:t>
      </w:r>
      <w:r>
        <w:rPr>
          <w:rFonts w:ascii="宋体" w:eastAsia="宋体" w:cs="宋体" w:hAnsi="宋体" w:hint="eastAsia"/>
          <w:b w:val="0"/>
          <w:bCs w:val="0"/>
          <w:color w:val="auto"/>
          <w:sz w:val="24"/>
          <w:szCs w:val="24"/>
          <w:u w:val="single"/>
          <w:lang w:eastAsia="zh-CN"/>
          <w:highlight w:val="auto"/>
        </w:rPr>
        <w:t>（金采网）</w:t>
      </w:r>
      <w:r>
        <w:rPr>
          <w:rFonts w:ascii="宋体" w:eastAsia="宋体" w:cs="宋体" w:hAnsi="宋体" w:hint="eastAsia"/>
          <w:b w:val="0"/>
          <w:bCs w:val="0"/>
          <w:color w:val="auto"/>
          <w:sz w:val="24"/>
          <w:szCs w:val="24"/>
          <w:u w:val="single"/>
          <w:highlight w:val="auto"/>
        </w:rPr>
        <w:t>、贵州省招标投标公共服务平台</w:t>
      </w:r>
      <w:r>
        <w:rPr>
          <w:rFonts w:ascii="宋体" w:eastAsia="宋体" w:cs="宋体" w:hAnsi="宋体" w:hint="eastAsia"/>
          <w:b w:val="0"/>
          <w:bCs w:val="0"/>
          <w:color w:val="auto"/>
          <w:sz w:val="24"/>
          <w:szCs w:val="24"/>
          <w:highlight w:val="auto"/>
        </w:rPr>
        <w:t>上发布（转载无效）。</w:t>
      </w:r>
    </w:p>
    <w:p>
      <w:pPr>
        <w:keepNext w:val="0"/>
        <w:keepLines w:val="0"/>
        <w:pageBreakBefore w:val="0"/>
        <w:widowControl w:val="0"/>
        <w:kinsoku/>
        <w:wordWrap/>
        <w:overflowPunct/>
        <w:topLinePunct w:val="0"/>
        <w:autoSpaceDE/>
        <w:autoSpaceDN/>
        <w:bidi w:val="0"/>
        <w:adjustRightInd/>
        <w:snapToGrid/>
        <w:spacing w:beforeLines="50" w:before="156" w:afterLines="50" w:after="156" w:line="240" w:lineRule="auto"/>
        <w:jc w:val="both"/>
        <w:textAlignment w:val="auto"/>
        <w:rPr>
          <w:rFonts w:ascii="宋体" w:eastAsia="宋体" w:cs="宋体" w:hAnsi="宋体" w:hint="eastAsia"/>
          <w:b/>
          <w:bCs/>
          <w:color w:val="auto"/>
          <w:sz w:val="24"/>
          <w:szCs w:val="24"/>
          <w:highlight w:val="auto"/>
        </w:rPr>
      </w:pPr>
      <w:r>
        <w:rPr>
          <w:rFonts w:ascii="宋体" w:eastAsia="宋体" w:cs="宋体" w:hAnsi="宋体" w:hint="eastAsia"/>
          <w:b/>
          <w:bCs/>
          <w:color w:val="auto"/>
          <w:sz w:val="24"/>
          <w:szCs w:val="24"/>
          <w:lang w:eastAsia="zh-CN"/>
          <w:highlight w:val="auto"/>
        </w:rPr>
        <w:t>八</w:t>
      </w:r>
      <w:r>
        <w:rPr>
          <w:rFonts w:ascii="宋体" w:eastAsia="宋体" w:cs="宋体" w:hAnsi="宋体" w:hint="eastAsia"/>
          <w:b/>
          <w:bCs/>
          <w:color w:val="auto"/>
          <w:sz w:val="24"/>
          <w:szCs w:val="24"/>
          <w:highlight w:val="auto"/>
        </w:rPr>
        <w:t>、采购人</w:t>
      </w:r>
      <w:r>
        <w:rPr>
          <w:rFonts w:ascii="宋体" w:eastAsia="宋体" w:cs="宋体" w:hAnsi="宋体" w:hint="eastAsia"/>
          <w:b/>
          <w:bCs/>
          <w:color w:val="auto"/>
          <w:sz w:val="24"/>
          <w:szCs w:val="24"/>
          <w:lang w:eastAsia="zh-CN"/>
          <w:highlight w:val="auto"/>
        </w:rPr>
        <w:t>及代理机构信息</w:t>
      </w:r>
      <w:r>
        <w:rPr>
          <w:rFonts w:ascii="宋体" w:eastAsia="宋体" w:cs="宋体" w:hAnsi="宋体" w:hint="eastAsia"/>
          <w:b/>
          <w:bCs/>
          <w:color w:val="auto"/>
          <w:sz w:val="24"/>
          <w:szCs w:val="24"/>
          <w:highlight w:val="auto"/>
        </w:rPr>
        <w:t>：</w:t>
      </w:r>
    </w:p>
    <w:tbl>
      <w:tblPr>
        <w:jc w:val="center"/>
        <w:tblW w:w="911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647"/>
        <w:gridCol w:w="4472"/>
      </w:tblGrid>
      <w:tr>
        <w:trPr>
          <w:trHeight w:val="405"/>
        </w:trPr>
        <w:tc>
          <w:tcPr>
            <w:tcW w:w="464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textAlignment w:val="auto"/>
              <w:rPr>
                <w:rFonts w:ascii="宋体" w:eastAsia="宋体" w:cs="宋体" w:hAnsi="宋体" w:hint="eastAsia"/>
                <w:color w:val="auto"/>
                <w:sz w:val="24"/>
                <w:szCs w:val="24"/>
                <w:lang w:eastAsia="zh-CN"/>
                <w:highlight w:val="auto"/>
              </w:rPr>
            </w:pPr>
            <w:r>
              <w:rPr>
                <w:rFonts w:ascii="宋体" w:eastAsia="宋体" w:cs="宋体" w:hAnsi="宋体" w:hint="eastAsia"/>
                <w:color w:val="auto"/>
                <w:sz w:val="24"/>
                <w:szCs w:val="24"/>
                <w:highlight w:val="auto"/>
              </w:rPr>
              <w:t>采购人：</w:t>
            </w:r>
            <w:r>
              <w:rPr>
                <w:rFonts w:ascii="宋体" w:eastAsia="宋体" w:cs="宋体" w:hAnsi="宋体" w:hint="eastAsia"/>
                <w:color w:val="auto"/>
                <w:sz w:val="24"/>
                <w:szCs w:val="24"/>
                <w:lang w:eastAsia="zh-CN"/>
                <w:highlight w:val="auto"/>
              </w:rPr>
              <w:t>中国邮政储蓄银行安顺市分行</w:t>
            </w:r>
          </w:p>
        </w:tc>
        <w:tc>
          <w:tcPr>
            <w:tcW w:w="4472"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textAlignment w:val="auto"/>
              <w:rPr>
                <w:rFonts w:ascii="宋体" w:eastAsia="宋体" w:cs="宋体" w:hAnsi="宋体" w:hint="eastAsia"/>
                <w:color w:val="auto"/>
                <w:sz w:val="24"/>
                <w:szCs w:val="24"/>
                <w:highlight w:val="auto"/>
              </w:rPr>
            </w:pPr>
            <w:r>
              <w:rPr>
                <w:rFonts w:ascii="宋体" w:eastAsia="宋体" w:cs="宋体" w:hAnsi="宋体" w:hint="eastAsia"/>
                <w:color w:val="auto"/>
                <w:sz w:val="24"/>
                <w:szCs w:val="24"/>
                <w:highlight w:val="auto"/>
              </w:rPr>
              <w:t>代理机构：</w:t>
            </w:r>
            <w:r>
              <w:rPr>
                <w:rFonts w:ascii="宋体" w:eastAsia="宋体" w:cs="宋体" w:hAnsi="宋体" w:hint="eastAsia"/>
                <w:color w:val="auto"/>
                <w:sz w:val="24"/>
                <w:szCs w:val="24"/>
              </w:rPr>
              <w:t>鹏业云通建设咨询有限公司</w:t>
            </w:r>
          </w:p>
        </w:tc>
      </w:tr>
      <w:tr>
        <w:trPr>
          <w:trHeight w:val="896"/>
        </w:trPr>
        <w:tc>
          <w:tcPr>
            <w:tcW w:w="464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both"/>
              <w:textAlignment w:val="auto"/>
              <w:rPr>
                <w:rFonts w:ascii="宋体" w:eastAsia="宋体" w:cs="宋体" w:hAnsi="宋体" w:hint="eastAsia"/>
                <w:color w:val="auto"/>
                <w:sz w:val="24"/>
                <w:szCs w:val="24"/>
                <w:lang w:eastAsia="zh-CN"/>
                <w:highlight w:val="auto"/>
              </w:rPr>
            </w:pPr>
            <w:r>
              <w:rPr>
                <w:rFonts w:ascii="宋体" w:eastAsia="宋体" w:cs="宋体" w:hAnsi="宋体" w:hint="eastAsia"/>
                <w:color w:val="auto"/>
                <w:sz w:val="24"/>
                <w:szCs w:val="24"/>
                <w:highlight w:val="auto"/>
              </w:rPr>
              <w:t>地址：</w:t>
            </w:r>
            <w:r>
              <w:rPr>
                <w:rFonts w:ascii="宋体" w:eastAsia="宋体" w:cs="宋体" w:hAnsi="宋体" w:hint="eastAsia"/>
                <w:color w:val="auto"/>
                <w:sz w:val="24"/>
                <w:szCs w:val="24"/>
                <w:lang w:eastAsia="zh-CN"/>
                <w:highlight w:val="auto"/>
              </w:rPr>
              <w:t>贵州省安顺市西秀区东关龙青路中段龙凤花园5号楼1层</w:t>
            </w:r>
          </w:p>
        </w:tc>
        <w:tc>
          <w:tcPr>
            <w:tcW w:w="4472"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textAlignment w:val="auto"/>
              <w:rPr>
                <w:rFonts w:ascii="宋体" w:eastAsia="宋体" w:cs="宋体" w:hAnsi="宋体" w:hint="eastAsia"/>
                <w:color w:val="auto"/>
                <w:sz w:val="24"/>
                <w:szCs w:val="24"/>
                <w:highlight w:val="auto"/>
              </w:rPr>
            </w:pPr>
            <w:r>
              <w:rPr>
                <w:rFonts w:ascii="宋体" w:eastAsia="宋体" w:cs="宋体" w:hAnsi="宋体" w:hint="eastAsia"/>
                <w:color w:val="auto"/>
                <w:sz w:val="24"/>
                <w:szCs w:val="24"/>
                <w:highlight w:val="auto"/>
              </w:rPr>
              <w:t>地址：贵阳市观山湖区毕节路 58 号联合广场4号楼33层</w:t>
            </w:r>
          </w:p>
        </w:tc>
      </w:tr>
      <w:tr>
        <w:trPr>
          <w:trHeight w:val="405"/>
        </w:trPr>
        <w:tc>
          <w:tcPr>
            <w:tcW w:w="464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textAlignment w:val="auto"/>
              <w:rPr>
                <w:rFonts w:ascii="宋体" w:eastAsia="宋体" w:cs="宋体" w:hAnsi="宋体" w:hint="eastAsia"/>
                <w:color w:val="auto"/>
                <w:sz w:val="24"/>
                <w:szCs w:val="24"/>
                <w:highlight w:val="auto"/>
              </w:rPr>
            </w:pPr>
            <w:r>
              <w:rPr>
                <w:rFonts w:ascii="宋体" w:eastAsia="宋体" w:cs="宋体" w:hAnsi="宋体" w:hint="eastAsia"/>
                <w:color w:val="auto"/>
                <w:sz w:val="24"/>
                <w:szCs w:val="24"/>
                <w:highlight w:val="auto"/>
              </w:rPr>
              <w:t>联系人：</w:t>
            </w:r>
            <w:r>
              <w:rPr>
                <w:rFonts w:ascii="宋体" w:eastAsia="宋体" w:cs="宋体" w:hAnsi="宋体" w:hint="eastAsia"/>
                <w:color w:val="auto"/>
                <w:sz w:val="24"/>
                <w:szCs w:val="24"/>
                <w:lang w:val="en-US" w:eastAsia="zh-CN"/>
                <w:highlight w:val="auto"/>
              </w:rPr>
              <w:t>侯</w:t>
            </w:r>
            <w:r>
              <w:rPr>
                <w:rFonts w:ascii="宋体" w:eastAsia="宋体" w:cs="宋体" w:hAnsi="宋体" w:hint="eastAsia"/>
                <w:color w:val="auto"/>
                <w:sz w:val="24"/>
                <w:szCs w:val="24"/>
                <w:lang w:eastAsia="zh-CN"/>
                <w:highlight w:val="auto"/>
              </w:rPr>
              <w:t>女士</w:t>
            </w:r>
          </w:p>
        </w:tc>
        <w:tc>
          <w:tcPr>
            <w:tcW w:w="4472"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textAlignment w:val="auto"/>
              <w:rPr>
                <w:rFonts w:ascii="宋体" w:eastAsia="宋体" w:cs="宋体" w:hAnsi="宋体" w:hint="eastAsia"/>
                <w:color w:val="auto"/>
                <w:sz w:val="24"/>
                <w:szCs w:val="24"/>
                <w:lang w:eastAsia="zh-CN"/>
                <w:highlight w:val="auto"/>
              </w:rPr>
            </w:pPr>
            <w:r>
              <w:rPr>
                <w:rFonts w:ascii="宋体" w:eastAsia="宋体" w:cs="宋体" w:hAnsi="宋体" w:hint="eastAsia"/>
                <w:color w:val="auto"/>
                <w:sz w:val="24"/>
                <w:szCs w:val="24"/>
                <w:highlight w:val="auto"/>
              </w:rPr>
              <w:t>联系人：</w:t>
            </w:r>
            <w:r>
              <w:rPr>
                <w:rFonts w:ascii="宋体" w:eastAsia="宋体" w:cs="宋体" w:hAnsi="宋体" w:hint="eastAsia"/>
                <w:color w:val="auto"/>
                <w:sz w:val="24"/>
                <w:szCs w:val="24"/>
                <w:lang w:eastAsia="zh-CN"/>
                <w:highlight w:val="auto"/>
              </w:rPr>
              <w:t>杨答</w:t>
            </w:r>
          </w:p>
        </w:tc>
      </w:tr>
      <w:tr>
        <w:trPr>
          <w:trHeight w:val="418"/>
        </w:trPr>
        <w:tc>
          <w:tcPr>
            <w:tcW w:w="464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jc w:val="both"/>
              <w:textAlignment w:val="auto"/>
              <w:rPr>
                <w:rFonts w:ascii="宋体" w:eastAsia="宋体" w:cs="宋体" w:hAnsi="宋体" w:hint="eastAsia"/>
                <w:color w:val="auto"/>
                <w:sz w:val="24"/>
                <w:szCs w:val="24"/>
                <w:highlight w:val="auto"/>
              </w:rPr>
            </w:pPr>
            <w:r>
              <w:rPr>
                <w:rFonts w:ascii="宋体" w:eastAsia="宋体" w:cs="宋体" w:hAnsi="宋体" w:hint="eastAsia"/>
                <w:color w:val="auto"/>
                <w:sz w:val="24"/>
                <w:szCs w:val="24"/>
                <w:highlight w:val="auto"/>
              </w:rPr>
              <w:t>电话：</w:t>
            </w:r>
            <w:r>
              <w:rPr>
                <w:rFonts w:ascii="宋体" w:eastAsia="宋体" w:cs="宋体" w:hAnsi="宋体" w:hint="eastAsia"/>
                <w:color w:val="auto"/>
                <w:sz w:val="24"/>
                <w:szCs w:val="24"/>
                <w:lang w:eastAsia="zh-CN"/>
                <w:highlight w:val="auto"/>
              </w:rPr>
              <w:t>0851-</w:t>
            </w:r>
            <w:r>
              <w:rPr>
                <w:rFonts w:ascii="宋体" w:eastAsia="宋体" w:cs="宋体" w:hAnsi="宋体" w:hint="eastAsia"/>
                <w:color w:val="auto"/>
                <w:sz w:val="24"/>
                <w:szCs w:val="24"/>
                <w:lang w:val="en-US" w:eastAsia="zh-CN"/>
                <w:highlight w:val="auto"/>
              </w:rPr>
              <w:t>33237010</w:t>
            </w:r>
          </w:p>
        </w:tc>
        <w:tc>
          <w:tcPr>
            <w:tcW w:w="4472"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Chars="0" w:firstLine="0"/>
              <w:textAlignment w:val="auto"/>
              <w:rPr>
                <w:rFonts w:ascii="宋体" w:eastAsia="宋体" w:cs="宋体" w:hAnsi="宋体" w:hint="eastAsia"/>
                <w:color w:val="auto"/>
                <w:sz w:val="24"/>
                <w:szCs w:val="24"/>
                <w:highlight w:val="auto"/>
              </w:rPr>
            </w:pPr>
            <w:r>
              <w:rPr>
                <w:rFonts w:ascii="宋体" w:eastAsia="宋体" w:cs="宋体" w:hAnsi="宋体" w:hint="eastAsia"/>
                <w:color w:val="auto"/>
                <w:sz w:val="24"/>
                <w:szCs w:val="24"/>
                <w:highlight w:val="auto"/>
              </w:rPr>
              <w:t>电话：</w:t>
            </w:r>
            <w:r>
              <w:rPr>
                <w:rFonts w:ascii="宋体" w:eastAsia="宋体" w:cs="宋体" w:hAnsi="宋体" w:hint="eastAsia"/>
                <w:color w:val="auto"/>
                <w:sz w:val="24"/>
                <w:szCs w:val="24"/>
                <w:lang w:eastAsia="zh-CN"/>
              </w:rPr>
              <w:t>0851-86782308</w:t>
            </w:r>
            <w:r>
              <w:rPr>
                <w:rFonts w:ascii="宋体" w:eastAsia="宋体" w:cs="宋体" w:hAnsi="宋体" w:hint="eastAsia"/>
                <w:color w:val="auto"/>
                <w:sz w:val="24"/>
                <w:szCs w:val="24"/>
              </w:rPr>
              <w:t>、</w:t>
            </w:r>
            <w:r>
              <w:rPr>
                <w:rFonts w:ascii="宋体" w:eastAsia="宋体" w:cs="宋体" w:hAnsi="宋体" w:hint="eastAsia"/>
                <w:color w:val="auto"/>
                <w:sz w:val="24"/>
                <w:szCs w:val="24"/>
                <w:lang w:eastAsia="zh-CN"/>
              </w:rPr>
              <w:t>18385683800</w:t>
            </w:r>
          </w:p>
        </w:tc>
      </w:tr>
    </w:tbl>
    <w:p>
      <w:bookmarkEnd w:id="0"/>
    </w:p>
    <w:sectPr>
      <w:pgSz w:w="11906" w:h="16838"/>
      <w:pgMar w:top="1157" w:right="1080" w:bottom="1157" w:left="108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8"/>
    <w:family w:val="auto"/>
    <w:pitch w:val="variable"/>
    <w:sig w:usb0="00000003" w:usb1="288F0000" w:usb2="00000006" w:usb3="00000000" w:csb0="00040001" w:csb1="00000000"/>
  </w:font>
  <w:font w:name="Times New Roman">
    <w:panose1 w:val="02020603050405020304"/>
    <w:charset w:val="01"/>
    <w:family w:val="auto"/>
    <w:pitch w:val="variable"/>
    <w:sig w:usb0="E0002AFF" w:usb1="C0007841" w:usb2="00000009" w:usb3="00000000" w:csb0="400001FF" w:csb1="FFFF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D781859"/>
    <w:multiLevelType w:val="singleLevel"/>
    <w:tmpl w:val="CD781859"/>
    <w:lvl w:ilvl="0">
      <w:start w:val="4"/>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YWM3YThlMmM5NzBmODVmZTAzMTFhYmQ4MmYxMjc3Zm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6"/>
    <w:pPr>
      <w:widowControl w:val="0"/>
      <w:spacing w:line="360" w:lineRule="auto"/>
      <w:ind w:firstLineChars="200" w:firstLine="200"/>
    </w:pPr>
    <w:rPr>
      <w:rFonts w:ascii="Times New Roman" w:eastAsia="宋体" w:cs="Times New Roman" w:hAnsi="Times New Roman"/>
      <w:kern w:val="2"/>
      <w:sz w:val="24"/>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Body Text Indent1"/>
    <w:basedOn w:val="0"/>
    <w:pPr>
      <w:spacing w:line="500" w:lineRule="exact"/>
      <w:ind w:left="0" w:firstLineChars="200" w:firstLine="200"/>
    </w:pPr>
    <w:rPr>
      <w:rFonts w:ascii="Times New Roman" w:eastAsia="宋体" w:cs="Times New Roman" w:hAnsi="Times New Roman"/>
    </w:rPr>
  </w:style>
  <w:style w:type="paragraph" w:customStyle="1" w:styleId="16">
    <w:name w:val="Body Text First Indent 21"/>
    <w:basedOn w:val="15"/>
    <w:next w:val="0"/>
    <w:pPr>
      <w:ind w:firstLineChars="200" w:firstLine="200"/>
    </w:pPr>
  </w:style>
  <w:style w:type="character" w:styleId="17">
    <w:name w:val="Strong"/>
    <w:basedOn w:val="10"/>
    <w:rPr>
      <w:rFonts w:ascii="Times New Roman" w:eastAsia="黑体" w:cs="Times New Roman" w:hAnsi="Times New Roman"/>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9ED9B3F-CD33-4355-86C4-15788AF5A1F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20</TotalTime>
  <Application>Yozo_Office27021597764231179</Application>
  <Pages>3</Pages>
  <Words>0</Words>
  <Characters>1792</Characters>
  <Lines>0</Lines>
  <Paragraphs>54</Paragraphs>
  <CharactersWithSpaces>2390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18285033814</dc:creator>
  <cp:lastModifiedBy>Think</cp:lastModifiedBy>
  <cp:revision>1</cp:revision>
  <dcterms:created xsi:type="dcterms:W3CDTF">2023-08-10T09:31:00Z</dcterms:created>
  <dcterms:modified xsi:type="dcterms:W3CDTF">2023-08-24T01:07:29Z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690C39978985483C9BB9F01F5C43EDAF_11</vt:lpwstr>
  </property>
</Properties>
</file>