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1F6D90">
      <w:pPr>
        <w:widowControl/>
        <w:spacing w:before="156" w:after="156" w:line="400" w:lineRule="exact"/>
        <w:rPr>
          <w:rFonts w:hint="eastAsia" w:ascii="宋体" w:cs="仿宋"/>
          <w:b/>
          <w:kern w:val="0"/>
          <w:sz w:val="24"/>
        </w:rPr>
      </w:pPr>
      <w:bookmarkStart w:id="0" w:name="_GoBack"/>
      <w:bookmarkEnd w:id="0"/>
      <w:r>
        <w:rPr>
          <w:rFonts w:hint="eastAsia" w:ascii="宋体" w:cs="仿宋"/>
          <w:b/>
          <w:kern w:val="0"/>
          <w:sz w:val="24"/>
        </w:rPr>
        <w:t xml:space="preserve">招标项目编号：  </w:t>
      </w:r>
    </w:p>
    <w:p w14:paraId="1361BD36">
      <w:pPr>
        <w:widowControl/>
        <w:spacing w:before="156" w:after="156" w:line="500" w:lineRule="exact"/>
        <w:jc w:val="center"/>
        <w:rPr>
          <w:rFonts w:hint="eastAsia" w:ascii="宋体" w:cs="宋体"/>
          <w:b/>
          <w:kern w:val="0"/>
          <w:sz w:val="44"/>
          <w:szCs w:val="44"/>
        </w:rPr>
      </w:pPr>
      <w:r>
        <w:rPr>
          <w:rFonts w:hint="eastAsia" w:ascii="宋体" w:cs="宋体"/>
          <w:b/>
          <w:kern w:val="0"/>
          <w:sz w:val="44"/>
          <w:szCs w:val="44"/>
          <w:u w:val="single"/>
        </w:rPr>
        <w:t xml:space="preserve">   </w:t>
      </w:r>
      <w:r>
        <w:rPr>
          <w:rFonts w:hint="eastAsia" w:ascii="宋体" w:cs="宋体"/>
          <w:b/>
          <w:kern w:val="0"/>
          <w:sz w:val="44"/>
          <w:szCs w:val="44"/>
        </w:rPr>
        <w:t>合同</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832"/>
        <w:gridCol w:w="4826"/>
      </w:tblGrid>
      <w:tr w14:paraId="27D20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74602E37">
            <w:pPr>
              <w:widowControl/>
              <w:spacing w:before="50" w:after="50" w:line="400" w:lineRule="exact"/>
              <w:jc w:val="left"/>
              <w:textAlignment w:val="baseline"/>
              <w:rPr>
                <w:rFonts w:hint="eastAsia" w:ascii="宋体" w:cs="仿宋"/>
                <w:kern w:val="0"/>
                <w:sz w:val="24"/>
              </w:rPr>
            </w:pPr>
            <w:r>
              <w:rPr>
                <w:rFonts w:hint="eastAsia" w:ascii="宋体" w:cs="仿宋"/>
                <w:kern w:val="0"/>
                <w:sz w:val="24"/>
              </w:rPr>
              <w:t>甲方（</w:t>
            </w:r>
            <w:r>
              <w:rPr>
                <w:rFonts w:hint="eastAsia" w:ascii="宋体" w:cs="仿宋"/>
                <w:color w:val="000000"/>
                <w:kern w:val="0"/>
                <w:sz w:val="24"/>
              </w:rPr>
              <w:t>买受人</w:t>
            </w:r>
            <w:r>
              <w:rPr>
                <w:rFonts w:hint="eastAsia" w:ascii="宋体" w:cs="仿宋"/>
                <w:kern w:val="0"/>
                <w:sz w:val="24"/>
              </w:rPr>
              <w:t xml:space="preserve">）：  </w:t>
            </w:r>
          </w:p>
        </w:tc>
        <w:tc>
          <w:tcPr>
            <w:tcW w:w="4927" w:type="dxa"/>
            <w:tcBorders>
              <w:top w:val="nil"/>
              <w:left w:val="nil"/>
              <w:bottom w:val="nil"/>
              <w:right w:val="nil"/>
              <w:tl2br w:val="nil"/>
              <w:tr2bl w:val="nil"/>
            </w:tcBorders>
          </w:tcPr>
          <w:p w14:paraId="0256BE9F">
            <w:pPr>
              <w:widowControl/>
              <w:spacing w:before="50" w:after="50" w:line="400" w:lineRule="exact"/>
              <w:jc w:val="left"/>
              <w:textAlignment w:val="baseline"/>
              <w:rPr>
                <w:rFonts w:hint="eastAsia" w:ascii="宋体" w:cs="仿宋"/>
                <w:kern w:val="0"/>
                <w:sz w:val="24"/>
              </w:rPr>
            </w:pPr>
            <w:r>
              <w:rPr>
                <w:rFonts w:hint="eastAsia" w:ascii="宋体" w:cs="仿宋"/>
                <w:kern w:val="0"/>
                <w:sz w:val="24"/>
              </w:rPr>
              <w:t xml:space="preserve">合同编号：  </w:t>
            </w:r>
          </w:p>
        </w:tc>
      </w:tr>
      <w:tr w14:paraId="1B024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2DD76F93">
            <w:pPr>
              <w:widowControl/>
              <w:spacing w:before="50" w:after="50" w:line="400" w:lineRule="exact"/>
              <w:jc w:val="left"/>
              <w:textAlignment w:val="baseline"/>
              <w:rPr>
                <w:rFonts w:hint="eastAsia" w:ascii="宋体" w:cs="仿宋"/>
                <w:kern w:val="0"/>
                <w:sz w:val="24"/>
              </w:rPr>
            </w:pPr>
            <w:r>
              <w:rPr>
                <w:rFonts w:hint="eastAsia" w:ascii="宋体" w:cs="仿宋"/>
                <w:kern w:val="0"/>
                <w:sz w:val="24"/>
              </w:rPr>
              <w:t>乙方（</w:t>
            </w:r>
            <w:r>
              <w:rPr>
                <w:rFonts w:hint="eastAsia" w:ascii="宋体" w:cs="仿宋"/>
                <w:color w:val="000000"/>
                <w:kern w:val="0"/>
                <w:sz w:val="24"/>
              </w:rPr>
              <w:t>出卖人</w:t>
            </w:r>
            <w:r>
              <w:rPr>
                <w:rFonts w:hint="eastAsia" w:ascii="宋体" w:cs="仿宋"/>
                <w:kern w:val="0"/>
                <w:sz w:val="24"/>
              </w:rPr>
              <w:t xml:space="preserve">）：  </w:t>
            </w:r>
          </w:p>
        </w:tc>
        <w:tc>
          <w:tcPr>
            <w:tcW w:w="4927" w:type="dxa"/>
            <w:tcBorders>
              <w:top w:val="nil"/>
              <w:left w:val="nil"/>
              <w:bottom w:val="nil"/>
              <w:right w:val="nil"/>
              <w:tl2br w:val="nil"/>
              <w:tr2bl w:val="nil"/>
            </w:tcBorders>
          </w:tcPr>
          <w:p w14:paraId="472F770C">
            <w:pPr>
              <w:widowControl/>
              <w:spacing w:before="50" w:after="50" w:line="400" w:lineRule="exact"/>
              <w:jc w:val="left"/>
              <w:textAlignment w:val="baseline"/>
              <w:rPr>
                <w:rFonts w:hint="eastAsia" w:ascii="宋体" w:cs="仿宋"/>
                <w:kern w:val="0"/>
                <w:sz w:val="24"/>
              </w:rPr>
            </w:pPr>
            <w:r>
              <w:rPr>
                <w:rFonts w:hint="eastAsia" w:ascii="宋体" w:cs="仿宋"/>
                <w:kern w:val="0"/>
                <w:sz w:val="24"/>
              </w:rPr>
              <w:t>合同签订地：平山县</w:t>
            </w:r>
          </w:p>
        </w:tc>
      </w:tr>
      <w:tr w14:paraId="3DA5F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388D6720">
            <w:pPr>
              <w:widowControl/>
              <w:spacing w:before="50" w:after="50" w:line="400" w:lineRule="exact"/>
              <w:jc w:val="left"/>
              <w:textAlignment w:val="baseline"/>
              <w:rPr>
                <w:rFonts w:hint="eastAsia" w:ascii="宋体" w:cs="仿宋"/>
                <w:kern w:val="0"/>
                <w:sz w:val="24"/>
              </w:rPr>
            </w:pPr>
            <w:r>
              <w:rPr>
                <w:rFonts w:hint="eastAsia" w:ascii="宋体" w:cs="仿宋"/>
                <w:kern w:val="0"/>
                <w:sz w:val="24"/>
              </w:rPr>
              <w:t xml:space="preserve">签订时间：  </w:t>
            </w:r>
          </w:p>
        </w:tc>
        <w:tc>
          <w:tcPr>
            <w:tcW w:w="4927" w:type="dxa"/>
            <w:tcBorders>
              <w:top w:val="nil"/>
              <w:left w:val="nil"/>
              <w:bottom w:val="nil"/>
              <w:right w:val="nil"/>
              <w:tl2br w:val="nil"/>
              <w:tr2bl w:val="nil"/>
            </w:tcBorders>
          </w:tcPr>
          <w:p w14:paraId="620A6451">
            <w:pPr>
              <w:widowControl/>
              <w:spacing w:before="50" w:after="50" w:line="400" w:lineRule="exact"/>
              <w:jc w:val="left"/>
              <w:textAlignment w:val="baseline"/>
              <w:rPr>
                <w:rFonts w:hint="eastAsia" w:ascii="宋体" w:cs="仿宋"/>
                <w:kern w:val="0"/>
                <w:sz w:val="24"/>
              </w:rPr>
            </w:pPr>
            <w:r>
              <w:rPr>
                <w:rFonts w:hint="eastAsia" w:ascii="宋体" w:cs="仿宋"/>
                <w:kern w:val="0"/>
                <w:sz w:val="24"/>
              </w:rPr>
              <w:t>合同履行地：平山县</w:t>
            </w:r>
          </w:p>
        </w:tc>
      </w:tr>
    </w:tbl>
    <w:p w14:paraId="1F33FAD0"/>
    <w:p w14:paraId="49CD5761">
      <w:pPr>
        <w:widowControl/>
        <w:tabs>
          <w:tab w:val="left" w:pos="5910"/>
        </w:tabs>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双方本着平等、友好、互利互惠、共同发展的原则，就甲方向乙方采购</w:t>
      </w:r>
      <w:r>
        <w:rPr>
          <w:rFonts w:hint="eastAsia" w:ascii="仿宋" w:eastAsia="仿宋" w:cs="仿宋"/>
          <w:color w:val="auto"/>
          <w:kern w:val="0"/>
          <w:sz w:val="28"/>
          <w:szCs w:val="28"/>
          <w:highlight w:val="none"/>
        </w:rPr>
        <w:t xml:space="preserve">  </w:t>
      </w:r>
      <w:r>
        <w:rPr>
          <w:rFonts w:hint="eastAsia" w:ascii="仿宋" w:eastAsia="仿宋" w:cs="仿宋"/>
          <w:color w:val="auto"/>
          <w:sz w:val="28"/>
          <w:szCs w:val="28"/>
          <w:highlight w:val="none"/>
        </w:rPr>
        <w:t>事宜达成以下条款，双方承诺共同信守执行。</w:t>
      </w:r>
    </w:p>
    <w:p w14:paraId="4CF1D3FB">
      <w:pPr>
        <w:widowControl/>
        <w:tabs>
          <w:tab w:val="left" w:pos="420"/>
          <w:tab w:val="left" w:pos="540"/>
        </w:tabs>
        <w:spacing w:line="400" w:lineRule="exact"/>
        <w:ind w:left="420" w:hanging="420"/>
        <w:jc w:val="left"/>
        <w:rPr>
          <w:rFonts w:hint="eastAsia" w:ascii="仿宋" w:eastAsia="仿宋" w:cs="仿宋"/>
          <w:color w:val="auto"/>
          <w:kern w:val="0"/>
          <w:sz w:val="28"/>
          <w:szCs w:val="28"/>
          <w:highlight w:val="none"/>
        </w:rPr>
      </w:pPr>
      <w:r>
        <w:rPr>
          <w:rFonts w:hint="eastAsia" w:ascii="仿宋" w:eastAsia="仿宋" w:cs="仿宋"/>
          <w:b/>
          <w:color w:val="auto"/>
          <w:kern w:val="0"/>
          <w:sz w:val="28"/>
          <w:szCs w:val="28"/>
          <w:highlight w:val="none"/>
        </w:rPr>
        <w:t>一、产品名称、规格型号、数量、金额、交货日期</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36"/>
        <w:gridCol w:w="997"/>
        <w:gridCol w:w="997"/>
        <w:gridCol w:w="1027"/>
        <w:gridCol w:w="676"/>
        <w:gridCol w:w="676"/>
        <w:gridCol w:w="1057"/>
        <w:gridCol w:w="1057"/>
        <w:gridCol w:w="1320"/>
        <w:gridCol w:w="1015"/>
      </w:tblGrid>
      <w:tr w14:paraId="64F42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54" w:hRule="atLeast"/>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4FB640AE">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计划号</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90E8069">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存货编码</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6374AA6F">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产品名称</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C172E9A">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规格型号、品牌</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6CE79A3D">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0B3A1464">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数量</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4B767633">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单价（元）</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6FC8D508">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总价（元）</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14:paraId="60D9237B">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交货日期</w:t>
            </w:r>
          </w:p>
        </w:tc>
        <w:tc>
          <w:tcPr>
            <w:tcW w:w="1099" w:type="dxa"/>
            <w:tcBorders>
              <w:top w:val="single" w:color="auto" w:sz="4" w:space="0"/>
              <w:left w:val="single" w:color="auto" w:sz="4" w:space="0"/>
              <w:bottom w:val="single" w:color="auto" w:sz="4" w:space="0"/>
              <w:right w:val="single" w:color="auto" w:sz="4" w:space="0"/>
              <w:tl2br w:val="nil"/>
              <w:tr2bl w:val="nil"/>
            </w:tcBorders>
            <w:vAlign w:val="center"/>
          </w:tcPr>
          <w:p w14:paraId="114B666A">
            <w:pPr>
              <w:widowControl/>
              <w:tabs>
                <w:tab w:val="left" w:pos="540"/>
              </w:tabs>
              <w:spacing w:line="400" w:lineRule="exact"/>
              <w:jc w:val="center"/>
              <w:rPr>
                <w:rFonts w:hint="eastAsia" w:ascii="仿宋" w:eastAsia="仿宋" w:cs="仿宋"/>
                <w:bCs/>
                <w:color w:val="auto"/>
                <w:kern w:val="0"/>
                <w:sz w:val="28"/>
                <w:szCs w:val="28"/>
                <w:highlight w:val="none"/>
              </w:rPr>
            </w:pPr>
            <w:r>
              <w:rPr>
                <w:rFonts w:hint="eastAsia" w:ascii="仿宋" w:eastAsia="仿宋" w:cs="仿宋"/>
                <w:bCs/>
                <w:color w:val="auto"/>
                <w:kern w:val="0"/>
                <w:sz w:val="28"/>
                <w:szCs w:val="28"/>
                <w:highlight w:val="none"/>
              </w:rPr>
              <w:t>备注</w:t>
            </w:r>
          </w:p>
        </w:tc>
      </w:tr>
      <w:tr w14:paraId="7AEE9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73" w:hRule="atLeast"/>
        </w:trPr>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099A7299">
            <w:pPr>
              <w:spacing w:line="400" w:lineRule="exact"/>
              <w:jc w:val="center"/>
              <w:rPr>
                <w:rFonts w:hint="eastAsia" w:ascii="仿宋" w:eastAsia="仿宋" w:cs="仿宋"/>
                <w:b/>
                <w:color w:val="auto"/>
                <w:sz w:val="28"/>
                <w:szCs w:val="28"/>
                <w:highlight w:val="none"/>
              </w:rPr>
            </w:pPr>
            <w:r>
              <w:rPr>
                <w:rFonts w:hint="eastAsia" w:ascii="仿宋" w:eastAsia="仿宋" w:cs="仿宋"/>
                <w:color w:val="auto"/>
                <w:kern w:val="0"/>
                <w:sz w:val="28"/>
                <w:szCs w:val="28"/>
                <w:highlight w:val="none"/>
              </w:rPr>
              <w:t xml:space="preserve">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3892C527">
            <w:pPr>
              <w:spacing w:line="400" w:lineRule="exact"/>
              <w:jc w:val="center"/>
              <w:rPr>
                <w:rFonts w:hint="eastAsia" w:ascii="仿宋" w:eastAsia="仿宋" w:cs="仿宋"/>
                <w:b/>
                <w:color w:val="auto"/>
                <w:sz w:val="28"/>
                <w:szCs w:val="28"/>
                <w:highlight w:val="none"/>
              </w:rPr>
            </w:pPr>
            <w:r>
              <w:rPr>
                <w:rFonts w:hint="eastAsia" w:ascii="仿宋" w:eastAsia="仿宋" w:cs="仿宋"/>
                <w:color w:val="auto"/>
                <w:kern w:val="0"/>
                <w:sz w:val="28"/>
                <w:szCs w:val="28"/>
                <w:highlight w:val="none"/>
              </w:rPr>
              <w:t xml:space="preserve">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6F9F9B5B">
            <w:pPr>
              <w:spacing w:line="400" w:lineRule="exact"/>
              <w:jc w:val="center"/>
              <w:rPr>
                <w:rFonts w:hint="eastAsia" w:ascii="仿宋" w:eastAsia="仿宋" w:cs="仿宋"/>
                <w:b/>
                <w:color w:val="auto"/>
                <w:sz w:val="28"/>
                <w:szCs w:val="28"/>
                <w:highlight w:val="none"/>
              </w:rPr>
            </w:pPr>
            <w:r>
              <w:rPr>
                <w:rFonts w:hint="eastAsia" w:ascii="仿宋" w:eastAsia="仿宋" w:cs="仿宋"/>
                <w:color w:val="auto"/>
                <w:kern w:val="0"/>
                <w:sz w:val="28"/>
                <w:szCs w:val="28"/>
                <w:highlight w:val="none"/>
              </w:rPr>
              <w:t xml:space="preserve">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4E2015E5">
            <w:pPr>
              <w:spacing w:line="400" w:lineRule="exact"/>
              <w:jc w:val="center"/>
              <w:rPr>
                <w:rFonts w:hint="eastAsia" w:ascii="仿宋" w:eastAsia="仿宋" w:cs="仿宋"/>
                <w:b/>
                <w:color w:val="auto"/>
                <w:sz w:val="28"/>
                <w:szCs w:val="28"/>
                <w:highlight w:val="none"/>
              </w:rPr>
            </w:pPr>
            <w:r>
              <w:rPr>
                <w:rFonts w:hint="eastAsia" w:ascii="仿宋" w:eastAsia="仿宋" w:cs="仿宋"/>
                <w:color w:val="auto"/>
                <w:kern w:val="0"/>
                <w:sz w:val="28"/>
                <w:szCs w:val="28"/>
                <w:highlight w:val="none"/>
              </w:rPr>
              <w:t xml:space="preserve">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35BCC77A">
            <w:pPr>
              <w:spacing w:line="400" w:lineRule="exact"/>
              <w:jc w:val="center"/>
              <w:rPr>
                <w:rFonts w:hint="eastAsia" w:ascii="仿宋" w:eastAsia="仿宋" w:cs="仿宋"/>
                <w:b/>
                <w:color w:val="auto"/>
                <w:sz w:val="28"/>
                <w:szCs w:val="28"/>
                <w:highlight w:val="none"/>
              </w:rPr>
            </w:pPr>
            <w:r>
              <w:rPr>
                <w:rFonts w:hint="eastAsia" w:ascii="仿宋" w:eastAsia="仿宋" w:cs="仿宋"/>
                <w:color w:val="auto"/>
                <w:kern w:val="0"/>
                <w:sz w:val="28"/>
                <w:szCs w:val="28"/>
                <w:highlight w:val="none"/>
              </w:rPr>
              <w:t xml:space="preserve">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9EF1954">
            <w:pPr>
              <w:spacing w:line="400" w:lineRule="exact"/>
              <w:jc w:val="center"/>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 xml:space="preserve">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1E036050">
            <w:pPr>
              <w:spacing w:line="400" w:lineRule="exact"/>
              <w:jc w:val="center"/>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 xml:space="preserve">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14:paraId="779EDEB9">
            <w:pPr>
              <w:spacing w:line="400" w:lineRule="exact"/>
              <w:jc w:val="center"/>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 xml:space="preserve">   </w:t>
            </w:r>
          </w:p>
        </w:tc>
        <w:tc>
          <w:tcPr>
            <w:tcW w:w="1440" w:type="dxa"/>
            <w:tcBorders>
              <w:left w:val="single" w:color="auto" w:sz="4" w:space="0"/>
              <w:right w:val="single" w:color="auto" w:sz="4" w:space="0"/>
              <w:tl2br w:val="nil"/>
              <w:tr2bl w:val="nil"/>
            </w:tcBorders>
            <w:vAlign w:val="center"/>
          </w:tcPr>
          <w:p w14:paraId="487DE41A">
            <w:pPr>
              <w:spacing w:line="400" w:lineRule="exact"/>
              <w:jc w:val="center"/>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 xml:space="preserve">   </w:t>
            </w:r>
          </w:p>
        </w:tc>
        <w:tc>
          <w:tcPr>
            <w:tcW w:w="1099" w:type="dxa"/>
            <w:tcBorders>
              <w:left w:val="single" w:color="auto" w:sz="4" w:space="0"/>
              <w:right w:val="single" w:color="auto" w:sz="4" w:space="0"/>
              <w:tl2br w:val="nil"/>
              <w:tr2bl w:val="nil"/>
            </w:tcBorders>
            <w:vAlign w:val="center"/>
          </w:tcPr>
          <w:p w14:paraId="5976DEBB">
            <w:pPr>
              <w:spacing w:line="400" w:lineRule="exact"/>
              <w:jc w:val="center"/>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 xml:space="preserve">   </w:t>
            </w:r>
          </w:p>
        </w:tc>
      </w:tr>
      <w:tr w14:paraId="632AD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4" w:hRule="atLeast"/>
        </w:trPr>
        <w:tc>
          <w:tcPr>
            <w:tcW w:w="102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5D55DF4B">
            <w:pPr>
              <w:widowControl/>
              <w:spacing w:line="400" w:lineRule="exact"/>
              <w:jc w:val="center"/>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 xml:space="preserve">   </w:t>
            </w:r>
          </w:p>
        </w:tc>
      </w:tr>
      <w:tr w14:paraId="0657E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24" w:hRule="atLeast"/>
        </w:trPr>
        <w:tc>
          <w:tcPr>
            <w:tcW w:w="102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40749405">
            <w:pPr>
              <w:widowControl/>
              <w:spacing w:line="400" w:lineRule="exact"/>
              <w:jc w:val="left"/>
              <w:rPr>
                <w:rFonts w:hint="eastAsia" w:ascii="仿宋" w:eastAsia="仿宋" w:cs="仿宋"/>
                <w:color w:val="auto"/>
                <w:kern w:val="0"/>
                <w:sz w:val="28"/>
                <w:szCs w:val="28"/>
                <w:highlight w:val="none"/>
              </w:rPr>
            </w:pPr>
            <w:r>
              <w:rPr>
                <w:rFonts w:hint="eastAsia" w:ascii="仿宋" w:eastAsia="仿宋" w:cs="仿宋"/>
                <w:b/>
                <w:color w:val="auto"/>
                <w:kern w:val="0"/>
                <w:sz w:val="28"/>
                <w:szCs w:val="28"/>
                <w:highlight w:val="none"/>
              </w:rPr>
              <w:t>合计￥：</w:t>
            </w:r>
            <w:r>
              <w:rPr>
                <w:rFonts w:hint="eastAsia" w:ascii="仿宋" w:eastAsia="仿宋" w:cs="仿宋"/>
                <w:color w:val="auto"/>
                <w:kern w:val="0"/>
                <w:sz w:val="28"/>
                <w:szCs w:val="28"/>
                <w:highlight w:val="none"/>
              </w:rPr>
              <w:t xml:space="preserve">   </w:t>
            </w:r>
            <w:r>
              <w:rPr>
                <w:rFonts w:hint="eastAsia" w:ascii="仿宋" w:eastAsia="仿宋" w:cs="仿宋"/>
                <w:b/>
                <w:color w:val="auto"/>
                <w:kern w:val="0"/>
                <w:sz w:val="28"/>
                <w:szCs w:val="28"/>
                <w:highlight w:val="none"/>
              </w:rPr>
              <w:t>元</w:t>
            </w:r>
            <w:r>
              <w:rPr>
                <w:rFonts w:hint="eastAsia" w:ascii="仿宋" w:eastAsia="仿宋" w:cs="仿宋"/>
                <w:bCs/>
                <w:color w:val="auto"/>
                <w:kern w:val="0"/>
                <w:sz w:val="28"/>
                <w:szCs w:val="28"/>
                <w:highlight w:val="none"/>
              </w:rPr>
              <w:t>（</w:t>
            </w:r>
            <w:r>
              <w:rPr>
                <w:rFonts w:hint="eastAsia" w:ascii="仿宋" w:eastAsia="仿宋" w:cs="仿宋"/>
                <w:b/>
                <w:color w:val="auto"/>
                <w:kern w:val="0"/>
                <w:sz w:val="28"/>
                <w:szCs w:val="28"/>
                <w:highlight w:val="none"/>
              </w:rPr>
              <w:t>含</w:t>
            </w:r>
            <w:r>
              <w:rPr>
                <w:rFonts w:hint="eastAsia" w:ascii="仿宋" w:eastAsia="仿宋" w:cs="仿宋"/>
                <w:color w:val="auto"/>
                <w:kern w:val="0"/>
                <w:sz w:val="28"/>
                <w:szCs w:val="28"/>
                <w:highlight w:val="none"/>
              </w:rPr>
              <w:t xml:space="preserve">   </w:t>
            </w:r>
            <w:r>
              <w:rPr>
                <w:rFonts w:hint="eastAsia" w:ascii="仿宋" w:eastAsia="仿宋" w:cs="仿宋"/>
                <w:b/>
                <w:color w:val="auto"/>
                <w:kern w:val="0"/>
                <w:sz w:val="28"/>
                <w:szCs w:val="28"/>
                <w:highlight w:val="none"/>
              </w:rPr>
              <w:t>%增值税</w:t>
            </w:r>
            <w:r>
              <w:rPr>
                <w:rFonts w:hint="eastAsia" w:ascii="仿宋" w:eastAsia="仿宋" w:cs="仿宋"/>
                <w:color w:val="auto"/>
                <w:kern w:val="0"/>
                <w:sz w:val="28"/>
                <w:szCs w:val="28"/>
                <w:highlight w:val="none"/>
              </w:rPr>
              <w:t xml:space="preserve">   </w:t>
            </w:r>
            <w:r>
              <w:rPr>
                <w:rFonts w:hint="eastAsia" w:ascii="仿宋" w:eastAsia="仿宋" w:cs="仿宋"/>
                <w:b/>
                <w:color w:val="auto"/>
                <w:kern w:val="0"/>
                <w:sz w:val="28"/>
                <w:szCs w:val="28"/>
                <w:highlight w:val="none"/>
              </w:rPr>
              <w:t>价，人民币大写：</w:t>
            </w:r>
            <w:r>
              <w:rPr>
                <w:rFonts w:hint="eastAsia" w:ascii="仿宋" w:eastAsia="仿宋" w:cs="仿宋"/>
                <w:color w:val="auto"/>
                <w:kern w:val="0"/>
                <w:sz w:val="28"/>
                <w:szCs w:val="28"/>
                <w:highlight w:val="none"/>
              </w:rPr>
              <w:t xml:space="preserve">   </w:t>
            </w:r>
            <w:r>
              <w:rPr>
                <w:rFonts w:hint="eastAsia" w:ascii="仿宋" w:eastAsia="仿宋" w:cs="仿宋"/>
                <w:b/>
                <w:color w:val="auto"/>
                <w:kern w:val="0"/>
                <w:sz w:val="28"/>
                <w:szCs w:val="28"/>
                <w:highlight w:val="none"/>
              </w:rPr>
              <w:t>。</w:t>
            </w:r>
            <w:r>
              <w:rPr>
                <w:rFonts w:hint="eastAsia" w:ascii="仿宋" w:eastAsia="仿宋" w:cs="仿宋"/>
                <w:color w:val="auto"/>
                <w:kern w:val="0"/>
                <w:sz w:val="28"/>
                <w:szCs w:val="28"/>
                <w:highlight w:val="none"/>
              </w:rPr>
              <w:t xml:space="preserve">增值税税款   </w:t>
            </w:r>
            <w:r>
              <w:rPr>
                <w:rFonts w:hint="eastAsia" w:ascii="仿宋" w:eastAsia="仿宋" w:cs="仿宋"/>
                <w:color w:val="auto"/>
                <w:sz w:val="28"/>
                <w:szCs w:val="28"/>
                <w:highlight w:val="none"/>
              </w:rPr>
              <w:t>元，</w:t>
            </w:r>
            <w:r>
              <w:rPr>
                <w:rFonts w:hint="eastAsia" w:ascii="仿宋" w:eastAsia="仿宋" w:cs="仿宋"/>
                <w:color w:val="auto"/>
                <w:kern w:val="0"/>
                <w:sz w:val="28"/>
                <w:szCs w:val="28"/>
                <w:highlight w:val="none"/>
              </w:rPr>
              <w:t xml:space="preserve">不含税金额   </w:t>
            </w:r>
            <w:r>
              <w:rPr>
                <w:rFonts w:hint="eastAsia" w:ascii="仿宋" w:eastAsia="仿宋" w:cs="仿宋"/>
                <w:color w:val="auto"/>
                <w:sz w:val="28"/>
                <w:szCs w:val="28"/>
                <w:highlight w:val="none"/>
              </w:rPr>
              <w:t>元。)</w:t>
            </w:r>
          </w:p>
        </w:tc>
      </w:tr>
      <w:tr w14:paraId="4111F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0" w:hRule="atLeast"/>
        </w:trPr>
        <w:tc>
          <w:tcPr>
            <w:tcW w:w="1027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43D95B50">
            <w:pPr>
              <w:widowControl/>
              <w:tabs>
                <w:tab w:val="left" w:pos="540"/>
              </w:tabs>
              <w:spacing w:line="400" w:lineRule="exact"/>
              <w:jc w:val="left"/>
              <w:rPr>
                <w:rFonts w:hint="eastAsia" w:ascii="仿宋" w:eastAsia="仿宋" w:cs="仿宋"/>
                <w:b/>
                <w:color w:val="auto"/>
                <w:kern w:val="0"/>
                <w:sz w:val="28"/>
                <w:szCs w:val="28"/>
                <w:highlight w:val="none"/>
              </w:rPr>
            </w:pPr>
            <w:r>
              <w:rPr>
                <w:rFonts w:hint="eastAsia" w:ascii="仿宋" w:eastAsia="仿宋" w:cs="仿宋"/>
                <w:color w:val="auto"/>
                <w:kern w:val="0"/>
                <w:sz w:val="28"/>
                <w:szCs w:val="28"/>
                <w:highlight w:val="none"/>
              </w:rPr>
              <w:t>上述合同总价包含</w:t>
            </w:r>
            <w:r>
              <w:rPr>
                <w:rFonts w:hint="eastAsia" w:ascii="仿宋" w:eastAsia="仿宋" w:cs="仿宋"/>
                <w:color w:val="auto"/>
                <w:sz w:val="28"/>
                <w:szCs w:val="28"/>
                <w:highlight w:val="none"/>
              </w:rPr>
              <w:t>乙方将货物运送至甲方指定交货地点并交付给甲方之前的所有费用（包括但不限于运输费、保险费、仓储费、损耗费、装卸费等）及后续相关费用（包括但不限于安装、调试、保修和维修、技术服务等），甲方无须向乙方另外支付合同总价之外的任何费用。合同履行期间，如遇国家的税率调整，则价税合计相应调整，以开具</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的时间为准。</w:t>
            </w:r>
          </w:p>
        </w:tc>
      </w:tr>
    </w:tbl>
    <w:p w14:paraId="4F2DCACF"/>
    <w:p w14:paraId="4ADEA84C">
      <w:pPr>
        <w:spacing w:line="400" w:lineRule="exact"/>
        <w:rPr>
          <w:rFonts w:hint="eastAsia" w:ascii="仿宋" w:eastAsia="仿宋" w:cs="仿宋"/>
          <w:b/>
          <w:color w:val="auto"/>
          <w:sz w:val="28"/>
          <w:szCs w:val="28"/>
          <w:highlight w:val="none"/>
        </w:rPr>
      </w:pPr>
      <w:r>
        <w:rPr>
          <w:rFonts w:hint="eastAsia" w:ascii="仿宋" w:eastAsia="仿宋" w:cs="仿宋"/>
          <w:b/>
          <w:color w:val="auto"/>
          <w:kern w:val="0"/>
          <w:sz w:val="28"/>
          <w:szCs w:val="28"/>
          <w:highlight w:val="none"/>
        </w:rPr>
        <w:t>二、运输方式和费用负担：</w:t>
      </w:r>
      <w:r>
        <w:rPr>
          <w:rFonts w:hint="eastAsia" w:ascii="仿宋" w:eastAsia="仿宋" w:cs="仿宋"/>
          <w:color w:val="auto"/>
          <w:kern w:val="0"/>
          <w:sz w:val="28"/>
          <w:szCs w:val="28"/>
          <w:highlight w:val="none"/>
        </w:rPr>
        <w:t>乙方负责运输，费用由乙方负担。</w:t>
      </w:r>
    </w:p>
    <w:p w14:paraId="502E64B8">
      <w:pPr>
        <w:widowControl/>
        <w:tabs>
          <w:tab w:val="left" w:pos="360"/>
          <w:tab w:val="left" w:pos="540"/>
        </w:tabs>
        <w:spacing w:line="400" w:lineRule="exact"/>
        <w:jc w:val="left"/>
        <w:rPr>
          <w:rFonts w:hint="eastAsia" w:ascii="仿宋" w:eastAsia="仿宋" w:cs="仿宋"/>
          <w:b/>
          <w:color w:val="auto"/>
          <w:kern w:val="0"/>
          <w:sz w:val="28"/>
          <w:szCs w:val="28"/>
          <w:highlight w:val="none"/>
        </w:rPr>
      </w:pPr>
      <w:r>
        <w:rPr>
          <w:rFonts w:hint="eastAsia" w:ascii="仿宋" w:eastAsia="仿宋" w:cs="仿宋"/>
          <w:b/>
          <w:color w:val="auto"/>
          <w:kern w:val="0"/>
          <w:sz w:val="28"/>
          <w:szCs w:val="28"/>
          <w:highlight w:val="none"/>
        </w:rPr>
        <w:t>三、交货地点、方式、产品所有权及风险转移</w:t>
      </w:r>
    </w:p>
    <w:p w14:paraId="734448B3">
      <w:pPr>
        <w:widowControl/>
        <w:tabs>
          <w:tab w:val="left" w:pos="360"/>
          <w:tab w:val="left" w:pos="540"/>
        </w:tabs>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1、乙方送货到甲方指定场地。</w:t>
      </w:r>
      <w:r>
        <w:rPr>
          <w:rFonts w:hint="eastAsia" w:ascii="仿宋" w:eastAsia="仿宋" w:cs="仿宋"/>
          <w:color w:val="auto"/>
          <w:sz w:val="28"/>
          <w:szCs w:val="28"/>
          <w:highlight w:val="none"/>
        </w:rPr>
        <w:t>乙方交付产品应带发货清单一式三份及合格证，现场测绘件须带图纸，若上述资料不全，甲方有权拒绝收货。</w:t>
      </w:r>
    </w:p>
    <w:p w14:paraId="548704B2">
      <w:pPr>
        <w:widowControl/>
        <w:tabs>
          <w:tab w:val="left" w:pos="360"/>
          <w:tab w:val="left" w:pos="540"/>
        </w:tabs>
        <w:spacing w:line="400" w:lineRule="exact"/>
        <w:ind w:firstLine="548" w:firstLineChars="196"/>
        <w:jc w:val="left"/>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2、</w:t>
      </w:r>
      <w:r>
        <w:rPr>
          <w:rFonts w:hint="eastAsia" w:ascii="仿宋" w:eastAsia="仿宋" w:cs="仿宋"/>
          <w:color w:val="auto"/>
          <w:sz w:val="28"/>
          <w:szCs w:val="28"/>
          <w:highlight w:val="none"/>
        </w:rPr>
        <w:t>产品所有权及毁损灭失风险自乙方将产品交付至甲方指定地点并经甲方验收后转移至甲方。产品物运输中的风险和货损货差等均由乙方负担。</w:t>
      </w:r>
    </w:p>
    <w:p w14:paraId="78D6BA6D">
      <w:pPr>
        <w:pStyle w:val="3"/>
        <w:spacing w:line="400" w:lineRule="exact"/>
        <w:rPr>
          <w:rFonts w:hint="eastAsia" w:ascii="仿宋" w:eastAsia="仿宋" w:cs="仿宋"/>
          <w:b/>
          <w:color w:val="auto"/>
          <w:kern w:val="0"/>
          <w:sz w:val="28"/>
          <w:szCs w:val="28"/>
          <w:highlight w:val="none"/>
        </w:rPr>
      </w:pPr>
      <w:r>
        <w:rPr>
          <w:rFonts w:hint="eastAsia" w:ascii="仿宋" w:eastAsia="仿宋" w:cs="仿宋"/>
          <w:b/>
          <w:color w:val="auto"/>
          <w:kern w:val="0"/>
          <w:sz w:val="28"/>
          <w:szCs w:val="28"/>
          <w:highlight w:val="none"/>
        </w:rPr>
        <w:t>四、包装标准、包装物的供应与收回</w:t>
      </w:r>
    </w:p>
    <w:p w14:paraId="714B7471">
      <w:pPr>
        <w:pStyle w:val="3"/>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1、乙方应采用合适的安全措施，妥善包装产品，达到防潮、防湿、防震、防尘的要求，对因包装或运输不当产生的货物毁损灭失风险与责任，均由乙方承担。</w:t>
      </w:r>
    </w:p>
    <w:p w14:paraId="6526A895">
      <w:pPr>
        <w:pStyle w:val="3"/>
        <w:spacing w:line="400" w:lineRule="exact"/>
        <w:ind w:firstLine="574" w:firstLineChars="205"/>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2、包装费用全部由乙方承担，包装物乙方</w:t>
      </w:r>
      <w:r>
        <w:rPr>
          <w:rFonts w:hint="eastAsia" w:ascii="仿宋" w:eastAsia="仿宋" w:cs="仿宋"/>
          <w:color w:val="auto"/>
          <w:kern w:val="0"/>
          <w:sz w:val="28"/>
          <w:szCs w:val="28"/>
          <w:highlight w:val="none"/>
        </w:rPr>
        <w:t xml:space="preserve">   </w:t>
      </w:r>
      <w:r>
        <w:rPr>
          <w:rFonts w:hint="eastAsia" w:ascii="仿宋" w:eastAsia="仿宋" w:cs="仿宋"/>
          <w:color w:val="auto"/>
          <w:sz w:val="28"/>
          <w:szCs w:val="28"/>
          <w:highlight w:val="none"/>
        </w:rPr>
        <w:t>。</w:t>
      </w:r>
    </w:p>
    <w:p w14:paraId="04CA4B96">
      <w:pPr>
        <w:tabs>
          <w:tab w:val="left" w:pos="360"/>
          <w:tab w:val="left" w:pos="540"/>
        </w:tabs>
        <w:spacing w:line="400" w:lineRule="exact"/>
        <w:rPr>
          <w:rFonts w:hint="eastAsia" w:ascii="仿宋" w:eastAsia="仿宋" w:cs="仿宋"/>
          <w:b/>
          <w:color w:val="auto"/>
          <w:kern w:val="0"/>
          <w:sz w:val="28"/>
          <w:szCs w:val="28"/>
          <w:highlight w:val="none"/>
        </w:rPr>
      </w:pPr>
      <w:r>
        <w:rPr>
          <w:rFonts w:hint="eastAsia" w:ascii="仿宋" w:eastAsia="仿宋" w:cs="仿宋"/>
          <w:b/>
          <w:color w:val="auto"/>
          <w:kern w:val="0"/>
          <w:sz w:val="28"/>
          <w:szCs w:val="28"/>
          <w:highlight w:val="none"/>
        </w:rPr>
        <w:t>五、验收标准</w:t>
      </w:r>
    </w:p>
    <w:p w14:paraId="29966DB1">
      <w:pPr>
        <w:tabs>
          <w:tab w:val="left" w:pos="360"/>
          <w:tab w:val="left" w:pos="540"/>
        </w:tabs>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1、招标时有标注重量的产品，以甲方的实际过磅重量为验收依据。</w:t>
      </w:r>
    </w:p>
    <w:p w14:paraId="7377010C">
      <w:pPr>
        <w:tabs>
          <w:tab w:val="left" w:pos="360"/>
          <w:tab w:val="left" w:pos="540"/>
        </w:tabs>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2、乙方保证所供产品符合合同约定的型号、规格和数量且为全新、完整、未使用的产品，质量优良，符合原生产厂家各项技术指标和要求，符合国家标准及技术要求，附有产品合格证书，能够满足甲方需求。如产品部分或全部属于进口，乙方还应提供进口产品报关单等相关文件。</w:t>
      </w:r>
    </w:p>
    <w:p w14:paraId="1CDE995E">
      <w:pPr>
        <w:tabs>
          <w:tab w:val="left" w:pos="360"/>
          <w:tab w:val="left" w:pos="540"/>
        </w:tabs>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3、乙方保证其提供的产品拥有完全的、合法的所有权，没有设计或制造上的重大缺陷，且无任何知识产权方面的权利限制或瑕疵，并对特别注意事项进行警示，否则，给甲方造成的损失，乙方应承担赔偿责任。</w:t>
      </w:r>
    </w:p>
    <w:p w14:paraId="3694DA07">
      <w:pPr>
        <w:widowControl/>
        <w:tabs>
          <w:tab w:val="left" w:pos="360"/>
          <w:tab w:val="left" w:pos="540"/>
        </w:tabs>
        <w:spacing w:line="400" w:lineRule="exact"/>
        <w:jc w:val="left"/>
        <w:rPr>
          <w:rFonts w:hint="eastAsia" w:ascii="仿宋" w:eastAsia="仿宋" w:cs="仿宋"/>
          <w:b/>
          <w:color w:val="auto"/>
          <w:kern w:val="0"/>
          <w:sz w:val="28"/>
          <w:szCs w:val="28"/>
          <w:highlight w:val="none"/>
        </w:rPr>
      </w:pPr>
      <w:r>
        <w:rPr>
          <w:rFonts w:hint="eastAsia" w:ascii="仿宋" w:eastAsia="仿宋" w:cs="仿宋"/>
          <w:b/>
          <w:color w:val="auto"/>
          <w:kern w:val="0"/>
          <w:sz w:val="28"/>
          <w:szCs w:val="28"/>
          <w:highlight w:val="none"/>
        </w:rPr>
        <w:t>六、产品检验</w:t>
      </w:r>
    </w:p>
    <w:p w14:paraId="1903C081">
      <w:pPr>
        <w:widowControl/>
        <w:tabs>
          <w:tab w:val="left" w:pos="360"/>
          <w:tab w:val="left" w:pos="540"/>
        </w:tabs>
        <w:spacing w:line="400" w:lineRule="exact"/>
        <w:ind w:firstLine="548" w:firstLineChars="196"/>
        <w:jc w:val="left"/>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1、甲方</w:t>
      </w:r>
      <w:r>
        <w:rPr>
          <w:rFonts w:hint="eastAsia" w:ascii="仿宋" w:eastAsia="仿宋" w:cs="仿宋"/>
          <w:color w:val="auto"/>
          <w:sz w:val="28"/>
          <w:szCs w:val="28"/>
          <w:highlight w:val="none"/>
        </w:rPr>
        <w:t>在验收中如发现产品的品种、型号、规格、质量不合规定或约定，甲方有权选择要求乙方予以维修、调换，或要求乙方退货并解除本合同。</w:t>
      </w:r>
    </w:p>
    <w:p w14:paraId="27E28B6C">
      <w:pPr>
        <w:tabs>
          <w:tab w:val="left" w:pos="360"/>
          <w:tab w:val="left" w:pos="540"/>
        </w:tabs>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2、虽已检验合格入库，但甲方在使用过程中发现的不合格品，乙方仍应承担质量责任，并及时配合甲方采取有效补救措施，以满足甲方正常生产的需要。</w:t>
      </w:r>
    </w:p>
    <w:p w14:paraId="460A9566">
      <w:pPr>
        <w:tabs>
          <w:tab w:val="left" w:pos="360"/>
          <w:tab w:val="left" w:pos="540"/>
        </w:tabs>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3、甲方对乙方产品所行使的检验，并不能免除乙方对产品质量应承担的保证责任。</w:t>
      </w:r>
    </w:p>
    <w:p w14:paraId="123DD548">
      <w:pPr>
        <w:widowControl/>
        <w:tabs>
          <w:tab w:val="left" w:pos="360"/>
          <w:tab w:val="left" w:pos="540"/>
        </w:tabs>
        <w:spacing w:line="400" w:lineRule="exact"/>
        <w:jc w:val="left"/>
        <w:rPr>
          <w:rFonts w:hint="eastAsia" w:ascii="仿宋" w:eastAsia="仿宋" w:cs="仿宋"/>
          <w:b/>
          <w:color w:val="auto"/>
          <w:kern w:val="0"/>
          <w:sz w:val="28"/>
          <w:szCs w:val="28"/>
          <w:highlight w:val="none"/>
        </w:rPr>
      </w:pPr>
      <w:r>
        <w:rPr>
          <w:rFonts w:hint="eastAsia" w:ascii="仿宋" w:eastAsia="仿宋" w:cs="仿宋"/>
          <w:b/>
          <w:color w:val="auto"/>
          <w:kern w:val="0"/>
          <w:sz w:val="28"/>
          <w:szCs w:val="28"/>
          <w:highlight w:val="none"/>
        </w:rPr>
        <w:t>七、全部交货货款结算方式及期限</w:t>
      </w:r>
    </w:p>
    <w:p w14:paraId="06AD42A8">
      <w:pPr>
        <w:tabs>
          <w:tab w:val="left" w:pos="360"/>
          <w:tab w:val="left" w:pos="540"/>
        </w:tabs>
        <w:spacing w:line="400" w:lineRule="exact"/>
        <w:ind w:firstLine="560" w:firstLineChars="200"/>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rPr>
        <w:t>（一）付款方式：</w:t>
      </w:r>
      <w:r>
        <w:rPr>
          <w:rFonts w:hint="eastAsia" w:ascii="仿宋" w:eastAsia="仿宋" w:cs="仿宋"/>
          <w:color w:val="auto"/>
          <w:kern w:val="0"/>
          <w:sz w:val="28"/>
          <w:szCs w:val="28"/>
          <w:highlight w:val="none"/>
          <w:u w:val="single"/>
        </w:rPr>
        <w:t xml:space="preserve">   </w:t>
      </w:r>
      <w:r>
        <w:rPr>
          <w:rFonts w:hint="eastAsia" w:ascii="仿宋" w:eastAsia="仿宋" w:cs="仿宋"/>
          <w:color w:val="auto"/>
          <w:kern w:val="0"/>
          <w:sz w:val="28"/>
          <w:szCs w:val="28"/>
          <w:highlight w:val="none"/>
          <w:u w:val="single"/>
          <w:lang w:eastAsia="zh-CN"/>
        </w:rPr>
        <w:t>。</w:t>
      </w:r>
    </w:p>
    <w:p w14:paraId="406CFD2B">
      <w:pPr>
        <w:tabs>
          <w:tab w:val="left" w:pos="799"/>
        </w:tabs>
        <w:spacing w:line="40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（二）乙方所供产品涉及重量要求的，重量允许有1‰的误差，实际过磅重量低于合同约定重量超过1‰部分，则合同总金额应同比例下调。</w:t>
      </w:r>
    </w:p>
    <w:p w14:paraId="4EE2B4DA">
      <w:pPr>
        <w:tabs>
          <w:tab w:val="left" w:pos="360"/>
          <w:tab w:val="left" w:pos="540"/>
        </w:tabs>
        <w:spacing w:line="400" w:lineRule="exact"/>
        <w:ind w:firstLine="548" w:firstLineChars="196"/>
        <w:rPr>
          <w:rFonts w:hint="eastAsia" w:ascii="仿宋" w:eastAsia="仿宋" w:cs="仿宋"/>
          <w:color w:val="auto"/>
          <w:kern w:val="0"/>
          <w:sz w:val="28"/>
          <w:szCs w:val="28"/>
          <w:highlight w:val="none"/>
          <w:u w:val="none"/>
        </w:rPr>
      </w:pPr>
      <w:r>
        <w:rPr>
          <w:rFonts w:hint="eastAsia" w:ascii="仿宋" w:eastAsia="仿宋" w:cs="仿宋"/>
          <w:color w:val="auto"/>
          <w:kern w:val="0"/>
          <w:sz w:val="28"/>
          <w:szCs w:val="28"/>
          <w:highlight w:val="none"/>
        </w:rPr>
        <w:t>（</w:t>
      </w:r>
      <w:r>
        <w:rPr>
          <w:rFonts w:hint="eastAsia" w:ascii="仿宋" w:eastAsia="仿宋" w:cs="仿宋"/>
          <w:color w:val="auto"/>
          <w:sz w:val="28"/>
          <w:szCs w:val="28"/>
          <w:highlight w:val="none"/>
        </w:rPr>
        <w:t>三</w:t>
      </w:r>
      <w:r>
        <w:rPr>
          <w:rFonts w:hint="eastAsia" w:ascii="仿宋" w:eastAsia="仿宋" w:cs="仿宋"/>
          <w:color w:val="auto"/>
          <w:kern w:val="0"/>
          <w:sz w:val="28"/>
          <w:szCs w:val="28"/>
          <w:highlight w:val="none"/>
        </w:rPr>
        <w:t xml:space="preserve">）付款进度：    </w:t>
      </w:r>
      <w:r>
        <w:rPr>
          <w:rFonts w:hint="eastAsia" w:ascii="仿宋" w:eastAsia="仿宋" w:cs="仿宋"/>
          <w:color w:val="auto"/>
          <w:sz w:val="28"/>
          <w:szCs w:val="28"/>
          <w:highlight w:val="none"/>
        </w:rPr>
        <w:t>；剩余10%为质保金，产品验收合格且</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全部入账1年后（无息）付清。如果资金支付出现异常，甲方不负担任何利息和费</w:t>
      </w:r>
      <w:r>
        <w:rPr>
          <w:rFonts w:hint="eastAsia" w:ascii="仿宋" w:eastAsia="仿宋" w:cs="仿宋"/>
          <w:color w:val="auto"/>
          <w:sz w:val="28"/>
          <w:szCs w:val="28"/>
          <w:highlight w:val="none"/>
          <w:u w:val="none"/>
        </w:rPr>
        <w:t>用，乙方开具</w:t>
      </w:r>
      <w:r>
        <w:rPr>
          <w:rFonts w:hint="eastAsia" w:ascii="仿宋" w:eastAsia="仿宋" w:cs="仿宋"/>
          <w:color w:val="auto"/>
          <w:sz w:val="28"/>
          <w:szCs w:val="28"/>
          <w:highlight w:val="none"/>
          <w:u w:val="none"/>
          <w:lang w:eastAsia="zh-CN"/>
        </w:rPr>
        <w:t>发票</w:t>
      </w:r>
      <w:r>
        <w:rPr>
          <w:rFonts w:hint="eastAsia" w:ascii="仿宋" w:eastAsia="仿宋" w:cs="仿宋"/>
          <w:color w:val="auto"/>
          <w:sz w:val="28"/>
          <w:szCs w:val="28"/>
          <w:highlight w:val="none"/>
          <w:u w:val="none"/>
        </w:rPr>
        <w:t>之前，甲方有权拒绝付款，并且不承担违约责任。</w:t>
      </w:r>
    </w:p>
    <w:p w14:paraId="0203885C">
      <w:pPr>
        <w:tabs>
          <w:tab w:val="left" w:pos="360"/>
          <w:tab w:val="left" w:pos="540"/>
        </w:tabs>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u w:val="none"/>
        </w:rPr>
        <w:t>（四）因乙方虚开</w:t>
      </w:r>
      <w:r>
        <w:rPr>
          <w:rFonts w:hint="eastAsia" w:ascii="仿宋" w:eastAsia="仿宋" w:cs="仿宋"/>
          <w:color w:val="auto"/>
          <w:sz w:val="28"/>
          <w:szCs w:val="28"/>
          <w:highlight w:val="none"/>
          <w:u w:val="none"/>
          <w:lang w:eastAsia="zh-CN"/>
        </w:rPr>
        <w:t>发票</w:t>
      </w:r>
      <w:r>
        <w:rPr>
          <w:rFonts w:hint="eastAsia" w:ascii="仿宋" w:eastAsia="仿宋" w:cs="仿宋"/>
          <w:color w:val="auto"/>
          <w:sz w:val="28"/>
          <w:szCs w:val="28"/>
          <w:highlight w:val="none"/>
          <w:u w:val="none"/>
        </w:rPr>
        <w:t>或开具虚假</w:t>
      </w:r>
      <w:r>
        <w:rPr>
          <w:rFonts w:hint="eastAsia" w:ascii="仿宋" w:eastAsia="仿宋" w:cs="仿宋"/>
          <w:color w:val="auto"/>
          <w:sz w:val="28"/>
          <w:szCs w:val="28"/>
          <w:highlight w:val="none"/>
          <w:u w:val="none"/>
          <w:lang w:eastAsia="zh-CN"/>
        </w:rPr>
        <w:t>发票</w:t>
      </w:r>
      <w:r>
        <w:rPr>
          <w:rFonts w:hint="eastAsia" w:ascii="仿宋" w:eastAsia="仿宋" w:cs="仿宋"/>
          <w:color w:val="auto"/>
          <w:sz w:val="28"/>
          <w:szCs w:val="28"/>
          <w:highlight w:val="none"/>
          <w:u w:val="none"/>
        </w:rPr>
        <w:t>对甲方造成的一切经济损失和后果由乙方承担</w:t>
      </w:r>
      <w:r>
        <w:rPr>
          <w:rFonts w:hint="eastAsia" w:ascii="仿宋" w:eastAsia="仿宋" w:cs="仿宋"/>
          <w:color w:val="auto"/>
          <w:sz w:val="28"/>
          <w:szCs w:val="28"/>
          <w:highlight w:val="none"/>
        </w:rPr>
        <w:t>，乙方委托代理人承担连带责任</w:t>
      </w:r>
      <w:r>
        <w:rPr>
          <w:rFonts w:hint="eastAsia" w:ascii="仿宋" w:eastAsia="仿宋" w:cs="仿宋"/>
          <w:color w:val="auto"/>
          <w:sz w:val="28"/>
          <w:szCs w:val="28"/>
          <w:highlight w:val="none"/>
          <w:u w:val="none"/>
        </w:rPr>
        <w:t>。乙方每迟延一天开具</w:t>
      </w:r>
      <w:r>
        <w:rPr>
          <w:rFonts w:hint="eastAsia" w:ascii="仿宋" w:eastAsia="仿宋" w:cs="仿宋"/>
          <w:color w:val="auto"/>
          <w:sz w:val="28"/>
          <w:szCs w:val="28"/>
          <w:highlight w:val="none"/>
          <w:u w:val="none"/>
          <w:lang w:eastAsia="zh-CN"/>
        </w:rPr>
        <w:t>发票</w:t>
      </w:r>
      <w:r>
        <w:rPr>
          <w:rFonts w:hint="eastAsia" w:ascii="仿宋" w:eastAsia="仿宋" w:cs="仿宋"/>
          <w:color w:val="auto"/>
          <w:sz w:val="28"/>
          <w:szCs w:val="28"/>
          <w:highlight w:val="none"/>
          <w:u w:val="none"/>
        </w:rPr>
        <w:t>，应当承担甲方付款金额    %的违约金。若</w:t>
      </w:r>
      <w:r>
        <w:rPr>
          <w:rFonts w:hint="eastAsia" w:ascii="仿宋" w:eastAsia="仿宋" w:cs="仿宋"/>
          <w:color w:val="auto"/>
          <w:sz w:val="28"/>
          <w:szCs w:val="28"/>
          <w:highlight w:val="none"/>
          <w:u w:val="none"/>
          <w:lang w:eastAsia="zh-CN"/>
        </w:rPr>
        <w:t>发票</w:t>
      </w:r>
      <w:r>
        <w:rPr>
          <w:rFonts w:hint="eastAsia" w:ascii="仿宋" w:eastAsia="仿宋" w:cs="仿宋"/>
          <w:color w:val="auto"/>
          <w:sz w:val="28"/>
          <w:szCs w:val="28"/>
          <w:highlight w:val="none"/>
          <w:u w:val="none"/>
        </w:rPr>
        <w:t>未</w:t>
      </w:r>
      <w:r>
        <w:rPr>
          <w:rFonts w:hint="eastAsia" w:ascii="仿宋" w:eastAsia="仿宋" w:cs="仿宋"/>
          <w:color w:val="auto"/>
          <w:sz w:val="28"/>
          <w:szCs w:val="28"/>
          <w:highlight w:val="none"/>
        </w:rPr>
        <w:t>能在结算当年完成入账导致甲方所得税税前不能扣除的，承担未开</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部分25%的违约金，乙方同意甲方将违约金直接从总价款中扣除。</w:t>
      </w:r>
    </w:p>
    <w:p w14:paraId="45C588EF">
      <w:pPr>
        <w:pStyle w:val="6"/>
        <w:widowControl/>
        <w:adjustRightInd w:val="0"/>
        <w:spacing w:line="400" w:lineRule="exact"/>
        <w:ind w:left="0" w:firstLine="0" w:firstLineChars="0"/>
        <w:jc w:val="lef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八、双方权利义务</w:t>
      </w:r>
    </w:p>
    <w:p w14:paraId="356CDEAD">
      <w:pPr>
        <w:spacing w:line="400" w:lineRule="exact"/>
        <w:ind w:firstLine="562" w:firstLineChars="200"/>
        <w:jc w:val="lef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（一）甲方权利义务</w:t>
      </w:r>
    </w:p>
    <w:p w14:paraId="63BC1C6E">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1、有权要求乙方按合同约定及时履行交货义务、开具</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义务、保修义务。</w:t>
      </w:r>
    </w:p>
    <w:p w14:paraId="36353ED4">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2、甲方应当按合同约定及时履行接货义务、验收义务、货款支付义务。</w:t>
      </w:r>
    </w:p>
    <w:p w14:paraId="03C00824">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3、甲方人员必须依合同约定支付货款。</w:t>
      </w:r>
    </w:p>
    <w:p w14:paraId="350F05BB">
      <w:pPr>
        <w:spacing w:line="400" w:lineRule="exact"/>
        <w:ind w:firstLine="562" w:firstLineChars="200"/>
        <w:jc w:val="lef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（二）乙方权利义务</w:t>
      </w:r>
    </w:p>
    <w:p w14:paraId="7D4D5308">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1、乙方有权要求甲方及时接受货物、验收货物、告知验收结果。</w:t>
      </w:r>
    </w:p>
    <w:p w14:paraId="00043F0E">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2、乙方有权要求甲方按合同约定支付货款。</w:t>
      </w:r>
    </w:p>
    <w:p w14:paraId="05A9AF93">
      <w:pPr>
        <w:spacing w:line="400" w:lineRule="exact"/>
        <w:ind w:firstLine="560" w:firstLineChars="200"/>
        <w:jc w:val="left"/>
        <w:rPr>
          <w:rFonts w:hint="eastAsia" w:ascii="仿宋" w:eastAsia="仿宋" w:cs="仿宋"/>
          <w:b/>
          <w:color w:val="auto"/>
          <w:sz w:val="28"/>
          <w:szCs w:val="28"/>
          <w:highlight w:val="none"/>
        </w:rPr>
      </w:pPr>
      <w:r>
        <w:rPr>
          <w:rFonts w:hint="eastAsia" w:ascii="仿宋" w:eastAsia="仿宋" w:cs="仿宋"/>
          <w:color w:val="auto"/>
          <w:sz w:val="28"/>
          <w:szCs w:val="28"/>
          <w:highlight w:val="none"/>
        </w:rPr>
        <w:t>3、乙方应遵循合同约定及时开具增值税专用</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w:t>
      </w:r>
    </w:p>
    <w:p w14:paraId="20C7D3F4">
      <w:pPr>
        <w:spacing w:line="400" w:lineRule="exact"/>
        <w:jc w:val="left"/>
        <w:rPr>
          <w:rFonts w:hint="eastAsia" w:ascii="仿宋" w:eastAsia="仿宋" w:cs="仿宋"/>
          <w:b/>
          <w:bCs/>
          <w:color w:val="auto"/>
          <w:sz w:val="28"/>
          <w:szCs w:val="28"/>
          <w:highlight w:val="none"/>
        </w:rPr>
      </w:pPr>
      <w:r>
        <w:rPr>
          <w:rFonts w:hint="eastAsia" w:ascii="仿宋" w:eastAsia="仿宋" w:cs="仿宋"/>
          <w:b/>
          <w:bCs/>
          <w:color w:val="auto"/>
          <w:sz w:val="28"/>
          <w:szCs w:val="28"/>
          <w:highlight w:val="none"/>
        </w:rPr>
        <w:t>九、质量保证条款</w:t>
      </w:r>
    </w:p>
    <w:p w14:paraId="38B90545">
      <w:pPr>
        <w:spacing w:line="400" w:lineRule="exact"/>
        <w:ind w:firstLine="560" w:firstLineChars="200"/>
        <w:jc w:val="left"/>
        <w:rPr>
          <w:rFonts w:hint="eastAsia" w:ascii="仿宋" w:eastAsia="仿宋" w:cs="仿宋"/>
          <w:color w:val="auto"/>
          <w:kern w:val="0"/>
          <w:sz w:val="28"/>
          <w:szCs w:val="28"/>
          <w:highlight w:val="none"/>
        </w:rPr>
      </w:pPr>
      <w:r>
        <w:rPr>
          <w:rFonts w:hint="eastAsia" w:ascii="仿宋" w:eastAsia="仿宋" w:cs="仿宋"/>
          <w:color w:val="auto"/>
          <w:sz w:val="28"/>
          <w:szCs w:val="28"/>
          <w:highlight w:val="none"/>
        </w:rPr>
        <w:t>1、</w:t>
      </w:r>
      <w:r>
        <w:rPr>
          <w:rFonts w:hint="eastAsia" w:ascii="仿宋" w:eastAsia="仿宋" w:cs="仿宋"/>
          <w:color w:val="auto"/>
          <w:kern w:val="0"/>
          <w:sz w:val="28"/>
          <w:szCs w:val="28"/>
          <w:highlight w:val="none"/>
        </w:rPr>
        <w:t>产品使用周期：乙方保证产品在线正常使用   个月，自产品安装调试完毕正常运行之日起算。</w:t>
      </w:r>
    </w:p>
    <w:p w14:paraId="51BC0C00">
      <w:pPr>
        <w:spacing w:line="400" w:lineRule="exact"/>
        <w:ind w:firstLine="560" w:firstLineChars="200"/>
        <w:jc w:val="left"/>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2、在产品使用周期内出现质量问题，乙方</w:t>
      </w:r>
      <w:r>
        <w:rPr>
          <w:rFonts w:hint="eastAsia" w:ascii="仿宋" w:eastAsia="仿宋" w:cs="仿宋"/>
          <w:color w:val="auto"/>
          <w:sz w:val="28"/>
          <w:szCs w:val="28"/>
          <w:highlight w:val="none"/>
        </w:rPr>
        <w:t>应在得到甲方通知后 24 小时内到达现场予以维修、更换零部件或更换整机；</w:t>
      </w:r>
      <w:r>
        <w:rPr>
          <w:rFonts w:hint="eastAsia" w:ascii="仿宋" w:eastAsia="仿宋" w:cs="仿宋"/>
          <w:color w:val="auto"/>
          <w:kern w:val="0"/>
          <w:sz w:val="28"/>
          <w:szCs w:val="28"/>
          <w:highlight w:val="none"/>
        </w:rPr>
        <w:t>同时，甲方有权要求乙方承担合同总金额20%的违约金，并要求乙方赔偿损失，该损失包括但不限于产品安装、维护、检测修理等相关的费用及因本合同争议产生的律师费、诉讼费、保全费等其他相关费用。</w:t>
      </w:r>
    </w:p>
    <w:p w14:paraId="6EEBE381">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3、</w:t>
      </w:r>
      <w:r>
        <w:rPr>
          <w:rFonts w:hint="eastAsia" w:ascii="仿宋" w:eastAsia="仿宋" w:cs="仿宋"/>
          <w:color w:val="auto"/>
          <w:sz w:val="28"/>
          <w:szCs w:val="28"/>
          <w:highlight w:val="none"/>
        </w:rPr>
        <w:t>产品使用周期内乙方提供免费保修服务。保修期满后，乙方应提供必要的保修期后的服务，服务费仅为合理的材料费、人工费及交通费等，由甲方与乙方协商确定。无论是否在保修期内，因货物质量缺陷而给甲方造成的一切损失（包括直接损失、间接损失），由乙方承担赔偿责任。对本款中应由乙方承担的全部保修和赔偿费用，甲方已经承担的部分，甲方有权向乙方追索。</w:t>
      </w:r>
    </w:p>
    <w:p w14:paraId="36D73328">
      <w:pPr>
        <w:widowControl/>
        <w:tabs>
          <w:tab w:val="left" w:pos="360"/>
          <w:tab w:val="left" w:pos="540"/>
        </w:tabs>
        <w:spacing w:line="400" w:lineRule="exact"/>
        <w:jc w:val="left"/>
        <w:rPr>
          <w:rFonts w:hint="eastAsia" w:ascii="仿宋" w:eastAsia="仿宋" w:cs="仿宋"/>
          <w:color w:val="auto"/>
          <w:kern w:val="0"/>
          <w:sz w:val="28"/>
          <w:szCs w:val="28"/>
          <w:highlight w:val="none"/>
        </w:rPr>
      </w:pPr>
      <w:r>
        <w:rPr>
          <w:rFonts w:hint="eastAsia" w:ascii="仿宋" w:eastAsia="仿宋" w:cs="仿宋"/>
          <w:b/>
          <w:color w:val="auto"/>
          <w:kern w:val="0"/>
          <w:sz w:val="28"/>
          <w:szCs w:val="28"/>
          <w:highlight w:val="none"/>
        </w:rPr>
        <w:t>十、违约责任</w:t>
      </w:r>
    </w:p>
    <w:p w14:paraId="2EA33579">
      <w:pPr>
        <w:spacing w:line="400" w:lineRule="exact"/>
        <w:ind w:firstLine="560" w:firstLineChars="200"/>
        <w:jc w:val="left"/>
        <w:rPr>
          <w:rFonts w:hint="eastAsia" w:ascii="仿宋" w:eastAsia="仿宋" w:cs="仿宋"/>
          <w:color w:val="auto"/>
          <w:kern w:val="0"/>
          <w:sz w:val="28"/>
          <w:szCs w:val="28"/>
          <w:highlight w:val="none"/>
        </w:rPr>
      </w:pPr>
      <w:r>
        <w:rPr>
          <w:rFonts w:hint="eastAsia" w:ascii="仿宋" w:eastAsia="仿宋" w:cs="仿宋"/>
          <w:color w:val="auto"/>
          <w:sz w:val="28"/>
          <w:szCs w:val="28"/>
          <w:highlight w:val="none"/>
        </w:rPr>
        <w:t>1、对产品使用周期内出现的问题，乙方应按照约定履行保修义务，每违反一次，乙方向甲方支付本合同总价款1%的违约金；乙方除必须遵守本合同第九条条款外，若甲方委托第三方进行的维修产生的相关费用也由乙方承担。</w:t>
      </w:r>
    </w:p>
    <w:p w14:paraId="08C08656">
      <w:pPr>
        <w:spacing w:line="400" w:lineRule="exact"/>
        <w:ind w:firstLine="560" w:firstLineChars="200"/>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2、乙方</w:t>
      </w:r>
      <w:r>
        <w:rPr>
          <w:rFonts w:hint="eastAsia" w:ascii="仿宋" w:eastAsia="仿宋" w:cs="仿宋"/>
          <w:color w:val="auto"/>
          <w:sz w:val="28"/>
          <w:szCs w:val="28"/>
          <w:highlight w:val="none"/>
        </w:rPr>
        <w:t>承诺其为所供产品的生产厂家或授权代理商，而非本合同业务的中间人，也没有第三方参与本合同业务，亦承诺所供产品为正品行货，乙方也不得借用自己的供货资质在市场上购买劣质产品向甲方供货或成为中间商的供货渠道，否则，一经发现，甲方有权单方解除合同并要求乙方支付自合作开始累计合同总金额20%的违约金。</w:t>
      </w:r>
    </w:p>
    <w:p w14:paraId="49B813CF">
      <w:pPr>
        <w:spacing w:line="400" w:lineRule="exact"/>
        <w:ind w:firstLine="560" w:firstLineChars="200"/>
        <w:jc w:val="left"/>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3、乙方承诺合同价格为</w:t>
      </w:r>
      <w:r>
        <w:rPr>
          <w:rFonts w:hint="eastAsia" w:ascii="仿宋" w:eastAsia="仿宋" w:cs="仿宋"/>
          <w:color w:val="auto"/>
          <w:kern w:val="0"/>
          <w:sz w:val="28"/>
          <w:szCs w:val="28"/>
          <w:highlight w:val="none"/>
          <w:lang w:val="en-US" w:eastAsia="zh-CN"/>
        </w:rPr>
        <w:t>同期</w:t>
      </w:r>
      <w:r>
        <w:rPr>
          <w:rFonts w:hint="eastAsia" w:ascii="仿宋" w:eastAsia="仿宋" w:cs="仿宋"/>
          <w:color w:val="auto"/>
          <w:kern w:val="0"/>
          <w:sz w:val="28"/>
          <w:szCs w:val="28"/>
          <w:highlight w:val="none"/>
        </w:rPr>
        <w:t>出厂</w:t>
      </w:r>
      <w:r>
        <w:rPr>
          <w:rFonts w:hint="eastAsia" w:ascii="仿宋" w:eastAsia="仿宋" w:cs="仿宋"/>
          <w:color w:val="auto"/>
          <w:kern w:val="0"/>
          <w:sz w:val="28"/>
          <w:szCs w:val="28"/>
          <w:highlight w:val="none"/>
          <w:lang w:val="en-US" w:eastAsia="zh-CN"/>
        </w:rPr>
        <w:t>相同型号</w:t>
      </w:r>
      <w:r>
        <w:rPr>
          <w:rFonts w:hint="eastAsia" w:ascii="仿宋" w:eastAsia="仿宋" w:cs="仿宋"/>
          <w:color w:val="auto"/>
          <w:kern w:val="0"/>
          <w:sz w:val="28"/>
          <w:szCs w:val="28"/>
          <w:highlight w:val="none"/>
        </w:rPr>
        <w:t>最低销售价，如发现本合同价格高于乙方所售同类商品销售价格，乙方向甲方支付高出部分十倍的违约金，且甲方有权单方解除合同</w:t>
      </w:r>
      <w:r>
        <w:rPr>
          <w:rFonts w:hint="eastAsia" w:ascii="仿宋" w:eastAsia="仿宋" w:cs="仿宋"/>
          <w:color w:val="auto"/>
          <w:sz w:val="28"/>
          <w:szCs w:val="28"/>
          <w:highlight w:val="none"/>
        </w:rPr>
        <w:t>同时要求乙方支付合同总金额20%的违约金</w:t>
      </w:r>
      <w:r>
        <w:rPr>
          <w:rFonts w:hint="eastAsia" w:ascii="仿宋" w:eastAsia="仿宋" w:cs="仿宋"/>
          <w:color w:val="auto"/>
          <w:kern w:val="0"/>
          <w:sz w:val="28"/>
          <w:szCs w:val="28"/>
          <w:highlight w:val="none"/>
        </w:rPr>
        <w:t>。</w:t>
      </w:r>
    </w:p>
    <w:p w14:paraId="2DB090ED">
      <w:pPr>
        <w:widowControl/>
        <w:tabs>
          <w:tab w:val="left" w:pos="360"/>
          <w:tab w:val="left" w:pos="540"/>
        </w:tabs>
        <w:spacing w:line="400" w:lineRule="exact"/>
        <w:ind w:firstLine="560" w:firstLineChars="200"/>
        <w:jc w:val="left"/>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4、乙方逾期交货的，每逾期一天，乙方向甲方支付合同总金额1%的违约金；乙方逾期交货超过十五天的，甲方有权单方解除合同，甲方解除合同后，乙方应向甲方支付合同总金额20%的违约金。</w:t>
      </w:r>
    </w:p>
    <w:p w14:paraId="4B4E398A">
      <w:pPr>
        <w:spacing w:line="400" w:lineRule="exact"/>
        <w:ind w:firstLine="560" w:firstLineChars="200"/>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5、乙方就该合同下的权利义务不得向第三人转让，单方转让行为无效。若违反该约定，应当向甲方支付合同总额30%的违约金。</w:t>
      </w:r>
    </w:p>
    <w:p w14:paraId="749B5D9E">
      <w:pPr>
        <w:spacing w:line="400" w:lineRule="exact"/>
        <w:ind w:firstLine="560" w:firstLineChars="200"/>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6、乙方不得因自身涉诉等因素影响甲方的经营等活动。若因乙方涉诉而影响甲方的，甲方有权直接扣除双方所签订合同总额30%的违约金（若实际损失大于此违约金的情形，可以追加违约金）。在影响甲方事由消失前，甲方有权拒付乙方款项并且不承担违约责任</w:t>
      </w:r>
      <w:r>
        <w:rPr>
          <w:rFonts w:hint="eastAsia" w:ascii="仿宋" w:eastAsia="仿宋" w:cs="仿宋"/>
          <w:color w:val="auto"/>
          <w:sz w:val="28"/>
          <w:szCs w:val="28"/>
          <w:highlight w:val="none"/>
        </w:rPr>
        <w:t>。</w:t>
      </w:r>
    </w:p>
    <w:p w14:paraId="10C60ED2">
      <w:pPr>
        <w:pStyle w:val="6"/>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7、乙方所使用全部车辆必须符合甲方所在厂区区域制定的相关车辆排放标准制度，若乙方违反车辆标准，一经发现，乙方应向甲方承担2000元/次的违约金，且甲方有权单方解除合同并要求乙方承担相应损失。</w:t>
      </w:r>
    </w:p>
    <w:p w14:paraId="03AE5A8D">
      <w:pPr>
        <w:spacing w:line="40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8、乙方单方解除合同的，应向甲方支付合同总价款30%的违约金。</w:t>
      </w:r>
    </w:p>
    <w:p w14:paraId="218CFED7">
      <w:pPr>
        <w:spacing w:line="46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9、如有乙方需支付违约金或者赔偿金的情形，甲方有权从应付乙方货款中直接扣除。</w:t>
      </w:r>
    </w:p>
    <w:p w14:paraId="7E652D02">
      <w:pPr>
        <w:spacing w:line="400" w:lineRule="exact"/>
        <w:ind w:firstLine="560" w:firstLineChars="200"/>
        <w:rPr>
          <w:rFonts w:hint="eastAsia" w:ascii="仿宋" w:eastAsia="仿宋" w:cs="仿宋"/>
          <w:color w:val="auto"/>
          <w:sz w:val="28"/>
          <w:szCs w:val="28"/>
          <w:highlight w:val="none"/>
        </w:rPr>
      </w:pPr>
      <w:r>
        <w:rPr>
          <w:rFonts w:hint="eastAsia" w:ascii="仿宋" w:eastAsia="仿宋" w:cs="仿宋"/>
          <w:b w:val="0"/>
          <w:bCs w:val="0"/>
          <w:color w:val="auto"/>
          <w:sz w:val="28"/>
          <w:szCs w:val="28"/>
          <w:highlight w:val="none"/>
          <w:lang w:val="en-US" w:eastAsia="zh-CN"/>
        </w:rPr>
        <w:t>10、</w:t>
      </w:r>
      <w:r>
        <w:rPr>
          <w:rFonts w:hint="eastAsia" w:ascii="仿宋" w:eastAsia="仿宋" w:cs="仿宋"/>
          <w:b w:val="0"/>
          <w:bCs w:val="0"/>
          <w:color w:val="auto"/>
          <w:sz w:val="28"/>
          <w:szCs w:val="28"/>
          <w:highlight w:val="none"/>
        </w:rPr>
        <w:t>为</w:t>
      </w:r>
      <w:r>
        <w:rPr>
          <w:rFonts w:hint="eastAsia" w:ascii="仿宋" w:eastAsia="仿宋" w:cs="仿宋"/>
          <w:color w:val="auto"/>
          <w:sz w:val="28"/>
          <w:szCs w:val="28"/>
          <w:highlight w:val="none"/>
        </w:rPr>
        <w:t>保障双方长期友好的合作关系，合同履行期内，乙方务必保证按合同要求履行义务，若因特殊情况导致履约不能，应及时采取有效措施，否则视为乙方违约，甲方有权要求乙方承担合同总金额 30% 的违约金，违约金不足以弥补损失的，乙方应承担全部赔偿责任。</w:t>
      </w:r>
    </w:p>
    <w:p w14:paraId="46279BFB">
      <w:pPr>
        <w:widowControl/>
        <w:pBdr>
          <w:top w:val="none" w:color="auto" w:sz="0" w:space="0"/>
          <w:left w:val="none" w:color="auto" w:sz="0" w:space="0"/>
          <w:bottom w:val="none" w:color="auto" w:sz="0" w:space="0"/>
          <w:right w:val="none" w:color="auto" w:sz="0" w:space="0"/>
        </w:pBdr>
        <w:autoSpaceDN w:val="0"/>
        <w:spacing w:line="40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十一、安全条款</w:t>
      </w:r>
    </w:p>
    <w:p w14:paraId="25BEA554">
      <w:pPr>
        <w:pStyle w:val="6"/>
        <w:widowControl/>
        <w:adjustRightInd w:val="0"/>
        <w:spacing w:line="400" w:lineRule="exact"/>
        <w:ind w:left="0" w:firstLine="560" w:firstLineChars="200"/>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1、乙方必须为所有进入甲方厂区的乙方工作人员办理符合法律规定的工伤保险及意外事故保险。乙方应告知工作人员及承运人员遵守甲方厂区规定，进入甲方厂区后，应当遵守安全、卸（装）车操作流程，因乙方原因造成任何一方人身财产损失或影响生产的，全部由乙方赔偿。乙方应负责处理其所组织人员的一切纠纷，乙方人员一旦发生事故，乙方应当及时要求保险人进行赔偿，由此产生的全部损失均由乙方全部承担。</w:t>
      </w:r>
    </w:p>
    <w:p w14:paraId="0CE2150C">
      <w:pPr>
        <w:pStyle w:val="6"/>
        <w:widowControl/>
        <w:adjustRightInd w:val="0"/>
        <w:spacing w:line="400" w:lineRule="exact"/>
        <w:ind w:left="0" w:firstLine="560" w:firstLineChars="200"/>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2、若乙方进入厂区时私自夹带除合同约定的标的物之外的危险物品，造成甲方或第三方人身及财物损失的，由乙方承担全部赔偿责任。</w:t>
      </w:r>
    </w:p>
    <w:p w14:paraId="1BC13B42">
      <w:pPr>
        <w:pStyle w:val="6"/>
        <w:widowControl/>
        <w:adjustRightInd w:val="0"/>
        <w:spacing w:line="400" w:lineRule="exact"/>
        <w:ind w:left="232" w:hanging="233" w:hangingChars="83"/>
        <w:jc w:val="left"/>
        <w:rPr>
          <w:rFonts w:hint="eastAsia" w:ascii="仿宋" w:eastAsia="仿宋" w:cs="仿宋"/>
          <w:b/>
          <w:bCs/>
          <w:color w:val="auto"/>
          <w:sz w:val="28"/>
          <w:szCs w:val="28"/>
          <w:highlight w:val="none"/>
        </w:rPr>
      </w:pPr>
      <w:r>
        <w:rPr>
          <w:rFonts w:hint="eastAsia" w:ascii="仿宋" w:eastAsia="仿宋" w:cs="仿宋"/>
          <w:b/>
          <w:color w:val="auto"/>
          <w:kern w:val="0"/>
          <w:sz w:val="28"/>
          <w:szCs w:val="28"/>
          <w:highlight w:val="none"/>
        </w:rPr>
        <w:t>十二、</w:t>
      </w:r>
      <w:r>
        <w:rPr>
          <w:rFonts w:hint="eastAsia" w:ascii="仿宋" w:eastAsia="仿宋" w:cs="仿宋"/>
          <w:b/>
          <w:color w:val="auto"/>
          <w:sz w:val="28"/>
          <w:szCs w:val="28"/>
          <w:highlight w:val="none"/>
        </w:rPr>
        <w:t>争议解决</w:t>
      </w:r>
    </w:p>
    <w:p w14:paraId="4561E510">
      <w:pPr>
        <w:pStyle w:val="6"/>
        <w:widowControl/>
        <w:adjustRightInd w:val="0"/>
        <w:spacing w:line="400" w:lineRule="exact"/>
        <w:ind w:left="0"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本合同签订及履行过程中产生的任何争议，由双方协商解决；协商不成时，由合同签订地有管辖权的人民法院管辖。</w:t>
      </w:r>
    </w:p>
    <w:p w14:paraId="390A1C1D">
      <w:pPr>
        <w:pStyle w:val="6"/>
        <w:widowControl/>
        <w:spacing w:line="400" w:lineRule="exact"/>
        <w:ind w:left="0"/>
        <w:jc w:val="lef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十三、其他约定事项</w:t>
      </w:r>
    </w:p>
    <w:p w14:paraId="62FAAE2D">
      <w:pPr>
        <w:pStyle w:val="6"/>
        <w:widowControl/>
        <w:adjustRightInd w:val="0"/>
        <w:spacing w:line="400" w:lineRule="exact"/>
        <w:ind w:left="0"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不得以任何手段向甲方任何人行贿，如甲方相关人员有索贿、受贿现象，任何单位或个人均可检举揭发，举报人需将索贿、受贿的证据提供至甲方企业运营部，电话0311-82870378,0311-82876666。受贿、索贿现象一经查实，甲方企业运营部将以索贿、受贿金额四倍奖励举报人，并对举报人相关信息给与保密，本条款5年内有效，解释权归甲方企业运营部。</w:t>
      </w:r>
    </w:p>
    <w:p w14:paraId="66188590">
      <w:pPr>
        <w:spacing w:line="46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2、</w:t>
      </w:r>
      <w:r>
        <w:rPr>
          <w:rFonts w:hint="eastAsia" w:ascii="仿宋" w:eastAsia="仿宋" w:cs="仿宋"/>
          <w:b/>
          <w:bCs/>
          <w:color w:val="auto"/>
          <w:sz w:val="28"/>
          <w:szCs w:val="28"/>
          <w:highlight w:val="none"/>
        </w:rPr>
        <w:t>甲方出现非正常生产情况，包括但不限于生产调整、项目停止、产能置换、限产、限电、环保、钢铁行业的减污降碳措施等或不可抗力、情势变更情形的，甲方有权通知乙方解除或变更合同，甲方不因此承担违约责任。</w:t>
      </w:r>
    </w:p>
    <w:p w14:paraId="1E6B2C01">
      <w:pPr>
        <w:pStyle w:val="6"/>
        <w:widowControl/>
        <w:adjustRightInd w:val="0"/>
        <w:spacing w:line="400" w:lineRule="exact"/>
        <w:ind w:left="0" w:firstLine="560" w:firstLineChars="200"/>
        <w:jc w:val="left"/>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rPr>
        <w:t>3、本合同内容及合同相关的技术协议均为锁定条款，不得更改。若出现其他任何相关书面函件，包括相关更改、说明、证明类等资料均为无效。</w:t>
      </w:r>
      <w:r>
        <w:rPr>
          <w:rFonts w:hint="eastAsia" w:ascii="仿宋" w:eastAsia="仿宋" w:cs="仿宋"/>
          <w:color w:val="auto"/>
          <w:sz w:val="28"/>
          <w:szCs w:val="28"/>
          <w:highlight w:val="none"/>
          <w:lang w:eastAsia="zh-CN"/>
        </w:rPr>
        <w:t>若遇特殊情况，需要修改的，必须由甲乙双方重新商定，以书面确认为准。</w:t>
      </w:r>
    </w:p>
    <w:p w14:paraId="6E982998">
      <w:pPr>
        <w:pStyle w:val="6"/>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4、乙方确保本合同签署的地址及通讯方式均真实有效，双方认可该地址为法定送达地址。本合同自双方签字盖章之日起生效，双方一致认可使用电子签章所签订的本合同，对双方均具约束力。本合同一式3份，甲方执2份，乙方执1份，具有同等法律效力。</w:t>
      </w:r>
    </w:p>
    <w:p w14:paraId="40696B92">
      <w:pPr>
        <w:widowControl/>
        <w:tabs>
          <w:tab w:val="left" w:pos="540"/>
        </w:tabs>
        <w:spacing w:line="400" w:lineRule="exact"/>
        <w:ind w:left="4560" w:hanging="4578" w:hangingChars="1900"/>
        <w:jc w:val="left"/>
        <w:rPr>
          <w:rFonts w:hint="eastAsia" w:ascii="宋体" w:cs="仿宋"/>
          <w:kern w:val="0"/>
          <w:sz w:val="24"/>
          <w:highlight w:val="none"/>
          <w:u w:val="single"/>
        </w:rPr>
      </w:pPr>
      <w:r>
        <w:rPr>
          <w:rFonts w:hint="eastAsia" w:ascii="宋体" w:cs="仿宋"/>
          <w:b/>
          <w:kern w:val="0"/>
          <w:sz w:val="24"/>
          <w:highlight w:val="none"/>
        </w:rPr>
        <w:t>十四、附件（必填）：1、技术协议</w:t>
      </w:r>
      <w:r>
        <w:rPr>
          <w:rFonts w:hint="eastAsia" w:ascii="宋体" w:cs="仿宋"/>
          <w:kern w:val="0"/>
          <w:sz w:val="24"/>
          <w:highlight w:val="none"/>
        </w:rPr>
        <w:t xml:space="preserve">   </w:t>
      </w:r>
      <w:r>
        <w:rPr>
          <w:rFonts w:hint="eastAsia" w:ascii="宋体" w:cs="仿宋"/>
          <w:b/>
          <w:kern w:val="0"/>
          <w:sz w:val="24"/>
          <w:highlight w:val="none"/>
        </w:rPr>
        <w:t>（有）/（无）2、其他</w:t>
      </w:r>
      <w:r>
        <w:rPr>
          <w:rFonts w:hint="eastAsia" w:ascii="宋体" w:cs="仿宋"/>
          <w:kern w:val="0"/>
          <w:sz w:val="24"/>
          <w:highlight w:val="none"/>
        </w:rPr>
        <w:t xml:space="preserve">   </w:t>
      </w:r>
    </w:p>
    <w:p w14:paraId="5F2D6724">
      <w:pPr>
        <w:pStyle w:val="2"/>
        <w:spacing w:before="0" w:after="0" w:line="400" w:lineRule="exact"/>
        <w:ind w:left="0" w:right="0"/>
        <w:jc w:val="both"/>
        <w:rPr>
          <w:rFonts w:hint="eastAsia" w:ascii="宋体" w:cs="仿宋"/>
          <w:i w:val="0"/>
          <w:color w:val="auto"/>
          <w:sz w:val="24"/>
          <w:highlight w:val="none"/>
        </w:rPr>
      </w:pPr>
      <w:r>
        <w:rPr>
          <w:rFonts w:hint="eastAsia" w:ascii="宋体" w:cs="仿宋"/>
          <w:i w:val="0"/>
          <w:color w:val="auto"/>
          <w:sz w:val="24"/>
          <w:highlight w:val="none"/>
        </w:rPr>
        <w:t>（以下无正文）</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830"/>
        <w:gridCol w:w="4828"/>
      </w:tblGrid>
      <w:tr w14:paraId="53620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54C745D5">
            <w:pPr>
              <w:widowControl/>
              <w:tabs>
                <w:tab w:val="left" w:pos="540"/>
              </w:tabs>
              <w:spacing w:line="400" w:lineRule="exact"/>
              <w:jc w:val="left"/>
              <w:rPr>
                <w:rFonts w:hint="eastAsia" w:ascii="宋体" w:cs="仿宋"/>
                <w:kern w:val="0"/>
                <w:sz w:val="24"/>
                <w:highlight w:val="none"/>
              </w:rPr>
            </w:pPr>
            <w:r>
              <w:rPr>
                <w:rFonts w:hint="eastAsia" w:ascii="宋体" w:cs="仿宋"/>
                <w:kern w:val="0"/>
                <w:sz w:val="24"/>
                <w:highlight w:val="none"/>
              </w:rPr>
              <w:t xml:space="preserve">甲方（章）：   </w:t>
            </w:r>
          </w:p>
        </w:tc>
        <w:tc>
          <w:tcPr>
            <w:tcW w:w="4927" w:type="dxa"/>
            <w:tcBorders>
              <w:top w:val="nil"/>
              <w:left w:val="nil"/>
              <w:bottom w:val="nil"/>
              <w:right w:val="nil"/>
              <w:tl2br w:val="nil"/>
              <w:tr2bl w:val="nil"/>
            </w:tcBorders>
          </w:tcPr>
          <w:p w14:paraId="26FFC8BB">
            <w:pPr>
              <w:widowControl/>
              <w:tabs>
                <w:tab w:val="left" w:pos="540"/>
              </w:tabs>
              <w:spacing w:line="400" w:lineRule="exact"/>
              <w:jc w:val="left"/>
              <w:rPr>
                <w:rFonts w:hint="eastAsia" w:ascii="宋体" w:cs="仿宋"/>
                <w:kern w:val="0"/>
                <w:sz w:val="24"/>
                <w:highlight w:val="none"/>
              </w:rPr>
            </w:pPr>
            <w:r>
              <w:rPr>
                <w:rFonts w:hint="eastAsia" w:ascii="宋体" w:cs="仿宋"/>
                <w:kern w:val="0"/>
                <w:sz w:val="24"/>
                <w:highlight w:val="none"/>
              </w:rPr>
              <w:t xml:space="preserve">乙方（章）:   </w:t>
            </w:r>
          </w:p>
        </w:tc>
      </w:tr>
      <w:tr w14:paraId="445C0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7C9DF689">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单位地址：   </w:t>
            </w:r>
          </w:p>
        </w:tc>
        <w:tc>
          <w:tcPr>
            <w:tcW w:w="4927" w:type="dxa"/>
            <w:tcBorders>
              <w:top w:val="nil"/>
              <w:left w:val="nil"/>
              <w:bottom w:val="nil"/>
              <w:right w:val="nil"/>
              <w:tl2br w:val="nil"/>
              <w:tr2bl w:val="nil"/>
            </w:tcBorders>
          </w:tcPr>
          <w:p w14:paraId="71DD896E">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单位地址：    </w:t>
            </w:r>
          </w:p>
        </w:tc>
      </w:tr>
      <w:tr w14:paraId="508B2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280D026C">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法定代表人：   </w:t>
            </w:r>
          </w:p>
        </w:tc>
        <w:tc>
          <w:tcPr>
            <w:tcW w:w="4927" w:type="dxa"/>
            <w:tcBorders>
              <w:top w:val="nil"/>
              <w:left w:val="nil"/>
              <w:bottom w:val="nil"/>
              <w:right w:val="nil"/>
              <w:tl2br w:val="nil"/>
              <w:tr2bl w:val="nil"/>
            </w:tcBorders>
          </w:tcPr>
          <w:p w14:paraId="43F85D2C">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法定代表人：    </w:t>
            </w:r>
          </w:p>
        </w:tc>
      </w:tr>
      <w:tr w14:paraId="5D210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5E80C63F">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委托代理人：   </w:t>
            </w:r>
          </w:p>
        </w:tc>
        <w:tc>
          <w:tcPr>
            <w:tcW w:w="4927" w:type="dxa"/>
            <w:tcBorders>
              <w:top w:val="nil"/>
              <w:left w:val="nil"/>
              <w:bottom w:val="nil"/>
              <w:right w:val="nil"/>
              <w:tl2br w:val="nil"/>
              <w:tr2bl w:val="nil"/>
            </w:tcBorders>
          </w:tcPr>
          <w:p w14:paraId="628CCE72">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委托代理人：    </w:t>
            </w:r>
          </w:p>
        </w:tc>
      </w:tr>
      <w:tr w14:paraId="566DF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062BD7D4">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邮编：   </w:t>
            </w:r>
          </w:p>
        </w:tc>
        <w:tc>
          <w:tcPr>
            <w:tcW w:w="4927" w:type="dxa"/>
            <w:tcBorders>
              <w:top w:val="nil"/>
              <w:left w:val="nil"/>
              <w:bottom w:val="nil"/>
              <w:right w:val="nil"/>
              <w:tl2br w:val="nil"/>
              <w:tr2bl w:val="nil"/>
            </w:tcBorders>
          </w:tcPr>
          <w:p w14:paraId="3F12CD79">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邮编：    </w:t>
            </w:r>
          </w:p>
        </w:tc>
      </w:tr>
      <w:tr w14:paraId="5DB40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2A551868">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邮箱:   </w:t>
            </w:r>
          </w:p>
        </w:tc>
        <w:tc>
          <w:tcPr>
            <w:tcW w:w="4927" w:type="dxa"/>
            <w:tcBorders>
              <w:top w:val="nil"/>
              <w:left w:val="nil"/>
              <w:bottom w:val="nil"/>
              <w:right w:val="nil"/>
              <w:tl2br w:val="nil"/>
              <w:tr2bl w:val="nil"/>
            </w:tcBorders>
          </w:tcPr>
          <w:p w14:paraId="7FC28DEE">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邮箱：    </w:t>
            </w:r>
          </w:p>
        </w:tc>
      </w:tr>
      <w:tr w14:paraId="46059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5C497687">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电话：   </w:t>
            </w:r>
          </w:p>
        </w:tc>
        <w:tc>
          <w:tcPr>
            <w:tcW w:w="4927" w:type="dxa"/>
            <w:tcBorders>
              <w:top w:val="nil"/>
              <w:left w:val="nil"/>
              <w:bottom w:val="nil"/>
              <w:right w:val="nil"/>
              <w:tl2br w:val="nil"/>
              <w:tr2bl w:val="nil"/>
            </w:tcBorders>
          </w:tcPr>
          <w:p w14:paraId="000FFE52">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电话：    </w:t>
            </w:r>
          </w:p>
        </w:tc>
      </w:tr>
      <w:tr w14:paraId="04DF0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59557D97">
            <w:pPr>
              <w:widowControl/>
              <w:tabs>
                <w:tab w:val="left" w:pos="540"/>
              </w:tabs>
              <w:spacing w:line="400" w:lineRule="exact"/>
              <w:jc w:val="left"/>
              <w:rPr>
                <w:rFonts w:hint="eastAsia" w:ascii="宋体" w:cs="仿宋"/>
                <w:kern w:val="0"/>
                <w:sz w:val="24"/>
              </w:rPr>
            </w:pPr>
            <w:r>
              <w:rPr>
                <w:rFonts w:hint="eastAsia" w:ascii="宋体" w:cs="仿宋"/>
                <w:kern w:val="0"/>
                <w:sz w:val="24"/>
              </w:rPr>
              <w:t>传真：</w:t>
            </w:r>
          </w:p>
        </w:tc>
        <w:tc>
          <w:tcPr>
            <w:tcW w:w="4927" w:type="dxa"/>
            <w:tcBorders>
              <w:top w:val="nil"/>
              <w:left w:val="nil"/>
              <w:bottom w:val="nil"/>
              <w:right w:val="nil"/>
              <w:tl2br w:val="nil"/>
              <w:tr2bl w:val="nil"/>
            </w:tcBorders>
          </w:tcPr>
          <w:p w14:paraId="6CD8351D">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传真：    </w:t>
            </w:r>
          </w:p>
        </w:tc>
      </w:tr>
      <w:tr w14:paraId="415DD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4DBD97D5">
            <w:pPr>
              <w:widowControl/>
              <w:tabs>
                <w:tab w:val="left" w:pos="540"/>
              </w:tabs>
              <w:spacing w:line="400" w:lineRule="exact"/>
              <w:jc w:val="left"/>
              <w:rPr>
                <w:rFonts w:hint="eastAsia" w:ascii="宋体" w:cs="仿宋"/>
                <w:kern w:val="0"/>
                <w:sz w:val="24"/>
              </w:rPr>
            </w:pPr>
            <w:r>
              <w:rPr>
                <w:rFonts w:hint="eastAsia" w:ascii="宋体" w:cs="仿宋"/>
                <w:kern w:val="0"/>
                <w:sz w:val="24"/>
              </w:rPr>
              <w:t>开户银行：</w:t>
            </w:r>
          </w:p>
        </w:tc>
        <w:tc>
          <w:tcPr>
            <w:tcW w:w="4927" w:type="dxa"/>
            <w:tcBorders>
              <w:top w:val="nil"/>
              <w:left w:val="nil"/>
              <w:bottom w:val="nil"/>
              <w:right w:val="nil"/>
              <w:tl2br w:val="nil"/>
              <w:tr2bl w:val="nil"/>
            </w:tcBorders>
          </w:tcPr>
          <w:p w14:paraId="48BF79FB">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开户银行：    </w:t>
            </w:r>
          </w:p>
        </w:tc>
      </w:tr>
      <w:tr w14:paraId="08C24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50ABA4F3">
            <w:pPr>
              <w:widowControl/>
              <w:tabs>
                <w:tab w:val="left" w:pos="540"/>
              </w:tabs>
              <w:spacing w:line="400" w:lineRule="exact"/>
              <w:jc w:val="left"/>
              <w:rPr>
                <w:rFonts w:hint="eastAsia" w:ascii="宋体" w:cs="仿宋"/>
                <w:kern w:val="0"/>
                <w:sz w:val="24"/>
              </w:rPr>
            </w:pPr>
            <w:r>
              <w:rPr>
                <w:rFonts w:hint="eastAsia" w:ascii="宋体" w:cs="仿宋"/>
                <w:kern w:val="0"/>
                <w:sz w:val="24"/>
              </w:rPr>
              <w:t>账号：</w:t>
            </w:r>
          </w:p>
        </w:tc>
        <w:tc>
          <w:tcPr>
            <w:tcW w:w="4927" w:type="dxa"/>
            <w:tcBorders>
              <w:top w:val="nil"/>
              <w:left w:val="nil"/>
              <w:bottom w:val="nil"/>
              <w:right w:val="nil"/>
              <w:tl2br w:val="nil"/>
              <w:tr2bl w:val="nil"/>
            </w:tcBorders>
          </w:tcPr>
          <w:p w14:paraId="7BF0C063">
            <w:pPr>
              <w:widowControl/>
              <w:tabs>
                <w:tab w:val="left" w:pos="540"/>
              </w:tabs>
              <w:spacing w:line="400" w:lineRule="exact"/>
              <w:jc w:val="left"/>
              <w:rPr>
                <w:rFonts w:hint="eastAsia" w:ascii="宋体" w:cs="仿宋"/>
                <w:kern w:val="0"/>
                <w:sz w:val="24"/>
              </w:rPr>
            </w:pPr>
            <w:r>
              <w:rPr>
                <w:rFonts w:hint="eastAsia" w:ascii="宋体" w:cs="仿宋"/>
                <w:kern w:val="0"/>
                <w:sz w:val="24"/>
              </w:rPr>
              <w:t xml:space="preserve">账号：    </w:t>
            </w:r>
          </w:p>
        </w:tc>
      </w:tr>
      <w:tr w14:paraId="2468A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c>
          <w:tcPr>
            <w:tcW w:w="4927" w:type="dxa"/>
            <w:tcBorders>
              <w:top w:val="nil"/>
              <w:left w:val="nil"/>
              <w:bottom w:val="nil"/>
              <w:right w:val="nil"/>
              <w:tl2br w:val="nil"/>
              <w:tr2bl w:val="nil"/>
            </w:tcBorders>
          </w:tcPr>
          <w:p w14:paraId="4D5C629F">
            <w:pPr>
              <w:widowControl/>
              <w:tabs>
                <w:tab w:val="left" w:pos="540"/>
              </w:tabs>
              <w:spacing w:line="400" w:lineRule="exact"/>
              <w:jc w:val="left"/>
              <w:rPr>
                <w:rFonts w:hint="eastAsia" w:ascii="宋体" w:cs="仿宋"/>
                <w:kern w:val="0"/>
                <w:sz w:val="24"/>
              </w:rPr>
            </w:pPr>
            <w:r>
              <w:rPr>
                <w:rFonts w:hint="eastAsia" w:ascii="宋体" w:cs="仿宋"/>
                <w:kern w:val="0"/>
                <w:sz w:val="24"/>
                <w:lang w:eastAsia="zh-CN"/>
              </w:rPr>
              <w:t>税号：</w:t>
            </w:r>
          </w:p>
        </w:tc>
        <w:tc>
          <w:tcPr>
            <w:tcW w:w="4927" w:type="dxa"/>
            <w:tcBorders>
              <w:top w:val="nil"/>
              <w:left w:val="nil"/>
              <w:bottom w:val="nil"/>
              <w:right w:val="nil"/>
              <w:tl2br w:val="nil"/>
              <w:tr2bl w:val="nil"/>
            </w:tcBorders>
          </w:tcPr>
          <w:p w14:paraId="1B6F87CC">
            <w:pPr>
              <w:widowControl/>
              <w:tabs>
                <w:tab w:val="left" w:pos="540"/>
              </w:tabs>
              <w:spacing w:line="400" w:lineRule="exact"/>
              <w:jc w:val="left"/>
              <w:rPr>
                <w:rFonts w:hint="eastAsia" w:ascii="宋体" w:eastAsia="宋体" w:cs="仿宋"/>
                <w:kern w:val="0"/>
                <w:sz w:val="24"/>
                <w:lang w:eastAsia="zh-CN"/>
              </w:rPr>
            </w:pPr>
            <w:r>
              <w:rPr>
                <w:rFonts w:hint="eastAsia" w:ascii="宋体" w:cs="仿宋"/>
                <w:kern w:val="0"/>
                <w:sz w:val="24"/>
                <w:lang w:eastAsia="zh-CN"/>
              </w:rPr>
              <w:t>税号：</w:t>
            </w:r>
            <w:r>
              <w:rPr>
                <w:rFonts w:hint="eastAsia" w:ascii="宋体" w:cs="仿宋"/>
                <w:kern w:val="0"/>
                <w:sz w:val="24"/>
              </w:rPr>
              <w:t xml:space="preserve">   </w:t>
            </w:r>
          </w:p>
        </w:tc>
      </w:tr>
    </w:tbl>
    <w:p w14:paraId="3427041C"/>
    <w:p w14:paraId="75231A59">
      <w:pPr>
        <w:tabs>
          <w:tab w:val="left" w:pos="732"/>
        </w:tabs>
        <w:spacing w:line="400" w:lineRule="exact"/>
        <w:jc w:val="left"/>
        <w:rPr>
          <w:rFonts w:hint="eastAsia" w:ascii="宋体" w:cs="仿宋"/>
          <w:sz w:val="24"/>
        </w:rPr>
      </w:pPr>
    </w:p>
    <w:sectPr>
      <w:headerReference r:id="rId3" w:type="default"/>
      <w:footerReference r:id="rId4"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3AD9">
    <w:pPr>
      <w:pStyle w:val="4"/>
      <w:jc w:val="center"/>
    </w:pPr>
    <w:r>
      <w:rPr>
        <w:kern w:val="0"/>
        <w:szCs w:val="21"/>
      </w:rPr>
      <w:fldChar w:fldCharType="begin"/>
    </w:r>
    <w:r>
      <w:rPr>
        <w:kern w:val="0"/>
        <w:szCs w:val="21"/>
      </w:rPr>
      <w:instrText xml:space="preserve"> PAGE </w:instrText>
    </w:r>
    <w:r>
      <w:rPr>
        <w:kern w:val="0"/>
        <w:szCs w:val="21"/>
      </w:rPr>
      <w:fldChar w:fldCharType="separate"/>
    </w:r>
    <w:r>
      <w:rPr>
        <w:kern w:val="0"/>
        <w:szCs w:val="21"/>
        <w:lang w:val="en-US" w:eastAsia="zh-CN"/>
      </w:rPr>
      <w:t>1</w:t>
    </w:r>
    <w:r>
      <w:rPr>
        <w:kern w:val="0"/>
        <w:szCs w:val="21"/>
      </w:rPr>
      <w:fldChar w:fldCharType="end"/>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lang w:val="en-US" w:eastAsia="zh-CN"/>
      </w:rPr>
      <w:t>4</w:t>
    </w:r>
    <w:r>
      <w:rPr>
        <w:kern w:val="0"/>
        <w:szCs w:val="21"/>
      </w:rPr>
      <w:fldChar w:fldCharType="end"/>
    </w: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451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BC14735"/>
    <w:rsid w:val="5B822F7E"/>
    <w:rsid w:val="7DFF4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引用1"/>
    <w:basedOn w:val="1"/>
    <w:next w:val="1"/>
    <w:uiPriority w:val="0"/>
    <w:pPr>
      <w:spacing w:before="200" w:after="160"/>
      <w:ind w:left="864" w:right="864"/>
      <w:jc w:val="center"/>
    </w:pPr>
    <w:rPr>
      <w:rFonts w:ascii="Times New Roman" w:hAnsi="Times New Roman" w:eastAsia="宋体" w:cs="Times New Roman"/>
      <w:i/>
      <w:iCs/>
      <w:color w:val="3F3F3F"/>
    </w:rPr>
  </w:style>
  <w:style w:type="paragraph" w:styleId="3">
    <w:name w:val="Body Text"/>
    <w:basedOn w:val="1"/>
    <w:uiPriority w:val="0"/>
    <w:pPr>
      <w:spacing w:line="440" w:lineRule="exact"/>
    </w:pPr>
    <w:rPr>
      <w:rFonts w:ascii="宋体" w:eastAsia="宋体"/>
      <w:color w:val="000000"/>
      <w:kern w:val="2"/>
      <w:sz w:val="22"/>
      <w:szCs w:val="24"/>
      <w:lang w:val="en-US" w:eastAsia="zh-CN" w:bidi="ar-SA"/>
    </w:rPr>
  </w:style>
  <w:style w:type="paragraph" w:styleId="4">
    <w:name w:val="footer"/>
    <w:basedOn w:val="1"/>
    <w:uiPriority w:val="0"/>
    <w:pPr>
      <w:tabs>
        <w:tab w:val="center" w:pos="4153"/>
        <w:tab w:val="right" w:pos="8306"/>
      </w:tabs>
      <w:snapToGrid w:val="0"/>
      <w:jc w:val="left"/>
    </w:pPr>
    <w:rPr>
      <w:kern w:val="2"/>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kern w:val="2"/>
      <w:sz w:val="18"/>
      <w:szCs w:val="18"/>
    </w:rPr>
  </w:style>
  <w:style w:type="paragraph" w:styleId="6">
    <w:name w:val="List"/>
    <w:basedOn w:val="1"/>
    <w:uiPriority w:val="0"/>
    <w:pPr>
      <w:ind w:left="200" w:hanging="200" w:hangingChars="200"/>
    </w:pPr>
    <w:rPr>
      <w:szCs w:val="20"/>
    </w:rPr>
  </w:style>
  <w:style w:type="character" w:styleId="9">
    <w:name w:val="Hyperlink"/>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3763</Words>
  <Characters>4105</Characters>
  <Lines>0</Lines>
  <Paragraphs>0</Paragraphs>
  <TotalTime>0</TotalTime>
  <ScaleCrop>false</ScaleCrop>
  <LinksUpToDate>false</LinksUpToDate>
  <CharactersWithSpaces>4109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2021-06-07T19:31:00Z</dcterms:created>
  <dc:creator>Administrator</dc:creator>
  <cp:lastModifiedBy>姚雷</cp:lastModifiedBy>
  <dcterms:modified xsi:type="dcterms:W3CDTF">2025-07-09T02:24:18Z</dcterms:modified>
  <dc:title>备件买卖合同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86D30CED04A34D5FB190EE55995FA71C_13</vt:lpwstr>
  </property>
</Properties>
</file>