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58EA6">
      <w:pPr>
        <w:pStyle w:val="30"/>
        <w:jc w:val="center"/>
        <w:rPr>
          <w:b/>
          <w:bCs/>
          <w:sz w:val="48"/>
          <w:szCs w:val="48"/>
        </w:rPr>
      </w:pPr>
      <w:r>
        <w:rPr>
          <w:rFonts w:hint="eastAsia"/>
          <w:b/>
          <w:bCs/>
          <w:sz w:val="48"/>
          <w:szCs w:val="48"/>
        </w:rPr>
        <w:t>与儿街镇军旅特色营地项目</w:t>
      </w:r>
    </w:p>
    <w:p w14:paraId="48648D65">
      <w:pPr>
        <w:pStyle w:val="30"/>
        <w:tabs>
          <w:tab w:val="left" w:pos="7258"/>
        </w:tabs>
        <w:jc w:val="center"/>
        <w:rPr>
          <w:rFonts w:hint="eastAsia" w:ascii="宋体" w:hAnsi="宋体"/>
          <w:b/>
          <w:sz w:val="52"/>
          <w:szCs w:val="52"/>
        </w:rPr>
      </w:pPr>
      <w:bookmarkStart w:id="0" w:name="_Toc8061"/>
      <w:bookmarkStart w:id="1" w:name="_Toc21224"/>
    </w:p>
    <w:p w14:paraId="10155A63">
      <w:pPr>
        <w:pStyle w:val="30"/>
        <w:tabs>
          <w:tab w:val="left" w:pos="7258"/>
        </w:tabs>
        <w:jc w:val="center"/>
        <w:rPr>
          <w:rFonts w:ascii="宋体" w:hAnsi="宋体"/>
          <w:b/>
          <w:sz w:val="52"/>
          <w:szCs w:val="52"/>
        </w:rPr>
      </w:pPr>
      <w:r>
        <w:rPr>
          <w:rFonts w:hint="eastAsia" w:ascii="宋体" w:hAnsi="宋体"/>
          <w:b/>
          <w:sz w:val="52"/>
          <w:szCs w:val="52"/>
        </w:rPr>
        <w:t>谈</w:t>
      </w:r>
      <w:bookmarkEnd w:id="0"/>
      <w:bookmarkEnd w:id="1"/>
    </w:p>
    <w:p w14:paraId="5A9D37ED">
      <w:pPr>
        <w:jc w:val="center"/>
        <w:outlineLvl w:val="0"/>
        <w:rPr>
          <w:rFonts w:hint="eastAsia" w:ascii="宋体" w:hAnsi="宋体"/>
          <w:b/>
          <w:sz w:val="52"/>
          <w:szCs w:val="52"/>
        </w:rPr>
      </w:pPr>
      <w:bookmarkStart w:id="2" w:name="_Toc28379"/>
      <w:bookmarkStart w:id="3" w:name="_Toc6386"/>
    </w:p>
    <w:p w14:paraId="581D9E3C">
      <w:pPr>
        <w:jc w:val="center"/>
        <w:outlineLvl w:val="0"/>
        <w:rPr>
          <w:rFonts w:ascii="宋体" w:hAnsi="宋体"/>
          <w:b/>
          <w:sz w:val="52"/>
          <w:szCs w:val="52"/>
        </w:rPr>
      </w:pPr>
      <w:r>
        <w:rPr>
          <w:rFonts w:hint="eastAsia" w:ascii="宋体" w:hAnsi="宋体"/>
          <w:b/>
          <w:sz w:val="52"/>
          <w:szCs w:val="52"/>
        </w:rPr>
        <w:t>判</w:t>
      </w:r>
      <w:bookmarkEnd w:id="2"/>
      <w:bookmarkEnd w:id="3"/>
    </w:p>
    <w:p w14:paraId="5199EC97">
      <w:pPr>
        <w:jc w:val="center"/>
        <w:outlineLvl w:val="0"/>
        <w:rPr>
          <w:rFonts w:hint="eastAsia" w:ascii="宋体" w:hAnsi="宋体"/>
          <w:b/>
          <w:sz w:val="52"/>
          <w:szCs w:val="52"/>
        </w:rPr>
      </w:pPr>
      <w:bookmarkStart w:id="4" w:name="_Toc28916"/>
      <w:bookmarkStart w:id="5" w:name="_Toc2046"/>
    </w:p>
    <w:p w14:paraId="245928CF">
      <w:pPr>
        <w:jc w:val="center"/>
        <w:outlineLvl w:val="0"/>
        <w:rPr>
          <w:rFonts w:ascii="宋体" w:hAnsi="宋体"/>
          <w:b/>
          <w:sz w:val="52"/>
          <w:szCs w:val="52"/>
        </w:rPr>
      </w:pPr>
      <w:r>
        <w:rPr>
          <w:rFonts w:hint="eastAsia" w:ascii="宋体" w:hAnsi="宋体"/>
          <w:b/>
          <w:sz w:val="52"/>
          <w:szCs w:val="52"/>
        </w:rPr>
        <w:t>文</w:t>
      </w:r>
      <w:bookmarkEnd w:id="4"/>
      <w:bookmarkEnd w:id="5"/>
    </w:p>
    <w:p w14:paraId="230D7987">
      <w:pPr>
        <w:jc w:val="center"/>
        <w:outlineLvl w:val="0"/>
        <w:rPr>
          <w:rFonts w:hint="eastAsia" w:ascii="宋体" w:hAnsi="宋体"/>
          <w:b/>
          <w:sz w:val="52"/>
          <w:szCs w:val="52"/>
        </w:rPr>
      </w:pPr>
      <w:bookmarkStart w:id="6" w:name="_Toc31225"/>
      <w:bookmarkStart w:id="7" w:name="_Toc11983"/>
    </w:p>
    <w:p w14:paraId="67271862">
      <w:pPr>
        <w:jc w:val="center"/>
        <w:outlineLvl w:val="0"/>
        <w:rPr>
          <w:rFonts w:ascii="宋体" w:hAnsi="宋体"/>
          <w:b/>
          <w:sz w:val="52"/>
          <w:szCs w:val="52"/>
        </w:rPr>
      </w:pPr>
      <w:r>
        <w:rPr>
          <w:rFonts w:hint="eastAsia" w:ascii="宋体" w:hAnsi="宋体"/>
          <w:b/>
          <w:sz w:val="52"/>
          <w:szCs w:val="52"/>
        </w:rPr>
        <w:t>件</w:t>
      </w:r>
      <w:bookmarkEnd w:id="6"/>
      <w:bookmarkEnd w:id="7"/>
    </w:p>
    <w:p w14:paraId="760DBD98">
      <w:pPr>
        <w:spacing w:line="400" w:lineRule="exact"/>
        <w:rPr>
          <w:rFonts w:ascii="宋体" w:hAnsi="宋体"/>
        </w:rPr>
      </w:pPr>
    </w:p>
    <w:p w14:paraId="5F396483">
      <w:pPr>
        <w:pStyle w:val="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宋体" w:hAnsi="宋体"/>
          <w:b/>
          <w:color w:val="auto"/>
          <w:sz w:val="36"/>
          <w:szCs w:val="36"/>
          <w:highlight w:val="none"/>
          <w:lang w:val="en-US" w:eastAsia="zh-CN"/>
        </w:rPr>
        <w:t>项目编号：JSJY1110002030823001</w:t>
      </w:r>
      <w:r>
        <w:rPr>
          <w:rFonts w:hint="eastAsia" w:ascii="仿宋" w:hAnsi="仿宋" w:eastAsia="仿宋" w:cs="仿宋"/>
          <w:sz w:val="32"/>
          <w:szCs w:val="32"/>
          <w:lang w:val="en-US" w:eastAsia="zh-CN"/>
        </w:rPr>
        <w:t xml:space="preserve">                 </w:t>
      </w:r>
    </w:p>
    <w:p w14:paraId="4041EF47">
      <w:pPr>
        <w:pStyle w:val="3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11E1C4EE">
      <w:pPr>
        <w:spacing w:line="360" w:lineRule="auto"/>
        <w:ind w:firstLine="1807" w:firstLineChars="500"/>
        <w:jc w:val="both"/>
        <w:rPr>
          <w:rFonts w:hint="eastAsia" w:ascii="宋体" w:hAnsi="宋体" w:eastAsia="宋体" w:cs="宋体"/>
          <w:b/>
          <w:bCs/>
          <w:color w:val="auto"/>
          <w:sz w:val="36"/>
          <w:szCs w:val="36"/>
          <w:lang w:eastAsia="zh-CN"/>
        </w:rPr>
      </w:pPr>
      <w:r>
        <w:rPr>
          <w:rFonts w:hint="eastAsia" w:ascii="宋体" w:hAnsi="宋体" w:cs="宋体"/>
          <w:b/>
          <w:bCs/>
          <w:color w:val="auto"/>
          <w:sz w:val="36"/>
          <w:szCs w:val="36"/>
          <w:lang w:val="en-US" w:eastAsia="zh-CN"/>
        </w:rPr>
        <w:t>采购</w:t>
      </w:r>
      <w:r>
        <w:rPr>
          <w:rFonts w:hint="eastAsia" w:ascii="宋体" w:hAnsi="宋体" w:cs="宋体"/>
          <w:b/>
          <w:bCs/>
          <w:color w:val="auto"/>
          <w:sz w:val="36"/>
          <w:szCs w:val="36"/>
        </w:rPr>
        <w:t>人：</w:t>
      </w:r>
      <w:r>
        <w:rPr>
          <w:rFonts w:hint="eastAsia" w:ascii="宋体" w:hAnsi="宋体" w:cs="宋体"/>
          <w:b/>
          <w:bCs/>
          <w:color w:val="auto"/>
          <w:sz w:val="36"/>
          <w:szCs w:val="36"/>
          <w:lang w:eastAsia="zh-CN"/>
        </w:rPr>
        <w:t>霍山县与儿街镇人民政府</w:t>
      </w:r>
    </w:p>
    <w:p w14:paraId="2A45AC12">
      <w:pPr>
        <w:spacing w:line="360" w:lineRule="auto"/>
        <w:ind w:firstLine="1807" w:firstLineChars="500"/>
        <w:jc w:val="both"/>
        <w:rPr>
          <w:rFonts w:hint="eastAsia" w:ascii="宋体" w:hAnsi="宋体" w:eastAsia="宋体" w:cs="宋体"/>
          <w:b/>
          <w:bCs/>
          <w:color w:val="auto"/>
          <w:sz w:val="36"/>
          <w:szCs w:val="36"/>
          <w:lang w:eastAsia="zh-CN"/>
        </w:rPr>
      </w:pPr>
      <w:r>
        <w:rPr>
          <w:rFonts w:hint="eastAsia" w:ascii="宋体" w:hAnsi="宋体" w:cs="宋体"/>
          <w:b/>
          <w:bCs/>
          <w:color w:val="auto"/>
          <w:sz w:val="36"/>
          <w:szCs w:val="36"/>
          <w:lang w:val="en-US" w:eastAsia="zh-CN"/>
        </w:rPr>
        <w:t>代理机构</w:t>
      </w:r>
      <w:r>
        <w:rPr>
          <w:rFonts w:hint="eastAsia" w:ascii="宋体" w:hAnsi="宋体" w:cs="宋体"/>
          <w:b/>
          <w:bCs/>
          <w:color w:val="auto"/>
          <w:sz w:val="36"/>
          <w:szCs w:val="36"/>
        </w:rPr>
        <w:t>：</w:t>
      </w:r>
      <w:r>
        <w:rPr>
          <w:rFonts w:hint="eastAsia" w:ascii="宋体" w:hAnsi="宋体" w:cs="宋体"/>
          <w:b/>
          <w:bCs/>
          <w:color w:val="auto"/>
          <w:sz w:val="36"/>
          <w:szCs w:val="36"/>
          <w:lang w:eastAsia="zh-CN"/>
        </w:rPr>
        <w:t>安徽</w:t>
      </w:r>
      <w:r>
        <w:rPr>
          <w:rFonts w:hint="eastAsia" w:ascii="宋体" w:hAnsi="宋体" w:cs="宋体"/>
          <w:b/>
          <w:bCs/>
          <w:color w:val="auto"/>
          <w:sz w:val="36"/>
          <w:szCs w:val="36"/>
          <w:lang w:val="en-US" w:eastAsia="zh-CN"/>
        </w:rPr>
        <w:t>锴泽</w:t>
      </w:r>
      <w:r>
        <w:rPr>
          <w:rFonts w:hint="eastAsia" w:ascii="宋体" w:hAnsi="宋体" w:cs="宋体"/>
          <w:b/>
          <w:bCs/>
          <w:color w:val="auto"/>
          <w:sz w:val="36"/>
          <w:szCs w:val="36"/>
          <w:lang w:eastAsia="zh-CN"/>
        </w:rPr>
        <w:t>工程咨询有限公司</w:t>
      </w:r>
    </w:p>
    <w:p w14:paraId="154ED008">
      <w:pPr>
        <w:spacing w:line="360" w:lineRule="auto"/>
        <w:ind w:firstLine="1807" w:firstLineChars="500"/>
        <w:jc w:val="both"/>
        <w:rPr>
          <w:rFonts w:hint="eastAsia" w:ascii="仿宋" w:hAnsi="仿宋" w:eastAsia="仿宋" w:cs="仿宋"/>
          <w:sz w:val="36"/>
          <w:szCs w:val="36"/>
        </w:rPr>
      </w:pPr>
      <w:r>
        <w:rPr>
          <w:rFonts w:hint="eastAsia" w:ascii="宋体" w:hAnsi="宋体" w:cs="宋体"/>
          <w:b/>
          <w:bCs/>
          <w:color w:val="auto"/>
          <w:sz w:val="36"/>
          <w:szCs w:val="36"/>
        </w:rPr>
        <w:t xml:space="preserve">发布日期：二 ○ 二 </w:t>
      </w:r>
      <w:r>
        <w:rPr>
          <w:rFonts w:hint="eastAsia" w:ascii="宋体" w:hAnsi="宋体" w:cs="宋体"/>
          <w:b/>
          <w:bCs/>
          <w:color w:val="auto"/>
          <w:sz w:val="36"/>
          <w:szCs w:val="36"/>
          <w:lang w:val="en-US" w:eastAsia="zh-CN"/>
        </w:rPr>
        <w:t>五</w:t>
      </w:r>
      <w:r>
        <w:rPr>
          <w:rFonts w:hint="eastAsia" w:ascii="宋体" w:hAnsi="宋体" w:cs="宋体"/>
          <w:b/>
          <w:bCs/>
          <w:color w:val="auto"/>
          <w:sz w:val="36"/>
          <w:szCs w:val="36"/>
        </w:rPr>
        <w:t xml:space="preserve"> 年 </w:t>
      </w:r>
      <w:r>
        <w:rPr>
          <w:rFonts w:hint="eastAsia" w:ascii="宋体" w:hAnsi="宋体" w:cs="宋体"/>
          <w:b/>
          <w:bCs/>
          <w:color w:val="auto"/>
          <w:sz w:val="36"/>
          <w:szCs w:val="36"/>
          <w:lang w:val="en-US" w:eastAsia="zh-CN"/>
        </w:rPr>
        <w:t>四</w:t>
      </w:r>
      <w:r>
        <w:rPr>
          <w:rFonts w:hint="eastAsia" w:ascii="宋体" w:hAnsi="宋体" w:cs="宋体"/>
          <w:b/>
          <w:bCs/>
          <w:color w:val="auto"/>
          <w:sz w:val="36"/>
          <w:szCs w:val="36"/>
        </w:rPr>
        <w:t xml:space="preserve"> 月</w:t>
      </w:r>
    </w:p>
    <w:p w14:paraId="487EF219">
      <w:pPr>
        <w:rPr>
          <w:rFonts w:hint="eastAsia" w:ascii="仿宋" w:hAnsi="仿宋" w:eastAsia="仿宋" w:cs="仿宋"/>
          <w:sz w:val="32"/>
          <w:szCs w:val="32"/>
        </w:rPr>
      </w:pPr>
      <w:r>
        <w:rPr>
          <w:rFonts w:hint="eastAsia" w:ascii="仿宋" w:hAnsi="仿宋" w:eastAsia="仿宋" w:cs="仿宋"/>
          <w:sz w:val="32"/>
          <w:szCs w:val="32"/>
        </w:rPr>
        <w:br w:type="page"/>
      </w:r>
    </w:p>
    <w:sdt>
      <w:sdtPr>
        <w:rPr>
          <w:rFonts w:ascii="宋体" w:hAnsi="宋体" w:eastAsia="宋体" w:cs="Times New Roman"/>
          <w:kern w:val="2"/>
          <w:sz w:val="21"/>
          <w:lang w:val="en-US" w:eastAsia="zh-CN" w:bidi="ar-SA"/>
        </w:rPr>
        <w:id w:val="147476194"/>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14:paraId="2CBEACAD">
          <w:pPr>
            <w:spacing w:before="0" w:beforeLines="0" w:after="0" w:afterLines="0" w:line="240" w:lineRule="auto"/>
            <w:ind w:left="0" w:leftChars="0" w:right="0" w:rightChars="0" w:firstLine="0" w:firstLineChars="0"/>
            <w:jc w:val="center"/>
          </w:pPr>
          <w:r>
            <w:rPr>
              <w:rFonts w:ascii="宋体" w:hAnsi="宋体" w:eastAsia="宋体"/>
              <w:sz w:val="32"/>
              <w:szCs w:val="28"/>
            </w:rPr>
            <w:t>目录</w:t>
          </w:r>
        </w:p>
        <w:p w14:paraId="47E65646">
          <w:pPr>
            <w:pStyle w:val="134"/>
            <w:tabs>
              <w:tab w:val="right" w:pos="9525"/>
            </w:tabs>
            <w:rPr>
              <w:sz w:val="28"/>
              <w:szCs w:val="28"/>
            </w:rPr>
          </w:pPr>
          <w:r>
            <w:rPr>
              <w:rFonts w:hint="eastAsia"/>
              <w:bCs/>
              <w:sz w:val="28"/>
              <w:szCs w:val="40"/>
            </w:rPr>
            <w:fldChar w:fldCharType="begin"/>
          </w:r>
          <w:r>
            <w:rPr>
              <w:rFonts w:hint="eastAsia"/>
              <w:bCs/>
              <w:sz w:val="28"/>
              <w:szCs w:val="40"/>
            </w:rPr>
            <w:instrText xml:space="preserve">TOC \o "1-1" \h \u </w:instrText>
          </w:r>
          <w:r>
            <w:rPr>
              <w:rFonts w:hint="eastAsia"/>
              <w:bCs/>
              <w:sz w:val="28"/>
              <w:szCs w:val="40"/>
            </w:rPr>
            <w:fldChar w:fldCharType="separate"/>
          </w:r>
          <w:r>
            <w:rPr>
              <w:rFonts w:hint="eastAsia"/>
              <w:sz w:val="28"/>
              <w:szCs w:val="28"/>
            </w:rPr>
            <w:fldChar w:fldCharType="begin"/>
          </w:r>
          <w:r>
            <w:rPr>
              <w:rFonts w:hint="eastAsia"/>
              <w:sz w:val="28"/>
              <w:szCs w:val="28"/>
            </w:rPr>
            <w:instrText xml:space="preserve"> HYPERLINK \l _Toc1492 </w:instrText>
          </w:r>
          <w:r>
            <w:rPr>
              <w:rFonts w:hint="eastAsia"/>
              <w:sz w:val="28"/>
              <w:szCs w:val="28"/>
            </w:rPr>
            <w:fldChar w:fldCharType="separate"/>
          </w:r>
          <w:r>
            <w:rPr>
              <w:rFonts w:hint="eastAsia" w:ascii="宋体" w:hAnsi="宋体" w:cs="宋体"/>
              <w:bCs/>
              <w:caps/>
              <w:sz w:val="28"/>
              <w:szCs w:val="44"/>
            </w:rPr>
            <w:t>竞争性</w:t>
          </w:r>
          <w:r>
            <w:rPr>
              <w:rFonts w:hint="eastAsia" w:ascii="宋体" w:hAnsi="宋体" w:cs="宋体"/>
              <w:bCs/>
              <w:caps/>
              <w:sz w:val="28"/>
              <w:szCs w:val="44"/>
              <w:lang w:eastAsia="zh-CN"/>
            </w:rPr>
            <w:t>谈判</w:t>
          </w:r>
          <w:r>
            <w:rPr>
              <w:rFonts w:hint="eastAsia" w:ascii="宋体" w:hAnsi="宋体" w:cs="宋体"/>
              <w:bCs/>
              <w:caps/>
              <w:sz w:val="28"/>
              <w:szCs w:val="44"/>
            </w:rPr>
            <w:t>公告</w:t>
          </w:r>
          <w:r>
            <w:rPr>
              <w:rFonts w:hint="eastAsia" w:ascii="宋体" w:hAnsi="宋体" w:eastAsia="宋体" w:cs="宋体"/>
              <w:sz w:val="28"/>
              <w:szCs w:val="28"/>
            </w:rPr>
            <w:t>………………………………………………………………………</w:t>
          </w:r>
          <w:r>
            <w:rPr>
              <w:rFonts w:hint="eastAsia" w:eastAsia="宋体"/>
              <w:sz w:val="28"/>
              <w:szCs w:val="28"/>
              <w:lang w:val="en-US" w:eastAsia="zh-CN"/>
            </w:rPr>
            <w:t>3</w:t>
          </w:r>
          <w:r>
            <w:rPr>
              <w:rFonts w:hint="eastAsia"/>
              <w:sz w:val="28"/>
              <w:szCs w:val="28"/>
            </w:rPr>
            <w:fldChar w:fldCharType="end"/>
          </w:r>
        </w:p>
        <w:p w14:paraId="3EB2E23A">
          <w:pPr>
            <w:pStyle w:val="25"/>
            <w:tabs>
              <w:tab w:val="right" w:pos="9746"/>
            </w:tabs>
            <w:rPr>
              <w:rFonts w:hint="eastAsia"/>
              <w:bCs/>
              <w:sz w:val="28"/>
              <w:szCs w:val="40"/>
            </w:rPr>
          </w:pPr>
          <w:r>
            <w:rPr>
              <w:rFonts w:hint="eastAsia"/>
              <w:bCs/>
              <w:sz w:val="28"/>
              <w:szCs w:val="40"/>
            </w:rPr>
            <w:fldChar w:fldCharType="begin"/>
          </w:r>
          <w:r>
            <w:rPr>
              <w:rFonts w:hint="eastAsia"/>
              <w:bCs/>
              <w:sz w:val="28"/>
              <w:szCs w:val="40"/>
            </w:rPr>
            <w:instrText xml:space="preserve"> HYPERLINK \l _Toc24914 </w:instrText>
          </w:r>
          <w:r>
            <w:rPr>
              <w:rFonts w:hint="eastAsia"/>
              <w:bCs/>
              <w:sz w:val="28"/>
              <w:szCs w:val="40"/>
            </w:rPr>
            <w:fldChar w:fldCharType="separate"/>
          </w:r>
          <w:r>
            <w:rPr>
              <w:rFonts w:hint="eastAsia"/>
              <w:bCs/>
              <w:sz w:val="28"/>
              <w:szCs w:val="40"/>
              <w:lang w:val="en-US" w:eastAsia="zh-CN"/>
            </w:rPr>
            <w:t>一、</w:t>
          </w:r>
          <w:r>
            <w:rPr>
              <w:rFonts w:hint="eastAsia"/>
              <w:bCs/>
              <w:sz w:val="28"/>
              <w:szCs w:val="40"/>
            </w:rPr>
            <w:t>供应商须知………………………………………………………………………</w:t>
          </w:r>
          <w:r>
            <w:rPr>
              <w:rFonts w:hint="eastAsia"/>
              <w:bCs/>
              <w:sz w:val="28"/>
              <w:szCs w:val="40"/>
              <w:lang w:val="en-US" w:eastAsia="zh-CN"/>
            </w:rPr>
            <w:t>7</w:t>
          </w:r>
          <w:r>
            <w:rPr>
              <w:rFonts w:hint="eastAsia"/>
              <w:bCs/>
              <w:sz w:val="28"/>
              <w:szCs w:val="40"/>
            </w:rPr>
            <w:fldChar w:fldCharType="end"/>
          </w:r>
        </w:p>
        <w:p w14:paraId="705ACF33">
          <w:pPr>
            <w:pStyle w:val="25"/>
            <w:tabs>
              <w:tab w:val="right" w:pos="9746"/>
            </w:tabs>
            <w:rPr>
              <w:rFonts w:hint="default" w:eastAsia="宋体"/>
              <w:bCs/>
              <w:sz w:val="28"/>
              <w:szCs w:val="40"/>
              <w:lang w:val="en-US" w:eastAsia="zh-CN"/>
            </w:rPr>
          </w:pPr>
          <w:r>
            <w:rPr>
              <w:rFonts w:hint="eastAsia"/>
              <w:bCs/>
              <w:sz w:val="28"/>
              <w:szCs w:val="40"/>
            </w:rPr>
            <w:fldChar w:fldCharType="begin"/>
          </w:r>
          <w:r>
            <w:rPr>
              <w:rFonts w:hint="eastAsia"/>
              <w:bCs/>
              <w:sz w:val="28"/>
              <w:szCs w:val="40"/>
            </w:rPr>
            <w:instrText xml:space="preserve"> HYPERLINK \l _Toc2461 </w:instrText>
          </w:r>
          <w:r>
            <w:rPr>
              <w:rFonts w:hint="eastAsia"/>
              <w:bCs/>
              <w:sz w:val="28"/>
              <w:szCs w:val="40"/>
            </w:rPr>
            <w:fldChar w:fldCharType="separate"/>
          </w:r>
          <w:r>
            <w:rPr>
              <w:rFonts w:hint="eastAsia"/>
              <w:bCs/>
              <w:sz w:val="28"/>
              <w:szCs w:val="40"/>
              <w:lang w:val="en-US" w:eastAsia="zh-CN"/>
            </w:rPr>
            <w:t>二、</w:t>
          </w:r>
          <w:r>
            <w:rPr>
              <w:rFonts w:hint="eastAsia"/>
              <w:bCs/>
              <w:sz w:val="28"/>
              <w:szCs w:val="40"/>
            </w:rPr>
            <w:t>采购合同……………………………………………………………………</w:t>
          </w:r>
          <w:r>
            <w:rPr>
              <w:rFonts w:hint="eastAsia"/>
              <w:bCs/>
              <w:sz w:val="28"/>
              <w:szCs w:val="40"/>
            </w:rPr>
            <w:fldChar w:fldCharType="end"/>
          </w:r>
          <w:r>
            <w:rPr>
              <w:rFonts w:hint="eastAsia"/>
              <w:bCs/>
              <w:sz w:val="28"/>
              <w:szCs w:val="40"/>
            </w:rPr>
            <w:t>……</w:t>
          </w:r>
          <w:r>
            <w:rPr>
              <w:rFonts w:hint="eastAsia"/>
              <w:bCs/>
              <w:sz w:val="28"/>
              <w:szCs w:val="40"/>
              <w:lang w:val="en-US" w:eastAsia="zh-CN"/>
            </w:rPr>
            <w:t>19</w:t>
          </w:r>
        </w:p>
        <w:p w14:paraId="06A39AA0">
          <w:pPr>
            <w:pStyle w:val="25"/>
            <w:tabs>
              <w:tab w:val="right" w:pos="9746"/>
            </w:tabs>
            <w:rPr>
              <w:rFonts w:hint="default" w:eastAsia="宋体"/>
              <w:bCs/>
              <w:sz w:val="28"/>
              <w:szCs w:val="40"/>
              <w:lang w:val="en-US" w:eastAsia="zh-CN"/>
            </w:rPr>
          </w:pPr>
          <w:r>
            <w:rPr>
              <w:rFonts w:hint="eastAsia"/>
              <w:bCs/>
              <w:sz w:val="28"/>
              <w:szCs w:val="40"/>
            </w:rPr>
            <w:fldChar w:fldCharType="begin"/>
          </w:r>
          <w:r>
            <w:rPr>
              <w:rFonts w:hint="eastAsia"/>
              <w:bCs/>
              <w:sz w:val="28"/>
              <w:szCs w:val="40"/>
            </w:rPr>
            <w:instrText xml:space="preserve"> HYPERLINK \l _Toc24684 </w:instrText>
          </w:r>
          <w:r>
            <w:rPr>
              <w:rFonts w:hint="eastAsia"/>
              <w:bCs/>
              <w:sz w:val="28"/>
              <w:szCs w:val="40"/>
            </w:rPr>
            <w:fldChar w:fldCharType="separate"/>
          </w:r>
          <w:r>
            <w:rPr>
              <w:rFonts w:hint="eastAsia"/>
              <w:bCs/>
              <w:sz w:val="28"/>
              <w:szCs w:val="40"/>
              <w:lang w:val="en-US" w:eastAsia="zh-CN"/>
            </w:rPr>
            <w:t>三、采购需求</w:t>
          </w:r>
          <w:r>
            <w:rPr>
              <w:rFonts w:hint="eastAsia"/>
              <w:bCs/>
              <w:sz w:val="28"/>
              <w:szCs w:val="40"/>
            </w:rPr>
            <w:t>……………………………………………………………………</w:t>
          </w:r>
          <w:r>
            <w:rPr>
              <w:rFonts w:hint="eastAsia"/>
              <w:bCs/>
              <w:sz w:val="28"/>
              <w:szCs w:val="40"/>
            </w:rPr>
            <w:fldChar w:fldCharType="end"/>
          </w:r>
          <w:r>
            <w:rPr>
              <w:rFonts w:hint="eastAsia"/>
              <w:bCs/>
              <w:sz w:val="28"/>
              <w:szCs w:val="40"/>
            </w:rPr>
            <w:t>……</w:t>
          </w:r>
          <w:r>
            <w:rPr>
              <w:rFonts w:hint="eastAsia"/>
              <w:bCs/>
              <w:sz w:val="28"/>
              <w:szCs w:val="40"/>
              <w:lang w:val="en-US" w:eastAsia="zh-CN"/>
            </w:rPr>
            <w:t>19</w:t>
          </w:r>
        </w:p>
        <w:p w14:paraId="239329A3">
          <w:pPr>
            <w:pStyle w:val="25"/>
            <w:tabs>
              <w:tab w:val="right" w:pos="9746"/>
            </w:tabs>
            <w:jc w:val="both"/>
            <w:rPr>
              <w:rFonts w:hint="default" w:eastAsia="宋体"/>
              <w:bCs/>
              <w:sz w:val="28"/>
              <w:szCs w:val="40"/>
              <w:lang w:val="en-US" w:eastAsia="zh-CN"/>
            </w:rPr>
          </w:pPr>
          <w:r>
            <w:rPr>
              <w:rFonts w:hint="eastAsia"/>
              <w:bCs/>
              <w:sz w:val="28"/>
              <w:szCs w:val="40"/>
            </w:rPr>
            <w:fldChar w:fldCharType="begin"/>
          </w:r>
          <w:r>
            <w:rPr>
              <w:rFonts w:hint="eastAsia"/>
              <w:bCs/>
              <w:sz w:val="28"/>
              <w:szCs w:val="40"/>
            </w:rPr>
            <w:instrText xml:space="preserve"> HYPERLINK \l _Toc31579 </w:instrText>
          </w:r>
          <w:r>
            <w:rPr>
              <w:rFonts w:hint="eastAsia"/>
              <w:bCs/>
              <w:sz w:val="28"/>
              <w:szCs w:val="40"/>
            </w:rPr>
            <w:fldChar w:fldCharType="separate"/>
          </w:r>
          <w:r>
            <w:rPr>
              <w:rFonts w:hint="eastAsia"/>
              <w:bCs/>
              <w:sz w:val="28"/>
              <w:szCs w:val="40"/>
              <w:lang w:val="en-US" w:eastAsia="zh-CN"/>
            </w:rPr>
            <w:t>四、响应文件格式</w:t>
          </w:r>
          <w:r>
            <w:rPr>
              <w:rFonts w:hint="eastAsia"/>
              <w:bCs/>
              <w:sz w:val="28"/>
              <w:szCs w:val="40"/>
            </w:rPr>
            <w:t>………………………………………………………………</w:t>
          </w:r>
          <w:r>
            <w:rPr>
              <w:rFonts w:hint="eastAsia"/>
              <w:bCs/>
              <w:sz w:val="28"/>
              <w:szCs w:val="40"/>
            </w:rPr>
            <w:fldChar w:fldCharType="end"/>
          </w:r>
          <w:r>
            <w:rPr>
              <w:rFonts w:hint="eastAsia"/>
              <w:bCs/>
              <w:sz w:val="28"/>
              <w:szCs w:val="40"/>
            </w:rPr>
            <w:t>……</w:t>
          </w:r>
          <w:r>
            <w:rPr>
              <w:rFonts w:hint="eastAsia"/>
              <w:bCs/>
              <w:sz w:val="28"/>
              <w:szCs w:val="40"/>
              <w:lang w:val="en-US" w:eastAsia="zh-CN"/>
            </w:rPr>
            <w:t>20</w:t>
          </w:r>
        </w:p>
        <w:p w14:paraId="38DC1377">
          <w:pPr>
            <w:pStyle w:val="25"/>
            <w:tabs>
              <w:tab w:val="right" w:pos="9746"/>
            </w:tabs>
          </w:pPr>
          <w:r>
            <w:rPr>
              <w:rFonts w:hint="eastAsia"/>
              <w:bCs/>
              <w:sz w:val="28"/>
              <w:szCs w:val="40"/>
            </w:rPr>
            <w:fldChar w:fldCharType="end"/>
          </w:r>
        </w:p>
      </w:sdtContent>
    </w:sdt>
    <w:p w14:paraId="4B78D4C1">
      <w:pPr>
        <w:spacing w:line="360" w:lineRule="auto"/>
        <w:ind w:firstLine="2560" w:firstLineChars="800"/>
        <w:rPr>
          <w:rFonts w:ascii="仿宋" w:hAnsi="仿宋" w:eastAsia="仿宋" w:cs="仿宋"/>
          <w:sz w:val="32"/>
          <w:szCs w:val="32"/>
        </w:rPr>
      </w:pPr>
      <w:r>
        <w:rPr>
          <w:rFonts w:hint="eastAsia" w:ascii="仿宋" w:hAnsi="仿宋" w:eastAsia="仿宋" w:cs="仿宋"/>
          <w:sz w:val="32"/>
          <w:szCs w:val="32"/>
        </w:rPr>
        <w:t xml:space="preserve">  </w:t>
      </w:r>
    </w:p>
    <w:p w14:paraId="00764E03">
      <w:pPr>
        <w:pStyle w:val="7"/>
        <w:spacing w:before="156" w:beforeLines="50" w:after="156" w:afterLines="50" w:line="520" w:lineRule="exact"/>
        <w:jc w:val="center"/>
        <w:outlineLvl w:val="9"/>
        <w:rPr>
          <w:rFonts w:ascii="华文中宋" w:hAnsi="华文中宋" w:eastAsia="华文中宋" w:cs="华文中宋"/>
          <w:b w:val="0"/>
          <w:bCs/>
          <w:sz w:val="28"/>
          <w:szCs w:val="28"/>
        </w:rPr>
        <w:sectPr>
          <w:headerReference r:id="rId3" w:type="first"/>
          <w:footerReference r:id="rId4" w:type="first"/>
          <w:pgSz w:w="11906" w:h="16838"/>
          <w:pgMar w:top="1440" w:right="1080" w:bottom="1440" w:left="1080" w:header="851" w:footer="992" w:gutter="0"/>
          <w:pgNumType w:start="1"/>
          <w:cols w:space="720" w:num="1"/>
          <w:titlePg/>
          <w:docGrid w:type="lines" w:linePitch="312" w:charSpace="0"/>
        </w:sectPr>
      </w:pPr>
      <w:bookmarkStart w:id="8" w:name="_Toc30186"/>
      <w:bookmarkStart w:id="9" w:name="_Toc216158623"/>
      <w:bookmarkStart w:id="10" w:name="_Toc363199264"/>
      <w:bookmarkStart w:id="11" w:name="_Toc28964"/>
    </w:p>
    <w:bookmarkEnd w:id="8"/>
    <w:bookmarkEnd w:id="9"/>
    <w:bookmarkEnd w:id="10"/>
    <w:bookmarkEnd w:id="11"/>
    <w:p w14:paraId="5A3DB6A4">
      <w:pPr>
        <w:pStyle w:val="7"/>
        <w:spacing w:before="156" w:beforeLines="50" w:after="156" w:afterLines="50" w:line="520" w:lineRule="exact"/>
        <w:jc w:val="center"/>
        <w:rPr>
          <w:rFonts w:hint="eastAsia" w:ascii="华文中宋" w:hAnsi="华文中宋" w:eastAsia="华文中宋" w:cs="华文中宋"/>
          <w:b/>
          <w:bCs w:val="0"/>
          <w:sz w:val="36"/>
          <w:szCs w:val="36"/>
          <w:lang w:eastAsia="zh-CN"/>
        </w:rPr>
      </w:pPr>
      <w:r>
        <w:rPr>
          <w:rFonts w:hint="eastAsia" w:ascii="华文中宋" w:hAnsi="华文中宋" w:eastAsia="华文中宋" w:cs="华文中宋"/>
          <w:b/>
          <w:bCs w:val="0"/>
          <w:sz w:val="36"/>
          <w:szCs w:val="36"/>
          <w:lang w:eastAsia="zh-CN"/>
        </w:rPr>
        <w:t>与儿街镇军旅特色营地项目竞争性谈判公告</w:t>
      </w:r>
    </w:p>
    <w:p w14:paraId="2F4C377B">
      <w:pPr>
        <w:pBdr>
          <w:top w:val="single" w:color="auto" w:sz="4" w:space="1"/>
          <w:left w:val="single" w:color="auto" w:sz="4" w:space="4"/>
          <w:bottom w:val="single" w:color="auto" w:sz="4" w:space="1"/>
          <w:right w:val="single" w:color="auto" w:sz="4" w:space="4"/>
        </w:pBd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与儿街镇军旅特色营地项目</w:t>
      </w:r>
      <w:r>
        <w:rPr>
          <w:rFonts w:hint="eastAsia" w:ascii="仿宋" w:hAnsi="仿宋" w:eastAsia="仿宋" w:cs="仿宋"/>
          <w:sz w:val="28"/>
          <w:szCs w:val="28"/>
        </w:rPr>
        <w:t>的潜在供应商</w:t>
      </w:r>
      <w:r>
        <w:rPr>
          <w:rFonts w:hint="eastAsia" w:ascii="仿宋" w:hAnsi="仿宋" w:eastAsia="仿宋" w:cs="仿宋"/>
          <w:color w:val="auto"/>
          <w:sz w:val="28"/>
          <w:szCs w:val="28"/>
        </w:rPr>
        <w:t>应在新点电子交易平台（</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"http://ggzy.luan.gov.cn）获取采购文件，并于2022年11月"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http://huoshan.etrading.cn/）获取采购文件，并于</w:t>
      </w:r>
      <w:r>
        <w:rPr>
          <w:rFonts w:hint="eastAsia" w:ascii="仿宋" w:hAnsi="仿宋" w:eastAsia="仿宋" w:cs="仿宋"/>
          <w:color w:val="auto"/>
          <w:sz w:val="28"/>
          <w:szCs w:val="28"/>
          <w:lang w:eastAsia="zh-CN"/>
        </w:rPr>
        <w:t>202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highlight w:val="none"/>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分（北京时间）前提交响应文件。</w:t>
      </w:r>
    </w:p>
    <w:p w14:paraId="78938B36">
      <w:pPr>
        <w:pStyle w:val="7"/>
        <w:adjustRightInd/>
        <w:spacing w:before="0" w:after="0" w:line="480" w:lineRule="exact"/>
        <w:jc w:val="both"/>
        <w:textAlignment w:val="auto"/>
        <w:rPr>
          <w:rFonts w:hint="eastAsia" w:ascii="黑体" w:hAnsi="黑体" w:eastAsia="黑体" w:cs="黑体"/>
          <w:b w:val="0"/>
          <w:bCs/>
          <w:color w:val="auto"/>
          <w:sz w:val="28"/>
          <w:szCs w:val="28"/>
        </w:rPr>
      </w:pPr>
      <w:bookmarkStart w:id="12" w:name="_Toc35393629"/>
      <w:bookmarkStart w:id="13" w:name="_Toc28359012"/>
      <w:bookmarkStart w:id="14" w:name="_Toc35393798"/>
      <w:bookmarkStart w:id="15" w:name="_Toc7777"/>
      <w:bookmarkStart w:id="16" w:name="_Toc28359089"/>
      <w:r>
        <w:rPr>
          <w:rFonts w:hint="eastAsia" w:ascii="黑体" w:hAnsi="黑体" w:eastAsia="黑体" w:cs="黑体"/>
          <w:b w:val="0"/>
          <w:bCs/>
          <w:color w:val="auto"/>
          <w:sz w:val="28"/>
          <w:szCs w:val="28"/>
        </w:rPr>
        <w:t>一、项目基本情况</w:t>
      </w:r>
      <w:bookmarkEnd w:id="12"/>
      <w:bookmarkEnd w:id="13"/>
      <w:bookmarkEnd w:id="14"/>
      <w:bookmarkEnd w:id="15"/>
      <w:bookmarkEnd w:id="16"/>
    </w:p>
    <w:p w14:paraId="6E289830">
      <w:pPr>
        <w:spacing w:line="480" w:lineRule="exact"/>
        <w:ind w:firstLine="280" w:firstLineChars="1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1、项目编</w:t>
      </w:r>
      <w:r>
        <w:rPr>
          <w:rFonts w:hint="eastAsia" w:ascii="仿宋" w:hAnsi="仿宋" w:eastAsia="仿宋" w:cs="仿宋"/>
          <w:color w:val="auto"/>
          <w:sz w:val="28"/>
          <w:szCs w:val="28"/>
          <w:lang w:eastAsia="zh-CN"/>
        </w:rPr>
        <w:t>号：JSJY1110002030823001</w:t>
      </w:r>
    </w:p>
    <w:p w14:paraId="2B5DBCE2">
      <w:pPr>
        <w:spacing w:line="480" w:lineRule="exact"/>
        <w:ind w:firstLine="280" w:firstLineChars="1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2、项目名称：</w:t>
      </w:r>
      <w:r>
        <w:rPr>
          <w:rFonts w:hint="eastAsia" w:ascii="仿宋" w:hAnsi="仿宋" w:eastAsia="仿宋" w:cs="仿宋"/>
          <w:color w:val="auto"/>
          <w:sz w:val="28"/>
          <w:szCs w:val="28"/>
          <w:lang w:eastAsia="zh-CN"/>
        </w:rPr>
        <w:t>与儿街镇军旅特色营地项目</w:t>
      </w:r>
    </w:p>
    <w:p w14:paraId="7C732B9F">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3、项目类型：工程类</w:t>
      </w:r>
    </w:p>
    <w:p w14:paraId="40BB8953">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4、采购方式：竞争性谈判</w:t>
      </w:r>
    </w:p>
    <w:p w14:paraId="43368336">
      <w:pPr>
        <w:spacing w:line="480" w:lineRule="exact"/>
        <w:ind w:firstLine="280" w:firstLineChars="1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5、预算金</w:t>
      </w:r>
      <w:r>
        <w:rPr>
          <w:rFonts w:hint="eastAsia" w:ascii="仿宋" w:hAnsi="仿宋" w:eastAsia="仿宋" w:cs="仿宋"/>
          <w:color w:val="auto"/>
          <w:sz w:val="28"/>
          <w:szCs w:val="28"/>
          <w:highlight w:val="none"/>
        </w:rPr>
        <w:t>额：1448584.14</w:t>
      </w:r>
      <w:r>
        <w:rPr>
          <w:rFonts w:hint="eastAsia" w:ascii="仿宋" w:hAnsi="仿宋" w:eastAsia="仿宋" w:cs="仿宋"/>
          <w:color w:val="auto"/>
          <w:sz w:val="28"/>
          <w:szCs w:val="28"/>
          <w:lang w:val="en-US" w:eastAsia="zh-CN"/>
        </w:rPr>
        <w:t>元</w:t>
      </w:r>
    </w:p>
    <w:p w14:paraId="17A288B6">
      <w:pPr>
        <w:spacing w:line="480" w:lineRule="exact"/>
        <w:ind w:firstLine="280" w:firstLineChars="1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rPr>
        <w:t>6、最高限价：1448584.14</w:t>
      </w:r>
      <w:r>
        <w:rPr>
          <w:rFonts w:hint="eastAsia" w:ascii="仿宋" w:hAnsi="仿宋" w:eastAsia="仿宋" w:cs="仿宋"/>
          <w:color w:val="auto"/>
          <w:sz w:val="28"/>
          <w:szCs w:val="28"/>
          <w:highlight w:val="none"/>
          <w:lang w:val="en-US" w:eastAsia="zh-CN"/>
        </w:rPr>
        <w:t>元</w:t>
      </w:r>
    </w:p>
    <w:p w14:paraId="4821A975">
      <w:pPr>
        <w:spacing w:line="480" w:lineRule="exact"/>
        <w:ind w:firstLine="280" w:firstLineChars="1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7、采购需求：</w:t>
      </w:r>
      <w:r>
        <w:rPr>
          <w:rFonts w:hint="eastAsia" w:ascii="仿宋" w:hAnsi="仿宋" w:eastAsia="仿宋" w:cs="仿宋"/>
          <w:color w:val="auto"/>
          <w:sz w:val="28"/>
          <w:szCs w:val="28"/>
          <w:highlight w:val="none"/>
          <w:lang w:eastAsia="zh-CN"/>
        </w:rPr>
        <w:t>与儿街镇军旅特色营地项目</w:t>
      </w:r>
      <w:r>
        <w:rPr>
          <w:rFonts w:hint="eastAsia" w:ascii="仿宋" w:hAnsi="仿宋" w:eastAsia="仿宋" w:cs="仿宋"/>
          <w:color w:val="auto"/>
          <w:sz w:val="28"/>
          <w:szCs w:val="28"/>
          <w:highlight w:val="none"/>
        </w:rPr>
        <w:t>位于霍山县与儿街</w:t>
      </w:r>
      <w:r>
        <w:rPr>
          <w:rFonts w:hint="eastAsia" w:ascii="仿宋" w:hAnsi="仿宋" w:eastAsia="仿宋" w:cs="仿宋"/>
          <w:color w:val="auto"/>
          <w:sz w:val="28"/>
          <w:szCs w:val="28"/>
          <w:highlight w:val="none"/>
          <w:lang w:val="en-US" w:eastAsia="zh-CN"/>
        </w:rPr>
        <w:t>镇，主要建设内容包括：装修改造工程、安装工程、配套工程等，工程总投资约145万元，具体详见工程量清单。</w:t>
      </w:r>
    </w:p>
    <w:p w14:paraId="644A20FE">
      <w:pPr>
        <w:spacing w:line="480" w:lineRule="exact"/>
        <w:ind w:firstLine="280" w:firstLineChars="1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8、合同履行期限：</w:t>
      </w:r>
      <w:r>
        <w:rPr>
          <w:rFonts w:hint="eastAsia" w:ascii="仿宋" w:hAnsi="仿宋" w:eastAsia="仿宋" w:cs="仿宋"/>
          <w:color w:val="auto"/>
          <w:sz w:val="28"/>
          <w:szCs w:val="28"/>
          <w:highlight w:val="none"/>
          <w:lang w:val="en-US" w:eastAsia="zh-CN"/>
        </w:rPr>
        <w:t>150日历天</w:t>
      </w:r>
    </w:p>
    <w:p w14:paraId="569D578D">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highlight w:val="none"/>
        </w:rPr>
        <w:t>9、是否接受联合体：本项目不接</w:t>
      </w:r>
      <w:r>
        <w:rPr>
          <w:rFonts w:hint="eastAsia" w:ascii="仿宋" w:hAnsi="仿宋" w:eastAsia="仿宋" w:cs="仿宋"/>
          <w:color w:val="auto"/>
          <w:sz w:val="28"/>
          <w:szCs w:val="28"/>
        </w:rPr>
        <w:t>受联合体</w:t>
      </w:r>
    </w:p>
    <w:p w14:paraId="7AE97317">
      <w:pPr>
        <w:pStyle w:val="7"/>
        <w:adjustRightInd/>
        <w:spacing w:before="0" w:after="0" w:line="480" w:lineRule="exact"/>
        <w:jc w:val="both"/>
        <w:textAlignment w:val="auto"/>
        <w:rPr>
          <w:rFonts w:hint="eastAsia" w:ascii="黑体" w:hAnsi="黑体" w:eastAsia="黑体" w:cs="黑体"/>
          <w:b w:val="0"/>
          <w:bCs/>
          <w:color w:val="auto"/>
          <w:sz w:val="28"/>
          <w:szCs w:val="28"/>
        </w:rPr>
      </w:pPr>
      <w:bookmarkStart w:id="17" w:name="_Toc35393799"/>
      <w:bookmarkStart w:id="18" w:name="_Toc11070"/>
      <w:bookmarkStart w:id="19" w:name="_Toc28359013"/>
      <w:bookmarkStart w:id="20" w:name="_Toc35393630"/>
      <w:bookmarkStart w:id="21" w:name="_Toc28359090"/>
      <w:r>
        <w:rPr>
          <w:rFonts w:hint="eastAsia" w:ascii="黑体" w:hAnsi="黑体" w:eastAsia="黑体" w:cs="黑体"/>
          <w:b w:val="0"/>
          <w:bCs/>
          <w:color w:val="auto"/>
          <w:sz w:val="28"/>
          <w:szCs w:val="28"/>
        </w:rPr>
        <w:t>二、申请人的资格要求</w:t>
      </w:r>
      <w:bookmarkEnd w:id="17"/>
      <w:bookmarkEnd w:id="18"/>
      <w:bookmarkEnd w:id="19"/>
      <w:bookmarkEnd w:id="20"/>
      <w:bookmarkEnd w:id="21"/>
    </w:p>
    <w:p w14:paraId="0EB1CA7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1、满足《中华人民共和国政府采购法》第二十二条规定；</w:t>
      </w:r>
    </w:p>
    <w:p w14:paraId="4D630D8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bookmarkStart w:id="22" w:name="_Toc28359014"/>
      <w:bookmarkStart w:id="23" w:name="_Toc28359091"/>
      <w:r>
        <w:rPr>
          <w:rFonts w:hint="eastAsia" w:ascii="仿宋" w:hAnsi="仿宋" w:eastAsia="仿宋" w:cs="仿宋"/>
          <w:color w:val="auto"/>
          <w:sz w:val="28"/>
          <w:szCs w:val="28"/>
        </w:rPr>
        <w:t>2、本项目的特定资格要求：</w:t>
      </w:r>
    </w:p>
    <w:p w14:paraId="649CDFD7">
      <w:pPr>
        <w:pStyle w:val="32"/>
        <w:keepNext w:val="0"/>
        <w:keepLines w:val="0"/>
        <w:widowControl/>
        <w:suppressLineNumbers w:val="0"/>
        <w:wordWrap w:val="0"/>
        <w:spacing w:before="0" w:beforeAutospacing="0" w:after="0" w:afterAutospacing="0" w:line="480" w:lineRule="atLeast"/>
        <w:ind w:left="0" w:right="0" w:firstLine="560"/>
        <w:jc w:val="both"/>
      </w:pPr>
      <w:bookmarkStart w:id="24" w:name="_Toc35393800"/>
      <w:bookmarkStart w:id="25" w:name="_Toc35393631"/>
      <w:bookmarkStart w:id="26" w:name="_Toc15899"/>
      <w:r>
        <w:rPr>
          <w:rFonts w:ascii="仿宋" w:hAnsi="仿宋" w:eastAsia="仿宋" w:cs="仿宋"/>
          <w:color w:val="333333"/>
          <w:sz w:val="28"/>
          <w:szCs w:val="28"/>
          <w:shd w:val="clear" w:fill="FFFFFF"/>
        </w:rPr>
        <w:t>（</w:t>
      </w:r>
      <w:r>
        <w:rPr>
          <w:rFonts w:hint="eastAsia" w:ascii="仿宋" w:hAnsi="仿宋" w:eastAsia="仿宋" w:cs="仿宋"/>
          <w:color w:val="333333"/>
          <w:sz w:val="28"/>
          <w:szCs w:val="28"/>
          <w:shd w:val="clear" w:fill="FFFFFF"/>
        </w:rPr>
        <w:t>1）供应商具备建筑工程施工总承包三级及以上资质，具有有效安全生产许可证；</w:t>
      </w:r>
    </w:p>
    <w:p w14:paraId="677AAC6A">
      <w:pPr>
        <w:pStyle w:val="32"/>
        <w:keepNext w:val="0"/>
        <w:keepLines w:val="0"/>
        <w:widowControl/>
        <w:suppressLineNumbers w:val="0"/>
        <w:wordWrap w:val="0"/>
        <w:spacing w:before="0" w:beforeAutospacing="0" w:after="0" w:afterAutospacing="0" w:line="480" w:lineRule="atLeast"/>
        <w:ind w:left="0" w:right="0" w:firstLine="560"/>
        <w:jc w:val="both"/>
      </w:pPr>
      <w:r>
        <w:rPr>
          <w:rFonts w:hint="eastAsia" w:ascii="仿宋" w:hAnsi="仿宋" w:eastAsia="仿宋" w:cs="仿宋"/>
          <w:color w:val="333333"/>
          <w:sz w:val="28"/>
          <w:szCs w:val="28"/>
          <w:shd w:val="clear" w:fill="FFFFFF"/>
        </w:rPr>
        <w:t>（2）拟派项目经理（建造师）应具有建筑工程专业二级及以上注册建造师证书及有效的安全考核合格B级证书；无在建工程（提供无在建承诺函，格式参考附件）。</w:t>
      </w:r>
    </w:p>
    <w:p w14:paraId="1C4A885E">
      <w:pPr>
        <w:pStyle w:val="32"/>
        <w:keepNext w:val="0"/>
        <w:keepLines w:val="0"/>
        <w:widowControl/>
        <w:suppressLineNumbers w:val="0"/>
        <w:wordWrap w:val="0"/>
        <w:spacing w:before="0" w:beforeAutospacing="0" w:after="0" w:afterAutospacing="0" w:line="480" w:lineRule="atLeast"/>
        <w:ind w:left="0" w:right="0" w:firstLine="560"/>
        <w:jc w:val="both"/>
      </w:pPr>
      <w:r>
        <w:rPr>
          <w:rFonts w:hint="eastAsia" w:ascii="仿宋" w:hAnsi="仿宋" w:eastAsia="仿宋" w:cs="仿宋"/>
          <w:color w:val="333333"/>
          <w:sz w:val="28"/>
          <w:szCs w:val="28"/>
          <w:shd w:val="clear" w:fill="FFFFFF"/>
        </w:rPr>
        <w:t>3、供应商存在以下不良信用记录情形之一的，不得推荐为成交候选供应商，不得确定为成交供应商：</w:t>
      </w:r>
    </w:p>
    <w:p w14:paraId="525CDD4D">
      <w:pPr>
        <w:pStyle w:val="32"/>
        <w:keepNext w:val="0"/>
        <w:keepLines w:val="0"/>
        <w:widowControl/>
        <w:suppressLineNumbers w:val="0"/>
        <w:wordWrap w:val="0"/>
        <w:spacing w:before="0" w:beforeAutospacing="0" w:after="0" w:afterAutospacing="0" w:line="480" w:lineRule="atLeast"/>
        <w:ind w:left="0" w:right="0" w:firstLine="560"/>
        <w:jc w:val="both"/>
      </w:pPr>
      <w:r>
        <w:rPr>
          <w:rFonts w:hint="eastAsia" w:ascii="仿宋" w:hAnsi="仿宋" w:eastAsia="仿宋" w:cs="仿宋"/>
          <w:color w:val="333333"/>
          <w:sz w:val="28"/>
          <w:szCs w:val="28"/>
          <w:shd w:val="clear" w:fill="FFFFFF"/>
        </w:rPr>
        <w:t>(1）供应商被人民法院列入失信被执行人的；</w:t>
      </w:r>
    </w:p>
    <w:p w14:paraId="5E279751">
      <w:pPr>
        <w:pStyle w:val="32"/>
        <w:keepNext w:val="0"/>
        <w:keepLines w:val="0"/>
        <w:widowControl/>
        <w:suppressLineNumbers w:val="0"/>
        <w:wordWrap w:val="0"/>
        <w:spacing w:before="0" w:beforeAutospacing="0" w:after="0" w:afterAutospacing="0" w:line="480" w:lineRule="atLeast"/>
        <w:ind w:left="0" w:right="0" w:firstLine="560"/>
        <w:jc w:val="both"/>
      </w:pPr>
      <w:r>
        <w:rPr>
          <w:rFonts w:hint="eastAsia" w:ascii="仿宋" w:hAnsi="仿宋" w:eastAsia="仿宋" w:cs="仿宋"/>
          <w:color w:val="333333"/>
          <w:sz w:val="28"/>
          <w:szCs w:val="28"/>
          <w:shd w:val="clear" w:fill="FFFFFF"/>
        </w:rPr>
        <w:t>(2）供应商被市场监督管理部门列入企业经营异常名录的；</w:t>
      </w:r>
    </w:p>
    <w:p w14:paraId="659B2B31">
      <w:pPr>
        <w:pStyle w:val="32"/>
        <w:keepNext w:val="0"/>
        <w:keepLines w:val="0"/>
        <w:widowControl/>
        <w:suppressLineNumbers w:val="0"/>
        <w:wordWrap w:val="0"/>
        <w:spacing w:before="0" w:beforeAutospacing="0" w:after="0" w:afterAutospacing="0" w:line="480" w:lineRule="atLeast"/>
        <w:ind w:left="0" w:right="0" w:firstLine="560"/>
        <w:jc w:val="both"/>
      </w:pPr>
      <w:r>
        <w:rPr>
          <w:rFonts w:hint="eastAsia" w:ascii="仿宋" w:hAnsi="仿宋" w:eastAsia="仿宋" w:cs="仿宋"/>
          <w:color w:val="333333"/>
          <w:sz w:val="28"/>
          <w:szCs w:val="28"/>
          <w:shd w:val="clear" w:fill="FFFFFF"/>
        </w:rPr>
        <w:t>(3）供应商被税务部门列入重大税收违法案件当事人名单的；</w:t>
      </w:r>
    </w:p>
    <w:p w14:paraId="0B26CD61">
      <w:pPr>
        <w:pStyle w:val="32"/>
        <w:keepNext w:val="0"/>
        <w:keepLines w:val="0"/>
        <w:widowControl/>
        <w:suppressLineNumbers w:val="0"/>
        <w:wordWrap w:val="0"/>
        <w:spacing w:before="0" w:beforeAutospacing="0" w:after="0" w:afterAutospacing="0" w:line="480" w:lineRule="atLeast"/>
        <w:ind w:left="0" w:right="0" w:firstLine="560"/>
        <w:jc w:val="both"/>
      </w:pPr>
      <w:r>
        <w:rPr>
          <w:rFonts w:hint="eastAsia" w:ascii="仿宋" w:hAnsi="仿宋" w:eastAsia="仿宋" w:cs="仿宋"/>
          <w:color w:val="333333"/>
          <w:sz w:val="28"/>
          <w:szCs w:val="28"/>
          <w:shd w:val="clear" w:fill="FFFFFF"/>
        </w:rPr>
        <w:t>(4）供应商被政府采购监管部门列入政府采购严重违法失信行为记录名单的。</w:t>
      </w:r>
    </w:p>
    <w:p w14:paraId="6D6FDC5F">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60" w:lineRule="auto"/>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4、</w:t>
      </w:r>
      <w:r>
        <w:rPr>
          <w:rFonts w:hint="eastAsia" w:ascii="仿宋" w:hAnsi="仿宋" w:eastAsia="仿宋" w:cs="仿宋"/>
          <w:kern w:val="2"/>
          <w:sz w:val="28"/>
          <w:szCs w:val="28"/>
          <w:lang w:val="en-US" w:eastAsia="zh-CN" w:bidi="ar-SA"/>
        </w:rPr>
        <w:t>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仿宋" w:hAnsi="仿宋" w:eastAsia="仿宋" w:cs="仿宋"/>
          <w:b/>
          <w:bCs/>
          <w:kern w:val="2"/>
          <w:sz w:val="28"/>
          <w:szCs w:val="28"/>
          <w:lang w:val="en-US" w:eastAsia="zh-CN" w:bidi="ar-SA"/>
        </w:rPr>
        <w:t>项目经理、技术负责人</w:t>
      </w:r>
      <w:r>
        <w:rPr>
          <w:rFonts w:hint="eastAsia" w:ascii="仿宋" w:hAnsi="仿宋" w:eastAsia="仿宋" w:cs="仿宋"/>
          <w:kern w:val="2"/>
          <w:sz w:val="28"/>
          <w:szCs w:val="28"/>
          <w:lang w:val="en-US" w:eastAsia="zh-CN" w:bidi="ar-SA"/>
        </w:rPr>
        <w:t>的社保缴费清单等社保缴费证明原件扫描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经理姓名的工资打卡流水账单原件扫描件）。</w:t>
      </w:r>
    </w:p>
    <w:p w14:paraId="58FAC0D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60" w:lineRule="auto"/>
        <w:ind w:right="0"/>
        <w:jc w:val="left"/>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三、获取采购文件</w:t>
      </w:r>
      <w:bookmarkEnd w:id="22"/>
      <w:bookmarkEnd w:id="23"/>
      <w:bookmarkEnd w:id="24"/>
      <w:bookmarkEnd w:id="25"/>
      <w:bookmarkEnd w:id="26"/>
    </w:p>
    <w:p w14:paraId="79976FCE">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1、时间：自公告发布之日起至谈判时间前</w:t>
      </w:r>
    </w:p>
    <w:p w14:paraId="5251018F">
      <w:pPr>
        <w:spacing w:line="480" w:lineRule="exact"/>
        <w:ind w:firstLine="280" w:firstLineChars="100"/>
        <w:rPr>
          <w:rFonts w:hint="eastAsia" w:ascii="仿宋" w:hAnsi="仿宋" w:eastAsia="仿宋" w:cs="仿宋"/>
          <w:color w:val="auto"/>
          <w:sz w:val="28"/>
          <w:szCs w:val="28"/>
          <w:lang w:eastAsia="zh-CN"/>
        </w:rPr>
      </w:pPr>
      <w:bookmarkStart w:id="27" w:name="_Toc28359015"/>
      <w:bookmarkStart w:id="28" w:name="_Toc35393632"/>
      <w:bookmarkStart w:id="29" w:name="_Toc35393801"/>
      <w:bookmarkStart w:id="30" w:name="_Toc28359092"/>
      <w:bookmarkStart w:id="31" w:name="_Toc13207"/>
      <w:r>
        <w:rPr>
          <w:rFonts w:hint="eastAsia" w:ascii="仿宋" w:hAnsi="仿宋" w:eastAsia="仿宋" w:cs="仿宋"/>
          <w:color w:val="auto"/>
          <w:sz w:val="28"/>
          <w:szCs w:val="28"/>
        </w:rPr>
        <w:t>2、地点：</w:t>
      </w:r>
      <w:r>
        <w:rPr>
          <w:rFonts w:hint="eastAsia" w:ascii="仿宋" w:hAnsi="仿宋" w:eastAsia="仿宋" w:cs="仿宋"/>
          <w:color w:val="auto"/>
          <w:sz w:val="28"/>
          <w:szCs w:val="28"/>
          <w:lang w:eastAsia="zh-CN"/>
        </w:rPr>
        <w:t>新点电子交易平台（http://huoshan.etrading.cn/）</w:t>
      </w:r>
    </w:p>
    <w:p w14:paraId="7C88DE3D">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3、获取方式：①本项目采购文件（答疑澄清等相关文件资料）从新点电子交易平台下载；②供应商办理ＣＡ联系电话 400-998-0000、400-880-4959；③供应商在下载采购文件（答疑澄清等相关文件资料）过程中若遇到问题，电话：400-998-0000</w:t>
      </w:r>
    </w:p>
    <w:p w14:paraId="0890DC3C">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4、售价：零元</w:t>
      </w:r>
    </w:p>
    <w:p w14:paraId="2B9BE161">
      <w:pPr>
        <w:spacing w:line="48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四、响应文件</w:t>
      </w:r>
      <w:bookmarkEnd w:id="27"/>
      <w:bookmarkEnd w:id="28"/>
      <w:bookmarkEnd w:id="29"/>
      <w:bookmarkEnd w:id="30"/>
      <w:r>
        <w:rPr>
          <w:rFonts w:hint="eastAsia" w:ascii="黑体" w:hAnsi="黑体" w:eastAsia="黑体" w:cs="黑体"/>
          <w:b w:val="0"/>
          <w:bCs/>
          <w:color w:val="auto"/>
          <w:sz w:val="28"/>
          <w:szCs w:val="28"/>
        </w:rPr>
        <w:t>提交</w:t>
      </w:r>
      <w:bookmarkEnd w:id="31"/>
    </w:p>
    <w:p w14:paraId="2D59A273">
      <w:pPr>
        <w:spacing w:line="480" w:lineRule="exact"/>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1、递交截止时间：</w:t>
      </w:r>
      <w:r>
        <w:rPr>
          <w:rFonts w:hint="eastAsia" w:ascii="仿宋" w:hAnsi="仿宋" w:eastAsia="仿宋" w:cs="仿宋"/>
          <w:color w:val="auto"/>
          <w:sz w:val="28"/>
          <w:szCs w:val="28"/>
          <w:lang w:eastAsia="zh-CN"/>
        </w:rPr>
        <w:t>202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14:paraId="25392354">
      <w:pPr>
        <w:keepNext w:val="0"/>
        <w:keepLines w:val="0"/>
        <w:widowControl/>
        <w:suppressLineNumbers w:val="0"/>
        <w:ind w:firstLine="280" w:firstLineChars="100"/>
        <w:jc w:val="left"/>
        <w:rPr>
          <w:rFonts w:hint="default" w:ascii="仿宋" w:hAnsi="仿宋" w:eastAsia="仿宋" w:cs="仿宋"/>
          <w:b w:val="0"/>
          <w:bCs w:val="0"/>
          <w:color w:val="auto"/>
          <w:sz w:val="28"/>
          <w:szCs w:val="28"/>
          <w:lang w:val="en-US" w:eastAsia="zh-CN"/>
        </w:rPr>
      </w:pPr>
      <w:bookmarkStart w:id="32" w:name="_Toc28359093"/>
      <w:bookmarkStart w:id="33" w:name="_Toc35393633"/>
      <w:bookmarkStart w:id="34" w:name="_Toc28359016"/>
      <w:bookmarkStart w:id="35" w:name="_Toc31128"/>
      <w:bookmarkStart w:id="36" w:name="_Toc35393802"/>
      <w:r>
        <w:rPr>
          <w:rFonts w:hint="eastAsia" w:ascii="仿宋" w:hAnsi="仿宋" w:eastAsia="仿宋" w:cs="仿宋"/>
          <w:color w:val="auto"/>
          <w:sz w:val="28"/>
          <w:szCs w:val="28"/>
        </w:rPr>
        <w:t>2、递交方式：</w:t>
      </w:r>
      <w:r>
        <w:rPr>
          <w:rFonts w:hint="eastAsia" w:ascii="仿宋" w:hAnsi="仿宋" w:eastAsia="仿宋" w:cs="仿宋"/>
          <w:color w:val="auto"/>
          <w:sz w:val="28"/>
          <w:szCs w:val="28"/>
          <w:lang w:val="en-US" w:eastAsia="zh-CN"/>
        </w:rPr>
        <w:t>网上递交</w:t>
      </w:r>
    </w:p>
    <w:p w14:paraId="50E335DD">
      <w:pPr>
        <w:pStyle w:val="7"/>
        <w:adjustRightInd/>
        <w:spacing w:before="0" w:after="0" w:line="480" w:lineRule="exact"/>
        <w:jc w:val="both"/>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五、响应文件开启</w:t>
      </w:r>
      <w:bookmarkEnd w:id="32"/>
      <w:bookmarkEnd w:id="33"/>
      <w:bookmarkEnd w:id="34"/>
      <w:bookmarkEnd w:id="35"/>
      <w:bookmarkEnd w:id="36"/>
    </w:p>
    <w:p w14:paraId="12F9FFD7">
      <w:pPr>
        <w:spacing w:line="480" w:lineRule="exact"/>
        <w:ind w:firstLine="280" w:firstLineChars="100"/>
        <w:rPr>
          <w:rFonts w:hint="eastAsia" w:ascii="仿宋" w:hAnsi="仿宋" w:eastAsia="仿宋" w:cs="仿宋"/>
          <w:color w:val="auto"/>
          <w:sz w:val="28"/>
          <w:szCs w:val="28"/>
        </w:rPr>
      </w:pPr>
      <w:bookmarkStart w:id="37" w:name="_Toc35393803"/>
      <w:bookmarkStart w:id="38" w:name="_Toc25132"/>
      <w:bookmarkStart w:id="39" w:name="_Toc28359017"/>
      <w:bookmarkStart w:id="40" w:name="_Toc35393634"/>
      <w:bookmarkStart w:id="41" w:name="_Toc28359094"/>
      <w:r>
        <w:rPr>
          <w:rFonts w:hint="eastAsia" w:ascii="仿宋" w:hAnsi="仿宋" w:eastAsia="仿宋" w:cs="仿宋"/>
          <w:color w:val="auto"/>
          <w:sz w:val="28"/>
          <w:szCs w:val="28"/>
        </w:rPr>
        <w:t>1、开启时间：</w:t>
      </w:r>
      <w:r>
        <w:rPr>
          <w:rFonts w:hint="eastAsia" w:ascii="仿宋" w:hAnsi="仿宋" w:eastAsia="仿宋" w:cs="仿宋"/>
          <w:color w:val="auto"/>
          <w:sz w:val="28"/>
          <w:szCs w:val="28"/>
          <w:lang w:eastAsia="zh-CN"/>
        </w:rPr>
        <w:t>202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14:paraId="64C617AC">
      <w:pPr>
        <w:spacing w:line="480" w:lineRule="exact"/>
        <w:ind w:firstLine="280" w:firstLineChars="1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2、开启地点：霍山县公共资源交易中心</w:t>
      </w:r>
      <w:r>
        <w:rPr>
          <w:rFonts w:hint="eastAsia" w:ascii="仿宋" w:hAnsi="仿宋" w:eastAsia="仿宋" w:cs="仿宋"/>
          <w:color w:val="auto"/>
          <w:sz w:val="28"/>
          <w:szCs w:val="28"/>
          <w:lang w:val="en-US" w:eastAsia="zh-CN"/>
        </w:rPr>
        <w:t>不见面第三开标厅</w:t>
      </w:r>
    </w:p>
    <w:p w14:paraId="1BFD1C2C">
      <w:pPr>
        <w:pStyle w:val="7"/>
        <w:adjustRightInd/>
        <w:spacing w:before="0" w:after="0" w:line="480" w:lineRule="exact"/>
        <w:jc w:val="both"/>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六、公告期限</w:t>
      </w:r>
      <w:bookmarkEnd w:id="37"/>
      <w:bookmarkEnd w:id="38"/>
      <w:bookmarkEnd w:id="39"/>
      <w:bookmarkEnd w:id="40"/>
      <w:bookmarkEnd w:id="41"/>
    </w:p>
    <w:p w14:paraId="431FAED0">
      <w:pPr>
        <w:spacing w:line="480" w:lineRule="exact"/>
        <w:ind w:firstLine="560" w:firstLineChars="20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自本公告发布之日起3个工作日。</w:t>
      </w:r>
    </w:p>
    <w:p w14:paraId="3A5C6C2C">
      <w:pPr>
        <w:pStyle w:val="7"/>
        <w:adjustRightInd/>
        <w:spacing w:before="0" w:after="0" w:line="480" w:lineRule="exact"/>
        <w:jc w:val="both"/>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七、</w:t>
      </w:r>
      <w:bookmarkStart w:id="42" w:name="_Toc35393635"/>
      <w:bookmarkStart w:id="43" w:name="_Toc35393804"/>
      <w:r>
        <w:rPr>
          <w:rFonts w:hint="eastAsia" w:ascii="黑体" w:hAnsi="黑体" w:eastAsia="黑体" w:cs="黑体"/>
          <w:b w:val="0"/>
          <w:bCs/>
          <w:color w:val="auto"/>
          <w:sz w:val="28"/>
          <w:szCs w:val="28"/>
        </w:rPr>
        <w:t>其他事宜</w:t>
      </w:r>
      <w:bookmarkEnd w:id="42"/>
      <w:bookmarkEnd w:id="43"/>
      <w:bookmarkStart w:id="44" w:name="_Toc28359018"/>
      <w:bookmarkStart w:id="45" w:name="_Toc35393805"/>
      <w:bookmarkStart w:id="46" w:name="_Toc28359095"/>
      <w:bookmarkStart w:id="47" w:name="_Toc35393636"/>
    </w:p>
    <w:bookmarkEnd w:id="44"/>
    <w:bookmarkEnd w:id="45"/>
    <w:bookmarkEnd w:id="46"/>
    <w:bookmarkEnd w:id="47"/>
    <w:p w14:paraId="59A62039">
      <w:pPr>
        <w:spacing w:line="480" w:lineRule="exact"/>
        <w:ind w:firstLine="560" w:firstLineChars="200"/>
        <w:rPr>
          <w:rFonts w:hint="eastAsia" w:ascii="仿宋" w:hAnsi="仿宋" w:eastAsia="仿宋" w:cs="仿宋"/>
          <w:b w:val="0"/>
          <w:color w:val="auto"/>
          <w:kern w:val="2"/>
          <w:sz w:val="28"/>
          <w:szCs w:val="28"/>
          <w:lang w:val="en-US" w:eastAsia="zh-CN" w:bidi="ar-SA"/>
        </w:rPr>
      </w:pPr>
      <w:bookmarkStart w:id="48" w:name="_Toc18386"/>
      <w:r>
        <w:rPr>
          <w:rFonts w:hint="default" w:ascii="仿宋" w:hAnsi="仿宋" w:eastAsia="仿宋" w:cs="仿宋"/>
          <w:b w:val="0"/>
          <w:color w:val="auto"/>
          <w:kern w:val="2"/>
          <w:sz w:val="28"/>
          <w:szCs w:val="28"/>
          <w:lang w:val="en-US" w:eastAsia="zh-CN" w:bidi="ar-SA"/>
        </w:rPr>
        <w:t>1</w:t>
      </w:r>
      <w:r>
        <w:rPr>
          <w:rFonts w:hint="eastAsia" w:ascii="仿宋" w:hAnsi="仿宋" w:eastAsia="仿宋" w:cs="仿宋"/>
          <w:b w:val="0"/>
          <w:color w:val="auto"/>
          <w:kern w:val="2"/>
          <w:sz w:val="28"/>
          <w:szCs w:val="28"/>
          <w:lang w:val="en-US" w:eastAsia="zh-CN" w:bidi="ar-SA"/>
        </w:rPr>
        <w:t>、本项目采用不见面开标（远程解密）方式，开标时供应商无需至开标现场进行解密，开标采取远程解密方式解密响应文件，供应商远程解密方式详见投标人操作手册。</w:t>
      </w:r>
    </w:p>
    <w:p w14:paraId="26669557">
      <w:pPr>
        <w:spacing w:line="480" w:lineRule="exact"/>
        <w:ind w:firstLine="560" w:firstLineChars="200"/>
        <w:rPr>
          <w:rFonts w:hint="eastAsia" w:ascii="仿宋" w:hAnsi="仿宋" w:eastAsia="仿宋" w:cs="仿宋"/>
          <w:b w:val="0"/>
          <w:color w:val="auto"/>
          <w:kern w:val="2"/>
          <w:sz w:val="28"/>
          <w:szCs w:val="28"/>
          <w:lang w:val="en-US" w:eastAsia="zh-CN" w:bidi="ar-SA"/>
        </w:rPr>
      </w:pPr>
      <w:r>
        <w:rPr>
          <w:rFonts w:hint="default" w:ascii="仿宋" w:hAnsi="仿宋" w:eastAsia="仿宋" w:cs="仿宋"/>
          <w:b w:val="0"/>
          <w:color w:val="auto"/>
          <w:kern w:val="2"/>
          <w:sz w:val="28"/>
          <w:szCs w:val="28"/>
          <w:lang w:val="en-US" w:eastAsia="zh-CN" w:bidi="ar-SA"/>
        </w:rPr>
        <w:t>2</w:t>
      </w:r>
      <w:r>
        <w:rPr>
          <w:rFonts w:hint="eastAsia" w:ascii="仿宋" w:hAnsi="仿宋" w:eastAsia="仿宋" w:cs="仿宋"/>
          <w:b w:val="0"/>
          <w:color w:val="auto"/>
          <w:kern w:val="2"/>
          <w:sz w:val="28"/>
          <w:szCs w:val="28"/>
          <w:lang w:val="en-US" w:eastAsia="zh-CN" w:bidi="ar-SA"/>
        </w:rPr>
        <w:t xml:space="preserve">、参加本项目的供应商应提前准备好电脑、耳麦等相关设备，确保开标顺利进行， 如因设备造成的问题由供应商自行负责。供应商应在开标前半小时使用 </w:t>
      </w:r>
      <w:r>
        <w:rPr>
          <w:rFonts w:hint="default" w:ascii="仿宋" w:hAnsi="仿宋" w:eastAsia="仿宋" w:cs="仿宋"/>
          <w:b w:val="0"/>
          <w:color w:val="auto"/>
          <w:kern w:val="2"/>
          <w:sz w:val="28"/>
          <w:szCs w:val="28"/>
          <w:lang w:val="en-US" w:eastAsia="zh-CN" w:bidi="ar-SA"/>
        </w:rPr>
        <w:t xml:space="preserve">CA </w:t>
      </w:r>
      <w:r>
        <w:rPr>
          <w:rFonts w:hint="eastAsia" w:ascii="仿宋" w:hAnsi="仿宋" w:eastAsia="仿宋" w:cs="仿宋"/>
          <w:b w:val="0"/>
          <w:color w:val="auto"/>
          <w:kern w:val="2"/>
          <w:sz w:val="28"/>
          <w:szCs w:val="28"/>
          <w:lang w:val="en-US" w:eastAsia="zh-CN" w:bidi="ar-SA"/>
        </w:rPr>
        <w:t xml:space="preserve">数字证书登 录 </w:t>
      </w:r>
      <w:r>
        <w:rPr>
          <w:rFonts w:hint="default" w:ascii="仿宋" w:hAnsi="仿宋" w:eastAsia="仿宋" w:cs="仿宋"/>
          <w:b w:val="0"/>
          <w:color w:val="auto"/>
          <w:kern w:val="2"/>
          <w:sz w:val="28"/>
          <w:szCs w:val="28"/>
          <w:lang w:val="en-US" w:eastAsia="zh-CN" w:bidi="ar-SA"/>
        </w:rPr>
        <w:t>“</w:t>
      </w:r>
      <w:r>
        <w:rPr>
          <w:rFonts w:hint="eastAsia" w:ascii="仿宋" w:hAnsi="仿宋" w:eastAsia="仿宋" w:cs="仿宋"/>
          <w:b w:val="0"/>
          <w:color w:val="auto"/>
          <w:kern w:val="2"/>
          <w:sz w:val="28"/>
          <w:szCs w:val="28"/>
          <w:lang w:val="en-US" w:eastAsia="zh-CN" w:bidi="ar-SA"/>
        </w:rPr>
        <w:t>不见面开标大厅系统</w:t>
      </w:r>
      <w:r>
        <w:rPr>
          <w:rFonts w:hint="default" w:ascii="仿宋" w:hAnsi="仿宋" w:eastAsia="仿宋" w:cs="仿宋"/>
          <w:b w:val="0"/>
          <w:color w:val="auto"/>
          <w:kern w:val="2"/>
          <w:sz w:val="28"/>
          <w:szCs w:val="28"/>
          <w:lang w:val="en-US" w:eastAsia="zh-CN" w:bidi="ar-SA"/>
        </w:rPr>
        <w:t>”</w:t>
      </w:r>
      <w:r>
        <w:rPr>
          <w:rFonts w:hint="eastAsia" w:ascii="仿宋" w:hAnsi="仿宋" w:eastAsia="仿宋" w:cs="仿宋"/>
          <w:b w:val="0"/>
          <w:color w:val="auto"/>
          <w:kern w:val="2"/>
          <w:sz w:val="28"/>
          <w:szCs w:val="28"/>
          <w:lang w:val="en-US" w:eastAsia="zh-CN" w:bidi="ar-SA"/>
        </w:rPr>
        <w:t xml:space="preserve">，网址为： </w:t>
      </w:r>
    </w:p>
    <w:p w14:paraId="3106C4BE">
      <w:pPr>
        <w:spacing w:line="480" w:lineRule="exact"/>
        <w:rPr>
          <w:rFonts w:hint="eastAsia" w:ascii="仿宋" w:hAnsi="仿宋" w:eastAsia="仿宋" w:cs="仿宋"/>
          <w:b w:val="0"/>
          <w:color w:val="auto"/>
          <w:kern w:val="2"/>
          <w:sz w:val="28"/>
          <w:szCs w:val="28"/>
          <w:lang w:val="en-US" w:eastAsia="zh-CN" w:bidi="ar-SA"/>
        </w:rPr>
      </w:pPr>
      <w:r>
        <w:rPr>
          <w:rFonts w:hint="default" w:ascii="仿宋" w:hAnsi="仿宋" w:eastAsia="仿宋" w:cs="仿宋"/>
          <w:b w:val="0"/>
          <w:color w:val="auto"/>
          <w:kern w:val="2"/>
          <w:sz w:val="28"/>
          <w:szCs w:val="28"/>
          <w:lang w:val="en-US" w:eastAsia="zh-CN" w:bidi="ar-SA"/>
        </w:rPr>
        <w:t>http://js.etrading.cn/EpointBidOpening/bidopeninghallaction/hall/login</w:t>
      </w:r>
      <w:r>
        <w:rPr>
          <w:rFonts w:hint="eastAsia" w:ascii="仿宋" w:hAnsi="仿宋" w:eastAsia="仿宋" w:cs="仿宋"/>
          <w:b w:val="0"/>
          <w:color w:val="auto"/>
          <w:kern w:val="2"/>
          <w:sz w:val="28"/>
          <w:szCs w:val="28"/>
          <w:lang w:val="en-US" w:eastAsia="zh-CN" w:bidi="ar-SA"/>
        </w:rPr>
        <w:t xml:space="preserve">，等待开标会开始并按系统提示进行相应的解密等事项，否则将无法完成后续开标流程，并视为放弃竞争性谈判资格。 </w:t>
      </w:r>
    </w:p>
    <w:p w14:paraId="5FF72376">
      <w:pPr>
        <w:spacing w:line="480" w:lineRule="exact"/>
        <w:ind w:firstLine="560" w:firstLineChars="200"/>
        <w:rPr>
          <w:rFonts w:hint="eastAsia" w:ascii="仿宋" w:hAnsi="仿宋" w:eastAsia="仿宋" w:cs="仿宋"/>
          <w:b w:val="0"/>
          <w:color w:val="auto"/>
          <w:kern w:val="2"/>
          <w:sz w:val="28"/>
          <w:szCs w:val="28"/>
          <w:lang w:val="en-US" w:eastAsia="zh-CN" w:bidi="ar-SA"/>
        </w:rPr>
      </w:pPr>
      <w:r>
        <w:rPr>
          <w:rFonts w:hint="default" w:ascii="仿宋" w:hAnsi="仿宋" w:eastAsia="仿宋" w:cs="仿宋"/>
          <w:b w:val="0"/>
          <w:color w:val="auto"/>
          <w:kern w:val="2"/>
          <w:sz w:val="28"/>
          <w:szCs w:val="28"/>
          <w:lang w:val="en-US" w:eastAsia="zh-CN" w:bidi="ar-SA"/>
        </w:rPr>
        <w:t>3</w:t>
      </w:r>
      <w:r>
        <w:rPr>
          <w:rFonts w:hint="eastAsia" w:ascii="仿宋" w:hAnsi="仿宋" w:eastAsia="仿宋" w:cs="仿宋"/>
          <w:b w:val="0"/>
          <w:color w:val="auto"/>
          <w:kern w:val="2"/>
          <w:sz w:val="28"/>
          <w:szCs w:val="28"/>
          <w:lang w:val="en-US" w:eastAsia="zh-CN" w:bidi="ar-SA"/>
        </w:rPr>
        <w:t>、答疑：供应商如果对本项目内容有相关疑问，可以以邮件形式提出，对采购文件进行的澄清、更正或更改，将在新点电子交易平台（</w:t>
      </w:r>
      <w:r>
        <w:rPr>
          <w:rFonts w:hint="default" w:ascii="仿宋" w:hAnsi="仿宋" w:eastAsia="仿宋" w:cs="仿宋"/>
          <w:b w:val="0"/>
          <w:color w:val="auto"/>
          <w:kern w:val="2"/>
          <w:sz w:val="28"/>
          <w:szCs w:val="28"/>
          <w:lang w:val="en-US" w:eastAsia="zh-CN" w:bidi="ar-SA"/>
        </w:rPr>
        <w:t>http://huoshan.etrading.cn/</w:t>
      </w:r>
      <w:r>
        <w:rPr>
          <w:rFonts w:hint="eastAsia" w:ascii="仿宋" w:hAnsi="仿宋" w:eastAsia="仿宋" w:cs="仿宋"/>
          <w:b w:val="0"/>
          <w:color w:val="auto"/>
          <w:kern w:val="2"/>
          <w:sz w:val="28"/>
          <w:szCs w:val="28"/>
          <w:lang w:val="en-US" w:eastAsia="zh-CN" w:bidi="ar-SA"/>
        </w:rPr>
        <w:t xml:space="preserve">）网站上及时发布，该公告内容为采购文件的组成部分，对供应商具有同样约束力效力。供应商应主动上网查询，供应商须自行承担因未及时关注相关信息而引发的相关责任。 </w:t>
      </w:r>
    </w:p>
    <w:p w14:paraId="5606F8DD">
      <w:pPr>
        <w:spacing w:line="480" w:lineRule="exact"/>
        <w:ind w:firstLine="560" w:firstLineChars="200"/>
        <w:rPr>
          <w:rFonts w:hint="eastAsia" w:ascii="仿宋" w:hAnsi="仿宋" w:eastAsia="仿宋" w:cs="仿宋"/>
          <w:b w:val="0"/>
          <w:color w:val="auto"/>
          <w:kern w:val="2"/>
          <w:sz w:val="28"/>
          <w:szCs w:val="28"/>
          <w:lang w:val="en-US" w:eastAsia="zh-CN" w:bidi="ar-SA"/>
        </w:rPr>
      </w:pPr>
      <w:r>
        <w:rPr>
          <w:rFonts w:hint="default" w:ascii="仿宋" w:hAnsi="仿宋" w:eastAsia="仿宋" w:cs="仿宋"/>
          <w:b w:val="0"/>
          <w:color w:val="auto"/>
          <w:kern w:val="2"/>
          <w:sz w:val="28"/>
          <w:szCs w:val="28"/>
          <w:lang w:val="en-US" w:eastAsia="zh-CN" w:bidi="ar-SA"/>
        </w:rPr>
        <w:t>4</w:t>
      </w:r>
      <w:r>
        <w:rPr>
          <w:rFonts w:hint="eastAsia" w:ascii="仿宋" w:hAnsi="仿宋" w:eastAsia="仿宋" w:cs="仿宋"/>
          <w:b w:val="0"/>
          <w:color w:val="auto"/>
          <w:kern w:val="2"/>
          <w:sz w:val="28"/>
          <w:szCs w:val="28"/>
          <w:lang w:val="en-US" w:eastAsia="zh-CN" w:bidi="ar-SA"/>
        </w:rPr>
        <w:t>、本项目相关公告在新点电子交易平台（</w:t>
      </w:r>
      <w:r>
        <w:rPr>
          <w:rFonts w:hint="default" w:ascii="仿宋" w:hAnsi="仿宋" w:eastAsia="仿宋" w:cs="仿宋"/>
          <w:b w:val="0"/>
          <w:color w:val="auto"/>
          <w:kern w:val="2"/>
          <w:sz w:val="28"/>
          <w:szCs w:val="28"/>
          <w:lang w:val="en-US" w:eastAsia="zh-CN" w:bidi="ar-SA"/>
        </w:rPr>
        <w:t>http://huoshan.etrading.cn/</w:t>
      </w:r>
      <w:r>
        <w:rPr>
          <w:rFonts w:hint="eastAsia" w:ascii="仿宋" w:hAnsi="仿宋" w:eastAsia="仿宋" w:cs="仿宋"/>
          <w:b w:val="0"/>
          <w:color w:val="auto"/>
          <w:kern w:val="2"/>
          <w:sz w:val="28"/>
          <w:szCs w:val="28"/>
          <w:lang w:val="en-US" w:eastAsia="zh-CN" w:bidi="ar-SA"/>
        </w:rPr>
        <w:t xml:space="preserve">）网站发布，请各位供应商注意查看有关竞争性谈判公告、答疑澄清等相关文件资料，如不及时查看造成后果由供应商自负。 </w:t>
      </w:r>
    </w:p>
    <w:p w14:paraId="460B4AFB">
      <w:pPr>
        <w:spacing w:line="480" w:lineRule="exact"/>
        <w:ind w:firstLine="560" w:firstLineChars="200"/>
        <w:rPr>
          <w:rFonts w:hint="eastAsia" w:ascii="仿宋" w:hAnsi="仿宋" w:eastAsia="仿宋" w:cs="仿宋"/>
          <w:b w:val="0"/>
          <w:color w:val="auto"/>
          <w:kern w:val="2"/>
          <w:sz w:val="28"/>
          <w:szCs w:val="28"/>
          <w:lang w:val="en-US" w:eastAsia="zh-CN" w:bidi="ar-SA"/>
        </w:rPr>
      </w:pPr>
      <w:r>
        <w:rPr>
          <w:rFonts w:hint="default" w:ascii="仿宋" w:hAnsi="仿宋" w:eastAsia="仿宋" w:cs="仿宋"/>
          <w:b w:val="0"/>
          <w:color w:val="auto"/>
          <w:kern w:val="2"/>
          <w:sz w:val="28"/>
          <w:szCs w:val="28"/>
          <w:lang w:val="en-US" w:eastAsia="zh-CN" w:bidi="ar-SA"/>
        </w:rPr>
        <w:t>5</w:t>
      </w:r>
      <w:r>
        <w:rPr>
          <w:rFonts w:hint="eastAsia" w:ascii="仿宋" w:hAnsi="仿宋" w:eastAsia="仿宋" w:cs="仿宋"/>
          <w:b w:val="0"/>
          <w:color w:val="auto"/>
          <w:kern w:val="2"/>
          <w:sz w:val="28"/>
          <w:szCs w:val="28"/>
          <w:lang w:val="en-US" w:eastAsia="zh-CN" w:bidi="ar-SA"/>
        </w:rPr>
        <w:t>、严禁恶意低价或恶意高价竞标，对恶意低价或恶意高价竞标的，采购人有权进行调查处理，经查证属实的，其响应资格无效，同时给予限制投标资格等处理。</w:t>
      </w:r>
    </w:p>
    <w:p w14:paraId="6BD4FCC2">
      <w:pPr>
        <w:pStyle w:val="7"/>
        <w:adjustRightInd/>
        <w:spacing w:before="0" w:after="0" w:line="480" w:lineRule="exact"/>
        <w:jc w:val="both"/>
        <w:textAlignment w:val="auto"/>
        <w:rPr>
          <w:rFonts w:hint="eastAsia" w:ascii="黑体" w:hAnsi="黑体" w:eastAsia="黑体" w:cs="黑体"/>
          <w:b w:val="0"/>
          <w:bCs/>
          <w:color w:val="auto"/>
          <w:sz w:val="28"/>
          <w:szCs w:val="28"/>
        </w:rPr>
      </w:pPr>
      <w:r>
        <w:rPr>
          <w:rFonts w:hint="eastAsia" w:ascii="黑体" w:hAnsi="黑体" w:eastAsia="黑体" w:cs="黑体"/>
          <w:b w:val="0"/>
          <w:bCs/>
          <w:color w:val="auto"/>
          <w:kern w:val="0"/>
          <w:sz w:val="28"/>
          <w:szCs w:val="28"/>
          <w:lang w:val="en-US" w:eastAsia="zh-CN" w:bidi="ar-SA"/>
        </w:rPr>
        <w:t>八、</w:t>
      </w:r>
      <w:r>
        <w:rPr>
          <w:rFonts w:hint="eastAsia" w:ascii="黑体" w:hAnsi="黑体" w:eastAsia="黑体" w:cs="黑体"/>
          <w:b w:val="0"/>
          <w:bCs/>
          <w:color w:val="auto"/>
          <w:sz w:val="28"/>
          <w:szCs w:val="28"/>
        </w:rPr>
        <w:t>凡对本次采购提出询问，请按以下方式联系</w:t>
      </w:r>
    </w:p>
    <w:p w14:paraId="3A1B41DA">
      <w:pPr>
        <w:pStyle w:val="7"/>
        <w:keepNext w:val="0"/>
        <w:keepLines w:val="0"/>
        <w:pageBreakBefore w:val="0"/>
        <w:widowControl w:val="0"/>
        <w:kinsoku/>
        <w:wordWrap/>
        <w:overflowPunct/>
        <w:topLinePunct w:val="0"/>
        <w:autoSpaceDE/>
        <w:autoSpaceDN/>
        <w:bidi w:val="0"/>
        <w:adjustRightInd/>
        <w:snapToGrid/>
        <w:spacing w:before="0" w:after="0" w:line="480" w:lineRule="exact"/>
        <w:jc w:val="both"/>
        <w:textAlignment w:val="auto"/>
        <w:rPr>
          <w:rFonts w:ascii="仿宋" w:hAnsi="仿宋" w:eastAsia="仿宋" w:cs="仿宋"/>
          <w:b w:val="0"/>
          <w:bCs/>
          <w:color w:val="auto"/>
          <w:sz w:val="28"/>
          <w:szCs w:val="28"/>
        </w:rPr>
      </w:pPr>
      <w:bookmarkStart w:id="49" w:name="_Toc28359096"/>
      <w:bookmarkStart w:id="50" w:name="_Toc35393806"/>
      <w:bookmarkStart w:id="51" w:name="_Toc12167"/>
      <w:bookmarkStart w:id="52" w:name="_Toc28359019"/>
      <w:bookmarkStart w:id="53" w:name="_Toc35393637"/>
      <w:r>
        <w:rPr>
          <w:rFonts w:hint="eastAsia" w:ascii="仿宋" w:hAnsi="仿宋" w:eastAsia="仿宋" w:cs="仿宋"/>
          <w:b w:val="0"/>
          <w:bCs/>
          <w:color w:val="auto"/>
          <w:sz w:val="28"/>
          <w:szCs w:val="28"/>
        </w:rPr>
        <w:t>1、采购人信息</w:t>
      </w:r>
      <w:bookmarkEnd w:id="49"/>
      <w:bookmarkEnd w:id="50"/>
      <w:bookmarkEnd w:id="51"/>
      <w:bookmarkEnd w:id="52"/>
      <w:bookmarkEnd w:id="53"/>
    </w:p>
    <w:p w14:paraId="17BDE58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auto"/>
          <w:sz w:val="28"/>
          <w:szCs w:val="28"/>
          <w:lang w:eastAsia="zh-CN"/>
        </w:rPr>
      </w:pPr>
      <w:bookmarkStart w:id="54" w:name="_Toc28359020"/>
      <w:bookmarkStart w:id="55" w:name="_Toc35393807"/>
      <w:bookmarkStart w:id="56" w:name="_Toc35393638"/>
      <w:bookmarkStart w:id="57" w:name="_Toc28359097"/>
      <w:r>
        <w:rPr>
          <w:rFonts w:hint="eastAsia" w:ascii="仿宋" w:hAnsi="仿宋" w:eastAsia="仿宋" w:cs="仿宋"/>
          <w:bCs/>
          <w:color w:val="auto"/>
          <w:sz w:val="28"/>
          <w:szCs w:val="28"/>
          <w:lang w:val="en-US" w:eastAsia="zh-CN"/>
        </w:rPr>
        <w:t>名称</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eastAsia="zh-CN"/>
        </w:rPr>
        <w:t>霍山县与儿街镇人民政府</w:t>
      </w:r>
    </w:p>
    <w:p w14:paraId="7F0ABDD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rPr>
        <w:t>地址：</w:t>
      </w:r>
      <w:r>
        <w:rPr>
          <w:rFonts w:hint="eastAsia" w:ascii="仿宋" w:hAnsi="仿宋" w:eastAsia="仿宋" w:cs="仿宋"/>
          <w:bCs/>
          <w:color w:val="auto"/>
          <w:sz w:val="28"/>
          <w:szCs w:val="28"/>
          <w:lang w:val="en-US" w:eastAsia="zh-CN"/>
        </w:rPr>
        <w:t>霍山县与儿街镇</w:t>
      </w:r>
    </w:p>
    <w:p w14:paraId="59164F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联系电话</w:t>
      </w:r>
      <w:r>
        <w:rPr>
          <w:rFonts w:hint="eastAsia" w:ascii="仿宋" w:hAnsi="仿宋" w:eastAsia="仿宋" w:cs="仿宋"/>
          <w:bCs/>
          <w:color w:val="auto"/>
          <w:sz w:val="28"/>
          <w:szCs w:val="28"/>
          <w:lang w:val="en-US" w:eastAsia="zh-CN"/>
        </w:rPr>
        <w:t>：0564-5461009</w:t>
      </w:r>
    </w:p>
    <w:p w14:paraId="4A874AB7">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 w:hAnsi="仿宋" w:eastAsia="仿宋" w:cs="仿宋"/>
          <w:bCs/>
          <w:color w:val="auto"/>
          <w:sz w:val="28"/>
          <w:szCs w:val="28"/>
        </w:rPr>
      </w:pPr>
      <w:r>
        <w:rPr>
          <w:rFonts w:hint="eastAsia" w:ascii="仿宋" w:hAnsi="仿宋" w:eastAsia="仿宋" w:cs="仿宋"/>
          <w:bCs/>
          <w:color w:val="auto"/>
          <w:sz w:val="28"/>
          <w:szCs w:val="28"/>
        </w:rPr>
        <w:t>2、采购代理机构信息</w:t>
      </w:r>
      <w:bookmarkEnd w:id="54"/>
      <w:bookmarkEnd w:id="55"/>
      <w:bookmarkEnd w:id="56"/>
      <w:bookmarkEnd w:id="57"/>
      <w:bookmarkStart w:id="58" w:name="_Toc28359021"/>
      <w:bookmarkStart w:id="59" w:name="_Toc28359098"/>
      <w:bookmarkStart w:id="60" w:name="_Toc35393808"/>
      <w:bookmarkStart w:id="61" w:name="_Toc35393639"/>
    </w:p>
    <w:p w14:paraId="7B9ED27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val="en-US" w:eastAsia="zh-CN"/>
        </w:rPr>
        <w:t>名称</w:t>
      </w:r>
      <w:r>
        <w:rPr>
          <w:rFonts w:hint="eastAsia" w:ascii="仿宋" w:hAnsi="仿宋" w:eastAsia="仿宋" w:cs="仿宋"/>
          <w:bCs/>
          <w:color w:val="auto"/>
          <w:sz w:val="28"/>
          <w:szCs w:val="28"/>
        </w:rPr>
        <w:t>：</w:t>
      </w:r>
      <w:bookmarkStart w:id="115" w:name="_GoBack"/>
      <w:r>
        <w:rPr>
          <w:rFonts w:hint="eastAsia" w:ascii="仿宋" w:hAnsi="仿宋" w:eastAsia="仿宋" w:cs="仿宋"/>
          <w:bCs/>
          <w:color w:val="auto"/>
          <w:sz w:val="28"/>
          <w:szCs w:val="28"/>
          <w:lang w:eastAsia="zh-CN"/>
        </w:rPr>
        <w:t>安徽</w:t>
      </w:r>
      <w:r>
        <w:rPr>
          <w:rFonts w:hint="eastAsia" w:ascii="仿宋" w:hAnsi="仿宋" w:eastAsia="仿宋" w:cs="仿宋"/>
          <w:bCs/>
          <w:color w:val="auto"/>
          <w:sz w:val="28"/>
          <w:szCs w:val="28"/>
          <w:lang w:val="en-US" w:eastAsia="zh-CN"/>
        </w:rPr>
        <w:t>锴泽</w:t>
      </w:r>
      <w:r>
        <w:rPr>
          <w:rFonts w:hint="eastAsia" w:ascii="仿宋" w:hAnsi="仿宋" w:eastAsia="仿宋" w:cs="仿宋"/>
          <w:bCs/>
          <w:color w:val="auto"/>
          <w:sz w:val="28"/>
          <w:szCs w:val="28"/>
          <w:lang w:eastAsia="zh-CN"/>
        </w:rPr>
        <w:t>工程咨询有限公司</w:t>
      </w:r>
      <w:bookmarkEnd w:id="115"/>
    </w:p>
    <w:p w14:paraId="6F0F6612">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 xml:space="preserve">地址：霍山县经济开发区幸福花园小区院内 </w:t>
      </w:r>
    </w:p>
    <w:p w14:paraId="799F7CD0">
      <w:pPr>
        <w:spacing w:line="480" w:lineRule="exact"/>
        <w:ind w:firstLine="560" w:firstLineChars="200"/>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联系方式：</w:t>
      </w:r>
      <w:r>
        <w:rPr>
          <w:rFonts w:hint="eastAsia" w:ascii="仿宋" w:hAnsi="仿宋" w:eastAsia="仿宋" w:cs="仿宋"/>
          <w:bCs/>
          <w:color w:val="auto"/>
          <w:sz w:val="28"/>
          <w:szCs w:val="28"/>
          <w:highlight w:val="none"/>
          <w:lang w:val="en-US" w:eastAsia="zh-CN"/>
        </w:rPr>
        <w:t>0564-5108081/19930159293</w:t>
      </w:r>
    </w:p>
    <w:p w14:paraId="2E3D541D">
      <w:pPr>
        <w:spacing w:line="480" w:lineRule="exact"/>
        <w:rPr>
          <w:rFonts w:ascii="仿宋" w:hAnsi="仿宋" w:eastAsia="仿宋" w:cs="仿宋"/>
          <w:bCs/>
          <w:color w:val="auto"/>
          <w:sz w:val="28"/>
          <w:szCs w:val="28"/>
        </w:rPr>
      </w:pPr>
      <w:r>
        <w:rPr>
          <w:rFonts w:hint="eastAsia" w:ascii="仿宋" w:hAnsi="仿宋" w:eastAsia="仿宋" w:cs="仿宋"/>
          <w:bCs/>
          <w:color w:val="auto"/>
          <w:sz w:val="28"/>
          <w:szCs w:val="28"/>
        </w:rPr>
        <w:t>3、项目联系方式</w:t>
      </w:r>
      <w:bookmarkEnd w:id="58"/>
      <w:bookmarkEnd w:id="59"/>
      <w:bookmarkEnd w:id="60"/>
      <w:bookmarkEnd w:id="61"/>
    </w:p>
    <w:p w14:paraId="639CC887">
      <w:pPr>
        <w:widowControl/>
        <w:spacing w:line="480" w:lineRule="exact"/>
        <w:ind w:firstLine="560" w:firstLineChars="200"/>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项目联系人：</w:t>
      </w:r>
      <w:r>
        <w:rPr>
          <w:rFonts w:hint="eastAsia" w:ascii="仿宋" w:hAnsi="仿宋" w:eastAsia="仿宋" w:cs="仿宋"/>
          <w:bCs/>
          <w:color w:val="auto"/>
          <w:sz w:val="28"/>
          <w:szCs w:val="28"/>
          <w:lang w:val="en-US" w:eastAsia="zh-CN"/>
        </w:rPr>
        <w:t>王先生</w:t>
      </w:r>
    </w:p>
    <w:p w14:paraId="0C6709DC">
      <w:pPr>
        <w:widowControl/>
        <w:spacing w:line="480" w:lineRule="exact"/>
        <w:ind w:firstLine="560" w:firstLineChars="200"/>
        <w:rPr>
          <w:rFonts w:hint="default" w:ascii="仿宋" w:hAnsi="仿宋" w:eastAsia="仿宋" w:cs="仿宋"/>
          <w:bCs/>
          <w:color w:val="auto"/>
          <w:sz w:val="28"/>
          <w:szCs w:val="28"/>
          <w:lang w:val="en-US"/>
        </w:rPr>
      </w:pPr>
      <w:r>
        <w:rPr>
          <w:rFonts w:hint="eastAsia" w:ascii="仿宋" w:hAnsi="仿宋" w:eastAsia="仿宋" w:cs="仿宋"/>
          <w:bCs/>
          <w:color w:val="auto"/>
          <w:sz w:val="28"/>
          <w:szCs w:val="28"/>
        </w:rPr>
        <w:t>电　 话：</w:t>
      </w:r>
      <w:r>
        <w:rPr>
          <w:rFonts w:hint="eastAsia" w:ascii="仿宋" w:hAnsi="仿宋" w:eastAsia="仿宋" w:cs="仿宋"/>
          <w:bCs/>
          <w:color w:val="auto"/>
          <w:sz w:val="28"/>
          <w:szCs w:val="28"/>
          <w:highlight w:val="none"/>
          <w:lang w:val="en-US" w:eastAsia="zh-CN"/>
        </w:rPr>
        <w:t>0564-5108081/19930159293</w:t>
      </w:r>
    </w:p>
    <w:p w14:paraId="669BB9A8">
      <w:pPr>
        <w:spacing w:line="480" w:lineRule="exact"/>
        <w:ind w:firstLine="560" w:firstLineChars="200"/>
        <w:rPr>
          <w:rFonts w:hint="eastAsia" w:ascii="仿宋" w:hAnsi="仿宋" w:eastAsia="仿宋" w:cs="仿宋"/>
          <w:b w:val="0"/>
          <w:color w:val="auto"/>
          <w:kern w:val="2"/>
          <w:sz w:val="28"/>
          <w:szCs w:val="28"/>
          <w:lang w:val="en-US" w:eastAsia="zh-CN" w:bidi="ar-SA"/>
        </w:rPr>
      </w:pPr>
    </w:p>
    <w:p w14:paraId="070AF54E">
      <w:pPr>
        <w:spacing w:line="480" w:lineRule="exact"/>
        <w:ind w:firstLine="560" w:firstLineChars="200"/>
        <w:rPr>
          <w:rFonts w:hint="eastAsia" w:ascii="仿宋" w:hAnsi="仿宋" w:eastAsia="仿宋" w:cs="仿宋"/>
          <w:b w:val="0"/>
          <w:color w:val="auto"/>
          <w:kern w:val="2"/>
          <w:sz w:val="28"/>
          <w:szCs w:val="28"/>
          <w:lang w:val="en-US" w:eastAsia="zh-CN" w:bidi="ar-SA"/>
        </w:rPr>
      </w:pPr>
    </w:p>
    <w:p w14:paraId="73120F72">
      <w:pPr>
        <w:spacing w:line="480" w:lineRule="exact"/>
        <w:ind w:firstLine="560" w:firstLineChars="200"/>
        <w:rPr>
          <w:rFonts w:hint="eastAsia" w:ascii="仿宋" w:hAnsi="仿宋" w:eastAsia="仿宋" w:cs="仿宋"/>
          <w:b w:val="0"/>
          <w:color w:val="auto"/>
          <w:kern w:val="2"/>
          <w:sz w:val="28"/>
          <w:szCs w:val="28"/>
          <w:lang w:val="en-US" w:eastAsia="zh-CN" w:bidi="ar-SA"/>
        </w:rPr>
      </w:pPr>
    </w:p>
    <w:p w14:paraId="1267D492">
      <w:pPr>
        <w:spacing w:line="480" w:lineRule="exact"/>
        <w:ind w:firstLine="560" w:firstLineChars="200"/>
        <w:rPr>
          <w:rFonts w:hint="eastAsia" w:ascii="仿宋" w:hAnsi="仿宋" w:eastAsia="仿宋" w:cs="仿宋"/>
          <w:b w:val="0"/>
          <w:color w:val="auto"/>
          <w:kern w:val="2"/>
          <w:sz w:val="28"/>
          <w:szCs w:val="28"/>
          <w:lang w:val="en-US" w:eastAsia="zh-CN" w:bidi="ar-SA"/>
        </w:rPr>
      </w:pPr>
    </w:p>
    <w:p w14:paraId="29971761">
      <w:pPr>
        <w:widowControl/>
        <w:spacing w:line="480" w:lineRule="exact"/>
        <w:rPr>
          <w:rFonts w:hint="eastAsia" w:ascii="仿宋" w:hAnsi="仿宋" w:eastAsia="仿宋" w:cs="仿宋"/>
          <w:b w:val="0"/>
          <w:color w:val="auto"/>
          <w:kern w:val="2"/>
          <w:sz w:val="28"/>
          <w:szCs w:val="28"/>
          <w:lang w:val="en-US" w:eastAsia="zh-CN" w:bidi="ar-SA"/>
        </w:rPr>
      </w:pPr>
    </w:p>
    <w:p w14:paraId="1BCB3712">
      <w:pPr>
        <w:widowControl/>
        <w:spacing w:line="480" w:lineRule="exact"/>
        <w:ind w:firstLine="560" w:firstLineChars="200"/>
        <w:jc w:val="right"/>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2025年4月2日</w:t>
      </w:r>
    </w:p>
    <w:p w14:paraId="17221849">
      <w:pPr>
        <w:rPr>
          <w:rFonts w:hint="eastAsia" w:ascii="宋体" w:hAnsi="宋体" w:eastAsia="宋体" w:cs="宋体"/>
          <w:sz w:val="28"/>
          <w:szCs w:val="28"/>
        </w:rPr>
      </w:pPr>
      <w:r>
        <w:rPr>
          <w:rFonts w:hint="eastAsia" w:ascii="宋体" w:hAnsi="宋体" w:eastAsia="宋体" w:cs="宋体"/>
          <w:sz w:val="28"/>
          <w:szCs w:val="28"/>
        </w:rPr>
        <w:br w:type="page"/>
      </w:r>
    </w:p>
    <w:p w14:paraId="11BEB363">
      <w:pPr>
        <w:pStyle w:val="7"/>
        <w:spacing w:before="156" w:beforeLines="50" w:after="156"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48"/>
    </w:p>
    <w:p w14:paraId="7E22DDBA">
      <w:pPr>
        <w:pStyle w:val="7"/>
        <w:spacing w:before="0" w:after="0" w:line="560" w:lineRule="exact"/>
        <w:jc w:val="center"/>
        <w:rPr>
          <w:rFonts w:ascii="宋体" w:hAnsi="宋体" w:eastAsia="宋体" w:cs="宋体"/>
          <w:sz w:val="24"/>
          <w:szCs w:val="24"/>
        </w:rPr>
      </w:pPr>
      <w:bookmarkStart w:id="62" w:name="_Toc6858"/>
      <w:r>
        <w:rPr>
          <w:rFonts w:hint="eastAsia" w:ascii="宋体" w:hAnsi="宋体" w:eastAsia="宋体" w:cs="宋体"/>
          <w:sz w:val="24"/>
          <w:szCs w:val="24"/>
        </w:rPr>
        <w:t>（一）须知前附表</w:t>
      </w:r>
      <w:bookmarkEnd w:id="62"/>
    </w:p>
    <w:tbl>
      <w:tblPr>
        <w:tblStyle w:val="36"/>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60"/>
        <w:gridCol w:w="1692"/>
        <w:gridCol w:w="7308"/>
      </w:tblGrid>
      <w:tr w14:paraId="3086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60" w:type="dxa"/>
            <w:vAlign w:val="center"/>
          </w:tcPr>
          <w:p w14:paraId="6A0527F6">
            <w:pPr>
              <w:spacing w:line="440" w:lineRule="exact"/>
              <w:jc w:val="center"/>
              <w:rPr>
                <w:rFonts w:ascii="宋体" w:hAnsi="宋体"/>
                <w:b/>
                <w:sz w:val="24"/>
                <w:szCs w:val="24"/>
              </w:rPr>
            </w:pPr>
            <w:bookmarkStart w:id="63" w:name="_Toc438107743"/>
            <w:bookmarkStart w:id="64" w:name="_Toc363199267"/>
            <w:bookmarkStart w:id="65" w:name="_Toc216158627"/>
            <w:r>
              <w:rPr>
                <w:rFonts w:hint="eastAsia" w:ascii="宋体" w:hAnsi="宋体"/>
                <w:b/>
                <w:sz w:val="24"/>
                <w:szCs w:val="24"/>
              </w:rPr>
              <w:t>序号</w:t>
            </w:r>
          </w:p>
        </w:tc>
        <w:tc>
          <w:tcPr>
            <w:tcW w:w="1692" w:type="dxa"/>
            <w:vAlign w:val="center"/>
          </w:tcPr>
          <w:p w14:paraId="1D2A0DB9">
            <w:pPr>
              <w:spacing w:line="440" w:lineRule="exact"/>
              <w:jc w:val="center"/>
              <w:rPr>
                <w:rFonts w:ascii="宋体" w:hAnsi="宋体"/>
                <w:b/>
                <w:sz w:val="24"/>
                <w:szCs w:val="24"/>
              </w:rPr>
            </w:pPr>
            <w:r>
              <w:rPr>
                <w:rFonts w:hint="eastAsia" w:ascii="宋体" w:hAnsi="宋体"/>
                <w:b/>
                <w:sz w:val="24"/>
                <w:szCs w:val="24"/>
              </w:rPr>
              <w:t>内容</w:t>
            </w:r>
          </w:p>
        </w:tc>
        <w:tc>
          <w:tcPr>
            <w:tcW w:w="7308" w:type="dxa"/>
            <w:vAlign w:val="center"/>
          </w:tcPr>
          <w:p w14:paraId="4D2218DC">
            <w:pPr>
              <w:pStyle w:val="101"/>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14:paraId="54FE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760" w:type="dxa"/>
            <w:vAlign w:val="center"/>
          </w:tcPr>
          <w:p w14:paraId="564006EA">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692" w:type="dxa"/>
            <w:vAlign w:val="center"/>
          </w:tcPr>
          <w:p w14:paraId="2F15D660">
            <w:pPr>
              <w:spacing w:line="440" w:lineRule="exact"/>
              <w:jc w:val="center"/>
              <w:rPr>
                <w:rFonts w:ascii="宋体" w:hAnsi="宋体"/>
                <w:sz w:val="24"/>
                <w:szCs w:val="24"/>
              </w:rPr>
            </w:pPr>
            <w:r>
              <w:rPr>
                <w:rFonts w:hint="eastAsia" w:ascii="宋体" w:hAnsi="宋体"/>
                <w:bCs/>
                <w:sz w:val="24"/>
                <w:szCs w:val="24"/>
              </w:rPr>
              <w:t>采购人</w:t>
            </w:r>
          </w:p>
        </w:tc>
        <w:tc>
          <w:tcPr>
            <w:tcW w:w="7308" w:type="dxa"/>
            <w:vAlign w:val="center"/>
          </w:tcPr>
          <w:p w14:paraId="0CAF6505">
            <w:pPr>
              <w:spacing w:line="440" w:lineRule="exact"/>
              <w:rPr>
                <w:sz w:val="24"/>
                <w:szCs w:val="24"/>
              </w:rPr>
            </w:pPr>
            <w:r>
              <w:rPr>
                <w:rFonts w:hint="eastAsia"/>
                <w:sz w:val="24"/>
                <w:szCs w:val="24"/>
                <w:lang w:eastAsia="zh-CN"/>
              </w:rPr>
              <w:t xml:space="preserve">霍山县与儿街镇人民政府 </w:t>
            </w:r>
            <w:r>
              <w:rPr>
                <w:rFonts w:hint="eastAsia"/>
                <w:sz w:val="24"/>
                <w:szCs w:val="24"/>
                <w:lang w:val="en-US" w:eastAsia="zh-CN"/>
              </w:rPr>
              <w:t xml:space="preserve"> </w:t>
            </w:r>
          </w:p>
        </w:tc>
      </w:tr>
      <w:tr w14:paraId="045BE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760" w:type="dxa"/>
            <w:vAlign w:val="center"/>
          </w:tcPr>
          <w:p w14:paraId="55DB3E96">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692" w:type="dxa"/>
            <w:vAlign w:val="center"/>
          </w:tcPr>
          <w:p w14:paraId="76E800D5">
            <w:pPr>
              <w:spacing w:line="440" w:lineRule="exact"/>
              <w:jc w:val="center"/>
              <w:rPr>
                <w:rFonts w:ascii="宋体" w:hAnsi="宋体"/>
                <w:bCs/>
                <w:sz w:val="24"/>
                <w:szCs w:val="24"/>
              </w:rPr>
            </w:pPr>
            <w:r>
              <w:rPr>
                <w:rFonts w:hint="eastAsia" w:ascii="宋体" w:hAnsi="宋体"/>
                <w:sz w:val="24"/>
                <w:szCs w:val="24"/>
              </w:rPr>
              <w:t>采购代理机构</w:t>
            </w:r>
          </w:p>
        </w:tc>
        <w:tc>
          <w:tcPr>
            <w:tcW w:w="7308" w:type="dxa"/>
            <w:vAlign w:val="center"/>
          </w:tcPr>
          <w:p w14:paraId="4FCF624C">
            <w:pPr>
              <w:spacing w:line="440" w:lineRule="exact"/>
              <w:jc w:val="left"/>
              <w:rPr>
                <w:rFonts w:hint="eastAsia" w:ascii="宋体" w:hAnsi="宋体" w:eastAsia="宋体"/>
                <w:sz w:val="24"/>
                <w:szCs w:val="24"/>
                <w:lang w:eastAsia="zh-CN"/>
              </w:rPr>
            </w:pPr>
            <w:r>
              <w:rPr>
                <w:rFonts w:hint="eastAsia" w:ascii="宋体" w:hAnsi="宋体"/>
                <w:sz w:val="24"/>
                <w:szCs w:val="24"/>
              </w:rPr>
              <w:t>名称：安徽锴泽工程咨询有限公司</w:t>
            </w:r>
          </w:p>
          <w:p w14:paraId="19BAE5C9">
            <w:pPr>
              <w:spacing w:line="440" w:lineRule="exact"/>
              <w:jc w:val="left"/>
              <w:rPr>
                <w:b/>
                <w:bCs/>
                <w:sz w:val="24"/>
                <w:szCs w:val="24"/>
              </w:rPr>
            </w:pPr>
            <w:r>
              <w:rPr>
                <w:rFonts w:hint="eastAsia"/>
                <w:sz w:val="24"/>
                <w:szCs w:val="24"/>
              </w:rPr>
              <w:t>地址</w:t>
            </w:r>
            <w:r>
              <w:rPr>
                <w:rFonts w:hint="eastAsia" w:ascii="宋体" w:hAnsi="宋体" w:eastAsia="宋体" w:cs="Times New Roman"/>
                <w:b w:val="0"/>
                <w:bCs w:val="0"/>
                <w:kern w:val="0"/>
                <w:sz w:val="24"/>
                <w:szCs w:val="24"/>
                <w:lang w:val="en-US" w:eastAsia="zh-CN" w:bidi="ar-SA"/>
              </w:rPr>
              <w:t>：霍山县经济开发区幸福花园小区院内</w:t>
            </w:r>
          </w:p>
        </w:tc>
      </w:tr>
      <w:tr w14:paraId="3FD6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0" w:type="dxa"/>
            <w:vAlign w:val="center"/>
          </w:tcPr>
          <w:p w14:paraId="1AF10997">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692" w:type="dxa"/>
            <w:vAlign w:val="center"/>
          </w:tcPr>
          <w:p w14:paraId="1D755D0D">
            <w:pPr>
              <w:spacing w:line="440" w:lineRule="exact"/>
              <w:jc w:val="center"/>
              <w:rPr>
                <w:rFonts w:ascii="宋体" w:hAnsi="宋体"/>
                <w:sz w:val="24"/>
                <w:szCs w:val="24"/>
              </w:rPr>
            </w:pPr>
            <w:r>
              <w:rPr>
                <w:rFonts w:hint="eastAsia" w:ascii="宋体" w:hAnsi="宋体"/>
                <w:sz w:val="24"/>
                <w:szCs w:val="24"/>
              </w:rPr>
              <w:t>谈判有效期</w:t>
            </w:r>
          </w:p>
        </w:tc>
        <w:tc>
          <w:tcPr>
            <w:tcW w:w="7308" w:type="dxa"/>
            <w:vAlign w:val="center"/>
          </w:tcPr>
          <w:p w14:paraId="0AA38352">
            <w:pPr>
              <w:pStyle w:val="101"/>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14:paraId="072E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0" w:type="dxa"/>
            <w:vAlign w:val="center"/>
          </w:tcPr>
          <w:p w14:paraId="18848DDF">
            <w:pPr>
              <w:pStyle w:val="99"/>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692" w:type="dxa"/>
            <w:vAlign w:val="center"/>
          </w:tcPr>
          <w:p w14:paraId="495913FE">
            <w:pPr>
              <w:spacing w:line="440" w:lineRule="exact"/>
              <w:jc w:val="center"/>
              <w:rPr>
                <w:rFonts w:ascii="宋体" w:hAnsi="宋体"/>
                <w:sz w:val="24"/>
                <w:szCs w:val="24"/>
              </w:rPr>
            </w:pPr>
            <w:r>
              <w:rPr>
                <w:rFonts w:hint="eastAsia" w:ascii="宋体" w:hAnsi="宋体"/>
                <w:sz w:val="24"/>
                <w:szCs w:val="24"/>
              </w:rPr>
              <w:t>项目类型</w:t>
            </w:r>
          </w:p>
        </w:tc>
        <w:tc>
          <w:tcPr>
            <w:tcW w:w="7308" w:type="dxa"/>
            <w:vAlign w:val="center"/>
          </w:tcPr>
          <w:p w14:paraId="743069DA">
            <w:pPr>
              <w:pStyle w:val="101"/>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14:paraId="060AE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0" w:type="dxa"/>
            <w:vAlign w:val="center"/>
          </w:tcPr>
          <w:p w14:paraId="534D091C">
            <w:pPr>
              <w:pStyle w:val="99"/>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692" w:type="dxa"/>
            <w:vAlign w:val="center"/>
          </w:tcPr>
          <w:p w14:paraId="77E82042">
            <w:pPr>
              <w:spacing w:line="440" w:lineRule="exact"/>
              <w:jc w:val="center"/>
              <w:rPr>
                <w:rFonts w:ascii="宋体" w:hAnsi="宋体"/>
                <w:sz w:val="24"/>
                <w:szCs w:val="24"/>
              </w:rPr>
            </w:pPr>
            <w:r>
              <w:rPr>
                <w:rFonts w:hint="eastAsia" w:ascii="宋体" w:hAnsi="宋体"/>
                <w:sz w:val="24"/>
                <w:szCs w:val="24"/>
              </w:rPr>
              <w:t>项目名称</w:t>
            </w:r>
          </w:p>
        </w:tc>
        <w:tc>
          <w:tcPr>
            <w:tcW w:w="7308" w:type="dxa"/>
            <w:vAlign w:val="center"/>
          </w:tcPr>
          <w:p w14:paraId="6E86D1A9">
            <w:pPr>
              <w:pStyle w:val="101"/>
              <w:widowControl w:val="0"/>
              <w:spacing w:before="0" w:beforeAutospacing="0" w:after="0" w:afterAutospacing="0" w:line="440" w:lineRule="exact"/>
              <w:jc w:val="both"/>
              <w:rPr>
                <w:rFonts w:hint="eastAsia" w:eastAsia="宋体"/>
                <w:sz w:val="24"/>
                <w:szCs w:val="24"/>
                <w:highlight w:val="none"/>
                <w:lang w:eastAsia="zh-CN"/>
              </w:rPr>
            </w:pPr>
            <w:r>
              <w:rPr>
                <w:rFonts w:hint="eastAsia"/>
                <w:b w:val="0"/>
                <w:bCs w:val="0"/>
                <w:sz w:val="24"/>
                <w:szCs w:val="24"/>
                <w:highlight w:val="none"/>
                <w:lang w:eastAsia="zh-CN"/>
              </w:rPr>
              <w:t>与儿街镇军旅特色营地项目</w:t>
            </w:r>
          </w:p>
        </w:tc>
      </w:tr>
      <w:tr w14:paraId="5444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760" w:type="dxa"/>
            <w:vAlign w:val="center"/>
          </w:tcPr>
          <w:p w14:paraId="65256720">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692" w:type="dxa"/>
            <w:vAlign w:val="center"/>
          </w:tcPr>
          <w:p w14:paraId="17CFB942">
            <w:pPr>
              <w:adjustRightInd w:val="0"/>
              <w:snapToGrid w:val="0"/>
              <w:spacing w:line="380" w:lineRule="exact"/>
              <w:jc w:val="center"/>
              <w:rPr>
                <w:rFonts w:ascii="宋体" w:hAnsi="宋体"/>
                <w:color w:val="auto"/>
                <w:sz w:val="24"/>
                <w:szCs w:val="24"/>
              </w:rPr>
            </w:pPr>
            <w:r>
              <w:rPr>
                <w:rFonts w:hint="eastAsia" w:ascii="宋体" w:hAnsi="宋体" w:eastAsia="宋体" w:cs="宋体"/>
                <w:color w:val="auto"/>
                <w:sz w:val="24"/>
                <w:szCs w:val="24"/>
                <w:highlight w:val="none"/>
                <w:lang w:val="en-US" w:eastAsia="zh-CN"/>
              </w:rPr>
              <w:t>发包内容</w:t>
            </w:r>
          </w:p>
        </w:tc>
        <w:tc>
          <w:tcPr>
            <w:tcW w:w="7308" w:type="dxa"/>
            <w:vAlign w:val="center"/>
          </w:tcPr>
          <w:p w14:paraId="6F35C226">
            <w:pPr>
              <w:adjustRightInd w:val="0"/>
              <w:snapToGrid w:val="0"/>
              <w:spacing w:line="380" w:lineRule="exact"/>
              <w:rPr>
                <w:rFonts w:hint="default" w:eastAsia="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本项目位于霍山县</w:t>
            </w:r>
            <w:r>
              <w:rPr>
                <w:rFonts w:hint="eastAsia" w:ascii="宋体" w:hAnsi="宋体" w:cs="宋体"/>
                <w:color w:val="auto"/>
                <w:sz w:val="24"/>
                <w:szCs w:val="24"/>
                <w:highlight w:val="none"/>
                <w:lang w:val="en-US" w:eastAsia="zh-CN"/>
              </w:rPr>
              <w:t>与儿街镇</w:t>
            </w:r>
            <w:r>
              <w:rPr>
                <w:rFonts w:hint="eastAsia" w:ascii="宋体" w:hAnsi="宋体" w:eastAsia="宋体" w:cs="宋体"/>
                <w:color w:val="auto"/>
                <w:sz w:val="24"/>
                <w:szCs w:val="24"/>
                <w:highlight w:val="none"/>
                <w:lang w:val="en-US" w:eastAsia="zh-CN"/>
              </w:rPr>
              <w:t>，主要内容</w:t>
            </w:r>
            <w:r>
              <w:rPr>
                <w:rFonts w:hint="eastAsia"/>
                <w:b w:val="0"/>
                <w:bCs w:val="0"/>
                <w:color w:val="auto"/>
                <w:sz w:val="24"/>
                <w:szCs w:val="24"/>
                <w:highlight w:val="none"/>
                <w:lang w:val="en-US" w:eastAsia="zh-CN"/>
              </w:rPr>
              <w:t>详见工程量清单，工程总投资约145万元。</w:t>
            </w:r>
          </w:p>
        </w:tc>
      </w:tr>
      <w:tr w14:paraId="6629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60" w:type="dxa"/>
            <w:vAlign w:val="center"/>
          </w:tcPr>
          <w:p w14:paraId="615C5F5D">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692" w:type="dxa"/>
            <w:vAlign w:val="center"/>
          </w:tcPr>
          <w:p w14:paraId="0D91463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付款方式</w:t>
            </w:r>
          </w:p>
        </w:tc>
        <w:tc>
          <w:tcPr>
            <w:tcW w:w="7308" w:type="dxa"/>
            <w:vAlign w:val="center"/>
          </w:tcPr>
          <w:p w14:paraId="3E7DA56F">
            <w:pPr>
              <w:keepNext w:val="0"/>
              <w:keepLines w:val="0"/>
              <w:widowControl/>
              <w:suppressLineNumbers w:val="0"/>
              <w:jc w:val="left"/>
              <w:rPr>
                <w:rFonts w:hint="default" w:ascii="黑体" w:hAnsi="黑体" w:eastAsia="宋体" w:cs="黑体"/>
                <w:color w:val="auto"/>
                <w:szCs w:val="24"/>
                <w:highlight w:val="none"/>
                <w:lang w:val="en-US" w:eastAsia="zh-CN"/>
              </w:rPr>
            </w:pPr>
            <w:r>
              <w:rPr>
                <w:rFonts w:hint="eastAsia" w:ascii="宋体" w:hAnsi="宋体" w:eastAsia="宋体" w:cs="宋体"/>
                <w:color w:val="auto"/>
                <w:sz w:val="24"/>
                <w:szCs w:val="24"/>
                <w:highlight w:val="none"/>
                <w:lang w:val="en-US" w:eastAsia="zh-CN"/>
              </w:rPr>
              <w:t>中标单位项目合同签订开工后，按照合同价支付30%的工程款，余款按工程进度支付，竣工验收合格后一次性付清，另收取</w:t>
            </w:r>
            <w:r>
              <w:rPr>
                <w:rFonts w:hint="eastAsia" w:ascii="宋体" w:hAnsi="宋体" w:cs="宋体"/>
                <w:color w:val="auto"/>
                <w:sz w:val="24"/>
                <w:szCs w:val="24"/>
                <w:highlight w:val="none"/>
                <w:lang w:val="en-US" w:eastAsia="zh-CN"/>
              </w:rPr>
              <w:t>审核</w:t>
            </w:r>
            <w:r>
              <w:rPr>
                <w:rFonts w:hint="eastAsia" w:ascii="宋体" w:hAnsi="宋体" w:eastAsia="宋体" w:cs="宋体"/>
                <w:color w:val="auto"/>
                <w:sz w:val="24"/>
                <w:szCs w:val="24"/>
                <w:highlight w:val="none"/>
                <w:lang w:val="en-US" w:eastAsia="zh-CN"/>
              </w:rPr>
              <w:t>价2%工程质量保证金。</w:t>
            </w:r>
          </w:p>
        </w:tc>
      </w:tr>
      <w:tr w14:paraId="7F7D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0" w:type="dxa"/>
            <w:vAlign w:val="center"/>
          </w:tcPr>
          <w:p w14:paraId="52E99630">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692" w:type="dxa"/>
            <w:vAlign w:val="center"/>
          </w:tcPr>
          <w:p w14:paraId="16BD5B40">
            <w:pPr>
              <w:spacing w:line="440" w:lineRule="exact"/>
              <w:jc w:val="center"/>
              <w:rPr>
                <w:rFonts w:ascii="宋体" w:hAnsi="宋体"/>
                <w:color w:val="auto"/>
                <w:sz w:val="24"/>
                <w:szCs w:val="24"/>
              </w:rPr>
            </w:pPr>
            <w:r>
              <w:rPr>
                <w:rFonts w:hint="eastAsia" w:ascii="宋体" w:hAnsi="宋体"/>
                <w:color w:val="auto"/>
                <w:sz w:val="24"/>
                <w:szCs w:val="24"/>
              </w:rPr>
              <w:t>工期</w:t>
            </w:r>
          </w:p>
        </w:tc>
        <w:tc>
          <w:tcPr>
            <w:tcW w:w="7308" w:type="dxa"/>
            <w:vAlign w:val="center"/>
          </w:tcPr>
          <w:p w14:paraId="38818089">
            <w:pPr>
              <w:pStyle w:val="101"/>
              <w:widowControl w:val="0"/>
              <w:spacing w:before="0" w:beforeAutospacing="0" w:after="0" w:afterAutospacing="0" w:line="440" w:lineRule="exact"/>
              <w:jc w:val="both"/>
              <w:rPr>
                <w:b w:val="0"/>
                <w:bCs w:val="0"/>
                <w:color w:val="auto"/>
                <w:sz w:val="24"/>
                <w:szCs w:val="24"/>
                <w:highlight w:val="none"/>
              </w:rPr>
            </w:pPr>
            <w:r>
              <w:rPr>
                <w:rFonts w:hint="eastAsia" w:cs="宋体"/>
                <w:b w:val="0"/>
                <w:bCs w:val="0"/>
                <w:color w:val="auto"/>
                <w:kern w:val="0"/>
                <w:sz w:val="24"/>
                <w:szCs w:val="24"/>
                <w:highlight w:val="none"/>
                <w:lang w:val="en-US" w:eastAsia="zh-CN" w:bidi="ar"/>
              </w:rPr>
              <w:t>150</w:t>
            </w:r>
            <w:r>
              <w:rPr>
                <w:rFonts w:hint="eastAsia" w:ascii="宋体" w:hAnsi="宋体" w:eastAsia="宋体" w:cs="宋体"/>
                <w:b w:val="0"/>
                <w:bCs w:val="0"/>
                <w:color w:val="auto"/>
                <w:kern w:val="0"/>
                <w:sz w:val="24"/>
                <w:szCs w:val="24"/>
                <w:highlight w:val="none"/>
                <w:lang w:val="en-US" w:eastAsia="zh-CN" w:bidi="ar"/>
              </w:rPr>
              <w:t>日历天</w:t>
            </w:r>
          </w:p>
        </w:tc>
      </w:tr>
      <w:tr w14:paraId="2818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91" w:hRule="atLeast"/>
          <w:jc w:val="center"/>
        </w:trPr>
        <w:tc>
          <w:tcPr>
            <w:tcW w:w="760" w:type="dxa"/>
            <w:vAlign w:val="center"/>
          </w:tcPr>
          <w:p w14:paraId="79B8D9F8">
            <w:pPr>
              <w:pStyle w:val="99"/>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692" w:type="dxa"/>
            <w:vAlign w:val="center"/>
          </w:tcPr>
          <w:p w14:paraId="2BEF6036">
            <w:pPr>
              <w:pStyle w:val="99"/>
              <w:pBdr>
                <w:bottom w:val="none" w:color="auto" w:sz="0" w:space="0"/>
              </w:pBdr>
              <w:tabs>
                <w:tab w:val="clear" w:pos="4153"/>
                <w:tab w:val="clear" w:pos="8306"/>
              </w:tabs>
              <w:adjustRightInd/>
              <w:spacing w:line="440" w:lineRule="exact"/>
              <w:textAlignment w:val="auto"/>
              <w:rPr>
                <w:rFonts w:ascii="宋体" w:hAnsi="宋体"/>
                <w:bCs/>
                <w:color w:val="auto"/>
                <w:kern w:val="2"/>
                <w:szCs w:val="24"/>
                <w:lang w:val="en-US"/>
              </w:rPr>
            </w:pPr>
            <w:r>
              <w:rPr>
                <w:rFonts w:hint="eastAsia" w:ascii="宋体" w:hAnsi="宋体"/>
                <w:bCs/>
                <w:color w:val="auto"/>
                <w:kern w:val="2"/>
                <w:szCs w:val="24"/>
                <w:lang w:val="en-US"/>
              </w:rPr>
              <w:t>质保期</w:t>
            </w:r>
          </w:p>
        </w:tc>
        <w:tc>
          <w:tcPr>
            <w:tcW w:w="7308" w:type="dxa"/>
            <w:vAlign w:val="center"/>
          </w:tcPr>
          <w:p w14:paraId="3D53A72A">
            <w:pPr>
              <w:pStyle w:val="99"/>
              <w:pBdr>
                <w:bottom w:val="none" w:color="auto" w:sz="0" w:space="0"/>
              </w:pBdr>
              <w:tabs>
                <w:tab w:val="clear" w:pos="4153"/>
                <w:tab w:val="clear" w:pos="8306"/>
              </w:tabs>
              <w:adjustRightInd/>
              <w:spacing w:line="440" w:lineRule="exact"/>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自竣工验收合格之日起1年。</w:t>
            </w:r>
          </w:p>
          <w:p w14:paraId="779FA01C">
            <w:pPr>
              <w:pStyle w:val="99"/>
              <w:pBdr>
                <w:bottom w:val="none" w:color="auto" w:sz="0" w:space="0"/>
              </w:pBdr>
              <w:tabs>
                <w:tab w:val="clear" w:pos="4153"/>
                <w:tab w:val="clear" w:pos="8306"/>
              </w:tabs>
              <w:adjustRightInd/>
              <w:spacing w:line="440" w:lineRule="exact"/>
              <w:jc w:val="left"/>
              <w:textAlignment w:val="auto"/>
              <w:rPr>
                <w:rFonts w:hint="eastAsia" w:ascii="宋体" w:hAnsi="宋体" w:cs="Times New Roman"/>
                <w:color w:val="auto"/>
                <w:sz w:val="24"/>
                <w:szCs w:val="24"/>
                <w:highlight w:val="yellow"/>
                <w:lang w:val="en-US" w:eastAsia="zh-CN"/>
              </w:rPr>
            </w:pPr>
            <w:r>
              <w:rPr>
                <w:rFonts w:hint="eastAsia" w:ascii="宋体" w:hAnsi="宋体" w:cs="Times New Roman"/>
                <w:color w:val="auto"/>
                <w:sz w:val="24"/>
                <w:szCs w:val="24"/>
                <w:highlight w:val="none"/>
                <w:lang w:val="en-US" w:eastAsia="zh-CN"/>
              </w:rPr>
              <w:t>质量要求：合格</w:t>
            </w:r>
          </w:p>
          <w:p w14:paraId="74322D9F">
            <w:pPr>
              <w:pStyle w:val="99"/>
              <w:pBdr>
                <w:bottom w:val="none" w:color="auto" w:sz="0" w:space="0"/>
              </w:pBdr>
              <w:tabs>
                <w:tab w:val="clear" w:pos="4153"/>
                <w:tab w:val="clear" w:pos="8306"/>
              </w:tabs>
              <w:adjustRightInd/>
              <w:spacing w:line="440" w:lineRule="exact"/>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备注：后期按采购人要求，成交人可通过工程款预留、现金转账、</w:t>
            </w:r>
          </w:p>
          <w:p w14:paraId="1B39228E">
            <w:pPr>
              <w:pStyle w:val="99"/>
              <w:pBdr>
                <w:bottom w:val="none" w:color="auto" w:sz="0" w:space="0"/>
              </w:pBdr>
              <w:tabs>
                <w:tab w:val="clear" w:pos="4153"/>
                <w:tab w:val="clear" w:pos="8306"/>
              </w:tabs>
              <w:adjustRightInd/>
              <w:spacing w:line="440" w:lineRule="exact"/>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担保保函、保证保险、保函（含电子保函）等方式缴纳2%工程质量</w:t>
            </w:r>
          </w:p>
          <w:p w14:paraId="5E20FF86">
            <w:pPr>
              <w:pStyle w:val="99"/>
              <w:pBdr>
                <w:bottom w:val="none" w:color="auto" w:sz="0" w:space="0"/>
              </w:pBdr>
              <w:tabs>
                <w:tab w:val="clear" w:pos="4153"/>
                <w:tab w:val="clear" w:pos="8306"/>
              </w:tabs>
              <w:adjustRightInd/>
              <w:spacing w:line="440" w:lineRule="exact"/>
              <w:jc w:val="left"/>
              <w:textAlignment w:val="auto"/>
              <w:rPr>
                <w:b/>
                <w:bCs/>
                <w:color w:val="auto"/>
                <w:szCs w:val="24"/>
                <w:lang w:val="en-US"/>
              </w:rPr>
            </w:pPr>
            <w:r>
              <w:rPr>
                <w:rFonts w:hint="eastAsia" w:ascii="宋体" w:hAnsi="宋体" w:cs="Times New Roman"/>
                <w:color w:val="auto"/>
                <w:sz w:val="24"/>
                <w:szCs w:val="24"/>
                <w:highlight w:val="none"/>
                <w:lang w:val="en-US" w:eastAsia="zh-CN"/>
              </w:rPr>
              <w:t>保证金。</w:t>
            </w:r>
          </w:p>
        </w:tc>
      </w:tr>
      <w:tr w14:paraId="2B3B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52" w:hRule="atLeast"/>
          <w:jc w:val="center"/>
        </w:trPr>
        <w:tc>
          <w:tcPr>
            <w:tcW w:w="760" w:type="dxa"/>
            <w:vAlign w:val="center"/>
          </w:tcPr>
          <w:p w14:paraId="6D7C6B11">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692" w:type="dxa"/>
            <w:vAlign w:val="center"/>
          </w:tcPr>
          <w:p w14:paraId="628F820B">
            <w:pPr>
              <w:pStyle w:val="99"/>
              <w:pBdr>
                <w:bottom w:val="none" w:color="auto" w:sz="0" w:space="0"/>
              </w:pBdr>
              <w:tabs>
                <w:tab w:val="clear" w:pos="4153"/>
                <w:tab w:val="clear" w:pos="8306"/>
              </w:tabs>
              <w:adjustRightInd/>
              <w:spacing w:line="440" w:lineRule="exact"/>
              <w:textAlignment w:val="auto"/>
              <w:rPr>
                <w:rFonts w:ascii="宋体" w:hAnsi="宋体"/>
                <w:color w:val="auto"/>
                <w:szCs w:val="24"/>
              </w:rPr>
            </w:pPr>
            <w:r>
              <w:rPr>
                <w:rFonts w:hint="eastAsia" w:ascii="宋体" w:hAnsi="宋体"/>
                <w:color w:val="auto"/>
                <w:szCs w:val="24"/>
              </w:rPr>
              <w:t>成交服务费</w:t>
            </w:r>
          </w:p>
        </w:tc>
        <w:tc>
          <w:tcPr>
            <w:tcW w:w="7308" w:type="dxa"/>
            <w:vAlign w:val="center"/>
          </w:tcPr>
          <w:p w14:paraId="5B54D324">
            <w:pPr>
              <w:pStyle w:val="99"/>
              <w:numPr>
                <w:ilvl w:val="0"/>
                <w:numId w:val="2"/>
              </w:numPr>
              <w:pBdr>
                <w:bottom w:val="none" w:color="auto" w:sz="0" w:space="0"/>
              </w:pBdr>
              <w:tabs>
                <w:tab w:val="clear" w:pos="4153"/>
                <w:tab w:val="clear" w:pos="8306"/>
              </w:tabs>
              <w:adjustRightInd/>
              <w:spacing w:line="460" w:lineRule="exact"/>
              <w:ind w:leftChars="0"/>
              <w:jc w:val="both"/>
              <w:rPr>
                <w:rFonts w:hint="eastAsia"/>
                <w:bCs/>
                <w:color w:val="auto"/>
                <w:szCs w:val="24"/>
                <w:lang w:val="en-US" w:eastAsia="zh-CN"/>
              </w:rPr>
            </w:pPr>
            <w:r>
              <w:rPr>
                <w:rFonts w:hint="eastAsia"/>
                <w:bCs/>
                <w:color w:val="auto"/>
                <w:szCs w:val="24"/>
                <w:lang w:val="en-US" w:eastAsia="zh-CN"/>
              </w:rPr>
              <w:t>根据</w:t>
            </w:r>
            <w:r>
              <w:rPr>
                <w:rFonts w:hint="eastAsia"/>
                <w:bCs/>
                <w:color w:val="auto"/>
                <w:szCs w:val="24"/>
                <w:lang w:val="en-US"/>
              </w:rPr>
              <w:t>《国家发展改革委关于进一步放开建设项目专业服务价格的通知》"发改价格【2015】299号）"文件规定，招标代理服务费以中标价（成交价）为计算基数，由中标人支付。招标代理费（元）具体计算公式如下：=1000000*1%+（中标价-1000000）*0.7%</w:t>
            </w:r>
            <w:r>
              <w:rPr>
                <w:rFonts w:hint="eastAsia"/>
                <w:bCs/>
                <w:color w:val="auto"/>
                <w:szCs w:val="24"/>
                <w:lang w:val="en-US" w:eastAsia="zh-CN"/>
              </w:rPr>
              <w:t>；</w:t>
            </w:r>
          </w:p>
          <w:p w14:paraId="570B6E21">
            <w:pPr>
              <w:pStyle w:val="99"/>
              <w:numPr>
                <w:ilvl w:val="0"/>
                <w:numId w:val="0"/>
              </w:numPr>
              <w:pBdr>
                <w:bottom w:val="none" w:color="auto" w:sz="0" w:space="0"/>
              </w:pBdr>
              <w:tabs>
                <w:tab w:val="clear" w:pos="4153"/>
                <w:tab w:val="clear" w:pos="8306"/>
              </w:tabs>
              <w:adjustRightInd/>
              <w:spacing w:line="460" w:lineRule="exact"/>
              <w:jc w:val="both"/>
              <w:rPr>
                <w:rFonts w:hint="eastAsia" w:eastAsia="宋体"/>
                <w:bCs/>
                <w:color w:val="auto"/>
                <w:szCs w:val="24"/>
                <w:highlight w:val="yellow"/>
                <w:lang w:val="en-US" w:eastAsia="zh-CN"/>
              </w:rPr>
            </w:pPr>
            <w:r>
              <w:rPr>
                <w:rFonts w:hint="eastAsia"/>
                <w:bCs/>
                <w:color w:val="auto"/>
                <w:szCs w:val="24"/>
                <w:lang w:val="en-US" w:eastAsia="zh-CN"/>
              </w:rPr>
              <w:t>（2）根据</w:t>
            </w:r>
            <w:r>
              <w:rPr>
                <w:rFonts w:hint="eastAsia"/>
                <w:bCs/>
                <w:color w:val="auto"/>
                <w:szCs w:val="24"/>
                <w:lang w:val="en-US"/>
              </w:rPr>
              <w:t>国家发改委《关于进一步放开建设项目专业服务价格的通知》（发改价格[2015]299号）精神，工程造价咨询费由中标人支付给预算编制单位，计算公式=1000000*6.8/1000+（中标价-1000000）*6.1/1000</w:t>
            </w:r>
            <w:r>
              <w:rPr>
                <w:rFonts w:hint="eastAsia"/>
                <w:bCs/>
                <w:color w:val="auto"/>
                <w:szCs w:val="24"/>
                <w:lang w:val="en-US" w:eastAsia="zh-CN"/>
              </w:rPr>
              <w:t>；</w:t>
            </w:r>
          </w:p>
          <w:p w14:paraId="2FA9E2CE">
            <w:pPr>
              <w:pStyle w:val="99"/>
              <w:numPr>
                <w:ilvl w:val="0"/>
                <w:numId w:val="0"/>
              </w:numPr>
              <w:pBdr>
                <w:bottom w:val="none" w:color="auto" w:sz="0" w:space="0"/>
              </w:pBdr>
              <w:tabs>
                <w:tab w:val="clear" w:pos="4153"/>
                <w:tab w:val="clear" w:pos="8306"/>
              </w:tabs>
              <w:adjustRightInd/>
              <w:spacing w:line="460" w:lineRule="exact"/>
              <w:ind w:leftChars="0"/>
              <w:jc w:val="both"/>
              <w:rPr>
                <w:rFonts w:hint="eastAsia" w:eastAsia="宋体"/>
                <w:bCs/>
                <w:color w:val="auto"/>
                <w:szCs w:val="24"/>
                <w:lang w:val="en-US" w:eastAsia="zh-CN"/>
              </w:rPr>
            </w:pPr>
            <w:r>
              <w:rPr>
                <w:rFonts w:hint="eastAsia"/>
                <w:bCs/>
                <w:color w:val="auto"/>
                <w:szCs w:val="24"/>
                <w:lang w:val="en-US"/>
              </w:rPr>
              <w:t>（3）以上费用由中标单位在发放中标通知书时缴纳（可用银行转账、现金方式缴纳）。投标单位在报价时综合考虑上述费用，不单独列项</w:t>
            </w:r>
            <w:r>
              <w:rPr>
                <w:rFonts w:hint="eastAsia"/>
                <w:bCs/>
                <w:color w:val="auto"/>
                <w:szCs w:val="24"/>
                <w:lang w:val="en-US" w:eastAsia="zh-CN"/>
              </w:rPr>
              <w:t>。</w:t>
            </w:r>
          </w:p>
        </w:tc>
      </w:tr>
      <w:tr w14:paraId="22DD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0" w:type="dxa"/>
            <w:vAlign w:val="center"/>
          </w:tcPr>
          <w:p w14:paraId="4CF88366">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692" w:type="dxa"/>
            <w:vAlign w:val="center"/>
          </w:tcPr>
          <w:p w14:paraId="39CF2808">
            <w:pPr>
              <w:pStyle w:val="99"/>
              <w:pBdr>
                <w:bottom w:val="none" w:color="auto" w:sz="0" w:space="0"/>
              </w:pBdr>
              <w:tabs>
                <w:tab w:val="clear" w:pos="4153"/>
                <w:tab w:val="clear" w:pos="8306"/>
              </w:tabs>
              <w:adjustRightInd/>
              <w:spacing w:line="440" w:lineRule="exact"/>
              <w:textAlignment w:val="auto"/>
              <w:rPr>
                <w:rFonts w:ascii="宋体" w:hAnsi="宋体"/>
                <w:bCs/>
                <w:color w:val="auto"/>
                <w:kern w:val="2"/>
                <w:szCs w:val="24"/>
              </w:rPr>
            </w:pPr>
            <w:r>
              <w:rPr>
                <w:rFonts w:hint="eastAsia" w:ascii="宋体" w:hAnsi="宋体"/>
                <w:bCs/>
                <w:color w:val="auto"/>
                <w:kern w:val="2"/>
                <w:szCs w:val="24"/>
              </w:rPr>
              <w:t>履约保证金</w:t>
            </w:r>
          </w:p>
        </w:tc>
        <w:tc>
          <w:tcPr>
            <w:tcW w:w="7308" w:type="dxa"/>
            <w:vAlign w:val="center"/>
          </w:tcPr>
          <w:p w14:paraId="25169B02">
            <w:pPr>
              <w:pStyle w:val="99"/>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14:paraId="3942F9B4">
            <w:pPr>
              <w:pStyle w:val="99"/>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履约保证金数额：成交价的2％。</w:t>
            </w:r>
          </w:p>
          <w:p w14:paraId="47345D70">
            <w:pPr>
              <w:pStyle w:val="99"/>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14:paraId="29AA9EFF">
            <w:pPr>
              <w:pStyle w:val="99"/>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14:paraId="2C3420C1">
            <w:pPr>
              <w:pStyle w:val="99"/>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14:paraId="5328EF72">
            <w:pPr>
              <w:pStyle w:val="99"/>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14:paraId="7F1FA3F8">
            <w:pPr>
              <w:pStyle w:val="99"/>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14:paraId="696AF34F">
            <w:pPr>
              <w:pStyle w:val="99"/>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eastAsia="zh-CN"/>
              </w:rPr>
            </w:pPr>
            <w:r>
              <w:rPr>
                <w:rFonts w:hint="eastAsia" w:ascii="宋体" w:hAnsi="宋体"/>
                <w:bCs/>
                <w:color w:val="auto"/>
                <w:kern w:val="2"/>
                <w:sz w:val="24"/>
                <w:szCs w:val="24"/>
                <w:highlight w:val="none"/>
              </w:rPr>
              <w:t>项目竣工验收合格结束后应及时退还履约保证金</w:t>
            </w:r>
          </w:p>
        </w:tc>
      </w:tr>
      <w:tr w14:paraId="506E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60" w:type="dxa"/>
            <w:vAlign w:val="center"/>
          </w:tcPr>
          <w:p w14:paraId="764FCC75">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692" w:type="dxa"/>
            <w:vAlign w:val="center"/>
          </w:tcPr>
          <w:p w14:paraId="5BCC1778">
            <w:pPr>
              <w:pStyle w:val="99"/>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08" w:type="dxa"/>
            <w:vAlign w:val="center"/>
          </w:tcPr>
          <w:p w14:paraId="373294EC">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14:paraId="1AF5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760" w:type="dxa"/>
            <w:vAlign w:val="center"/>
          </w:tcPr>
          <w:p w14:paraId="2F2B2547">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692" w:type="dxa"/>
            <w:vAlign w:val="center"/>
          </w:tcPr>
          <w:p w14:paraId="6E9D97B4">
            <w:pPr>
              <w:pStyle w:val="99"/>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08" w:type="dxa"/>
            <w:vAlign w:val="center"/>
          </w:tcPr>
          <w:p w14:paraId="2FF3EC1C">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递交至278747227@qq.com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14:paraId="5513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760" w:type="dxa"/>
            <w:vAlign w:val="center"/>
          </w:tcPr>
          <w:p w14:paraId="06F7DBAD">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692" w:type="dxa"/>
            <w:vAlign w:val="center"/>
          </w:tcPr>
          <w:p w14:paraId="7428EEED">
            <w:pPr>
              <w:pStyle w:val="99"/>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08" w:type="dxa"/>
            <w:vAlign w:val="center"/>
          </w:tcPr>
          <w:p w14:paraId="41B746F5">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递交至邮箱278747227@qq.com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14:paraId="12913131">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于收到质疑文件后七个工作日内答复，请质疑人及时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14:paraId="210AE359">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3、请各潜在供应商在响应截止时间前，务必登录“</w:t>
            </w:r>
            <w:r>
              <w:rPr>
                <w:rFonts w:hint="eastAsia" w:ascii="宋体" w:hAnsi="宋体"/>
                <w:bCs/>
                <w:kern w:val="2"/>
                <w:szCs w:val="24"/>
                <w:lang w:eastAsia="zh-CN"/>
              </w:rPr>
              <w:t>新点电子交易平台（http://huoshan.etrading.cn/）</w:t>
            </w:r>
            <w:r>
              <w:rPr>
                <w:rFonts w:hint="eastAsia" w:ascii="宋体" w:hAnsi="宋体"/>
                <w:bCs/>
                <w:kern w:val="2"/>
                <w:szCs w:val="24"/>
              </w:rPr>
              <w:t>”</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为采购文件的有效组成部分，一经发布即为视同已通知所有潜在供应商，若因未及时关注而造成的一切后果，由供应商自行承担。</w:t>
            </w:r>
          </w:p>
        </w:tc>
      </w:tr>
      <w:tr w14:paraId="5E76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60" w:type="dxa"/>
            <w:vAlign w:val="center"/>
          </w:tcPr>
          <w:p w14:paraId="1828D21F">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692" w:type="dxa"/>
            <w:vAlign w:val="center"/>
          </w:tcPr>
          <w:p w14:paraId="6AF82CA9">
            <w:pPr>
              <w:pStyle w:val="99"/>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响应文件要求</w:t>
            </w:r>
          </w:p>
        </w:tc>
        <w:tc>
          <w:tcPr>
            <w:tcW w:w="7308" w:type="dxa"/>
            <w:vAlign w:val="center"/>
          </w:tcPr>
          <w:p w14:paraId="245761D7">
            <w:pPr>
              <w:adjustRightInd w:val="0"/>
              <w:snapToGrid w:val="0"/>
              <w:spacing w:line="38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1、加密电子版投标文件（通过平台投标人系统上传）。</w:t>
            </w:r>
          </w:p>
          <w:p w14:paraId="43067662">
            <w:pPr>
              <w:pStyle w:val="99"/>
              <w:numPr>
                <w:ilvl w:val="0"/>
                <w:numId w:val="0"/>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ascii="宋体" w:hAnsi="宋体" w:eastAsia="宋体" w:cs="Times New Roman"/>
                <w:kern w:val="0"/>
                <w:sz w:val="24"/>
                <w:szCs w:val="24"/>
                <w:lang w:val="zh-CN" w:eastAsia="zh-CN" w:bidi="ar-SA"/>
              </w:rPr>
              <w:t>2、</w:t>
            </w:r>
            <w:r>
              <w:rPr>
                <w:rFonts w:hint="eastAsia" w:ascii="宋体" w:hAnsi="宋体" w:eastAsia="宋体" w:cs="宋体"/>
                <w:sz w:val="24"/>
                <w:szCs w:val="24"/>
                <w:highlight w:val="none"/>
                <w:lang w:val="en-US" w:eastAsia="zh-CN"/>
              </w:rPr>
              <w:t>投标人一旦被确定为预中标人，在领取中标通知书之前，应立即向招标人提供与项目评标时所使用的电子版投标文件相同的纸质版投标文件（一正三副并加盖单位公章）。如若提供的纸质版投标文件与电子版不符，将视其为弄虚作假，并取消其中标资格。</w:t>
            </w:r>
          </w:p>
        </w:tc>
      </w:tr>
      <w:tr w14:paraId="5787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60" w:type="dxa"/>
            <w:vAlign w:val="center"/>
          </w:tcPr>
          <w:p w14:paraId="1778B638">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692" w:type="dxa"/>
            <w:vAlign w:val="center"/>
          </w:tcPr>
          <w:p w14:paraId="72F1F4C7">
            <w:pPr>
              <w:pStyle w:val="99"/>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308" w:type="dxa"/>
            <w:vAlign w:val="center"/>
          </w:tcPr>
          <w:p w14:paraId="63554791">
            <w:pPr>
              <w:pStyle w:val="99"/>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rPr>
              <w:t>递交</w:t>
            </w:r>
            <w:r>
              <w:rPr>
                <w:rFonts w:hint="eastAsia" w:ascii="宋体" w:hAnsi="宋体"/>
                <w:bCs/>
                <w:kern w:val="2"/>
                <w:szCs w:val="24"/>
              </w:rPr>
              <w:t>。</w:t>
            </w:r>
          </w:p>
        </w:tc>
      </w:tr>
      <w:tr w14:paraId="4D95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760" w:type="dxa"/>
            <w:vAlign w:val="center"/>
          </w:tcPr>
          <w:p w14:paraId="43AB2EDF">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692" w:type="dxa"/>
            <w:vAlign w:val="center"/>
          </w:tcPr>
          <w:p w14:paraId="01F182A6">
            <w:pPr>
              <w:keepNext w:val="0"/>
              <w:keepLines w:val="0"/>
              <w:widowControl/>
              <w:suppressLineNumbers w:val="0"/>
              <w:jc w:val="center"/>
              <w:rPr>
                <w:rFonts w:ascii="宋体" w:hAnsi="宋体"/>
                <w:bCs/>
                <w:kern w:val="2"/>
                <w:szCs w:val="24"/>
              </w:rPr>
            </w:pPr>
            <w:r>
              <w:rPr>
                <w:rFonts w:hint="eastAsia" w:ascii="宋体" w:hAnsi="宋体" w:eastAsia="宋体" w:cs="宋体"/>
                <w:color w:val="000000"/>
                <w:kern w:val="0"/>
                <w:sz w:val="24"/>
                <w:szCs w:val="24"/>
                <w:lang w:val="en-US" w:eastAsia="zh-CN" w:bidi="ar"/>
              </w:rPr>
              <w:t>解密要求</w:t>
            </w:r>
          </w:p>
        </w:tc>
        <w:tc>
          <w:tcPr>
            <w:tcW w:w="7308" w:type="dxa"/>
            <w:vAlign w:val="center"/>
          </w:tcPr>
          <w:p w14:paraId="25110992">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cs="Times New Roman"/>
                <w:bCs/>
                <w:kern w:val="2"/>
                <w:szCs w:val="24"/>
              </w:rPr>
            </w:pPr>
            <w:r>
              <w:rPr>
                <w:rFonts w:hint="default" w:ascii="宋体" w:hAnsi="宋体" w:eastAsia="宋体" w:cs="Times New Roman"/>
                <w:bCs/>
                <w:kern w:val="2"/>
                <w:szCs w:val="24"/>
                <w:lang w:val="en-US" w:eastAsia="zh-CN"/>
              </w:rPr>
              <w:t>1</w:t>
            </w:r>
            <w:r>
              <w:rPr>
                <w:rFonts w:hint="eastAsia" w:ascii="宋体" w:hAnsi="宋体" w:eastAsia="宋体" w:cs="Times New Roman"/>
                <w:bCs/>
                <w:kern w:val="2"/>
                <w:szCs w:val="24"/>
                <w:lang w:val="en-US" w:eastAsia="zh-CN"/>
              </w:rPr>
              <w:t xml:space="preserve">、本项目供应商无需现场参与谈判，响应文件网上递交； </w:t>
            </w:r>
          </w:p>
          <w:p w14:paraId="2FC99900">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cs="Times New Roman"/>
                <w:bCs/>
                <w:kern w:val="2"/>
                <w:szCs w:val="24"/>
              </w:rPr>
            </w:pPr>
            <w:r>
              <w:rPr>
                <w:rFonts w:hint="default" w:ascii="宋体" w:hAnsi="宋体" w:eastAsia="宋体" w:cs="Times New Roman"/>
                <w:bCs/>
                <w:kern w:val="2"/>
                <w:szCs w:val="24"/>
                <w:lang w:val="en-US" w:eastAsia="zh-CN"/>
              </w:rPr>
              <w:t>2</w:t>
            </w:r>
            <w:r>
              <w:rPr>
                <w:rFonts w:hint="eastAsia" w:ascii="宋体" w:hAnsi="宋体" w:eastAsia="宋体" w:cs="Times New Roman"/>
                <w:bCs/>
                <w:kern w:val="2"/>
                <w:szCs w:val="24"/>
                <w:lang w:val="en-US" w:eastAsia="zh-CN"/>
              </w:rPr>
              <w:t xml:space="preserve">、本项目采用不见面开标（远程解密）方式，开标时供应商无需至 </w:t>
            </w:r>
          </w:p>
          <w:p w14:paraId="459953B8">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cs="Times New Roman"/>
                <w:bCs/>
                <w:kern w:val="2"/>
                <w:szCs w:val="24"/>
              </w:rPr>
            </w:pPr>
            <w:r>
              <w:rPr>
                <w:rFonts w:hint="eastAsia" w:ascii="宋体" w:hAnsi="宋体" w:eastAsia="宋体" w:cs="Times New Roman"/>
                <w:bCs/>
                <w:kern w:val="2"/>
                <w:szCs w:val="24"/>
                <w:lang w:val="en-US" w:eastAsia="zh-CN"/>
              </w:rPr>
              <w:t xml:space="preserve">开标现场进行解密，开标采取远程解密方式解密响应文件，投标人 </w:t>
            </w:r>
          </w:p>
          <w:p w14:paraId="6B59114E">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cs="Times New Roman"/>
                <w:bCs/>
                <w:kern w:val="2"/>
                <w:szCs w:val="24"/>
              </w:rPr>
            </w:pPr>
            <w:r>
              <w:rPr>
                <w:rFonts w:hint="eastAsia" w:ascii="宋体" w:hAnsi="宋体" w:eastAsia="宋体" w:cs="Times New Roman"/>
                <w:bCs/>
                <w:kern w:val="2"/>
                <w:szCs w:val="24"/>
                <w:lang w:val="en-US" w:eastAsia="zh-CN"/>
              </w:rPr>
              <w:t xml:space="preserve">远程解密可选择以下方式：供应商在开标时间前使用 </w:t>
            </w:r>
            <w:r>
              <w:rPr>
                <w:rFonts w:hint="default" w:ascii="宋体" w:hAnsi="宋体" w:eastAsia="宋体" w:cs="Times New Roman"/>
                <w:bCs/>
                <w:kern w:val="2"/>
                <w:szCs w:val="24"/>
                <w:lang w:val="en-US" w:eastAsia="zh-CN"/>
              </w:rPr>
              <w:t xml:space="preserve">CA </w:t>
            </w:r>
            <w:r>
              <w:rPr>
                <w:rFonts w:hint="eastAsia" w:ascii="宋体" w:hAnsi="宋体" w:eastAsia="宋体" w:cs="Times New Roman"/>
                <w:bCs/>
                <w:kern w:val="2"/>
                <w:szCs w:val="24"/>
                <w:lang w:val="en-US" w:eastAsia="zh-CN"/>
              </w:rPr>
              <w:t xml:space="preserve">数字证书 </w:t>
            </w:r>
          </w:p>
          <w:p w14:paraId="7903A97E">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cs="Times New Roman"/>
                <w:bCs/>
                <w:kern w:val="2"/>
                <w:szCs w:val="24"/>
              </w:rPr>
            </w:pPr>
            <w:r>
              <w:rPr>
                <w:rFonts w:hint="eastAsia" w:ascii="宋体" w:hAnsi="宋体" w:eastAsia="宋体" w:cs="Times New Roman"/>
                <w:bCs/>
                <w:kern w:val="2"/>
                <w:szCs w:val="24"/>
                <w:lang w:val="en-US" w:eastAsia="zh-CN"/>
              </w:rPr>
              <w:t>登录新点电子交易平台（</w:t>
            </w:r>
            <w:r>
              <w:rPr>
                <w:rFonts w:hint="default" w:ascii="宋体" w:hAnsi="宋体" w:eastAsia="宋体" w:cs="Times New Roman"/>
                <w:bCs/>
                <w:kern w:val="2"/>
                <w:szCs w:val="24"/>
                <w:lang w:val="en-US" w:eastAsia="zh-CN"/>
              </w:rPr>
              <w:t>http://huoshan.etrading.cn/</w:t>
            </w:r>
            <w:r>
              <w:rPr>
                <w:rFonts w:hint="eastAsia" w:ascii="宋体" w:hAnsi="宋体" w:eastAsia="宋体" w:cs="Times New Roman"/>
                <w:bCs/>
                <w:kern w:val="2"/>
                <w:szCs w:val="24"/>
                <w:lang w:val="en-US" w:eastAsia="zh-CN"/>
              </w:rPr>
              <w:t xml:space="preserve">）网站，等待开标并按系统提示进行相应的供应商解密等事项，无需到开标现场。 </w:t>
            </w:r>
          </w:p>
          <w:p w14:paraId="3BD6969F">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cs="Times New Roman"/>
                <w:bCs/>
                <w:kern w:val="2"/>
                <w:szCs w:val="24"/>
              </w:rPr>
            </w:pPr>
            <w:r>
              <w:rPr>
                <w:rFonts w:hint="eastAsia" w:ascii="宋体" w:hAnsi="宋体" w:eastAsia="宋体" w:cs="Times New Roman"/>
                <w:bCs/>
                <w:kern w:val="2"/>
                <w:szCs w:val="24"/>
                <w:lang w:val="en-US" w:eastAsia="zh-CN"/>
              </w:rPr>
              <w:t xml:space="preserve">采用本方式可以观看开标现场音视频直播并进行互动交流。解密时 </w:t>
            </w:r>
          </w:p>
          <w:p w14:paraId="6F573E4C">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cs="Times New Roman"/>
                <w:bCs/>
                <w:kern w:val="2"/>
                <w:szCs w:val="24"/>
              </w:rPr>
            </w:pPr>
            <w:r>
              <w:rPr>
                <w:rFonts w:hint="eastAsia" w:ascii="宋体" w:hAnsi="宋体" w:eastAsia="宋体" w:cs="Times New Roman"/>
                <w:bCs/>
                <w:kern w:val="2"/>
                <w:szCs w:val="24"/>
                <w:lang w:val="en-US" w:eastAsia="zh-CN"/>
              </w:rPr>
              <w:t xml:space="preserve">间要求为：解密程序开始后每个供应商均应在解密指令发出后 </w:t>
            </w:r>
            <w:r>
              <w:rPr>
                <w:rFonts w:hint="default" w:ascii="宋体" w:hAnsi="宋体" w:eastAsia="宋体" w:cs="Times New Roman"/>
                <w:bCs/>
                <w:kern w:val="2"/>
                <w:szCs w:val="24"/>
                <w:lang w:val="en-US" w:eastAsia="zh-CN"/>
              </w:rPr>
              <w:t xml:space="preserve">30 </w:t>
            </w:r>
            <w:r>
              <w:rPr>
                <w:rFonts w:hint="eastAsia" w:ascii="宋体" w:hAnsi="宋体" w:eastAsia="宋体" w:cs="Times New Roman"/>
                <w:bCs/>
                <w:kern w:val="2"/>
                <w:szCs w:val="24"/>
                <w:lang w:val="en-US" w:eastAsia="zh-CN"/>
              </w:rPr>
              <w:t xml:space="preserve">分 </w:t>
            </w:r>
          </w:p>
          <w:p w14:paraId="2EF3B5E5">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cs="Times New Roman"/>
                <w:bCs/>
                <w:kern w:val="2"/>
                <w:szCs w:val="24"/>
              </w:rPr>
            </w:pPr>
            <w:r>
              <w:rPr>
                <w:rFonts w:hint="eastAsia" w:ascii="宋体" w:hAnsi="宋体" w:eastAsia="宋体" w:cs="Times New Roman"/>
                <w:bCs/>
                <w:kern w:val="2"/>
                <w:szCs w:val="24"/>
                <w:lang w:val="en-US" w:eastAsia="zh-CN"/>
              </w:rPr>
              <w:t>钟内完成解密，否则响应文件将被拒绝；采用本方式可以观看开标</w:t>
            </w:r>
            <w:r>
              <w:rPr>
                <w:rFonts w:hint="default" w:ascii="宋体" w:hAnsi="宋体" w:eastAsia="宋体" w:cs="Times New Roman"/>
                <w:bCs/>
                <w:kern w:val="2"/>
                <w:szCs w:val="24"/>
                <w:lang w:val="en-US" w:eastAsia="zh-CN"/>
              </w:rPr>
              <w:t xml:space="preserve">7 </w:t>
            </w:r>
          </w:p>
          <w:p w14:paraId="245123C5">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bCs/>
                <w:kern w:val="2"/>
                <w:szCs w:val="24"/>
                <w:lang w:eastAsia="zh-CN"/>
              </w:rPr>
            </w:pPr>
            <w:r>
              <w:rPr>
                <w:rFonts w:hint="eastAsia" w:ascii="宋体" w:hAnsi="宋体" w:eastAsia="宋体" w:cs="Times New Roman"/>
                <w:bCs/>
                <w:kern w:val="2"/>
                <w:szCs w:val="24"/>
                <w:lang w:val="en-US" w:eastAsia="zh-CN"/>
              </w:rPr>
              <w:t>现场音视频直播并进行互动交流。</w:t>
            </w:r>
          </w:p>
        </w:tc>
      </w:tr>
      <w:tr w14:paraId="4B33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0" w:type="dxa"/>
            <w:vAlign w:val="center"/>
          </w:tcPr>
          <w:p w14:paraId="48939324">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692" w:type="dxa"/>
            <w:vAlign w:val="center"/>
          </w:tcPr>
          <w:p w14:paraId="466FFB2C">
            <w:pPr>
              <w:pStyle w:val="99"/>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08" w:type="dxa"/>
            <w:vAlign w:val="center"/>
          </w:tcPr>
          <w:p w14:paraId="18181DF1">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14:paraId="54FA5EC8">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14:paraId="2D2271A6">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14:paraId="2B881996">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14:paraId="2779C059">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14:paraId="70348B16">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14:paraId="3E9D12D0">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3、不良信用记录查询渠道如下：</w:t>
            </w:r>
          </w:p>
          <w:p w14:paraId="5E07F8DB">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14:paraId="2C0F3FA3">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14:paraId="7A003B9F">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14:paraId="6F76D7F7">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14:paraId="5ADC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0" w:type="dxa"/>
            <w:vAlign w:val="center"/>
          </w:tcPr>
          <w:p w14:paraId="1A3293F8">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692" w:type="dxa"/>
            <w:vAlign w:val="center"/>
          </w:tcPr>
          <w:p w14:paraId="2A146209">
            <w:pPr>
              <w:pStyle w:val="99"/>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08" w:type="dxa"/>
            <w:vAlign w:val="center"/>
          </w:tcPr>
          <w:p w14:paraId="1A931325">
            <w:pPr>
              <w:pStyle w:val="99"/>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3C65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760" w:type="dxa"/>
            <w:vAlign w:val="center"/>
          </w:tcPr>
          <w:p w14:paraId="135DCFB0">
            <w:pPr>
              <w:pStyle w:val="99"/>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692" w:type="dxa"/>
            <w:vAlign w:val="center"/>
          </w:tcPr>
          <w:p w14:paraId="07B1F5C3">
            <w:pPr>
              <w:pStyle w:val="99"/>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308" w:type="dxa"/>
            <w:vAlign w:val="center"/>
          </w:tcPr>
          <w:p w14:paraId="2A274B10">
            <w:pPr>
              <w:pStyle w:val="99"/>
              <w:pBdr>
                <w:bottom w:val="none" w:color="auto" w:sz="0" w:space="0"/>
              </w:pBdr>
              <w:tabs>
                <w:tab w:val="clear" w:pos="4153"/>
                <w:tab w:val="clear" w:pos="8306"/>
              </w:tabs>
              <w:adjustRightInd/>
              <w:spacing w:line="440" w:lineRule="exact"/>
              <w:jc w:val="both"/>
              <w:textAlignment w:val="auto"/>
              <w:rPr>
                <w:rFonts w:ascii="宋体" w:hAnsi="宋体"/>
                <w:szCs w:val="24"/>
                <w:lang w:val="en-US"/>
              </w:rPr>
            </w:pPr>
            <w:r>
              <w:rPr>
                <w:rFonts w:hint="eastAsia" w:ascii="宋体" w:hAnsi="宋体"/>
                <w:bCs/>
                <w:color w:val="auto"/>
                <w:kern w:val="2"/>
                <w:szCs w:val="24"/>
                <w:highlight w:val="none"/>
                <w:lang w:val="en-US"/>
              </w:rPr>
              <w:t>参加本项目的投标人应提前准备好电脑、耳麦等相关设备，确保开标顺利进行，如因设备造成的问题由投标人自行负责，投标人应在开标前半小时登录新点电子交易平台（</w:t>
            </w:r>
            <w:r>
              <w:rPr>
                <w:rFonts w:hint="eastAsia" w:ascii="宋体" w:hAnsi="宋体"/>
                <w:bCs/>
                <w:color w:val="auto"/>
                <w:kern w:val="2"/>
                <w:szCs w:val="24"/>
                <w:highlight w:val="none"/>
                <w:lang w:val="en-US" w:eastAsia="zh-CN"/>
              </w:rPr>
              <w:t>http://huoshan.etrading.cn/</w:t>
            </w:r>
            <w:r>
              <w:rPr>
                <w:rFonts w:hint="eastAsia" w:ascii="宋体" w:hAnsi="宋体"/>
                <w:bCs/>
                <w:color w:val="auto"/>
                <w:kern w:val="2"/>
                <w:szCs w:val="24"/>
                <w:highlight w:val="none"/>
                <w:lang w:val="en-US"/>
              </w:rPr>
              <w:t>）【</w:t>
            </w:r>
            <w:r>
              <w:rPr>
                <w:rFonts w:hint="eastAsia" w:ascii="宋体" w:hAnsi="宋体"/>
                <w:bCs/>
                <w:color w:val="auto"/>
                <w:kern w:val="2"/>
                <w:szCs w:val="24"/>
                <w:highlight w:val="none"/>
                <w:lang w:val="en-US" w:eastAsia="zh-CN"/>
              </w:rPr>
              <w:t>霍山</w:t>
            </w:r>
            <w:r>
              <w:rPr>
                <w:rFonts w:hint="eastAsia" w:ascii="宋体" w:hAnsi="宋体"/>
                <w:bCs/>
                <w:color w:val="auto"/>
                <w:kern w:val="2"/>
                <w:szCs w:val="24"/>
                <w:highlight w:val="none"/>
                <w:lang w:val="en-US"/>
              </w:rPr>
              <w:t>专区】发包不见面开标系统等待解密（无需签到），否则将无法完成后续开标流程，并视为放弃竞争性谈判资格。</w:t>
            </w:r>
          </w:p>
        </w:tc>
      </w:tr>
      <w:tr w14:paraId="734A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0" w:type="dxa"/>
            <w:vAlign w:val="center"/>
          </w:tcPr>
          <w:p w14:paraId="3EFC5E85">
            <w:pPr>
              <w:pStyle w:val="99"/>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692" w:type="dxa"/>
            <w:vAlign w:val="center"/>
          </w:tcPr>
          <w:p w14:paraId="0E0AD0BF">
            <w:pPr>
              <w:pStyle w:val="99"/>
              <w:pBdr>
                <w:bottom w:val="none" w:color="auto" w:sz="0" w:space="0"/>
              </w:pBdr>
              <w:tabs>
                <w:tab w:val="clear" w:pos="4153"/>
                <w:tab w:val="clear" w:pos="8306"/>
              </w:tabs>
              <w:adjustRightInd/>
              <w:spacing w:line="440" w:lineRule="exact"/>
              <w:jc w:val="center"/>
              <w:textAlignment w:val="auto"/>
              <w:rPr>
                <w:rFonts w:ascii="宋体" w:hAnsi="宋体"/>
                <w:bCs/>
                <w:kern w:val="2"/>
                <w:szCs w:val="24"/>
              </w:rPr>
            </w:pPr>
            <w:r>
              <w:rPr>
                <w:rFonts w:hint="eastAsia" w:ascii="宋体" w:hAnsi="宋体"/>
                <w:bCs/>
                <w:kern w:val="2"/>
                <w:szCs w:val="24"/>
              </w:rPr>
              <w:t>重要提醒</w:t>
            </w:r>
          </w:p>
        </w:tc>
        <w:tc>
          <w:tcPr>
            <w:tcW w:w="7308" w:type="dxa"/>
            <w:vAlign w:val="center"/>
          </w:tcPr>
          <w:p w14:paraId="0E270481">
            <w:pPr>
              <w:pStyle w:val="99"/>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自</w:t>
            </w:r>
            <w:r>
              <w:rPr>
                <w:rFonts w:hint="eastAsia" w:ascii="宋体" w:hAnsi="宋体"/>
                <w:bCs/>
                <w:kern w:val="2"/>
                <w:szCs w:val="24"/>
                <w:lang w:eastAsia="zh-CN"/>
              </w:rPr>
              <w:t>202</w:t>
            </w:r>
            <w:r>
              <w:rPr>
                <w:rFonts w:hint="eastAsia" w:ascii="宋体" w:hAnsi="宋体"/>
                <w:bCs/>
                <w:kern w:val="2"/>
                <w:szCs w:val="24"/>
                <w:lang w:val="en-US" w:eastAsia="zh-CN"/>
              </w:rPr>
              <w:t>2</w:t>
            </w:r>
            <w:r>
              <w:rPr>
                <w:rFonts w:hint="eastAsia" w:ascii="宋体" w:hAnsi="宋体"/>
                <w:bCs/>
                <w:kern w:val="2"/>
                <w:szCs w:val="24"/>
                <w:lang w:eastAsia="zh-CN"/>
              </w:rPr>
              <w:t>年</w:t>
            </w:r>
            <w:r>
              <w:rPr>
                <w:rFonts w:hint="eastAsia" w:ascii="宋体" w:hAnsi="宋体"/>
                <w:bCs/>
                <w:kern w:val="2"/>
                <w:szCs w:val="24"/>
              </w:rPr>
              <w:t>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14:paraId="02B0E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0" w:type="dxa"/>
            <w:vAlign w:val="center"/>
          </w:tcPr>
          <w:p w14:paraId="441980BC">
            <w:pPr>
              <w:pStyle w:val="99"/>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692" w:type="dxa"/>
            <w:vAlign w:val="center"/>
          </w:tcPr>
          <w:p w14:paraId="5E756A2C">
            <w:pPr>
              <w:pStyle w:val="99"/>
              <w:pBdr>
                <w:bottom w:val="none" w:color="auto" w:sz="0" w:space="0"/>
              </w:pBdr>
              <w:tabs>
                <w:tab w:val="clear" w:pos="4153"/>
                <w:tab w:val="clear" w:pos="8306"/>
              </w:tabs>
              <w:adjustRightInd/>
              <w:spacing w:line="440" w:lineRule="exact"/>
              <w:jc w:val="center"/>
              <w:textAlignment w:val="auto"/>
              <w:rPr>
                <w:rFonts w:ascii="宋体" w:hAnsi="宋体"/>
                <w:bCs/>
                <w:kern w:val="2"/>
                <w:szCs w:val="24"/>
                <w:lang w:val="en-US"/>
              </w:rPr>
            </w:pPr>
            <w:r>
              <w:rPr>
                <w:rFonts w:hint="eastAsia" w:ascii="宋体" w:hAnsi="宋体"/>
                <w:bCs/>
                <w:kern w:val="2"/>
                <w:szCs w:val="24"/>
                <w:lang w:val="en-US"/>
              </w:rPr>
              <w:t>注意事项</w:t>
            </w:r>
          </w:p>
        </w:tc>
        <w:tc>
          <w:tcPr>
            <w:tcW w:w="7308" w:type="dxa"/>
            <w:vAlign w:val="center"/>
          </w:tcPr>
          <w:p w14:paraId="6831BC8C">
            <w:pPr>
              <w:pStyle w:val="99"/>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lang w:val="en-US" w:eastAsia="zh-CN"/>
              </w:rPr>
            </w:pPr>
            <w:r>
              <w:rPr>
                <w:rFonts w:hint="eastAsia" w:ascii="宋体" w:hAnsi="宋体"/>
                <w:bCs/>
                <w:kern w:val="2"/>
                <w:szCs w:val="24"/>
                <w:lang w:val="en-US" w:eastAsia="zh-CN"/>
              </w:rPr>
              <w:t>1、违约责任：若发现供应商属于出借资质或挂靠以及以各种理由推</w:t>
            </w:r>
          </w:p>
          <w:p w14:paraId="0A1ABAD8">
            <w:pPr>
              <w:pStyle w:val="99"/>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lang w:val="en-US" w:eastAsia="zh-CN"/>
              </w:rPr>
            </w:pPr>
            <w:r>
              <w:rPr>
                <w:rFonts w:hint="eastAsia" w:ascii="宋体" w:hAnsi="宋体"/>
                <w:bCs/>
                <w:kern w:val="2"/>
                <w:szCs w:val="24"/>
                <w:lang w:val="en-US" w:eastAsia="zh-CN"/>
              </w:rPr>
              <w:t>脱无法履约的（包含项目班子成员无法到岗、因工程质量问题无法</w:t>
            </w:r>
          </w:p>
          <w:p w14:paraId="04982C50">
            <w:pPr>
              <w:pStyle w:val="99"/>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lang w:val="en-US" w:eastAsia="zh-CN"/>
              </w:rPr>
            </w:pPr>
            <w:r>
              <w:rPr>
                <w:rFonts w:hint="eastAsia" w:ascii="宋体" w:hAnsi="宋体"/>
                <w:bCs/>
                <w:kern w:val="2"/>
                <w:szCs w:val="24"/>
                <w:lang w:val="en-US" w:eastAsia="zh-CN"/>
              </w:rPr>
              <w:t>验收以及工程延期等因素），采购人将供应商违约事实形成证据，</w:t>
            </w:r>
          </w:p>
          <w:p w14:paraId="15EB1E61">
            <w:pPr>
              <w:pStyle w:val="99"/>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lang w:val="en-US" w:eastAsia="zh-CN"/>
              </w:rPr>
            </w:pPr>
            <w:r>
              <w:rPr>
                <w:rFonts w:hint="eastAsia" w:ascii="宋体" w:hAnsi="宋体"/>
                <w:bCs/>
                <w:kern w:val="2"/>
                <w:szCs w:val="24"/>
                <w:lang w:val="en-US" w:eastAsia="zh-CN"/>
              </w:rPr>
              <w:t>除支付违约金外，采购人有权无条件终止合同，同时给予企业或项</w:t>
            </w:r>
          </w:p>
          <w:p w14:paraId="04A3C165">
            <w:pPr>
              <w:pStyle w:val="99"/>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lang w:val="en-US" w:eastAsia="zh-CN"/>
              </w:rPr>
            </w:pPr>
            <w:r>
              <w:rPr>
                <w:rFonts w:hint="eastAsia" w:ascii="宋体" w:hAnsi="宋体"/>
                <w:bCs/>
                <w:kern w:val="2"/>
                <w:szCs w:val="24"/>
                <w:lang w:val="en-US" w:eastAsia="zh-CN"/>
              </w:rPr>
              <w:t>目班子成员记不良行为记录等处理。情节严重的将提请执法机关查</w:t>
            </w:r>
          </w:p>
          <w:p w14:paraId="3B38B858">
            <w:pPr>
              <w:pStyle w:val="99"/>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lang w:val="en-US" w:eastAsia="zh-CN"/>
              </w:rPr>
            </w:pPr>
            <w:r>
              <w:rPr>
                <w:rFonts w:hint="eastAsia" w:ascii="宋体" w:hAnsi="宋体"/>
                <w:bCs/>
                <w:kern w:val="2"/>
                <w:szCs w:val="24"/>
                <w:lang w:val="en-US" w:eastAsia="zh-CN"/>
              </w:rPr>
              <w:t>处，直至追究刑事责任，并依法并向社会公开曝光。</w:t>
            </w:r>
          </w:p>
          <w:p w14:paraId="5EC88CAA">
            <w:pPr>
              <w:pStyle w:val="99"/>
              <w:numPr>
                <w:ilvl w:val="0"/>
                <w:numId w:val="0"/>
              </w:numPr>
              <w:pBdr>
                <w:bottom w:val="none" w:color="auto" w:sz="0" w:space="0"/>
              </w:pBdr>
              <w:tabs>
                <w:tab w:val="clear" w:pos="4153"/>
                <w:tab w:val="clear" w:pos="8306"/>
              </w:tabs>
              <w:adjustRightInd/>
              <w:spacing w:line="440" w:lineRule="exact"/>
              <w:ind w:left="0" w:leftChars="0" w:firstLine="0" w:firstLineChars="0"/>
              <w:jc w:val="both"/>
              <w:textAlignment w:val="auto"/>
              <w:rPr>
                <w:rFonts w:hint="eastAsia" w:ascii="宋体" w:hAnsi="宋体"/>
                <w:bCs/>
                <w:kern w:val="2"/>
                <w:szCs w:val="24"/>
                <w:lang w:val="en-US" w:eastAsia="zh-CN"/>
              </w:rPr>
            </w:pPr>
            <w:r>
              <w:rPr>
                <w:rFonts w:hint="eastAsia" w:ascii="宋体" w:hAnsi="宋体"/>
                <w:bCs/>
                <w:kern w:val="2"/>
                <w:szCs w:val="24"/>
                <w:lang w:val="en-US" w:eastAsia="zh-CN"/>
              </w:rPr>
              <w:t>2、供应商除配备 1 名项目经理外，还须配备技术负责人 1 名、施工员 1 名、安全员 1 名、质量员 1 名</w:t>
            </w:r>
            <w:r>
              <w:rPr>
                <w:rFonts w:hint="eastAsia" w:ascii="宋体" w:hAnsi="宋体"/>
                <w:b w:val="0"/>
                <w:bCs/>
                <w:kern w:val="2"/>
                <w:szCs w:val="24"/>
                <w:lang w:val="en-US" w:eastAsia="zh-CN"/>
              </w:rPr>
              <w:t>，</w:t>
            </w:r>
            <w:r>
              <w:rPr>
                <w:rFonts w:hint="eastAsia" w:ascii="宋体" w:hAnsi="宋体" w:eastAsia="宋体" w:cs="宋体"/>
                <w:b/>
                <w:bCs w:val="0"/>
                <w:sz w:val="24"/>
                <w:szCs w:val="24"/>
                <w:highlight w:val="none"/>
                <w:lang w:val="en-US" w:eastAsia="zh-CN"/>
              </w:rPr>
              <w:t>响应文件中须载明上述人员</w:t>
            </w:r>
            <w:r>
              <w:rPr>
                <w:rFonts w:hint="eastAsia" w:ascii="宋体" w:hAnsi="宋体" w:eastAsia="宋体" w:cs="宋体"/>
                <w:b w:val="0"/>
                <w:bCs/>
                <w:sz w:val="24"/>
                <w:szCs w:val="24"/>
                <w:highlight w:val="none"/>
                <w:lang w:val="en-US" w:eastAsia="zh-CN"/>
              </w:rPr>
              <w:t>。</w:t>
            </w:r>
            <w:r>
              <w:rPr>
                <w:rFonts w:hint="eastAsia" w:ascii="宋体" w:hAnsi="宋体"/>
                <w:bCs/>
                <w:kern w:val="2"/>
                <w:szCs w:val="24"/>
                <w:lang w:val="en-US" w:eastAsia="zh-CN"/>
              </w:rPr>
              <w:t>项目</w:t>
            </w:r>
            <w:r>
              <w:rPr>
                <w:rFonts w:hint="eastAsia" w:ascii="宋体" w:hAnsi="宋体"/>
                <w:b/>
                <w:bCs w:val="0"/>
                <w:kern w:val="2"/>
                <w:szCs w:val="24"/>
                <w:lang w:val="en-US" w:eastAsia="zh-CN"/>
              </w:rPr>
              <w:t>技术负责人应具有建筑工程</w:t>
            </w:r>
            <w:r>
              <w:rPr>
                <w:rFonts w:hint="eastAsia" w:ascii="宋体" w:hAnsi="宋体" w:eastAsia="宋体"/>
                <w:b/>
                <w:bCs w:val="0"/>
                <w:kern w:val="2"/>
                <w:szCs w:val="24"/>
                <w:lang w:val="en-US" w:eastAsia="zh-CN"/>
              </w:rPr>
              <w:t>相</w:t>
            </w:r>
            <w:r>
              <w:rPr>
                <w:rFonts w:hint="eastAsia" w:ascii="宋体" w:hAnsi="宋体"/>
                <w:b/>
                <w:bCs w:val="0"/>
                <w:kern w:val="2"/>
                <w:szCs w:val="24"/>
                <w:lang w:val="en-US" w:eastAsia="zh-CN"/>
              </w:rPr>
              <w:t>关专业的中级及以上职称</w:t>
            </w:r>
            <w:r>
              <w:rPr>
                <w:rFonts w:hint="eastAsia" w:ascii="宋体" w:hAnsi="宋体"/>
                <w:bCs/>
                <w:kern w:val="2"/>
                <w:szCs w:val="24"/>
                <w:lang w:val="en-US" w:eastAsia="zh-CN"/>
              </w:rPr>
              <w:t>，专业不配套按不实质性响应谈判文件要求处理（需提供技术负责人职称证书）；无需提供施工员、安全员、质量员岗位证书，后期在项目实施过程中需遵守主管部门的相关要求。若人员配备结构、人数和证明材料不符合上述要求，按不实质性响应谈判文件要求处理。</w:t>
            </w:r>
          </w:p>
          <w:p w14:paraId="6ED80CC4">
            <w:pPr>
              <w:pStyle w:val="99"/>
              <w:numPr>
                <w:ilvl w:val="0"/>
                <w:numId w:val="0"/>
              </w:numPr>
              <w:pBdr>
                <w:bottom w:val="none" w:color="auto" w:sz="0" w:space="0"/>
              </w:pBdr>
              <w:tabs>
                <w:tab w:val="clear" w:pos="4153"/>
                <w:tab w:val="clear" w:pos="8306"/>
              </w:tabs>
              <w:adjustRightInd/>
              <w:spacing w:line="440" w:lineRule="exact"/>
              <w:ind w:left="0" w:leftChars="0" w:firstLine="0" w:firstLineChars="0"/>
              <w:jc w:val="both"/>
              <w:textAlignment w:val="auto"/>
              <w:rPr>
                <w:rFonts w:hint="eastAsia"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3、</w:t>
            </w:r>
            <w:r>
              <w:rPr>
                <w:rFonts w:hint="eastAsia" w:hAnsi="宋体" w:eastAsia="宋体" w:cs="宋体"/>
                <w:b/>
                <w:bCs/>
                <w:color w:val="auto"/>
                <w:sz w:val="24"/>
                <w:szCs w:val="24"/>
                <w:highlight w:val="none"/>
                <w:lang w:val="en-US" w:eastAsia="zh-CN"/>
              </w:rPr>
              <w:t>响应文件格式中标明需签字或盖章的位置均应按要求签字或盖章（或电子签章）。委托代理人签字（或电子签章）的，在响应文件中须同时提交授权委托书；授权委托书应符合响应文件格式要求，否则无效。</w:t>
            </w:r>
          </w:p>
          <w:p w14:paraId="69DFA441">
            <w:pPr>
              <w:pStyle w:val="99"/>
              <w:pBdr>
                <w:bottom w:val="none" w:color="auto" w:sz="0" w:space="0"/>
              </w:pBdr>
              <w:tabs>
                <w:tab w:val="clear" w:pos="4153"/>
                <w:tab w:val="clear" w:pos="8306"/>
              </w:tabs>
              <w:adjustRightInd/>
              <w:spacing w:line="440" w:lineRule="exact"/>
              <w:jc w:val="both"/>
              <w:textAlignment w:val="auto"/>
              <w:rPr>
                <w:rFonts w:ascii="宋体" w:hAnsi="宋体" w:eastAsia="宋体" w:cs="宋体"/>
                <w:color w:val="auto"/>
                <w:sz w:val="24"/>
                <w:szCs w:val="24"/>
              </w:rPr>
            </w:pPr>
            <w:r>
              <w:rPr>
                <w:rFonts w:hint="eastAsia" w:ascii="宋体" w:hAnsi="宋体" w:cs="宋体"/>
                <w:color w:val="auto"/>
                <w:sz w:val="24"/>
                <w:szCs w:val="24"/>
                <w:lang w:val="en-US" w:eastAsia="zh-CN"/>
              </w:rPr>
              <w:t>4</w:t>
            </w:r>
            <w:r>
              <w:rPr>
                <w:rFonts w:ascii="宋体" w:hAnsi="宋体" w:eastAsia="宋体" w:cs="宋体"/>
                <w:color w:val="auto"/>
                <w:sz w:val="24"/>
                <w:szCs w:val="24"/>
              </w:rPr>
              <w:t>、在工程项目谈判过程中，若供应商最终报价与公布的最高投标限价（控制价）或项目概算相比降幅过小，或供应商最终报价明显缺乏竞争性的，谈判小组可以否决其报价。</w:t>
            </w:r>
          </w:p>
          <w:p w14:paraId="0260DDEB">
            <w:pPr>
              <w:pStyle w:val="99"/>
              <w:pBdr>
                <w:bottom w:val="none" w:color="auto" w:sz="0" w:space="0"/>
              </w:pBdr>
              <w:tabs>
                <w:tab w:val="clear" w:pos="4153"/>
                <w:tab w:val="clear" w:pos="8306"/>
              </w:tabs>
              <w:adjustRightInd/>
              <w:spacing w:line="440" w:lineRule="exact"/>
              <w:jc w:val="both"/>
              <w:textAlignment w:val="auto"/>
              <w:rPr>
                <w:rFonts w:hint="eastAsia" w:ascii="宋体" w:hAnsi="宋体" w:eastAsia="宋体"/>
                <w:b/>
                <w:kern w:val="2"/>
                <w:szCs w:val="24"/>
                <w:lang w:val="en-US" w:eastAsia="zh-CN"/>
              </w:rPr>
            </w:pPr>
            <w:r>
              <w:rPr>
                <w:rFonts w:hint="eastAsia" w:ascii="宋体" w:hAnsi="宋体" w:cs="宋体"/>
                <w:color w:val="auto"/>
                <w:sz w:val="24"/>
                <w:szCs w:val="24"/>
                <w:highlight w:val="none"/>
                <w:lang w:val="en-US" w:eastAsia="zh-CN"/>
              </w:rPr>
              <w:t>5、农民工工资保证金执行《关于印发《安徽省工程建设领域农民工工资保证金实施办法&gt;的通知(皖人社发[2022]8号)》文规定，支持转账、网银支付、汇票、支票、保证保险、银行履约保函（含电子保函）等保证方式。</w:t>
            </w:r>
          </w:p>
        </w:tc>
      </w:tr>
      <w:tr w14:paraId="7706B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0" w:type="dxa"/>
            <w:vAlign w:val="center"/>
          </w:tcPr>
          <w:p w14:paraId="128B1078">
            <w:pPr>
              <w:pStyle w:val="99"/>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23</w:t>
            </w:r>
          </w:p>
        </w:tc>
        <w:tc>
          <w:tcPr>
            <w:tcW w:w="1692" w:type="dxa"/>
            <w:vAlign w:val="center"/>
          </w:tcPr>
          <w:p w14:paraId="353A309D">
            <w:pPr>
              <w:pStyle w:val="99"/>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cs="宋体"/>
                <w:color w:val="FF0000"/>
                <w:sz w:val="24"/>
                <w:szCs w:val="24"/>
                <w:lang w:eastAsia="zh-CN"/>
              </w:rPr>
              <w:t>“双随机”抽取系数操作规程</w:t>
            </w:r>
          </w:p>
        </w:tc>
        <w:tc>
          <w:tcPr>
            <w:tcW w:w="7308" w:type="dxa"/>
            <w:vAlign w:val="center"/>
          </w:tcPr>
          <w:p w14:paraId="0EFC8269">
            <w:pPr>
              <w:pStyle w:val="99"/>
              <w:pBdr>
                <w:bottom w:val="none" w:color="auto" w:sz="0" w:space="0"/>
              </w:pBdr>
              <w:tabs>
                <w:tab w:val="clear" w:pos="4153"/>
                <w:tab w:val="clear" w:pos="8306"/>
              </w:tabs>
              <w:adjustRightInd/>
              <w:spacing w:line="440" w:lineRule="exact"/>
              <w:ind w:firstLine="480" w:firstLineChars="200"/>
              <w:jc w:val="both"/>
              <w:textAlignment w:val="auto"/>
              <w:rPr>
                <w:rFonts w:hint="eastAsia" w:ascii="宋体" w:hAnsi="宋体" w:cs="宋体"/>
                <w:color w:val="FF0000"/>
                <w:sz w:val="24"/>
                <w:szCs w:val="24"/>
                <w:lang w:val="en-US" w:eastAsia="zh-CN"/>
              </w:rPr>
            </w:pPr>
            <w:r>
              <w:rPr>
                <w:rFonts w:hint="eastAsia" w:ascii="宋体" w:hAnsi="宋体" w:cs="宋体"/>
                <w:color w:val="FF0000"/>
                <w:sz w:val="24"/>
                <w:szCs w:val="24"/>
                <w:lang w:eastAsia="zh-CN"/>
              </w:rPr>
              <w:t>“双随机”抽取系数操作规程统一如下：分两个环节，（</w:t>
            </w:r>
            <w:r>
              <w:rPr>
                <w:rFonts w:hint="eastAsia" w:ascii="宋体" w:hAnsi="宋体" w:cs="宋体"/>
                <w:color w:val="FF0000"/>
                <w:sz w:val="24"/>
                <w:szCs w:val="24"/>
                <w:lang w:val="en-US" w:eastAsia="zh-CN"/>
              </w:rPr>
              <w:t>1</w:t>
            </w:r>
            <w:r>
              <w:rPr>
                <w:rFonts w:hint="eastAsia" w:ascii="宋体" w:hAnsi="宋体" w:cs="宋体"/>
                <w:color w:val="FF0000"/>
                <w:sz w:val="24"/>
                <w:szCs w:val="24"/>
                <w:lang w:eastAsia="zh-CN"/>
              </w:rPr>
              <w:t>）在监督人员监督下，招标代理工作人员先检查摇号机状态，确认摇号机工作状态正常后，向摇号机中随机放入</w:t>
            </w:r>
            <w:r>
              <w:rPr>
                <w:rFonts w:hint="eastAsia" w:ascii="宋体" w:hAnsi="宋体" w:cs="宋体"/>
                <w:color w:val="FF0000"/>
                <w:sz w:val="24"/>
                <w:szCs w:val="24"/>
                <w:lang w:val="en-US" w:eastAsia="zh-CN"/>
              </w:rPr>
              <w:t>14个号码球（号码球无需连号），由采购人代表分7次按压抽取按钮，分别摇出7个号码球，摇出的7个号码球按出球先后顺序，分别对应</w:t>
            </w:r>
            <w:r>
              <w:rPr>
                <w:rFonts w:ascii="宋体" w:hAnsi="宋体" w:cs="宋体"/>
                <w:color w:val="FF0000"/>
                <w:sz w:val="24"/>
                <w:szCs w:val="24"/>
              </w:rPr>
              <w:t>92%，93%，94%，95%、96%、97%、98%</w:t>
            </w:r>
            <w:r>
              <w:rPr>
                <w:rFonts w:hint="eastAsia" w:ascii="宋体" w:hAnsi="宋体" w:cs="宋体"/>
                <w:color w:val="FF0000"/>
                <w:sz w:val="24"/>
                <w:szCs w:val="24"/>
                <w:lang w:eastAsia="zh-CN"/>
              </w:rPr>
              <w:t>共</w:t>
            </w:r>
            <w:r>
              <w:rPr>
                <w:rFonts w:hint="eastAsia" w:ascii="宋体" w:hAnsi="宋体" w:cs="宋体"/>
                <w:color w:val="FF0000"/>
                <w:sz w:val="24"/>
                <w:szCs w:val="24"/>
                <w:lang w:val="en-US" w:eastAsia="zh-CN"/>
              </w:rPr>
              <w:t>7个系数：（2）招标代理工作人员清空摇号机后，再将上述摇出的7个号码球依次放入摇号机中，再由采购人代表从中摇出一个号码球，摇出的这个号码球对应的系数，即为本项目的抽中系数。</w:t>
            </w:r>
          </w:p>
          <w:p w14:paraId="207CF661">
            <w:pPr>
              <w:pStyle w:val="99"/>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 w:val="24"/>
                <w:szCs w:val="24"/>
                <w:lang w:val="en-US" w:eastAsia="zh-CN"/>
              </w:rPr>
            </w:pPr>
            <w:r>
              <w:rPr>
                <w:rFonts w:hint="eastAsia" w:ascii="宋体" w:hAnsi="宋体" w:cs="宋体"/>
                <w:color w:val="FF0000"/>
                <w:sz w:val="24"/>
                <w:szCs w:val="24"/>
                <w:lang w:val="en-US" w:eastAsia="zh-CN"/>
              </w:rPr>
              <w:t>（3）抽取工作相关要求。一是除遇设备或网络故障外，招标代理机构应保证整个抽取过程视频通过网上开标大厅向所有供应商开放，保证抽取工作公开透明；二是招标代理机构要将上述抽取过程简要情况（特别是依次摇出的7个号码球球号分别是多少？最终摇中的号码球球号及对应系数同步实时公布）在网上开标大厅实时同步公布，如遇系统故障，无法实时公布，应报现场监督人员确认并记录在案备查；三是上述系数抽取过程，招标代理应制作抽取结果记录表，由采购人代表、监督人员、招标代理工作人员三方签字确认；四是除摇号机突遇故障无法继续使用并报现场监督人员和交易中心管理人员检查确认外，同一个项目整个摇号抽取过程中应使用同一台摇号机，中途不得更换。五是除遇设备或网络故障外，招标代理机构原则上应在最终报价结束时间截止后半小时内组织完成系数抽取工作，并向所有供应商公布抽取结果；六是如有招标人或招标代理机构未按上述统一规程要求开展“双随机”抽取系数，经监督部门调查确认属实的，抽取结果及依据此抽取结果进一步作出的评审结论一律无效，监督部门将视情作出重新组织抽取或项目重新组织采购的处理决定，并对相关违规人员予以处理。</w:t>
            </w:r>
          </w:p>
        </w:tc>
      </w:tr>
      <w:tr w14:paraId="1433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0" w:type="dxa"/>
            <w:vAlign w:val="center"/>
          </w:tcPr>
          <w:p w14:paraId="433E645B">
            <w:pPr>
              <w:pStyle w:val="99"/>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eastAsia="zh-CN"/>
              </w:rPr>
            </w:pPr>
            <w:r>
              <w:rPr>
                <w:rFonts w:hint="eastAsia" w:ascii="宋体" w:hAnsi="宋体"/>
                <w:b/>
                <w:kern w:val="2"/>
                <w:szCs w:val="24"/>
                <w:lang w:val="en-US" w:eastAsia="zh-CN"/>
              </w:rPr>
              <w:t>26</w:t>
            </w:r>
          </w:p>
        </w:tc>
        <w:tc>
          <w:tcPr>
            <w:tcW w:w="1692" w:type="dxa"/>
            <w:vAlign w:val="center"/>
          </w:tcPr>
          <w:p w14:paraId="77CC2191">
            <w:pPr>
              <w:pStyle w:val="99"/>
              <w:pBdr>
                <w:bottom w:val="none" w:color="auto" w:sz="0" w:space="0"/>
              </w:pBdr>
              <w:tabs>
                <w:tab w:val="clear" w:pos="4153"/>
                <w:tab w:val="clear" w:pos="8306"/>
              </w:tabs>
              <w:adjustRightInd/>
              <w:spacing w:line="440" w:lineRule="exact"/>
              <w:jc w:val="left"/>
              <w:textAlignment w:val="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异常情形处理</w:t>
            </w:r>
          </w:p>
        </w:tc>
        <w:tc>
          <w:tcPr>
            <w:tcW w:w="7308" w:type="dxa"/>
            <w:vAlign w:val="center"/>
          </w:tcPr>
          <w:p w14:paraId="407F6A09">
            <w:pPr>
              <w:pStyle w:val="99"/>
              <w:pBdr>
                <w:bottom w:val="none" w:color="auto" w:sz="0" w:space="0"/>
              </w:pBdr>
              <w:tabs>
                <w:tab w:val="clear" w:pos="4153"/>
                <w:tab w:val="clear" w:pos="8306"/>
              </w:tabs>
              <w:adjustRightInd/>
              <w:spacing w:line="440" w:lineRule="exact"/>
              <w:jc w:val="both"/>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凡在开标或评审过程中，发现不同供应商的响应文件制作机器码异常一致，或文件创建标识码相同，或清单加密锁序列号异常一致，或清单软件锁编码异常一致的，其响应文件均作无效响应处理，由评审小组在评审报告中予以确认为无效响应。</w:t>
            </w:r>
          </w:p>
        </w:tc>
      </w:tr>
      <w:tr w14:paraId="6AEB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0" w:type="dxa"/>
            <w:vAlign w:val="center"/>
          </w:tcPr>
          <w:p w14:paraId="30E7B192">
            <w:pPr>
              <w:pStyle w:val="99"/>
              <w:pBdr>
                <w:bottom w:val="none" w:color="auto" w:sz="0" w:space="0"/>
              </w:pBdr>
              <w:tabs>
                <w:tab w:val="clear" w:pos="4153"/>
                <w:tab w:val="clear" w:pos="8306"/>
              </w:tabs>
              <w:adjustRightInd/>
              <w:spacing w:line="440" w:lineRule="exact"/>
              <w:textAlignment w:val="auto"/>
              <w:rPr>
                <w:rFonts w:hint="default" w:ascii="宋体" w:hAnsi="宋体"/>
                <w:b/>
                <w:color w:val="auto"/>
                <w:kern w:val="2"/>
                <w:szCs w:val="24"/>
                <w:lang w:val="en-US"/>
              </w:rPr>
            </w:pPr>
            <w:r>
              <w:rPr>
                <w:rFonts w:hint="eastAsia" w:ascii="宋体" w:hAnsi="宋体"/>
                <w:b/>
                <w:bCs w:val="0"/>
                <w:color w:val="auto"/>
                <w:kern w:val="2"/>
                <w:szCs w:val="24"/>
                <w:lang w:val="en-US" w:eastAsia="zh-CN"/>
              </w:rPr>
              <w:t>27</w:t>
            </w:r>
          </w:p>
        </w:tc>
        <w:tc>
          <w:tcPr>
            <w:tcW w:w="1692" w:type="dxa"/>
            <w:vAlign w:val="center"/>
          </w:tcPr>
          <w:p w14:paraId="090BDFCD">
            <w:pPr>
              <w:pStyle w:val="99"/>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lang w:val="en-US"/>
              </w:rPr>
            </w:pPr>
            <w:r>
              <w:rPr>
                <w:rFonts w:hint="eastAsia" w:ascii="宋体" w:hAnsi="宋体"/>
                <w:b/>
                <w:bCs w:val="0"/>
                <w:color w:val="auto"/>
                <w:kern w:val="2"/>
                <w:szCs w:val="24"/>
                <w:lang w:val="en-US" w:eastAsia="zh-CN"/>
              </w:rPr>
              <w:t>谈判文件的解释权</w:t>
            </w:r>
          </w:p>
        </w:tc>
        <w:tc>
          <w:tcPr>
            <w:tcW w:w="7308" w:type="dxa"/>
            <w:vAlign w:val="center"/>
          </w:tcPr>
          <w:p w14:paraId="0487BB0A">
            <w:pPr>
              <w:pStyle w:val="99"/>
              <w:pBdr>
                <w:bottom w:val="none" w:color="auto" w:sz="0" w:space="0"/>
              </w:pBdr>
              <w:tabs>
                <w:tab w:val="clear" w:pos="4153"/>
                <w:tab w:val="clear" w:pos="8306"/>
              </w:tabs>
              <w:adjustRightInd/>
              <w:spacing w:line="440" w:lineRule="exact"/>
              <w:jc w:val="both"/>
              <w:textAlignment w:val="auto"/>
              <w:rPr>
                <w:rFonts w:hint="eastAsia" w:ascii="宋体" w:hAnsi="宋体"/>
                <w:b/>
                <w:color w:val="auto"/>
                <w:kern w:val="2"/>
                <w:szCs w:val="24"/>
                <w:lang w:val="en-US" w:eastAsia="zh-CN"/>
              </w:rPr>
            </w:pPr>
            <w:r>
              <w:rPr>
                <w:rFonts w:hint="eastAsia" w:ascii="宋体" w:hAnsi="宋体"/>
                <w:b/>
                <w:bCs w:val="0"/>
                <w:color w:val="auto"/>
                <w:kern w:val="2"/>
                <w:szCs w:val="24"/>
                <w:lang w:val="en-US" w:eastAsia="zh-CN"/>
              </w:rPr>
              <w:t>本谈判文件的解释权归采购人。</w:t>
            </w:r>
          </w:p>
        </w:tc>
      </w:tr>
    </w:tbl>
    <w:p w14:paraId="48BD6299">
      <w:pPr>
        <w:pStyle w:val="7"/>
        <w:spacing w:before="20" w:after="20"/>
        <w:jc w:val="both"/>
        <w:rPr>
          <w:rFonts w:ascii="宋体" w:hAnsi="宋体" w:eastAsia="宋体" w:cs="宋体"/>
          <w:sz w:val="24"/>
          <w:szCs w:val="24"/>
        </w:rPr>
      </w:pPr>
    </w:p>
    <w:p w14:paraId="279F8DAD">
      <w:pPr>
        <w:rPr>
          <w:rFonts w:ascii="宋体" w:hAnsi="宋体" w:cs="宋体"/>
          <w:sz w:val="24"/>
          <w:szCs w:val="24"/>
        </w:rPr>
      </w:pPr>
      <w:r>
        <w:rPr>
          <w:rFonts w:hint="eastAsia" w:ascii="宋体" w:hAnsi="宋体" w:cs="宋体"/>
          <w:sz w:val="24"/>
          <w:szCs w:val="24"/>
        </w:rPr>
        <w:br w:type="page"/>
      </w:r>
    </w:p>
    <w:p w14:paraId="14ECA94C">
      <w:pPr>
        <w:pStyle w:val="7"/>
        <w:spacing w:before="0" w:after="0" w:line="430" w:lineRule="exact"/>
        <w:ind w:firstLine="241" w:firstLineChars="100"/>
        <w:jc w:val="center"/>
        <w:rPr>
          <w:rFonts w:ascii="宋体" w:hAnsi="宋体" w:eastAsia="宋体" w:cs="宋体"/>
          <w:sz w:val="24"/>
          <w:szCs w:val="24"/>
        </w:rPr>
      </w:pPr>
      <w:bookmarkStart w:id="66" w:name="_Toc7878"/>
      <w:r>
        <w:rPr>
          <w:rFonts w:hint="eastAsia" w:ascii="宋体" w:hAnsi="宋体" w:eastAsia="宋体" w:cs="宋体"/>
          <w:sz w:val="24"/>
          <w:szCs w:val="24"/>
        </w:rPr>
        <w:t>（二）供应商资格</w:t>
      </w:r>
      <w:bookmarkEnd w:id="66"/>
    </w:p>
    <w:bookmarkEnd w:id="63"/>
    <w:p w14:paraId="68215620">
      <w:pPr>
        <w:pStyle w:val="2"/>
        <w:spacing w:after="0" w:line="430" w:lineRule="exact"/>
        <w:ind w:firstLine="480" w:firstLineChars="200"/>
        <w:jc w:val="center"/>
      </w:pPr>
      <w:bookmarkStart w:id="67" w:name="_Toc363199266"/>
      <w:bookmarkStart w:id="68" w:name="_Toc216158625"/>
      <w:bookmarkStart w:id="69" w:name="_Toc438648662"/>
      <w:r>
        <w:rPr>
          <w:rFonts w:hint="eastAsia"/>
        </w:rPr>
        <w:t>见本项目采购公告</w:t>
      </w:r>
    </w:p>
    <w:p w14:paraId="171F4AE6">
      <w:pPr>
        <w:pStyle w:val="7"/>
        <w:spacing w:before="0" w:after="0" w:line="430" w:lineRule="exact"/>
        <w:jc w:val="center"/>
        <w:rPr>
          <w:rFonts w:ascii="宋体" w:hAnsi="宋体" w:eastAsia="宋体" w:cs="宋体"/>
          <w:sz w:val="24"/>
          <w:szCs w:val="24"/>
        </w:rPr>
      </w:pPr>
      <w:bookmarkStart w:id="70" w:name="_Toc27352"/>
      <w:r>
        <w:rPr>
          <w:rFonts w:hint="eastAsia" w:ascii="宋体" w:hAnsi="宋体" w:eastAsia="宋体" w:cs="宋体"/>
          <w:sz w:val="24"/>
          <w:szCs w:val="24"/>
        </w:rPr>
        <w:t>（三）供应商必须提交的响应文件内容</w:t>
      </w:r>
      <w:bookmarkEnd w:id="67"/>
      <w:bookmarkEnd w:id="68"/>
      <w:bookmarkEnd w:id="69"/>
      <w:bookmarkEnd w:id="70"/>
    </w:p>
    <w:p w14:paraId="1AEB77BD">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14:paraId="249E59C6">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14:paraId="0B2BD406">
      <w:pPr>
        <w:spacing w:line="430" w:lineRule="exact"/>
        <w:ind w:firstLine="480" w:firstLineChars="200"/>
        <w:jc w:val="left"/>
        <w:rPr>
          <w:rFonts w:ascii="宋体" w:hAnsi="宋体"/>
          <w:sz w:val="24"/>
          <w:szCs w:val="24"/>
        </w:rPr>
      </w:pPr>
      <w:r>
        <w:rPr>
          <w:rFonts w:hint="eastAsia" w:ascii="宋体" w:hAnsi="宋体"/>
          <w:sz w:val="24"/>
          <w:szCs w:val="24"/>
        </w:rPr>
        <w:t>3、谈判授权书；</w:t>
      </w:r>
    </w:p>
    <w:p w14:paraId="3A272FF4">
      <w:pPr>
        <w:spacing w:line="430" w:lineRule="exact"/>
        <w:ind w:firstLine="480" w:firstLineChars="200"/>
        <w:jc w:val="left"/>
        <w:rPr>
          <w:rFonts w:ascii="宋体" w:hAnsi="宋体"/>
          <w:sz w:val="24"/>
          <w:szCs w:val="24"/>
        </w:rPr>
      </w:pPr>
      <w:r>
        <w:rPr>
          <w:rFonts w:hint="eastAsia" w:ascii="宋体" w:hAnsi="宋体"/>
          <w:sz w:val="24"/>
          <w:szCs w:val="24"/>
        </w:rPr>
        <w:t>4、谈判响应函；</w:t>
      </w:r>
    </w:p>
    <w:p w14:paraId="5DEEB3B3">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14:paraId="2AEF2AB6">
      <w:pPr>
        <w:spacing w:line="430" w:lineRule="exact"/>
        <w:ind w:firstLine="480" w:firstLineChars="200"/>
        <w:jc w:val="left"/>
        <w:rPr>
          <w:rFonts w:ascii="宋体" w:hAnsi="宋体"/>
          <w:sz w:val="24"/>
          <w:szCs w:val="24"/>
        </w:rPr>
      </w:pPr>
      <w:r>
        <w:rPr>
          <w:rFonts w:hint="eastAsia" w:ascii="宋体" w:hAnsi="宋体"/>
          <w:sz w:val="24"/>
          <w:szCs w:val="24"/>
        </w:rPr>
        <w:t>6、响应情况表；</w:t>
      </w:r>
    </w:p>
    <w:p w14:paraId="5E84F657">
      <w:pPr>
        <w:spacing w:line="430" w:lineRule="exact"/>
        <w:ind w:firstLine="480" w:firstLineChars="200"/>
        <w:jc w:val="left"/>
        <w:rPr>
          <w:rFonts w:ascii="宋体" w:hAnsi="宋体"/>
          <w:sz w:val="24"/>
          <w:szCs w:val="24"/>
        </w:rPr>
      </w:pPr>
      <w:r>
        <w:rPr>
          <w:rFonts w:hint="eastAsia" w:ascii="宋体" w:hAnsi="宋体"/>
          <w:sz w:val="24"/>
          <w:szCs w:val="24"/>
        </w:rPr>
        <w:t>7、承诺函；</w:t>
      </w:r>
    </w:p>
    <w:p w14:paraId="4245E3C6">
      <w:pPr>
        <w:spacing w:line="43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14:paraId="3C9ECAFA">
      <w:pPr>
        <w:spacing w:line="430" w:lineRule="exact"/>
        <w:ind w:firstLine="480" w:firstLineChars="200"/>
        <w:jc w:val="left"/>
        <w:rPr>
          <w:rFonts w:ascii="宋体" w:hAnsi="宋体"/>
          <w:sz w:val="24"/>
          <w:szCs w:val="24"/>
        </w:rPr>
      </w:pPr>
      <w:r>
        <w:rPr>
          <w:rFonts w:hint="eastAsia" w:ascii="宋体" w:hAnsi="宋体"/>
          <w:sz w:val="24"/>
          <w:szCs w:val="24"/>
        </w:rPr>
        <w:t>9、最终报价</w:t>
      </w:r>
      <w:r>
        <w:rPr>
          <w:rFonts w:hint="eastAsia" w:ascii="宋体" w:hAnsi="宋体"/>
          <w:sz w:val="24"/>
          <w:szCs w:val="24"/>
          <w:lang w:val="en-US" w:eastAsia="zh-CN"/>
        </w:rPr>
        <w:t>书</w:t>
      </w:r>
      <w:r>
        <w:rPr>
          <w:rFonts w:hint="eastAsia" w:ascii="宋体" w:hAnsi="宋体"/>
          <w:sz w:val="24"/>
          <w:szCs w:val="24"/>
        </w:rPr>
        <w:t xml:space="preserve"> </w:t>
      </w:r>
    </w:p>
    <w:p w14:paraId="0B27E0C0">
      <w:pPr>
        <w:pStyle w:val="7"/>
        <w:spacing w:before="0" w:after="0" w:line="430" w:lineRule="exact"/>
        <w:jc w:val="center"/>
        <w:rPr>
          <w:rFonts w:ascii="宋体" w:hAnsi="宋体" w:eastAsia="宋体" w:cs="宋体"/>
          <w:sz w:val="24"/>
          <w:szCs w:val="24"/>
        </w:rPr>
      </w:pPr>
      <w:bookmarkStart w:id="71" w:name="_Toc15127"/>
      <w:r>
        <w:rPr>
          <w:rFonts w:hint="eastAsia" w:ascii="宋体" w:hAnsi="宋体" w:eastAsia="宋体" w:cs="宋体"/>
          <w:sz w:val="24"/>
          <w:szCs w:val="24"/>
        </w:rPr>
        <w:t>（四）响应文件的提交</w:t>
      </w:r>
    </w:p>
    <w:p w14:paraId="36285205">
      <w:pPr>
        <w:spacing w:line="430" w:lineRule="exact"/>
        <w:ind w:firstLine="480" w:firstLineChars="200"/>
        <w:jc w:val="left"/>
        <w:rPr>
          <w:rFonts w:hint="eastAsia" w:ascii="宋体" w:hAnsi="宋体" w:eastAsia="宋体" w:cs="Times New Roman"/>
          <w:sz w:val="24"/>
          <w:szCs w:val="24"/>
        </w:rPr>
      </w:pPr>
      <w:r>
        <w:rPr>
          <w:rFonts w:hint="default" w:ascii="宋体" w:hAnsi="宋体" w:eastAsia="宋体" w:cs="Times New Roman"/>
          <w:sz w:val="24"/>
          <w:szCs w:val="24"/>
          <w:lang w:val="en-US" w:eastAsia="zh-CN"/>
        </w:rPr>
        <w:t>1</w:t>
      </w:r>
      <w:r>
        <w:rPr>
          <w:rFonts w:hint="eastAsia" w:ascii="宋体" w:hAnsi="宋体" w:eastAsia="宋体" w:cs="Times New Roman"/>
          <w:sz w:val="24"/>
          <w:szCs w:val="24"/>
          <w:lang w:val="en-US" w:eastAsia="zh-CN"/>
        </w:rPr>
        <w:t xml:space="preserve">、加密电子版响应文件的提交 </w:t>
      </w:r>
    </w:p>
    <w:p w14:paraId="0F01E725">
      <w:pPr>
        <w:spacing w:line="430" w:lineRule="exact"/>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供应商应在响应截止时间之前，从网上递交加密电子版响应文件。响应截止时间后不再接受任何有关本项目资料。 </w:t>
      </w:r>
    </w:p>
    <w:p w14:paraId="31F2C46C">
      <w:pPr>
        <w:spacing w:line="430" w:lineRule="exact"/>
        <w:ind w:firstLine="480" w:firstLineChars="200"/>
        <w:jc w:val="left"/>
        <w:rPr>
          <w:rFonts w:hint="eastAsia" w:ascii="宋体" w:hAnsi="宋体" w:eastAsia="宋体" w:cs="Times New Roman"/>
          <w:sz w:val="24"/>
          <w:szCs w:val="24"/>
        </w:rPr>
      </w:pPr>
      <w:r>
        <w:rPr>
          <w:rFonts w:hint="default" w:ascii="宋体" w:hAnsi="宋体" w:eastAsia="宋体" w:cs="Times New Roman"/>
          <w:sz w:val="24"/>
          <w:szCs w:val="24"/>
          <w:lang w:val="en-US" w:eastAsia="zh-CN"/>
        </w:rPr>
        <w:t>2</w:t>
      </w:r>
      <w:r>
        <w:rPr>
          <w:rFonts w:hint="eastAsia" w:ascii="宋体" w:hAnsi="宋体" w:eastAsia="宋体" w:cs="Times New Roman"/>
          <w:sz w:val="24"/>
          <w:szCs w:val="24"/>
          <w:lang w:val="en-US" w:eastAsia="zh-CN"/>
        </w:rPr>
        <w:t xml:space="preserve">、加密电子版响应文件的解密 </w:t>
      </w:r>
    </w:p>
    <w:p w14:paraId="4B18C726">
      <w:pPr>
        <w:spacing w:line="430" w:lineRule="exact"/>
        <w:ind w:firstLine="480" w:firstLineChars="200"/>
        <w:jc w:val="left"/>
      </w:pPr>
      <w:r>
        <w:rPr>
          <w:rFonts w:hint="eastAsia" w:ascii="宋体" w:hAnsi="宋体" w:eastAsia="宋体" w:cs="Times New Roman"/>
          <w:sz w:val="24"/>
          <w:szCs w:val="24"/>
          <w:lang w:val="en-US" w:eastAsia="zh-CN"/>
        </w:rPr>
        <w:t>供应商应在解密程序开始后规定时间内（见前附表规定）完成加密电子版响应文件的解密工作。</w:t>
      </w:r>
      <w:r>
        <w:rPr>
          <w:rFonts w:hint="eastAsia" w:ascii="宋体" w:hAnsi="宋体" w:eastAsia="宋体" w:cs="宋体"/>
          <w:color w:val="000000"/>
          <w:kern w:val="0"/>
          <w:sz w:val="24"/>
          <w:szCs w:val="24"/>
          <w:lang w:val="en-US" w:eastAsia="zh-CN" w:bidi="ar"/>
        </w:rPr>
        <w:t xml:space="preserve"> </w:t>
      </w:r>
    </w:p>
    <w:p w14:paraId="402BBE06">
      <w:pPr>
        <w:pStyle w:val="7"/>
        <w:spacing w:before="0" w:after="0" w:line="430" w:lineRule="exact"/>
        <w:jc w:val="center"/>
        <w:rPr>
          <w:rFonts w:hint="eastAsia" w:ascii="宋体" w:hAnsi="宋体" w:eastAsia="宋体" w:cs="宋体"/>
          <w:sz w:val="24"/>
          <w:szCs w:val="24"/>
        </w:rPr>
      </w:pPr>
    </w:p>
    <w:bookmarkEnd w:id="71"/>
    <w:p w14:paraId="611218FF">
      <w:pPr>
        <w:pStyle w:val="7"/>
        <w:spacing w:before="0" w:after="0" w:line="430" w:lineRule="exact"/>
        <w:jc w:val="center"/>
        <w:rPr>
          <w:rFonts w:ascii="宋体" w:hAnsi="宋体" w:eastAsia="宋体" w:cs="宋体"/>
          <w:sz w:val="24"/>
          <w:szCs w:val="24"/>
        </w:rPr>
      </w:pPr>
      <w:bookmarkStart w:id="72" w:name="_Toc16969"/>
      <w:r>
        <w:rPr>
          <w:rFonts w:hint="eastAsia" w:ascii="宋体" w:hAnsi="宋体" w:eastAsia="宋体" w:cs="宋体"/>
          <w:sz w:val="24"/>
          <w:szCs w:val="24"/>
        </w:rPr>
        <w:t>（五）谈判程序</w:t>
      </w:r>
    </w:p>
    <w:p w14:paraId="44164A49">
      <w:pPr>
        <w:tabs>
          <w:tab w:val="left" w:pos="900"/>
        </w:tabs>
        <w:spacing w:line="430" w:lineRule="exact"/>
        <w:ind w:firstLine="480" w:firstLineChars="200"/>
        <w:rPr>
          <w:rFonts w:ascii="宋体" w:hAnsi="宋体"/>
          <w:sz w:val="24"/>
          <w:szCs w:val="24"/>
        </w:rPr>
      </w:pPr>
      <w:r>
        <w:rPr>
          <w:rFonts w:hint="eastAsia" w:ascii="宋体" w:hAnsi="宋体"/>
          <w:sz w:val="24"/>
          <w:szCs w:val="24"/>
        </w:rPr>
        <w:t>1、谈判人员是按规定组成的三人或三人以上的谈判小组。</w:t>
      </w:r>
    </w:p>
    <w:p w14:paraId="2CF0A133">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14:paraId="07EA97BE">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3、在掌握了供应商的基本情况后，与供应商分别进行谈判。</w:t>
      </w:r>
    </w:p>
    <w:p w14:paraId="75D754C6">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14:paraId="7464BBD7">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14:paraId="68DAE0D6">
      <w:pPr>
        <w:tabs>
          <w:tab w:val="left" w:pos="900"/>
        </w:tabs>
        <w:spacing w:line="43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14:paraId="2157F72C">
      <w:pPr>
        <w:keepNext w:val="0"/>
        <w:keepLines w:val="0"/>
        <w:pageBreakBefore w:val="0"/>
        <w:tabs>
          <w:tab w:val="left" w:pos="900"/>
        </w:tabs>
        <w:kinsoku/>
        <w:wordWrap/>
        <w:overflowPunct/>
        <w:topLinePunct w:val="0"/>
        <w:autoSpaceDE/>
        <w:autoSpaceDN/>
        <w:bidi w:val="0"/>
        <w:adjustRightInd/>
        <w:snapToGrid/>
        <w:spacing w:line="440" w:lineRule="exact"/>
        <w:ind w:left="480" w:leftChars="0" w:hanging="480" w:hangingChars="200"/>
        <w:textAlignment w:val="auto"/>
        <w:rPr>
          <w:rFonts w:ascii="宋体" w:hAnsi="宋体" w:cs="宋体"/>
          <w:color w:val="auto"/>
          <w:sz w:val="24"/>
          <w:szCs w:val="24"/>
        </w:rPr>
      </w:pPr>
      <w:r>
        <w:rPr>
          <w:rFonts w:ascii="宋体" w:hAnsi="宋体" w:cs="宋体"/>
          <w:color w:val="auto"/>
          <w:sz w:val="24"/>
          <w:szCs w:val="24"/>
        </w:rPr>
        <w:t>谈判小组按以下步骤对各供应商最终报价依序进行评审：</w:t>
      </w:r>
    </w:p>
    <w:p w14:paraId="21CEFDCA">
      <w:pPr>
        <w:keepNext w:val="0"/>
        <w:keepLines w:val="0"/>
        <w:pageBreakBefore w:val="0"/>
        <w:tabs>
          <w:tab w:val="left" w:pos="900"/>
        </w:tabs>
        <w:kinsoku/>
        <w:wordWrap/>
        <w:overflowPunct/>
        <w:topLinePunct w:val="0"/>
        <w:autoSpaceDE/>
        <w:autoSpaceDN/>
        <w:bidi w:val="0"/>
        <w:adjustRightInd/>
        <w:snapToGrid/>
        <w:spacing w:line="440" w:lineRule="exact"/>
        <w:ind w:firstLine="240" w:firstLineChars="100"/>
        <w:jc w:val="both"/>
        <w:textAlignment w:val="auto"/>
        <w:rPr>
          <w:rFonts w:ascii="宋体" w:hAnsi="宋体" w:cs="宋体"/>
          <w:color w:val="auto"/>
          <w:sz w:val="24"/>
          <w:szCs w:val="24"/>
        </w:rPr>
      </w:pPr>
      <w:r>
        <w:rPr>
          <w:rFonts w:ascii="宋体" w:hAnsi="宋体" w:cs="宋体"/>
          <w:color w:val="auto"/>
          <w:sz w:val="24"/>
          <w:szCs w:val="24"/>
        </w:rPr>
        <w:t>第一步，认定有效报价。各供应商的所有报价不得超过最高限价，且最终报价不得</w:t>
      </w:r>
    </w:p>
    <w:p w14:paraId="08906D3A">
      <w:pPr>
        <w:keepNext w:val="0"/>
        <w:keepLines w:val="0"/>
        <w:pageBreakBefore w:val="0"/>
        <w:tabs>
          <w:tab w:val="left" w:pos="900"/>
        </w:tabs>
        <w:kinsoku/>
        <w:wordWrap/>
        <w:overflowPunct/>
        <w:topLinePunct w:val="0"/>
        <w:autoSpaceDE/>
        <w:autoSpaceDN/>
        <w:bidi w:val="0"/>
        <w:adjustRightInd/>
        <w:snapToGrid/>
        <w:spacing w:line="440" w:lineRule="exact"/>
        <w:ind w:left="480" w:leftChars="0" w:hanging="480" w:hangingChars="200"/>
        <w:jc w:val="both"/>
        <w:textAlignment w:val="auto"/>
        <w:rPr>
          <w:rFonts w:ascii="宋体" w:hAnsi="宋体" w:cs="宋体"/>
          <w:color w:val="auto"/>
          <w:sz w:val="24"/>
          <w:szCs w:val="24"/>
        </w:rPr>
      </w:pPr>
      <w:r>
        <w:rPr>
          <w:rFonts w:hint="eastAsia" w:ascii="宋体" w:hAnsi="宋体" w:cs="宋体"/>
          <w:color w:val="auto"/>
          <w:sz w:val="24"/>
          <w:szCs w:val="24"/>
          <w:lang w:eastAsia="zh-CN"/>
        </w:rPr>
        <w:t>高</w:t>
      </w:r>
      <w:r>
        <w:rPr>
          <w:rFonts w:ascii="宋体" w:hAnsi="宋体" w:cs="宋体"/>
          <w:color w:val="auto"/>
          <w:sz w:val="24"/>
          <w:szCs w:val="24"/>
        </w:rPr>
        <w:t>上一轮报价，否则报价无效；</w:t>
      </w:r>
    </w:p>
    <w:p w14:paraId="57354174">
      <w:pPr>
        <w:keepNext w:val="0"/>
        <w:keepLines w:val="0"/>
        <w:pageBreakBefore w:val="0"/>
        <w:tabs>
          <w:tab w:val="left" w:pos="900"/>
        </w:tabs>
        <w:kinsoku/>
        <w:wordWrap/>
        <w:overflowPunct/>
        <w:topLinePunct w:val="0"/>
        <w:autoSpaceDE/>
        <w:autoSpaceDN/>
        <w:bidi w:val="0"/>
        <w:adjustRightInd/>
        <w:snapToGrid/>
        <w:spacing w:line="440" w:lineRule="exact"/>
        <w:ind w:left="479" w:leftChars="114" w:hanging="240" w:hangingChars="100"/>
        <w:jc w:val="both"/>
        <w:textAlignment w:val="auto"/>
      </w:pPr>
      <w:r>
        <w:rPr>
          <w:rFonts w:hint="eastAsia" w:ascii="宋体" w:hAnsi="宋体" w:eastAsia="宋体" w:cs="宋体"/>
          <w:color w:val="FF0000"/>
          <w:kern w:val="0"/>
          <w:sz w:val="24"/>
          <w:szCs w:val="24"/>
          <w:lang w:val="en-US" w:eastAsia="zh-CN" w:bidi="ar"/>
        </w:rPr>
        <w:t xml:space="preserve">第二步，认定低于成本价的投标报价。供应商最终报价是否低于成本价，按如下规 </w:t>
      </w:r>
    </w:p>
    <w:p w14:paraId="2F617B9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jc w:val="left"/>
        <w:textAlignment w:val="auto"/>
      </w:pPr>
      <w:r>
        <w:rPr>
          <w:rFonts w:hint="eastAsia" w:ascii="宋体" w:hAnsi="宋体" w:eastAsia="宋体" w:cs="宋体"/>
          <w:color w:val="FF0000"/>
          <w:kern w:val="0"/>
          <w:sz w:val="24"/>
          <w:szCs w:val="24"/>
          <w:lang w:val="en-US" w:eastAsia="zh-CN" w:bidi="ar"/>
        </w:rPr>
        <w:t>则进行判定：供应商最终报价提交完毕后，由</w:t>
      </w:r>
      <w:r>
        <w:rPr>
          <w:rFonts w:hint="eastAsia" w:ascii="宋体" w:hAnsi="宋体" w:eastAsia="宋体" w:cs="宋体"/>
          <w:b w:val="0"/>
          <w:bCs w:val="0"/>
          <w:color w:val="FF0000"/>
          <w:kern w:val="0"/>
          <w:sz w:val="24"/>
          <w:szCs w:val="24"/>
          <w:lang w:val="en-US" w:eastAsia="zh-CN" w:bidi="ar"/>
        </w:rPr>
        <w:t>采购人代表</w:t>
      </w:r>
      <w:r>
        <w:rPr>
          <w:rFonts w:hint="eastAsia" w:ascii="宋体" w:hAnsi="宋体" w:eastAsia="宋体" w:cs="宋体"/>
          <w:color w:val="FF0000"/>
          <w:kern w:val="0"/>
          <w:sz w:val="24"/>
          <w:szCs w:val="24"/>
          <w:lang w:val="en-US" w:eastAsia="zh-CN" w:bidi="ar"/>
        </w:rPr>
        <w:t>在监督人员监督下，在开标现场采用</w:t>
      </w:r>
      <w:r>
        <w:rPr>
          <w:rFonts w:hint="eastAsia" w:ascii="宋体" w:hAnsi="宋体" w:eastAsia="宋体" w:cs="宋体"/>
          <w:b/>
          <w:bCs/>
          <w:color w:val="FF0000"/>
          <w:kern w:val="0"/>
          <w:sz w:val="24"/>
          <w:szCs w:val="24"/>
          <w:lang w:val="en-US" w:eastAsia="zh-CN" w:bidi="ar"/>
        </w:rPr>
        <w:t>“</w:t>
      </w:r>
      <w:r>
        <w:rPr>
          <w:rFonts w:hint="eastAsia" w:ascii="宋体" w:hAnsi="宋体" w:eastAsia="宋体" w:cs="宋体"/>
          <w:b w:val="0"/>
          <w:bCs w:val="0"/>
          <w:color w:val="FF0000"/>
          <w:kern w:val="0"/>
          <w:sz w:val="24"/>
          <w:szCs w:val="24"/>
          <w:lang w:val="en-US" w:eastAsia="zh-CN" w:bidi="ar"/>
        </w:rPr>
        <w:t>双随机”方法抽取系数</w:t>
      </w:r>
      <w:r>
        <w:rPr>
          <w:rFonts w:hint="eastAsia" w:ascii="宋体" w:hAnsi="宋体" w:eastAsia="宋体" w:cs="宋体"/>
          <w:color w:val="FF0000"/>
          <w:kern w:val="0"/>
          <w:sz w:val="24"/>
          <w:szCs w:val="24"/>
          <w:lang w:val="en-US" w:eastAsia="zh-CN" w:bidi="ar"/>
        </w:rPr>
        <w:t>（系数值共 7 个，分别为：92%，93%，94%，95%、96%、97%、98%）。凡供应商最终报价低于所有有效的供应商最终报价算术平均数与抽中系数的乘积的（计算结果保留两位小数），均按低于成本价判定，该供应商报价按无效报价处理，不再进行后续评审，不得被推荐为成交供应商。</w:t>
      </w:r>
    </w:p>
    <w:p w14:paraId="2B108920">
      <w:pPr>
        <w:pStyle w:val="99"/>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40" w:lineRule="exact"/>
        <w:ind w:left="0" w:leftChars="0" w:firstLine="480" w:firstLineChars="200"/>
        <w:jc w:val="both"/>
        <w:textAlignment w:val="auto"/>
        <w:rPr>
          <w:rFonts w:hint="eastAsia" w:ascii="宋体" w:hAnsi="宋体" w:cs="宋体"/>
          <w:color w:val="FF0000"/>
          <w:sz w:val="24"/>
          <w:szCs w:val="24"/>
          <w:lang w:eastAsia="zh-CN"/>
        </w:rPr>
      </w:pPr>
      <w:r>
        <w:rPr>
          <w:rFonts w:hint="eastAsia" w:ascii="宋体" w:hAnsi="宋体" w:cs="宋体"/>
          <w:color w:val="FF0000"/>
          <w:sz w:val="24"/>
          <w:szCs w:val="24"/>
          <w:lang w:eastAsia="zh-CN"/>
        </w:rPr>
        <w:t>“双随机”抽取系数操作规程统一如下：分两个环节，</w:t>
      </w:r>
    </w:p>
    <w:p w14:paraId="686E6841">
      <w:pPr>
        <w:pStyle w:val="99"/>
        <w:keepNext w:val="0"/>
        <w:keepLines w:val="0"/>
        <w:pageBreakBefore w:val="0"/>
        <w:numPr>
          <w:ilvl w:val="0"/>
          <w:numId w:val="3"/>
        </w:numPr>
        <w:pBdr>
          <w:bottom w:val="none" w:color="auto" w:sz="0" w:space="0"/>
        </w:pBdr>
        <w:tabs>
          <w:tab w:val="clear" w:pos="4153"/>
          <w:tab w:val="clear" w:pos="8306"/>
        </w:tabs>
        <w:kinsoku/>
        <w:wordWrap/>
        <w:overflowPunct/>
        <w:topLinePunct w:val="0"/>
        <w:autoSpaceDE/>
        <w:autoSpaceDN/>
        <w:bidi w:val="0"/>
        <w:adjustRightInd/>
        <w:snapToGrid/>
        <w:spacing w:line="440" w:lineRule="exact"/>
        <w:ind w:left="0" w:leftChars="0" w:firstLine="480" w:firstLineChars="200"/>
        <w:jc w:val="both"/>
        <w:textAlignment w:val="auto"/>
        <w:rPr>
          <w:rFonts w:hint="eastAsia" w:ascii="宋体" w:hAnsi="宋体" w:cs="宋体"/>
          <w:color w:val="FF0000"/>
          <w:sz w:val="24"/>
          <w:szCs w:val="24"/>
          <w:lang w:val="en-US" w:eastAsia="zh-CN"/>
        </w:rPr>
      </w:pPr>
      <w:r>
        <w:rPr>
          <w:rFonts w:hint="eastAsia" w:ascii="宋体" w:hAnsi="宋体" w:cs="宋体"/>
          <w:color w:val="FF0000"/>
          <w:sz w:val="24"/>
          <w:szCs w:val="24"/>
          <w:lang w:eastAsia="zh-CN"/>
        </w:rPr>
        <w:t>在监督人员监督下，招标代理工作人员先检查摇号机状态，确认摇号机工作状态正常后，向摇号机中随机放入</w:t>
      </w:r>
      <w:r>
        <w:rPr>
          <w:rFonts w:hint="eastAsia" w:ascii="宋体" w:hAnsi="宋体" w:cs="宋体"/>
          <w:color w:val="FF0000"/>
          <w:sz w:val="24"/>
          <w:szCs w:val="24"/>
          <w:lang w:val="en-US" w:eastAsia="zh-CN"/>
        </w:rPr>
        <w:t>14个号码球（号码球无需连号），由采购人代表分7次按压抽取按钮，分别摇出7个号码球，摇出的7个号码球按出球先后顺序，分别对应</w:t>
      </w:r>
      <w:r>
        <w:rPr>
          <w:rFonts w:ascii="宋体" w:hAnsi="宋体" w:cs="宋体"/>
          <w:color w:val="FF0000"/>
          <w:sz w:val="24"/>
          <w:szCs w:val="24"/>
        </w:rPr>
        <w:t>92%，93%，94%，95%、96%、97%、98%</w:t>
      </w:r>
      <w:r>
        <w:rPr>
          <w:rFonts w:hint="eastAsia" w:ascii="宋体" w:hAnsi="宋体" w:cs="宋体"/>
          <w:color w:val="FF0000"/>
          <w:sz w:val="24"/>
          <w:szCs w:val="24"/>
          <w:lang w:eastAsia="zh-CN"/>
        </w:rPr>
        <w:t>共</w:t>
      </w:r>
      <w:r>
        <w:rPr>
          <w:rFonts w:hint="eastAsia" w:ascii="宋体" w:hAnsi="宋体" w:cs="宋体"/>
          <w:color w:val="FF0000"/>
          <w:sz w:val="24"/>
          <w:szCs w:val="24"/>
          <w:lang w:val="en-US" w:eastAsia="zh-CN"/>
        </w:rPr>
        <w:t>7个系数：</w:t>
      </w:r>
    </w:p>
    <w:p w14:paraId="21FFB1E2">
      <w:pPr>
        <w:pStyle w:val="99"/>
        <w:keepNext w:val="0"/>
        <w:keepLines w:val="0"/>
        <w:pageBreakBefore w:val="0"/>
        <w:numPr>
          <w:ilvl w:val="0"/>
          <w:numId w:val="3"/>
        </w:numPr>
        <w:pBdr>
          <w:bottom w:val="none" w:color="auto" w:sz="0" w:space="0"/>
        </w:pBdr>
        <w:tabs>
          <w:tab w:val="clear" w:pos="4153"/>
          <w:tab w:val="clear" w:pos="8306"/>
        </w:tabs>
        <w:kinsoku/>
        <w:wordWrap/>
        <w:overflowPunct/>
        <w:topLinePunct w:val="0"/>
        <w:autoSpaceDE/>
        <w:autoSpaceDN/>
        <w:bidi w:val="0"/>
        <w:adjustRightInd/>
        <w:snapToGrid/>
        <w:spacing w:line="440" w:lineRule="exact"/>
        <w:ind w:left="0" w:leftChars="0" w:firstLine="480" w:firstLineChars="200"/>
        <w:jc w:val="both"/>
        <w:textAlignment w:val="auto"/>
        <w:rPr>
          <w:rFonts w:hint="eastAsia" w:ascii="宋体" w:hAnsi="宋体" w:cs="宋体"/>
          <w:color w:val="FF0000"/>
          <w:sz w:val="24"/>
          <w:szCs w:val="24"/>
          <w:lang w:val="en-US" w:eastAsia="zh-CN"/>
        </w:rPr>
      </w:pPr>
      <w:r>
        <w:rPr>
          <w:rFonts w:hint="eastAsia" w:ascii="宋体" w:hAnsi="宋体" w:cs="宋体"/>
          <w:color w:val="FF0000"/>
          <w:sz w:val="24"/>
          <w:szCs w:val="24"/>
          <w:lang w:val="en-US" w:eastAsia="zh-CN"/>
        </w:rPr>
        <w:t>招标代理工作人员清空摇号机后，再将上述摇出的7个号码球依次放入摇号机中，再由采购人代表从中摇出一个号码球，摇出的这个号码球对应的系数，即为本项目的抽中系数。</w:t>
      </w:r>
    </w:p>
    <w:p w14:paraId="10363754">
      <w:pPr>
        <w:pStyle w:val="99"/>
        <w:keepNext w:val="0"/>
        <w:keepLines w:val="0"/>
        <w:pageBreakBefore w:val="0"/>
        <w:numPr>
          <w:ilvl w:val="0"/>
          <w:numId w:val="3"/>
        </w:numPr>
        <w:pBdr>
          <w:bottom w:val="none" w:color="auto" w:sz="0" w:space="0"/>
        </w:pBdr>
        <w:tabs>
          <w:tab w:val="clear" w:pos="4153"/>
          <w:tab w:val="clear" w:pos="8306"/>
        </w:tabs>
        <w:kinsoku/>
        <w:wordWrap/>
        <w:overflowPunct/>
        <w:topLinePunct w:val="0"/>
        <w:autoSpaceDE/>
        <w:autoSpaceDN/>
        <w:bidi w:val="0"/>
        <w:adjustRightInd/>
        <w:snapToGrid/>
        <w:spacing w:line="440" w:lineRule="exact"/>
        <w:ind w:left="0" w:leftChars="0" w:firstLine="480" w:firstLineChars="200"/>
        <w:jc w:val="both"/>
        <w:textAlignment w:val="auto"/>
        <w:rPr>
          <w:rFonts w:hint="eastAsia" w:ascii="宋体" w:hAnsi="宋体" w:cs="宋体"/>
          <w:color w:val="FF0000"/>
          <w:sz w:val="24"/>
          <w:szCs w:val="24"/>
          <w:lang w:val="en-US" w:eastAsia="zh-CN"/>
        </w:rPr>
      </w:pPr>
      <w:r>
        <w:rPr>
          <w:rFonts w:hint="eastAsia" w:ascii="宋体" w:hAnsi="宋体" w:cs="宋体"/>
          <w:color w:val="FF0000"/>
          <w:sz w:val="24"/>
          <w:szCs w:val="24"/>
          <w:lang w:val="en-US" w:eastAsia="zh-CN"/>
        </w:rPr>
        <w:t>抽取工作相关要求。一是除遇设备或网络故障外，招标代理机构应保证整个抽取过程视频通过网上开标大厅向所有供应商开放，保证抽取工作公开透明；二是招标代理机构要将上述抽取过程简要情况（特别是依次摇出的7个号码球球号分别是多少？最终摇中的号码球球号及对应系数同步实时公布）在网上开标大厅实时同步公布，如遇系统故障，无法实时公布，应报现场监督人员确认并记录在案备查；三是上述系数抽取过程，招标代理应制作抽取结果记录表，由采购人代表、监督人员、招标代理工作人员三方签字确认；四是除摇号机突遇故障无法继续使用并报现场监督人员和交易中心管理人员检查确认外，同一个项目整个摇号抽取过程中应使用同一台摇号机，中途不得更换。五是除遇设备或网络故障外，招标代理机构原则上应在最终报价结束时间截止后半小时内组织完成系数抽取工作，并向所有供应商公布抽取结果；六是如有招标人或招标代理机构未按上述统一规程要求开展“双随机”抽取系数，经监督部门调查确认属实的，抽取结果及依据此抽取结果进一步作出的评审结论一律无效，监督部门将视情作出重新组织抽取或项目重新组织采购的处理决定，并对相关违规人员予以处理。</w:t>
      </w:r>
    </w:p>
    <w:p w14:paraId="64F308C2">
      <w:pPr>
        <w:pStyle w:val="99"/>
        <w:keepNext w:val="0"/>
        <w:keepLines w:val="0"/>
        <w:pageBreakBefore w:val="0"/>
        <w:numPr>
          <w:ilvl w:val="0"/>
          <w:numId w:val="0"/>
        </w:numPr>
        <w:pBdr>
          <w:bottom w:val="none" w:color="auto" w:sz="0" w:space="0"/>
        </w:pBdr>
        <w:tabs>
          <w:tab w:val="clear" w:pos="4153"/>
          <w:tab w:val="clear" w:pos="8306"/>
        </w:tabs>
        <w:kinsoku/>
        <w:wordWrap/>
        <w:overflowPunct/>
        <w:topLinePunct w:val="0"/>
        <w:autoSpaceDE/>
        <w:autoSpaceDN/>
        <w:bidi w:val="0"/>
        <w:adjustRightInd/>
        <w:snapToGrid/>
        <w:spacing w:line="440" w:lineRule="exact"/>
        <w:ind w:firstLine="480" w:firstLineChars="200"/>
        <w:jc w:val="both"/>
        <w:textAlignment w:val="auto"/>
        <w:rPr>
          <w:rFonts w:ascii="宋体" w:hAnsi="宋体" w:cs="宋体"/>
          <w:color w:val="auto"/>
          <w:sz w:val="24"/>
          <w:szCs w:val="24"/>
        </w:rPr>
      </w:pPr>
      <w:r>
        <w:rPr>
          <w:rFonts w:hint="eastAsia" w:ascii="宋体" w:hAnsi="宋体" w:cs="宋体"/>
          <w:color w:val="auto"/>
          <w:sz w:val="24"/>
          <w:szCs w:val="24"/>
        </w:rPr>
        <w:t>第三步，推荐成交候选人。成交候选人由谈判小组根据上述步骤抽取系数后，计算经评审合格的最终报价最低的为成交候选人。</w:t>
      </w:r>
    </w:p>
    <w:p w14:paraId="32911211">
      <w:pPr>
        <w:pStyle w:val="99"/>
        <w:keepNext w:val="0"/>
        <w:keepLines w:val="0"/>
        <w:pageBreakBefore w:val="0"/>
        <w:numPr>
          <w:ilvl w:val="0"/>
          <w:numId w:val="0"/>
        </w:numPr>
        <w:pBdr>
          <w:bottom w:val="none" w:color="auto" w:sz="0" w:space="0"/>
        </w:pBdr>
        <w:tabs>
          <w:tab w:val="clear" w:pos="4153"/>
          <w:tab w:val="clear" w:pos="8306"/>
        </w:tabs>
        <w:kinsoku/>
        <w:wordWrap/>
        <w:overflowPunct/>
        <w:topLinePunct w:val="0"/>
        <w:autoSpaceDE/>
        <w:autoSpaceDN/>
        <w:bidi w:val="0"/>
        <w:adjustRightInd/>
        <w:snapToGrid/>
        <w:spacing w:line="440" w:lineRule="exact"/>
        <w:ind w:firstLine="480" w:firstLineChars="200"/>
        <w:jc w:val="both"/>
        <w:textAlignment w:val="auto"/>
        <w:rPr>
          <w:rFonts w:ascii="宋体" w:hAnsi="宋体" w:cs="宋体"/>
          <w:color w:val="auto"/>
          <w:sz w:val="24"/>
          <w:szCs w:val="24"/>
        </w:rPr>
      </w:pPr>
      <w:r>
        <w:rPr>
          <w:rFonts w:ascii="宋体" w:hAnsi="宋体" w:cs="宋体"/>
          <w:color w:val="auto"/>
          <w:sz w:val="24"/>
          <w:szCs w:val="24"/>
        </w:rPr>
        <w:t>第</w:t>
      </w:r>
      <w:r>
        <w:rPr>
          <w:rFonts w:hint="eastAsia" w:ascii="宋体" w:hAnsi="宋体" w:cs="宋体"/>
          <w:color w:val="auto"/>
          <w:sz w:val="24"/>
          <w:szCs w:val="24"/>
          <w:lang w:val="en-US" w:eastAsia="zh-CN"/>
        </w:rPr>
        <w:t>四</w:t>
      </w:r>
      <w:r>
        <w:rPr>
          <w:rFonts w:ascii="宋体" w:hAnsi="宋体" w:cs="宋体"/>
          <w:color w:val="auto"/>
          <w:sz w:val="24"/>
          <w:szCs w:val="24"/>
        </w:rPr>
        <w:t>步，特殊情况处理。若上述评审均合格的前三名供应商中，排序第一的（即：经评审合格的最终报价最低的）供应商有两家或两家以上时，则由采购人按照公开、公平、公正的原则，于开标当天在开标现场在监督人员监督下公开确定成交供应商。具体的公开确定方式由采购人决定。</w:t>
      </w:r>
    </w:p>
    <w:p w14:paraId="6939BB40">
      <w:pPr>
        <w:pStyle w:val="7"/>
        <w:spacing w:before="0" w:after="0" w:line="520" w:lineRule="exact"/>
        <w:ind w:firstLine="480" w:firstLineChars="200"/>
        <w:jc w:val="both"/>
        <w:rPr>
          <w:rFonts w:ascii="宋体" w:hAnsi="宋体" w:eastAsia="宋体" w:cs="宋体"/>
          <w:sz w:val="24"/>
          <w:szCs w:val="24"/>
        </w:rPr>
      </w:pPr>
      <w:r>
        <w:rPr>
          <w:rFonts w:hint="eastAsia" w:ascii="宋体" w:hAnsi="宋体"/>
          <w:b w:val="0"/>
          <w:bCs/>
          <w:color w:val="auto"/>
          <w:sz w:val="24"/>
          <w:szCs w:val="24"/>
          <w:highlight w:val="none"/>
        </w:rPr>
        <w:t>7、</w:t>
      </w:r>
      <w:bookmarkStart w:id="73" w:name="_Toc9547"/>
      <w:r>
        <w:rPr>
          <w:rFonts w:hint="eastAsia" w:ascii="宋体" w:hAnsi="宋体" w:eastAsia="宋体" w:cs="宋体"/>
          <w:b w:val="0"/>
          <w:bCs/>
          <w:sz w:val="24"/>
          <w:szCs w:val="24"/>
          <w:highlight w:val="none"/>
        </w:rPr>
        <w:t>供</w:t>
      </w:r>
      <w:r>
        <w:rPr>
          <w:rFonts w:hint="eastAsia" w:ascii="宋体" w:hAnsi="宋体" w:eastAsia="宋体" w:cs="宋体"/>
          <w:b w:val="0"/>
          <w:bCs/>
          <w:sz w:val="24"/>
          <w:szCs w:val="24"/>
        </w:rPr>
        <w:t>应商必须在规定的时间内将自己在</w:t>
      </w:r>
      <w:r>
        <w:rPr>
          <w:rFonts w:hint="eastAsia" w:ascii="宋体" w:hAnsi="宋体" w:eastAsia="宋体" w:cs="宋体"/>
          <w:b w:val="0"/>
          <w:bCs/>
          <w:sz w:val="24"/>
          <w:szCs w:val="24"/>
          <w:lang w:eastAsia="zh-CN"/>
        </w:rPr>
        <w:t>谈判</w:t>
      </w:r>
      <w:r>
        <w:rPr>
          <w:rFonts w:hint="eastAsia" w:ascii="宋体" w:hAnsi="宋体" w:eastAsia="宋体" w:cs="宋体"/>
          <w:b w:val="0"/>
          <w:bCs/>
          <w:sz w:val="24"/>
          <w:szCs w:val="24"/>
        </w:rPr>
        <w:t>中作出的澄清、变动以及最终的报价，经法定代表人或被授权代表签字后，提交给谈判小组。</w:t>
      </w:r>
      <w:bookmarkEnd w:id="73"/>
    </w:p>
    <w:p w14:paraId="1367E9E9">
      <w:pPr>
        <w:tabs>
          <w:tab w:val="left" w:pos="900"/>
        </w:tabs>
        <w:spacing w:line="500" w:lineRule="exact"/>
        <w:rPr>
          <w:rFonts w:ascii="宋体" w:hAnsi="宋体"/>
          <w:b/>
          <w:bCs/>
          <w:color w:val="auto"/>
          <w:sz w:val="24"/>
          <w:szCs w:val="24"/>
          <w:highlight w:val="yellow"/>
        </w:rPr>
      </w:pPr>
    </w:p>
    <w:p w14:paraId="21933F80">
      <w:pPr>
        <w:pStyle w:val="7"/>
        <w:numPr>
          <w:ilvl w:val="0"/>
          <w:numId w:val="0"/>
        </w:numPr>
        <w:spacing w:before="0" w:after="0" w:line="430" w:lineRule="exact"/>
        <w:ind w:firstLine="2650" w:firstLineChars="1100"/>
        <w:jc w:val="both"/>
        <w:rPr>
          <w:rFonts w:ascii="宋体" w:hAnsi="宋体" w:eastAsia="宋体" w:cs="宋体"/>
          <w:sz w:val="24"/>
          <w:szCs w:val="24"/>
        </w:rPr>
      </w:pPr>
      <w:r>
        <w:rPr>
          <w:rFonts w:hint="eastAsia" w:ascii="宋体" w:hAnsi="宋体" w:eastAsia="宋体" w:cs="宋体"/>
          <w:sz w:val="24"/>
          <w:szCs w:val="24"/>
        </w:rPr>
        <w:t>（六）评审及异常情况处理</w:t>
      </w:r>
      <w:bookmarkEnd w:id="72"/>
    </w:p>
    <w:bookmarkEnd w:id="64"/>
    <w:bookmarkEnd w:id="65"/>
    <w:p w14:paraId="733CA050">
      <w:pPr>
        <w:spacing w:line="430" w:lineRule="exact"/>
        <w:ind w:firstLine="480" w:firstLineChars="200"/>
        <w:rPr>
          <w:rFonts w:ascii="宋体" w:hAnsi="宋体" w:cs="Arial"/>
          <w:sz w:val="24"/>
          <w:szCs w:val="24"/>
        </w:rPr>
      </w:pPr>
      <w:bookmarkStart w:id="74"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14:paraId="5DC690CD">
      <w:pPr>
        <w:spacing w:line="430" w:lineRule="exact"/>
        <w:ind w:firstLine="480" w:firstLineChars="200"/>
        <w:rPr>
          <w:rFonts w:ascii="宋体" w:hAnsi="宋体"/>
          <w:sz w:val="24"/>
          <w:szCs w:val="24"/>
        </w:rPr>
      </w:pPr>
      <w:r>
        <w:rPr>
          <w:rFonts w:hint="eastAsia" w:ascii="宋体" w:hAnsi="宋体"/>
          <w:sz w:val="24"/>
          <w:szCs w:val="24"/>
        </w:rPr>
        <w:t>2、</w:t>
      </w:r>
      <w:r>
        <w:rPr>
          <w:rFonts w:hint="eastAsia" w:ascii="宋体" w:hAnsi="宋体"/>
          <w:sz w:val="24"/>
          <w:szCs w:val="24"/>
          <w:highlight w:val="none"/>
        </w:rPr>
        <w:t>谈判时出现以下情况之一的，将予以</w:t>
      </w:r>
      <w:r>
        <w:rPr>
          <w:rFonts w:hint="eastAsia" w:ascii="宋体" w:hAnsi="宋体"/>
          <w:sz w:val="24"/>
          <w:szCs w:val="24"/>
          <w:highlight w:val="none"/>
          <w:lang w:val="en-US" w:eastAsia="zh-CN"/>
        </w:rPr>
        <w:t>流</w:t>
      </w:r>
      <w:r>
        <w:rPr>
          <w:rFonts w:hint="eastAsia" w:ascii="宋体" w:hAnsi="宋体"/>
          <w:sz w:val="24"/>
          <w:szCs w:val="24"/>
          <w:highlight w:val="none"/>
        </w:rPr>
        <w:t>标：</w:t>
      </w:r>
    </w:p>
    <w:p w14:paraId="5389841D">
      <w:pPr>
        <w:spacing w:line="43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14:paraId="0026CDC9">
      <w:pPr>
        <w:spacing w:line="430" w:lineRule="exact"/>
        <w:ind w:firstLine="480" w:firstLineChars="200"/>
        <w:rPr>
          <w:rFonts w:hint="eastAsia" w:ascii="宋体" w:hAnsi="宋体"/>
          <w:sz w:val="24"/>
          <w:szCs w:val="24"/>
        </w:rPr>
      </w:pPr>
      <w:r>
        <w:rPr>
          <w:rFonts w:hint="eastAsia" w:ascii="宋体" w:hAnsi="宋体"/>
          <w:sz w:val="24"/>
          <w:szCs w:val="24"/>
        </w:rPr>
        <w:t>（2）供应商的报价均超过了采购预算，经过多轮谈判仍不能降到预算内、且采购人不能支付的；</w:t>
      </w:r>
    </w:p>
    <w:p w14:paraId="47960C56">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）经过谈判，供应商所提供的货物服务仍无法满足谈判文件实质性要求、影响工作的；</w:t>
      </w:r>
    </w:p>
    <w:p w14:paraId="3AB5DD7A">
      <w:pPr>
        <w:spacing w:line="430" w:lineRule="exact"/>
        <w:ind w:firstLine="480" w:firstLineChars="20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4</w:t>
      </w:r>
      <w:r>
        <w:rPr>
          <w:rFonts w:hint="eastAsia" w:ascii="宋体" w:hAnsi="宋体"/>
          <w:sz w:val="24"/>
          <w:szCs w:val="24"/>
        </w:rPr>
        <w:t>）出现影响采购公正的违法、违规行为的；</w:t>
      </w:r>
    </w:p>
    <w:p w14:paraId="4882909E">
      <w:pPr>
        <w:spacing w:line="430" w:lineRule="exact"/>
        <w:ind w:firstLine="480" w:firstLineChars="20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5</w:t>
      </w:r>
      <w:r>
        <w:rPr>
          <w:rFonts w:hint="eastAsia" w:ascii="宋体" w:hAnsi="宋体"/>
          <w:sz w:val="24"/>
          <w:szCs w:val="24"/>
        </w:rPr>
        <w:t>）因重大变故，采购任务取消的。</w:t>
      </w:r>
    </w:p>
    <w:p w14:paraId="6E278CE2">
      <w:pPr>
        <w:spacing w:line="430" w:lineRule="exact"/>
        <w:ind w:firstLine="480" w:firstLineChars="200"/>
        <w:rPr>
          <w:rFonts w:ascii="宋体" w:hAnsi="宋体"/>
          <w:sz w:val="24"/>
          <w:szCs w:val="24"/>
        </w:rPr>
      </w:pPr>
      <w:r>
        <w:rPr>
          <w:rFonts w:hint="eastAsia" w:ascii="宋体" w:hAnsi="宋体"/>
          <w:sz w:val="24"/>
          <w:szCs w:val="24"/>
        </w:rPr>
        <w:t>3、重新组织谈判，采购单位将通过</w:t>
      </w:r>
      <w:r>
        <w:rPr>
          <w:rFonts w:hint="eastAsia" w:ascii="宋体" w:hAnsi="宋体"/>
          <w:sz w:val="24"/>
          <w:szCs w:val="24"/>
          <w:lang w:val="en-US" w:eastAsia="zh-CN"/>
        </w:rPr>
        <w:t>新点电子交易平台</w:t>
      </w:r>
      <w:r>
        <w:rPr>
          <w:rFonts w:hint="eastAsia" w:ascii="宋体" w:hAnsi="宋体"/>
          <w:sz w:val="24"/>
          <w:szCs w:val="24"/>
        </w:rPr>
        <w:t>进行公告。</w:t>
      </w:r>
    </w:p>
    <w:p w14:paraId="7501E14C">
      <w:pPr>
        <w:pStyle w:val="7"/>
        <w:spacing w:before="0" w:after="0" w:line="43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74"/>
    </w:p>
    <w:p w14:paraId="45D317CF">
      <w:pPr>
        <w:spacing w:line="430" w:lineRule="exact"/>
        <w:ind w:firstLine="480" w:firstLineChars="200"/>
        <w:rPr>
          <w:rFonts w:ascii="宋体" w:hAnsi="宋体"/>
          <w:sz w:val="24"/>
          <w:szCs w:val="24"/>
          <w:highlight w:val="none"/>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w:t>
      </w:r>
      <w:r>
        <w:rPr>
          <w:rFonts w:hint="eastAsia" w:ascii="宋体" w:hAnsi="宋体"/>
          <w:sz w:val="24"/>
          <w:szCs w:val="24"/>
          <w:highlight w:val="none"/>
        </w:rPr>
        <w:t>并填写工程量清单相应表格。</w:t>
      </w:r>
    </w:p>
    <w:p w14:paraId="4CD42441">
      <w:pPr>
        <w:spacing w:line="430" w:lineRule="exact"/>
        <w:ind w:firstLine="480" w:firstLineChars="200"/>
        <w:rPr>
          <w:rFonts w:ascii="宋体" w:hAnsi="宋体"/>
          <w:sz w:val="24"/>
          <w:szCs w:val="24"/>
          <w:highlight w:val="none"/>
        </w:rPr>
      </w:pPr>
      <w:r>
        <w:rPr>
          <w:rFonts w:hint="eastAsia" w:ascii="宋体" w:hAnsi="宋体"/>
          <w:sz w:val="24"/>
          <w:szCs w:val="24"/>
          <w:highlight w:val="none"/>
        </w:rPr>
        <w:t>2、本项目由采购人提供工程量清单，由供应商按照采购人提供的工程量清单填写本合同各工程子目的单价、合价和总额价。</w:t>
      </w:r>
    </w:p>
    <w:p w14:paraId="241F5EDD">
      <w:pPr>
        <w:spacing w:line="430" w:lineRule="exact"/>
        <w:ind w:firstLine="480" w:firstLineChars="200"/>
        <w:rPr>
          <w:rFonts w:ascii="宋体" w:hAnsi="宋体" w:cs="宋体"/>
          <w:color w:val="auto"/>
          <w:sz w:val="24"/>
          <w:szCs w:val="24"/>
          <w:u w:val="none"/>
        </w:rPr>
      </w:pPr>
      <w:r>
        <w:rPr>
          <w:rFonts w:hint="eastAsia" w:ascii="宋体" w:hAnsi="宋体"/>
          <w:sz w:val="24"/>
          <w:szCs w:val="24"/>
          <w:highlight w:val="none"/>
        </w:rPr>
        <w:t>3、</w:t>
      </w:r>
      <w:r>
        <w:rPr>
          <w:rFonts w:ascii="宋体" w:hAnsi="宋体" w:cs="宋体"/>
          <w:sz w:val="24"/>
          <w:szCs w:val="24"/>
          <w:highlight w:val="none"/>
        </w:rPr>
        <w:t>本项目采用固定</w:t>
      </w:r>
      <w:r>
        <w:rPr>
          <w:rFonts w:hint="eastAsia" w:ascii="宋体" w:hAnsi="宋体" w:cs="宋体"/>
          <w:sz w:val="24"/>
          <w:szCs w:val="24"/>
          <w:highlight w:val="none"/>
          <w:lang w:eastAsia="zh-CN"/>
        </w:rPr>
        <w:t>单</w:t>
      </w:r>
      <w:r>
        <w:rPr>
          <w:rFonts w:ascii="宋体" w:hAnsi="宋体" w:cs="宋体"/>
          <w:sz w:val="24"/>
          <w:szCs w:val="24"/>
          <w:highlight w:val="none"/>
        </w:rPr>
        <w:t>价形式报价，</w:t>
      </w:r>
      <w:r>
        <w:rPr>
          <w:rFonts w:ascii="宋体" w:hAnsi="宋体" w:cs="宋体"/>
          <w:sz w:val="24"/>
          <w:szCs w:val="24"/>
        </w:rPr>
        <w:t>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w:t>
      </w:r>
      <w:r>
        <w:rPr>
          <w:rFonts w:ascii="宋体" w:hAnsi="宋体" w:cs="宋体"/>
          <w:color w:val="auto"/>
          <w:sz w:val="24"/>
          <w:szCs w:val="24"/>
          <w:u w:val="none"/>
        </w:rPr>
        <w:t>供应商不得以自有机械闲置、自有材料为由等不计成本地进行响应报价。供应商在响应文件递交截止时间前修改报价单中响应总报价，应同时修改响应文件“已标价工程量清单”中的相应报价。</w:t>
      </w:r>
    </w:p>
    <w:p w14:paraId="4CABF5C6">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14:paraId="249274F2">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14:paraId="04B32029">
      <w:pPr>
        <w:spacing w:line="430" w:lineRule="exact"/>
        <w:ind w:firstLine="480" w:firstLineChars="200"/>
        <w:rPr>
          <w:rFonts w:ascii="宋体" w:hAnsi="宋体"/>
          <w:sz w:val="24"/>
          <w:szCs w:val="24"/>
          <w:highlight w:val="none"/>
        </w:rPr>
      </w:pPr>
      <w:r>
        <w:rPr>
          <w:rFonts w:hint="eastAsia" w:ascii="宋体" w:hAnsi="宋体"/>
          <w:sz w:val="24"/>
          <w:szCs w:val="24"/>
        </w:rPr>
        <w:t>6、采购人设有最高限价的，供应商的响应报价不得超过最高限价</w:t>
      </w:r>
      <w:r>
        <w:rPr>
          <w:rFonts w:hint="eastAsia" w:ascii="宋体" w:hAnsi="宋体"/>
          <w:sz w:val="24"/>
          <w:szCs w:val="24"/>
          <w:highlight w:val="none"/>
          <w:lang w:eastAsia="zh-CN"/>
        </w:rPr>
        <w:t>，</w:t>
      </w:r>
      <w:r>
        <w:rPr>
          <w:rFonts w:hint="eastAsia" w:ascii="宋体" w:hAnsi="宋体"/>
          <w:sz w:val="24"/>
          <w:szCs w:val="24"/>
          <w:highlight w:val="none"/>
        </w:rPr>
        <w:t>工程量清单中涉及暂定价及固定价部分报价时不予降点，否则报价响应无效，作无效响应处理。</w:t>
      </w:r>
    </w:p>
    <w:p w14:paraId="218F784C">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14:paraId="1D9D9C36">
      <w:pPr>
        <w:pStyle w:val="7"/>
        <w:spacing w:before="0" w:after="0" w:line="430" w:lineRule="exact"/>
        <w:jc w:val="center"/>
        <w:rPr>
          <w:rFonts w:ascii="宋体" w:hAnsi="宋体" w:eastAsia="宋体" w:cs="宋体"/>
          <w:sz w:val="24"/>
          <w:szCs w:val="24"/>
        </w:rPr>
      </w:pPr>
      <w:bookmarkStart w:id="75" w:name="_Toc8394"/>
      <w:r>
        <w:rPr>
          <w:rFonts w:hint="eastAsia" w:ascii="宋体" w:hAnsi="宋体" w:eastAsia="宋体" w:cs="宋体"/>
          <w:sz w:val="24"/>
          <w:szCs w:val="24"/>
        </w:rPr>
        <w:t>（八）合同的签订</w:t>
      </w:r>
      <w:bookmarkEnd w:id="75"/>
    </w:p>
    <w:p w14:paraId="2F0F4755">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14:paraId="7D5E147B">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14:paraId="3C2E3CC7">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14:paraId="7B46476F">
      <w:pPr>
        <w:spacing w:line="430" w:lineRule="exact"/>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14:paraId="437D631F">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14:paraId="5EE9492D">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14:paraId="1CAB1023">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14:paraId="116AFBD2">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14:paraId="5E439557">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14:paraId="14148DA6">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14:paraId="4D34DA73">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2E3590B">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14:paraId="38D8AECE">
      <w:pPr>
        <w:spacing w:line="430" w:lineRule="exact"/>
        <w:ind w:firstLine="480" w:firstLineChars="200"/>
        <w:rPr>
          <w:rFonts w:ascii="宋体" w:hAnsi="宋体"/>
          <w:sz w:val="24"/>
          <w:szCs w:val="24"/>
        </w:rPr>
      </w:pPr>
      <w:r>
        <w:rPr>
          <w:rFonts w:hint="eastAsia" w:ascii="宋体" w:hAnsi="宋体"/>
          <w:sz w:val="24"/>
          <w:szCs w:val="24"/>
        </w:rPr>
        <w:t>第二十条 ……</w:t>
      </w:r>
    </w:p>
    <w:p w14:paraId="5F2342D1">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14:paraId="670ACE96">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14:paraId="7D4652FE">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14:paraId="46976F81">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14:paraId="6C755465">
      <w:pPr>
        <w:pStyle w:val="7"/>
        <w:spacing w:before="0" w:after="0" w:line="430" w:lineRule="exact"/>
        <w:jc w:val="center"/>
        <w:rPr>
          <w:rFonts w:ascii="宋体" w:hAnsi="宋体" w:eastAsia="宋体" w:cs="宋体"/>
          <w:sz w:val="24"/>
          <w:szCs w:val="24"/>
        </w:rPr>
      </w:pPr>
      <w:bookmarkStart w:id="76" w:name="_Toc30371"/>
      <w:r>
        <w:rPr>
          <w:rFonts w:hint="eastAsia" w:ascii="宋体" w:hAnsi="宋体" w:eastAsia="宋体" w:cs="宋体"/>
          <w:sz w:val="24"/>
          <w:szCs w:val="24"/>
        </w:rPr>
        <w:t>（九）澄清及变更</w:t>
      </w:r>
      <w:bookmarkEnd w:id="76"/>
    </w:p>
    <w:p w14:paraId="78B1F19D">
      <w:pPr>
        <w:spacing w:line="430" w:lineRule="exact"/>
        <w:ind w:firstLine="480" w:firstLineChars="200"/>
      </w:pPr>
      <w:r>
        <w:rPr>
          <w:rFonts w:hint="eastAsia" w:ascii="宋体" w:hAnsi="宋体"/>
          <w:sz w:val="24"/>
          <w:szCs w:val="24"/>
        </w:rPr>
        <w:t>谈判文件如有澄清及变更，将以网上公告形式发布，请供应商及时关注。</w:t>
      </w:r>
    </w:p>
    <w:p w14:paraId="3DF5AE6E">
      <w:pPr>
        <w:pStyle w:val="7"/>
        <w:spacing w:before="0" w:after="0" w:line="430" w:lineRule="exact"/>
        <w:jc w:val="center"/>
        <w:rPr>
          <w:rFonts w:ascii="宋体" w:hAnsi="宋体" w:eastAsia="宋体" w:cs="宋体"/>
          <w:sz w:val="24"/>
          <w:szCs w:val="24"/>
        </w:rPr>
      </w:pPr>
      <w:bookmarkStart w:id="77" w:name="_Toc14936"/>
      <w:r>
        <w:rPr>
          <w:rFonts w:hint="eastAsia" w:ascii="宋体" w:hAnsi="宋体" w:eastAsia="宋体" w:cs="宋体"/>
          <w:sz w:val="24"/>
          <w:szCs w:val="24"/>
        </w:rPr>
        <w:t>（十）验收</w:t>
      </w:r>
      <w:bookmarkEnd w:id="77"/>
      <w:r>
        <w:rPr>
          <w:rFonts w:hint="eastAsia" w:ascii="宋体" w:hAnsi="宋体" w:eastAsia="宋体" w:cs="宋体"/>
          <w:sz w:val="24"/>
          <w:szCs w:val="24"/>
        </w:rPr>
        <w:t>与支付</w:t>
      </w:r>
    </w:p>
    <w:p w14:paraId="22A89A3D">
      <w:pPr>
        <w:spacing w:line="430" w:lineRule="exact"/>
        <w:ind w:firstLine="480" w:firstLineChars="200"/>
        <w:rPr>
          <w:rFonts w:ascii="宋体" w:hAnsi="宋体"/>
          <w:sz w:val="24"/>
          <w:szCs w:val="24"/>
        </w:rPr>
      </w:pPr>
      <w:bookmarkStart w:id="78" w:name="_Toc24748"/>
      <w:r>
        <w:rPr>
          <w:rFonts w:hint="eastAsia" w:ascii="宋体" w:hAnsi="宋体"/>
          <w:sz w:val="24"/>
          <w:szCs w:val="24"/>
        </w:rPr>
        <w:t>1、采购人应当在项目完成且收到供应商验收申请后 5 个工作日内组织开展履约验收。</w:t>
      </w:r>
    </w:p>
    <w:p w14:paraId="1BDF6DE9">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1A513475">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14:paraId="6187550D">
      <w:pPr>
        <w:pStyle w:val="7"/>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78"/>
    </w:p>
    <w:p w14:paraId="7A82A346">
      <w:pPr>
        <w:spacing w:line="430" w:lineRule="exact"/>
        <w:ind w:firstLine="480" w:firstLineChars="200"/>
        <w:rPr>
          <w:rFonts w:ascii="宋体" w:hAnsi="宋体"/>
          <w:bCs/>
          <w:sz w:val="24"/>
        </w:rPr>
      </w:pPr>
      <w:bookmarkStart w:id="79"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14:paraId="0B682D4F">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14:paraId="3B9B11BB">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14:paraId="755AC67A">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14:paraId="208F4C63">
      <w:pPr>
        <w:spacing w:line="430" w:lineRule="exact"/>
        <w:ind w:firstLine="480" w:firstLineChars="200"/>
        <w:rPr>
          <w:rFonts w:ascii="宋体" w:hAnsi="宋体"/>
          <w:bCs/>
          <w:sz w:val="24"/>
        </w:rPr>
      </w:pPr>
      <w:r>
        <w:rPr>
          <w:rFonts w:hint="eastAsia" w:ascii="宋体" w:hAnsi="宋体"/>
          <w:bCs/>
          <w:sz w:val="24"/>
        </w:rPr>
        <w:t>3.1质疑人的名称、地址、有效联系方式；</w:t>
      </w:r>
    </w:p>
    <w:p w14:paraId="02140B5B">
      <w:pPr>
        <w:spacing w:line="430" w:lineRule="exact"/>
        <w:ind w:firstLine="480" w:firstLineChars="200"/>
        <w:rPr>
          <w:rFonts w:ascii="宋体" w:hAnsi="宋体"/>
          <w:bCs/>
          <w:sz w:val="24"/>
        </w:rPr>
      </w:pPr>
      <w:r>
        <w:rPr>
          <w:rFonts w:hint="eastAsia" w:ascii="宋体" w:hAnsi="宋体"/>
          <w:bCs/>
          <w:sz w:val="24"/>
        </w:rPr>
        <w:t>3.2项目名称、项目编号、包别号（如有）；</w:t>
      </w:r>
    </w:p>
    <w:p w14:paraId="02963DC3">
      <w:pPr>
        <w:spacing w:line="430" w:lineRule="exact"/>
        <w:ind w:firstLine="480" w:firstLineChars="200"/>
        <w:rPr>
          <w:rFonts w:ascii="宋体" w:hAnsi="宋体"/>
          <w:bCs/>
          <w:sz w:val="24"/>
        </w:rPr>
      </w:pPr>
      <w:r>
        <w:rPr>
          <w:rFonts w:hint="eastAsia" w:ascii="宋体" w:hAnsi="宋体"/>
          <w:bCs/>
          <w:sz w:val="24"/>
        </w:rPr>
        <w:t>3.3被质疑人名称；</w:t>
      </w:r>
    </w:p>
    <w:p w14:paraId="4CD054D9">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14:paraId="1AC8B056">
      <w:pPr>
        <w:spacing w:line="430" w:lineRule="exact"/>
        <w:ind w:firstLine="480" w:firstLineChars="200"/>
        <w:rPr>
          <w:rFonts w:ascii="宋体" w:hAnsi="宋体"/>
          <w:bCs/>
          <w:sz w:val="24"/>
        </w:rPr>
      </w:pPr>
      <w:r>
        <w:rPr>
          <w:rFonts w:hint="eastAsia" w:ascii="宋体" w:hAnsi="宋体"/>
          <w:bCs/>
          <w:sz w:val="24"/>
        </w:rPr>
        <w:t>3.5明确的请求及主张；</w:t>
      </w:r>
    </w:p>
    <w:p w14:paraId="19D4032E">
      <w:pPr>
        <w:spacing w:line="430" w:lineRule="exact"/>
        <w:ind w:firstLine="480" w:firstLineChars="200"/>
        <w:rPr>
          <w:rFonts w:ascii="宋体" w:hAnsi="宋体"/>
          <w:bCs/>
          <w:sz w:val="24"/>
        </w:rPr>
      </w:pPr>
      <w:r>
        <w:rPr>
          <w:rFonts w:hint="eastAsia" w:ascii="宋体" w:hAnsi="宋体"/>
          <w:bCs/>
          <w:sz w:val="24"/>
        </w:rPr>
        <w:t>3.6提起质疑的日期。</w:t>
      </w:r>
    </w:p>
    <w:p w14:paraId="3ED1B0E5">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14:paraId="0F0E24AE">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14:paraId="05021723">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14:paraId="58EB80AE">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14:paraId="4A5632F9">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14:paraId="465FA2C4">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14:paraId="75AF992A">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14:paraId="543E4823">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14:paraId="06724667">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14:paraId="387D5166">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14:paraId="15335D9D">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14:paraId="695779E4">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14:paraId="3CCEEEB8">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14:paraId="0459F715">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14:paraId="74135A5A">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14:paraId="7D4D989B">
      <w:pPr>
        <w:spacing w:line="430" w:lineRule="exact"/>
        <w:ind w:firstLine="480" w:firstLineChars="200"/>
        <w:rPr>
          <w:rFonts w:hint="eastAsia" w:ascii="宋体" w:hAnsi="宋体" w:eastAsia="宋体" w:cs="宋体"/>
          <w:sz w:val="28"/>
          <w:szCs w:val="28"/>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bookmarkStart w:id="80" w:name="_Toc5573"/>
    </w:p>
    <w:p w14:paraId="2C856412">
      <w:pPr>
        <w:pStyle w:val="7"/>
        <w:spacing w:before="0" w:after="0" w:line="560" w:lineRule="exact"/>
        <w:jc w:val="center"/>
        <w:rPr>
          <w:rFonts w:ascii="宋体" w:hAnsi="宋体" w:eastAsia="宋体" w:cs="宋体"/>
          <w:sz w:val="28"/>
          <w:szCs w:val="28"/>
        </w:rPr>
      </w:pPr>
      <w:r>
        <w:rPr>
          <w:rFonts w:hint="eastAsia" w:ascii="宋体" w:hAnsi="宋体" w:eastAsia="宋体" w:cs="宋体"/>
          <w:sz w:val="28"/>
          <w:szCs w:val="28"/>
        </w:rPr>
        <w:t>二、采购合同</w:t>
      </w:r>
      <w:bookmarkEnd w:id="80"/>
    </w:p>
    <w:bookmarkEnd w:id="79"/>
    <w:p w14:paraId="1FE8FBBF">
      <w:pPr>
        <w:pStyle w:val="30"/>
        <w:jc w:val="center"/>
        <w:rPr>
          <w:rFonts w:hint="eastAsia"/>
          <w:lang w:eastAsia="zh-CN"/>
        </w:rPr>
      </w:pPr>
      <w:bookmarkStart w:id="81" w:name="_Toc18672"/>
      <w:bookmarkStart w:id="82"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14:paraId="0EA0B76A">
      <w:pPr>
        <w:pStyle w:val="30"/>
        <w:jc w:val="center"/>
        <w:rPr>
          <w:rFonts w:hint="eastAsia"/>
          <w:lang w:eastAsia="zh-CN"/>
        </w:rPr>
      </w:pPr>
    </w:p>
    <w:p w14:paraId="44F61305">
      <w:pPr>
        <w:pStyle w:val="30"/>
        <w:jc w:val="center"/>
        <w:rPr>
          <w:rFonts w:hint="eastAsia"/>
          <w:lang w:eastAsia="zh-CN"/>
        </w:rPr>
      </w:pPr>
    </w:p>
    <w:p w14:paraId="5BDA5337">
      <w:pPr>
        <w:pStyle w:val="30"/>
        <w:jc w:val="center"/>
        <w:rPr>
          <w:rFonts w:hint="eastAsia"/>
          <w:lang w:eastAsia="zh-CN"/>
        </w:rPr>
      </w:pPr>
    </w:p>
    <w:p w14:paraId="50D7A31E">
      <w:pPr>
        <w:pStyle w:val="7"/>
        <w:numPr>
          <w:ilvl w:val="0"/>
          <w:numId w:val="4"/>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81"/>
    </w:p>
    <w:p w14:paraId="5EDE1B7D">
      <w:pPr>
        <w:pStyle w:val="3"/>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14:paraId="629CD2B7">
      <w:pPr>
        <w:rPr>
          <w:rFonts w:ascii="宋体" w:hAnsi="宋体" w:cs="宋体"/>
          <w:sz w:val="28"/>
          <w:szCs w:val="28"/>
        </w:rPr>
      </w:pPr>
      <w:r>
        <w:rPr>
          <w:rFonts w:hint="eastAsia" w:ascii="宋体" w:hAnsi="宋体" w:cs="宋体"/>
          <w:sz w:val="28"/>
          <w:szCs w:val="28"/>
        </w:rPr>
        <w:br w:type="page"/>
      </w:r>
    </w:p>
    <w:p w14:paraId="159E94BE">
      <w:pPr>
        <w:pStyle w:val="7"/>
        <w:spacing w:before="0" w:after="0" w:line="560" w:lineRule="exact"/>
        <w:jc w:val="center"/>
        <w:rPr>
          <w:rFonts w:ascii="宋体" w:hAnsi="宋体" w:eastAsia="宋体" w:cs="宋体"/>
          <w:sz w:val="28"/>
          <w:szCs w:val="28"/>
        </w:rPr>
      </w:pPr>
      <w:bookmarkStart w:id="83" w:name="_Toc12600"/>
      <w:r>
        <w:rPr>
          <w:rFonts w:hint="eastAsia" w:ascii="宋体" w:hAnsi="宋体" w:eastAsia="宋体" w:cs="宋体"/>
          <w:sz w:val="28"/>
          <w:szCs w:val="28"/>
        </w:rPr>
        <w:t>四、响应文件格式</w:t>
      </w:r>
      <w:bookmarkEnd w:id="83"/>
    </w:p>
    <w:p w14:paraId="428570A8">
      <w:pPr>
        <w:spacing w:line="500" w:lineRule="exact"/>
        <w:jc w:val="center"/>
        <w:rPr>
          <w:rFonts w:ascii="宋体" w:hAnsi="宋体"/>
          <w:b/>
          <w:sz w:val="32"/>
        </w:rPr>
      </w:pPr>
    </w:p>
    <w:p w14:paraId="20CABB30">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14:paraId="6B176B75">
      <w:pPr>
        <w:spacing w:line="900" w:lineRule="exact"/>
        <w:rPr>
          <w:rFonts w:ascii="宋体" w:hAnsi="宋体"/>
          <w:b/>
          <w:sz w:val="72"/>
        </w:rPr>
      </w:pPr>
    </w:p>
    <w:p w14:paraId="0E81B8CF">
      <w:pPr>
        <w:spacing w:line="900" w:lineRule="exact"/>
        <w:jc w:val="center"/>
        <w:rPr>
          <w:rFonts w:ascii="宋体" w:hAnsi="宋体"/>
          <w:b/>
          <w:sz w:val="72"/>
        </w:rPr>
      </w:pPr>
      <w:r>
        <w:rPr>
          <w:rFonts w:hint="eastAsia" w:ascii="宋体" w:hAnsi="宋体"/>
          <w:b/>
          <w:sz w:val="72"/>
        </w:rPr>
        <w:t>响</w:t>
      </w:r>
    </w:p>
    <w:p w14:paraId="6B7741D0">
      <w:pPr>
        <w:spacing w:line="900" w:lineRule="exact"/>
        <w:jc w:val="center"/>
        <w:rPr>
          <w:rFonts w:ascii="宋体" w:hAnsi="宋体"/>
          <w:b/>
          <w:sz w:val="72"/>
        </w:rPr>
      </w:pPr>
    </w:p>
    <w:p w14:paraId="73247D34">
      <w:pPr>
        <w:spacing w:line="900" w:lineRule="exact"/>
        <w:jc w:val="center"/>
        <w:rPr>
          <w:rFonts w:ascii="宋体" w:hAnsi="宋体"/>
          <w:b/>
          <w:sz w:val="72"/>
        </w:rPr>
      </w:pPr>
      <w:r>
        <w:rPr>
          <w:rFonts w:hint="eastAsia" w:ascii="宋体" w:hAnsi="宋体"/>
          <w:b/>
          <w:sz w:val="72"/>
        </w:rPr>
        <w:t>应</w:t>
      </w:r>
    </w:p>
    <w:p w14:paraId="0B3913DB">
      <w:pPr>
        <w:spacing w:line="900" w:lineRule="exact"/>
        <w:jc w:val="center"/>
        <w:rPr>
          <w:rFonts w:ascii="宋体" w:hAnsi="宋体"/>
          <w:b/>
          <w:sz w:val="72"/>
        </w:rPr>
      </w:pPr>
    </w:p>
    <w:p w14:paraId="45B96681">
      <w:pPr>
        <w:spacing w:line="900" w:lineRule="exact"/>
        <w:jc w:val="center"/>
        <w:rPr>
          <w:rFonts w:ascii="宋体" w:hAnsi="宋体"/>
          <w:b/>
          <w:sz w:val="72"/>
        </w:rPr>
      </w:pPr>
      <w:r>
        <w:rPr>
          <w:rFonts w:hint="eastAsia" w:ascii="宋体" w:hAnsi="宋体"/>
          <w:b/>
          <w:sz w:val="72"/>
        </w:rPr>
        <w:t>文</w:t>
      </w:r>
    </w:p>
    <w:p w14:paraId="70C5E8C4">
      <w:pPr>
        <w:spacing w:line="900" w:lineRule="exact"/>
        <w:jc w:val="center"/>
        <w:rPr>
          <w:rFonts w:ascii="宋体" w:hAnsi="宋体"/>
          <w:b/>
          <w:sz w:val="72"/>
        </w:rPr>
      </w:pPr>
    </w:p>
    <w:p w14:paraId="5DBF0F0E">
      <w:pPr>
        <w:jc w:val="center"/>
        <w:rPr>
          <w:rFonts w:ascii="宋体" w:hAnsi="宋体"/>
          <w:b/>
          <w:sz w:val="72"/>
        </w:rPr>
      </w:pPr>
      <w:r>
        <w:rPr>
          <w:rFonts w:hint="eastAsia" w:ascii="宋体" w:hAnsi="宋体"/>
          <w:b/>
          <w:sz w:val="72"/>
        </w:rPr>
        <w:t>件</w:t>
      </w:r>
    </w:p>
    <w:p w14:paraId="5DFF1C99">
      <w:pPr>
        <w:spacing w:after="156" w:afterLines="50" w:line="500" w:lineRule="exact"/>
        <w:jc w:val="center"/>
        <w:rPr>
          <w:rFonts w:hint="eastAsia" w:ascii="宋体" w:hAnsi="宋体" w:eastAsia="宋体"/>
          <w:b/>
          <w:sz w:val="72"/>
          <w:lang w:eastAsia="zh-CN"/>
        </w:rPr>
      </w:pPr>
      <w:r>
        <w:rPr>
          <w:rFonts w:hint="eastAsia" w:ascii="宋体" w:hAnsi="宋体"/>
          <w:b/>
          <w:sz w:val="30"/>
          <w:szCs w:val="30"/>
          <w:lang w:eastAsia="zh-CN"/>
        </w:rPr>
        <w:t>项目编号</w:t>
      </w:r>
    </w:p>
    <w:p w14:paraId="7A8FE80D">
      <w:pPr>
        <w:spacing w:after="156" w:afterLines="50" w:line="500" w:lineRule="exact"/>
        <w:ind w:firstLine="2570" w:firstLineChars="800"/>
        <w:rPr>
          <w:rFonts w:hint="eastAsia" w:ascii="宋体" w:hAnsi="宋体"/>
          <w:b/>
          <w:sz w:val="32"/>
        </w:rPr>
      </w:pPr>
    </w:p>
    <w:p w14:paraId="682DD3BA">
      <w:pPr>
        <w:spacing w:after="156" w:afterLines="50" w:line="500" w:lineRule="exact"/>
        <w:ind w:firstLine="2570" w:firstLineChars="800"/>
        <w:rPr>
          <w:rFonts w:hint="eastAsia" w:ascii="宋体" w:hAnsi="宋体"/>
          <w:b/>
          <w:sz w:val="32"/>
        </w:rPr>
      </w:pPr>
    </w:p>
    <w:p w14:paraId="2286BBB0">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14:paraId="21A6FE90">
      <w:pPr>
        <w:spacing w:after="156" w:afterLines="50" w:line="500" w:lineRule="exact"/>
        <w:ind w:firstLine="3373" w:firstLineChars="1050"/>
        <w:rPr>
          <w:rFonts w:ascii="宋体" w:hAnsi="宋体"/>
          <w:b/>
          <w:sz w:val="32"/>
        </w:rPr>
      </w:pPr>
      <w:r>
        <w:rPr>
          <w:rFonts w:hint="eastAsia" w:ascii="宋体" w:hAnsi="宋体"/>
          <w:b/>
          <w:sz w:val="32"/>
        </w:rPr>
        <w:t>年  月  日</w:t>
      </w:r>
    </w:p>
    <w:p w14:paraId="22754478">
      <w:pPr>
        <w:spacing w:after="156" w:afterLines="50" w:line="500" w:lineRule="exact"/>
        <w:jc w:val="center"/>
        <w:rPr>
          <w:rFonts w:ascii="宋体" w:hAnsi="宋体"/>
          <w:b/>
          <w:sz w:val="32"/>
        </w:rPr>
      </w:pPr>
    </w:p>
    <w:p w14:paraId="76066129">
      <w:pPr>
        <w:spacing w:line="360" w:lineRule="auto"/>
        <w:rPr>
          <w:rFonts w:ascii="宋体" w:hAnsi="宋体"/>
          <w:sz w:val="24"/>
          <w:szCs w:val="28"/>
        </w:rPr>
      </w:pPr>
    </w:p>
    <w:bookmarkEnd w:id="82"/>
    <w:p w14:paraId="1BC1DB8C">
      <w:pPr>
        <w:pStyle w:val="7"/>
        <w:spacing w:before="0" w:after="0" w:line="560" w:lineRule="exact"/>
        <w:jc w:val="center"/>
        <w:rPr>
          <w:rFonts w:ascii="宋体" w:hAnsi="宋体" w:eastAsia="宋体" w:cs="宋体"/>
          <w:sz w:val="24"/>
          <w:szCs w:val="24"/>
        </w:rPr>
      </w:pPr>
      <w:bookmarkStart w:id="84" w:name="_Toc3949"/>
      <w:r>
        <w:rPr>
          <w:rFonts w:hint="eastAsia" w:ascii="宋体" w:hAnsi="宋体" w:eastAsia="宋体" w:cs="宋体"/>
          <w:sz w:val="24"/>
          <w:szCs w:val="24"/>
        </w:rPr>
        <w:t>响应文件资料清单</w:t>
      </w:r>
      <w:bookmarkEnd w:id="84"/>
    </w:p>
    <w:tbl>
      <w:tblPr>
        <w:tblStyle w:val="3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72B4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20E5F5E">
            <w:pPr>
              <w:spacing w:line="400" w:lineRule="exact"/>
              <w:jc w:val="center"/>
              <w:rPr>
                <w:rFonts w:ascii="宋体" w:hAnsi="宋体"/>
                <w:b/>
                <w:sz w:val="24"/>
              </w:rPr>
            </w:pPr>
            <w:r>
              <w:rPr>
                <w:rFonts w:hint="eastAsia" w:ascii="宋体" w:hAnsi="宋体"/>
                <w:b/>
                <w:sz w:val="24"/>
              </w:rPr>
              <w:t>序号</w:t>
            </w:r>
          </w:p>
        </w:tc>
        <w:tc>
          <w:tcPr>
            <w:tcW w:w="6038" w:type="dxa"/>
            <w:vAlign w:val="center"/>
          </w:tcPr>
          <w:p w14:paraId="2F1CEFF5">
            <w:pPr>
              <w:spacing w:line="400" w:lineRule="exact"/>
              <w:jc w:val="center"/>
              <w:rPr>
                <w:rFonts w:ascii="宋体" w:hAnsi="宋体"/>
                <w:b/>
                <w:sz w:val="24"/>
              </w:rPr>
            </w:pPr>
            <w:r>
              <w:rPr>
                <w:rFonts w:hint="eastAsia" w:ascii="宋体" w:hAnsi="宋体"/>
                <w:b/>
                <w:sz w:val="24"/>
              </w:rPr>
              <w:t>资料名称</w:t>
            </w:r>
          </w:p>
        </w:tc>
        <w:tc>
          <w:tcPr>
            <w:tcW w:w="1417" w:type="dxa"/>
            <w:vAlign w:val="center"/>
          </w:tcPr>
          <w:p w14:paraId="751ACBEC">
            <w:pPr>
              <w:spacing w:line="400" w:lineRule="exact"/>
              <w:jc w:val="center"/>
              <w:rPr>
                <w:rFonts w:ascii="宋体" w:hAnsi="宋体"/>
                <w:b/>
                <w:sz w:val="24"/>
              </w:rPr>
            </w:pPr>
            <w:r>
              <w:rPr>
                <w:rFonts w:hint="eastAsia" w:ascii="宋体" w:hAnsi="宋体"/>
                <w:b/>
                <w:sz w:val="24"/>
              </w:rPr>
              <w:t>备注</w:t>
            </w:r>
          </w:p>
        </w:tc>
      </w:tr>
      <w:tr w14:paraId="564E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B11148C">
            <w:pPr>
              <w:jc w:val="center"/>
              <w:rPr>
                <w:rFonts w:ascii="Tahoma" w:hAnsi="Tahoma"/>
                <w:sz w:val="24"/>
              </w:rPr>
            </w:pPr>
            <w:r>
              <w:rPr>
                <w:rFonts w:hint="eastAsia" w:ascii="Tahoma" w:hAnsi="Tahoma"/>
                <w:sz w:val="24"/>
              </w:rPr>
              <w:t>一</w:t>
            </w:r>
          </w:p>
        </w:tc>
        <w:tc>
          <w:tcPr>
            <w:tcW w:w="6038" w:type="dxa"/>
            <w:vAlign w:val="center"/>
          </w:tcPr>
          <w:p w14:paraId="32BC1667">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14:paraId="3103C3AA">
            <w:pPr>
              <w:spacing w:line="360" w:lineRule="auto"/>
              <w:jc w:val="center"/>
              <w:rPr>
                <w:rFonts w:ascii="宋体" w:hAnsi="宋体"/>
                <w:b/>
                <w:sz w:val="24"/>
              </w:rPr>
            </w:pPr>
          </w:p>
        </w:tc>
      </w:tr>
      <w:tr w14:paraId="274E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76B91AB">
            <w:pPr>
              <w:jc w:val="center"/>
              <w:rPr>
                <w:rFonts w:ascii="Tahoma" w:hAnsi="Tahoma"/>
                <w:sz w:val="24"/>
              </w:rPr>
            </w:pPr>
            <w:r>
              <w:rPr>
                <w:rFonts w:hint="eastAsia" w:ascii="Tahoma" w:hAnsi="Tahoma"/>
                <w:sz w:val="24"/>
              </w:rPr>
              <w:t>二</w:t>
            </w:r>
          </w:p>
        </w:tc>
        <w:tc>
          <w:tcPr>
            <w:tcW w:w="6038" w:type="dxa"/>
            <w:vAlign w:val="center"/>
          </w:tcPr>
          <w:p w14:paraId="6E3CE7D1">
            <w:pPr>
              <w:spacing w:line="360" w:lineRule="auto"/>
              <w:rPr>
                <w:rFonts w:ascii="Tahoma" w:hAnsi="Tahoma"/>
                <w:sz w:val="24"/>
              </w:rPr>
            </w:pPr>
            <w:r>
              <w:rPr>
                <w:rFonts w:hint="eastAsia" w:ascii="Tahoma" w:hAnsi="Tahoma"/>
                <w:sz w:val="24"/>
              </w:rPr>
              <w:t>供应商基本信息</w:t>
            </w:r>
          </w:p>
        </w:tc>
        <w:tc>
          <w:tcPr>
            <w:tcW w:w="1417" w:type="dxa"/>
            <w:vAlign w:val="center"/>
          </w:tcPr>
          <w:p w14:paraId="28D49997">
            <w:pPr>
              <w:spacing w:line="360" w:lineRule="auto"/>
              <w:jc w:val="center"/>
              <w:rPr>
                <w:rFonts w:ascii="宋体" w:hAnsi="宋体"/>
                <w:b/>
                <w:sz w:val="24"/>
              </w:rPr>
            </w:pPr>
          </w:p>
        </w:tc>
      </w:tr>
      <w:tr w14:paraId="0119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7ED4DCC">
            <w:pPr>
              <w:jc w:val="center"/>
              <w:rPr>
                <w:rFonts w:ascii="Tahoma" w:hAnsi="Tahoma"/>
                <w:sz w:val="24"/>
              </w:rPr>
            </w:pPr>
            <w:r>
              <w:rPr>
                <w:rFonts w:hint="eastAsia" w:ascii="Tahoma" w:hAnsi="Tahoma"/>
                <w:sz w:val="24"/>
              </w:rPr>
              <w:t>三</w:t>
            </w:r>
          </w:p>
        </w:tc>
        <w:tc>
          <w:tcPr>
            <w:tcW w:w="6038" w:type="dxa"/>
            <w:vAlign w:val="center"/>
          </w:tcPr>
          <w:p w14:paraId="75B9AF56">
            <w:pPr>
              <w:pStyle w:val="74"/>
            </w:pPr>
            <w:r>
              <w:rPr>
                <w:rFonts w:hint="eastAsia" w:ascii="宋体" w:hAnsi="宋体"/>
                <w:szCs w:val="24"/>
              </w:rPr>
              <w:t>谈判授权书</w:t>
            </w:r>
          </w:p>
        </w:tc>
        <w:tc>
          <w:tcPr>
            <w:tcW w:w="1417" w:type="dxa"/>
            <w:vAlign w:val="center"/>
          </w:tcPr>
          <w:p w14:paraId="7346A9E2">
            <w:pPr>
              <w:spacing w:line="360" w:lineRule="auto"/>
              <w:jc w:val="center"/>
              <w:rPr>
                <w:rFonts w:ascii="宋体" w:hAnsi="宋体"/>
                <w:b/>
                <w:sz w:val="24"/>
              </w:rPr>
            </w:pPr>
          </w:p>
        </w:tc>
      </w:tr>
      <w:tr w14:paraId="1DB5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02D3060">
            <w:pPr>
              <w:jc w:val="center"/>
              <w:rPr>
                <w:rFonts w:ascii="Tahoma" w:hAnsi="Tahoma"/>
                <w:sz w:val="24"/>
              </w:rPr>
            </w:pPr>
            <w:r>
              <w:rPr>
                <w:rFonts w:hint="eastAsia" w:ascii="Tahoma" w:hAnsi="Tahoma"/>
                <w:sz w:val="24"/>
              </w:rPr>
              <w:t>四</w:t>
            </w:r>
          </w:p>
        </w:tc>
        <w:tc>
          <w:tcPr>
            <w:tcW w:w="6038" w:type="dxa"/>
            <w:vAlign w:val="center"/>
          </w:tcPr>
          <w:p w14:paraId="2BC40263">
            <w:pPr>
              <w:pStyle w:val="74"/>
            </w:pPr>
            <w:r>
              <w:rPr>
                <w:rFonts w:hint="eastAsia" w:ascii="宋体" w:hAnsi="宋体"/>
                <w:szCs w:val="24"/>
              </w:rPr>
              <w:t>谈判响应函</w:t>
            </w:r>
          </w:p>
        </w:tc>
        <w:tc>
          <w:tcPr>
            <w:tcW w:w="1417" w:type="dxa"/>
            <w:vAlign w:val="center"/>
          </w:tcPr>
          <w:p w14:paraId="6AC87A92">
            <w:pPr>
              <w:spacing w:line="360" w:lineRule="auto"/>
              <w:jc w:val="center"/>
              <w:rPr>
                <w:rFonts w:ascii="宋体" w:hAnsi="宋体"/>
                <w:b/>
                <w:sz w:val="24"/>
              </w:rPr>
            </w:pPr>
          </w:p>
        </w:tc>
      </w:tr>
      <w:tr w14:paraId="4624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8584D0E">
            <w:pPr>
              <w:jc w:val="center"/>
              <w:rPr>
                <w:rFonts w:ascii="Tahoma" w:hAnsi="Tahoma"/>
                <w:sz w:val="24"/>
              </w:rPr>
            </w:pPr>
            <w:r>
              <w:rPr>
                <w:rFonts w:hint="eastAsia" w:ascii="Tahoma" w:hAnsi="Tahoma"/>
                <w:sz w:val="24"/>
              </w:rPr>
              <w:t>五</w:t>
            </w:r>
          </w:p>
        </w:tc>
        <w:tc>
          <w:tcPr>
            <w:tcW w:w="6038" w:type="dxa"/>
            <w:vAlign w:val="center"/>
          </w:tcPr>
          <w:p w14:paraId="3997EA14">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14:paraId="3DB6D9CB">
            <w:pPr>
              <w:spacing w:line="360" w:lineRule="auto"/>
              <w:jc w:val="center"/>
              <w:rPr>
                <w:rFonts w:ascii="宋体" w:hAnsi="宋体"/>
                <w:b/>
                <w:sz w:val="24"/>
              </w:rPr>
            </w:pPr>
          </w:p>
        </w:tc>
      </w:tr>
      <w:tr w14:paraId="301F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609B943E">
            <w:pPr>
              <w:jc w:val="center"/>
              <w:rPr>
                <w:rFonts w:ascii="Tahoma" w:hAnsi="Tahoma"/>
                <w:sz w:val="24"/>
              </w:rPr>
            </w:pPr>
            <w:r>
              <w:rPr>
                <w:rFonts w:hint="eastAsia" w:ascii="Tahoma" w:hAnsi="Tahoma"/>
                <w:sz w:val="24"/>
              </w:rPr>
              <w:t>六</w:t>
            </w:r>
          </w:p>
        </w:tc>
        <w:tc>
          <w:tcPr>
            <w:tcW w:w="6038" w:type="dxa"/>
            <w:vAlign w:val="center"/>
          </w:tcPr>
          <w:p w14:paraId="34983716">
            <w:pPr>
              <w:rPr>
                <w:rFonts w:ascii="宋体" w:hAnsi="宋体" w:cs="宋体"/>
                <w:sz w:val="24"/>
              </w:rPr>
            </w:pPr>
            <w:r>
              <w:rPr>
                <w:rFonts w:hint="eastAsia" w:ascii="宋体" w:hAnsi="宋体" w:cs="宋体"/>
                <w:sz w:val="24"/>
                <w:szCs w:val="24"/>
              </w:rPr>
              <w:t>响应情况表</w:t>
            </w:r>
          </w:p>
        </w:tc>
        <w:tc>
          <w:tcPr>
            <w:tcW w:w="1417" w:type="dxa"/>
            <w:vAlign w:val="center"/>
          </w:tcPr>
          <w:p w14:paraId="7565B457">
            <w:pPr>
              <w:spacing w:line="360" w:lineRule="auto"/>
              <w:rPr>
                <w:rFonts w:ascii="宋体" w:hAnsi="宋体"/>
                <w:b/>
                <w:sz w:val="24"/>
              </w:rPr>
            </w:pPr>
          </w:p>
        </w:tc>
      </w:tr>
      <w:tr w14:paraId="495F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63F2BA48">
            <w:pPr>
              <w:jc w:val="center"/>
              <w:rPr>
                <w:rFonts w:ascii="Tahoma" w:hAnsi="Tahoma"/>
                <w:sz w:val="24"/>
              </w:rPr>
            </w:pPr>
            <w:r>
              <w:rPr>
                <w:rFonts w:hint="eastAsia" w:ascii="Tahoma" w:hAnsi="Tahoma"/>
                <w:sz w:val="24"/>
              </w:rPr>
              <w:t>七</w:t>
            </w:r>
          </w:p>
        </w:tc>
        <w:tc>
          <w:tcPr>
            <w:tcW w:w="6038" w:type="dxa"/>
            <w:vAlign w:val="center"/>
          </w:tcPr>
          <w:p w14:paraId="05EDA70A">
            <w:pPr>
              <w:rPr>
                <w:rFonts w:ascii="宋体" w:hAnsi="宋体" w:cs="宋体"/>
                <w:sz w:val="24"/>
              </w:rPr>
            </w:pPr>
            <w:r>
              <w:rPr>
                <w:rFonts w:hint="eastAsia" w:ascii="宋体" w:hAnsi="宋体" w:cs="宋体"/>
                <w:sz w:val="24"/>
                <w:szCs w:val="24"/>
              </w:rPr>
              <w:t>承诺函</w:t>
            </w:r>
          </w:p>
        </w:tc>
        <w:tc>
          <w:tcPr>
            <w:tcW w:w="1417" w:type="dxa"/>
            <w:vAlign w:val="center"/>
          </w:tcPr>
          <w:p w14:paraId="612666B5">
            <w:pPr>
              <w:spacing w:line="360" w:lineRule="auto"/>
              <w:rPr>
                <w:rFonts w:ascii="宋体" w:hAnsi="宋体"/>
                <w:b/>
                <w:sz w:val="24"/>
              </w:rPr>
            </w:pPr>
          </w:p>
        </w:tc>
      </w:tr>
      <w:tr w14:paraId="7F7F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46FBA776">
            <w:pPr>
              <w:jc w:val="center"/>
              <w:rPr>
                <w:rFonts w:ascii="Tahoma" w:hAnsi="Tahoma"/>
                <w:sz w:val="24"/>
              </w:rPr>
            </w:pPr>
            <w:r>
              <w:rPr>
                <w:rFonts w:hint="eastAsia" w:ascii="Tahoma" w:hAnsi="Tahoma"/>
                <w:sz w:val="24"/>
              </w:rPr>
              <w:t>八</w:t>
            </w:r>
          </w:p>
        </w:tc>
        <w:tc>
          <w:tcPr>
            <w:tcW w:w="6038" w:type="dxa"/>
            <w:vAlign w:val="center"/>
          </w:tcPr>
          <w:p w14:paraId="30B4F4A9">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14:paraId="5A32142D">
            <w:pPr>
              <w:spacing w:line="360" w:lineRule="auto"/>
              <w:rPr>
                <w:rFonts w:ascii="宋体" w:hAnsi="宋体"/>
                <w:b/>
                <w:sz w:val="24"/>
              </w:rPr>
            </w:pPr>
          </w:p>
        </w:tc>
      </w:tr>
      <w:tr w14:paraId="5F7C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7364AE37">
            <w:pPr>
              <w:jc w:val="center"/>
              <w:rPr>
                <w:rFonts w:ascii="Tahoma" w:hAnsi="Tahoma"/>
                <w:sz w:val="24"/>
              </w:rPr>
            </w:pPr>
            <w:r>
              <w:rPr>
                <w:rFonts w:hint="eastAsia" w:ascii="Tahoma" w:hAnsi="Tahoma"/>
                <w:sz w:val="24"/>
              </w:rPr>
              <w:t>九</w:t>
            </w:r>
          </w:p>
        </w:tc>
        <w:tc>
          <w:tcPr>
            <w:tcW w:w="6038" w:type="dxa"/>
            <w:vAlign w:val="center"/>
          </w:tcPr>
          <w:p w14:paraId="13B89A75">
            <w:pPr>
              <w:rPr>
                <w:rFonts w:hint="eastAsia" w:ascii="宋体" w:hAnsi="宋体" w:eastAsia="宋体" w:cs="宋体"/>
                <w:sz w:val="24"/>
                <w:lang w:val="en-US" w:eastAsia="zh-CN"/>
              </w:rPr>
            </w:pPr>
            <w:r>
              <w:rPr>
                <w:rFonts w:hint="eastAsia" w:ascii="宋体" w:hAnsi="宋体" w:cs="宋体"/>
                <w:sz w:val="24"/>
                <w:szCs w:val="24"/>
              </w:rPr>
              <w:t>最终报价</w:t>
            </w:r>
            <w:r>
              <w:rPr>
                <w:rFonts w:hint="eastAsia" w:ascii="宋体" w:hAnsi="宋体" w:cs="宋体"/>
                <w:sz w:val="24"/>
                <w:szCs w:val="24"/>
                <w:lang w:val="en-US" w:eastAsia="zh-CN"/>
              </w:rPr>
              <w:t>书</w:t>
            </w:r>
          </w:p>
        </w:tc>
        <w:tc>
          <w:tcPr>
            <w:tcW w:w="1417" w:type="dxa"/>
            <w:vAlign w:val="center"/>
          </w:tcPr>
          <w:p w14:paraId="58983CFA">
            <w:pPr>
              <w:spacing w:line="360" w:lineRule="auto"/>
              <w:rPr>
                <w:rFonts w:ascii="宋体" w:hAnsi="宋体"/>
                <w:b/>
                <w:sz w:val="24"/>
              </w:rPr>
            </w:pPr>
          </w:p>
        </w:tc>
      </w:tr>
      <w:tr w14:paraId="3B441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7A3F073C">
            <w:pPr>
              <w:jc w:val="center"/>
              <w:rPr>
                <w:rFonts w:ascii="Tahoma" w:hAnsi="Tahoma"/>
                <w:sz w:val="24"/>
              </w:rPr>
            </w:pPr>
          </w:p>
        </w:tc>
        <w:tc>
          <w:tcPr>
            <w:tcW w:w="6038" w:type="dxa"/>
            <w:vAlign w:val="center"/>
          </w:tcPr>
          <w:p w14:paraId="67C2B169">
            <w:pPr>
              <w:rPr>
                <w:rFonts w:ascii="宋体" w:hAnsi="宋体" w:cs="宋体"/>
                <w:sz w:val="24"/>
                <w:szCs w:val="24"/>
              </w:rPr>
            </w:pPr>
          </w:p>
        </w:tc>
        <w:tc>
          <w:tcPr>
            <w:tcW w:w="1417" w:type="dxa"/>
            <w:vAlign w:val="center"/>
          </w:tcPr>
          <w:p w14:paraId="6F0979CC">
            <w:pPr>
              <w:spacing w:line="360" w:lineRule="auto"/>
              <w:rPr>
                <w:rFonts w:ascii="宋体" w:hAnsi="宋体"/>
                <w:b/>
                <w:sz w:val="24"/>
              </w:rPr>
            </w:pPr>
          </w:p>
        </w:tc>
      </w:tr>
      <w:tr w14:paraId="03646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28B5FF4E">
            <w:pPr>
              <w:jc w:val="center"/>
              <w:rPr>
                <w:rFonts w:ascii="Tahoma" w:hAnsi="Tahoma"/>
                <w:sz w:val="24"/>
              </w:rPr>
            </w:pPr>
          </w:p>
        </w:tc>
        <w:tc>
          <w:tcPr>
            <w:tcW w:w="6038" w:type="dxa"/>
            <w:vAlign w:val="center"/>
          </w:tcPr>
          <w:p w14:paraId="384EFC9C">
            <w:pPr>
              <w:rPr>
                <w:rFonts w:ascii="宋体" w:hAnsi="宋体" w:cs="宋体"/>
                <w:sz w:val="24"/>
                <w:szCs w:val="24"/>
              </w:rPr>
            </w:pPr>
          </w:p>
        </w:tc>
        <w:tc>
          <w:tcPr>
            <w:tcW w:w="1417" w:type="dxa"/>
            <w:vAlign w:val="center"/>
          </w:tcPr>
          <w:p w14:paraId="5243FCA6">
            <w:pPr>
              <w:spacing w:line="360" w:lineRule="auto"/>
              <w:rPr>
                <w:rFonts w:ascii="宋体" w:hAnsi="宋体"/>
                <w:b/>
                <w:sz w:val="24"/>
              </w:rPr>
            </w:pPr>
          </w:p>
        </w:tc>
      </w:tr>
      <w:tr w14:paraId="0778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D062EF7">
            <w:pPr>
              <w:jc w:val="center"/>
              <w:rPr>
                <w:rFonts w:ascii="Tahoma" w:hAnsi="Tahoma"/>
                <w:sz w:val="24"/>
              </w:rPr>
            </w:pPr>
          </w:p>
        </w:tc>
        <w:tc>
          <w:tcPr>
            <w:tcW w:w="6038" w:type="dxa"/>
            <w:vAlign w:val="center"/>
          </w:tcPr>
          <w:p w14:paraId="1EE1F53C">
            <w:pPr>
              <w:rPr>
                <w:sz w:val="24"/>
              </w:rPr>
            </w:pPr>
          </w:p>
        </w:tc>
        <w:tc>
          <w:tcPr>
            <w:tcW w:w="1417" w:type="dxa"/>
            <w:vAlign w:val="center"/>
          </w:tcPr>
          <w:p w14:paraId="7C46711F">
            <w:pPr>
              <w:spacing w:line="360" w:lineRule="auto"/>
              <w:rPr>
                <w:rFonts w:ascii="宋体" w:hAnsi="宋体"/>
                <w:b/>
                <w:sz w:val="24"/>
              </w:rPr>
            </w:pPr>
          </w:p>
        </w:tc>
      </w:tr>
    </w:tbl>
    <w:p w14:paraId="31B12EC1">
      <w:pPr>
        <w:spacing w:line="360" w:lineRule="auto"/>
        <w:jc w:val="center"/>
        <w:rPr>
          <w:rFonts w:ascii="宋体" w:hAnsi="宋体"/>
          <w:b/>
          <w:sz w:val="24"/>
        </w:rPr>
      </w:pPr>
    </w:p>
    <w:p w14:paraId="629F7750">
      <w:pPr>
        <w:spacing w:line="360" w:lineRule="auto"/>
        <w:jc w:val="center"/>
        <w:rPr>
          <w:rFonts w:ascii="宋体" w:hAnsi="宋体"/>
          <w:b/>
          <w:sz w:val="24"/>
        </w:rPr>
      </w:pPr>
    </w:p>
    <w:p w14:paraId="5281EF02">
      <w:pPr>
        <w:spacing w:line="360" w:lineRule="auto"/>
        <w:jc w:val="center"/>
        <w:rPr>
          <w:rFonts w:ascii="宋体" w:hAnsi="宋体"/>
          <w:b/>
          <w:sz w:val="24"/>
        </w:rPr>
      </w:pPr>
    </w:p>
    <w:p w14:paraId="64AA1410">
      <w:pPr>
        <w:rPr>
          <w:rFonts w:ascii="宋体" w:hAnsi="宋体" w:cs="宋体"/>
          <w:sz w:val="24"/>
          <w:szCs w:val="24"/>
        </w:rPr>
      </w:pPr>
      <w:r>
        <w:rPr>
          <w:rFonts w:hint="eastAsia" w:ascii="宋体" w:hAnsi="宋体" w:cs="宋体"/>
          <w:sz w:val="24"/>
          <w:szCs w:val="24"/>
        </w:rPr>
        <w:br w:type="page"/>
      </w:r>
    </w:p>
    <w:p w14:paraId="2BBF709B">
      <w:pPr>
        <w:pStyle w:val="7"/>
        <w:spacing w:before="0" w:after="0" w:line="560" w:lineRule="exact"/>
        <w:rPr>
          <w:rFonts w:ascii="宋体" w:hAnsi="宋体" w:eastAsia="宋体" w:cs="宋体"/>
          <w:sz w:val="24"/>
          <w:szCs w:val="24"/>
        </w:rPr>
      </w:pPr>
      <w:bookmarkStart w:id="85" w:name="_Toc970"/>
      <w:r>
        <w:rPr>
          <w:rFonts w:hint="eastAsia" w:ascii="宋体" w:hAnsi="宋体" w:eastAsia="宋体" w:cs="宋体"/>
          <w:sz w:val="24"/>
          <w:szCs w:val="24"/>
        </w:rPr>
        <w:t>附件一</w:t>
      </w:r>
      <w:bookmarkEnd w:id="85"/>
    </w:p>
    <w:p w14:paraId="0668C0C3">
      <w:pPr>
        <w:pStyle w:val="7"/>
        <w:spacing w:before="0" w:after="0" w:line="560" w:lineRule="exact"/>
        <w:ind w:firstLine="482" w:firstLineChars="200"/>
        <w:jc w:val="center"/>
        <w:rPr>
          <w:rFonts w:ascii="宋体" w:hAnsi="宋体" w:eastAsia="宋体" w:cs="宋体"/>
          <w:sz w:val="24"/>
          <w:szCs w:val="24"/>
        </w:rPr>
      </w:pPr>
      <w:bookmarkStart w:id="86" w:name="_Toc10816"/>
      <w:bookmarkStart w:id="87" w:name="_Toc5601"/>
      <w:bookmarkStart w:id="88" w:name="_Toc6891"/>
      <w:r>
        <w:rPr>
          <w:rFonts w:hint="eastAsia" w:ascii="宋体" w:hAnsi="宋体" w:eastAsia="宋体" w:cs="宋体"/>
          <w:sz w:val="24"/>
          <w:szCs w:val="24"/>
        </w:rPr>
        <w:t>1、报价单</w:t>
      </w:r>
      <w:bookmarkEnd w:id="86"/>
      <w:bookmarkEnd w:id="87"/>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EA5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8FD8CAE">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14:paraId="723AAA2B">
            <w:pPr>
              <w:spacing w:line="360" w:lineRule="exact"/>
              <w:jc w:val="center"/>
              <w:rPr>
                <w:rFonts w:ascii="宋体" w:hAnsi="宋体" w:cs="宋体"/>
                <w:bCs/>
                <w:sz w:val="24"/>
                <w:u w:val="single"/>
              </w:rPr>
            </w:pPr>
            <w:r>
              <w:rPr>
                <w:rFonts w:hint="eastAsia" w:ascii="宋体" w:hAnsi="宋体" w:cs="宋体"/>
                <w:bCs/>
                <w:sz w:val="24"/>
              </w:rPr>
              <w:t>某项目</w:t>
            </w:r>
          </w:p>
        </w:tc>
      </w:tr>
      <w:tr w14:paraId="1316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3666F64">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14:paraId="2812D305">
            <w:pPr>
              <w:jc w:val="center"/>
              <w:rPr>
                <w:rFonts w:ascii="宋体" w:hAnsi="宋体" w:cs="宋体"/>
                <w:bCs/>
                <w:sz w:val="24"/>
              </w:rPr>
            </w:pPr>
            <w:r>
              <w:rPr>
                <w:rFonts w:hint="eastAsia" w:ascii="宋体" w:hAnsi="宋体" w:cs="宋体"/>
                <w:bCs/>
                <w:sz w:val="24"/>
              </w:rPr>
              <w:t>某编号</w:t>
            </w:r>
          </w:p>
        </w:tc>
      </w:tr>
      <w:tr w14:paraId="2022D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DD3AC1">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14:paraId="46128BFB">
            <w:pPr>
              <w:spacing w:line="360" w:lineRule="auto"/>
              <w:rPr>
                <w:rFonts w:ascii="宋体" w:hAnsi="宋体" w:cs="宋体"/>
                <w:bCs/>
                <w:sz w:val="24"/>
              </w:rPr>
            </w:pPr>
          </w:p>
        </w:tc>
      </w:tr>
      <w:tr w14:paraId="30B4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056CB61">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14:paraId="15EA9D0E">
            <w:pPr>
              <w:spacing w:line="360" w:lineRule="exact"/>
              <w:rPr>
                <w:rFonts w:ascii="宋体" w:hAnsi="宋体" w:cs="宋体"/>
                <w:bCs/>
                <w:sz w:val="24"/>
              </w:rPr>
            </w:pPr>
            <w:r>
              <w:rPr>
                <w:rFonts w:hint="eastAsia" w:ascii="宋体" w:hAnsi="宋体" w:cs="宋体"/>
                <w:bCs/>
                <w:sz w:val="24"/>
              </w:rPr>
              <w:t>全部</w:t>
            </w:r>
          </w:p>
        </w:tc>
      </w:tr>
      <w:tr w14:paraId="3A6B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4B0AB59A">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14:paraId="18C8B9A5">
            <w:pPr>
              <w:spacing w:line="560" w:lineRule="exact"/>
              <w:rPr>
                <w:rFonts w:hint="eastAsia" w:ascii="宋体" w:hAnsi="宋体" w:cs="宋体"/>
                <w:sz w:val="24"/>
                <w:szCs w:val="24"/>
              </w:rPr>
            </w:pPr>
            <w:r>
              <w:rPr>
                <w:rFonts w:hint="eastAsia" w:ascii="宋体" w:hAnsi="宋体" w:cs="宋体"/>
                <w:sz w:val="24"/>
                <w:szCs w:val="24"/>
              </w:rPr>
              <w:t>大写：</w:t>
            </w:r>
            <w:r>
              <w:rPr>
                <w:rFonts w:hint="eastAsia" w:ascii="宋体" w:hAnsi="宋体" w:cs="宋体"/>
                <w:sz w:val="24"/>
                <w:szCs w:val="24"/>
                <w:u w:val="none"/>
              </w:rPr>
              <w:t xml:space="preserve">         </w:t>
            </w:r>
          </w:p>
          <w:p w14:paraId="61138B00">
            <w:pPr>
              <w:spacing w:line="560" w:lineRule="exact"/>
              <w:rPr>
                <w:rFonts w:ascii="Calibri" w:hAnsi="Calibri"/>
                <w:sz w:val="24"/>
                <w:szCs w:val="24"/>
              </w:rPr>
            </w:pPr>
            <w:r>
              <w:rPr>
                <w:rFonts w:hint="eastAsia" w:ascii="宋体" w:hAnsi="宋体" w:cs="宋体"/>
                <w:sz w:val="24"/>
                <w:szCs w:val="24"/>
                <w:lang w:val="en-US" w:eastAsia="zh-CN"/>
              </w:rPr>
              <w:t>小写：</w:t>
            </w:r>
            <w:r>
              <w:rPr>
                <w:rFonts w:hint="eastAsia" w:ascii="宋体" w:hAnsi="宋体" w:cs="宋体"/>
                <w:sz w:val="24"/>
                <w:szCs w:val="24"/>
                <w:u w:val="single"/>
                <w:lang w:val="en-US" w:eastAsia="zh-CN"/>
              </w:rPr>
              <w:t xml:space="preserve">           </w:t>
            </w:r>
            <w:r>
              <w:rPr>
                <w:rFonts w:hint="eastAsia" w:ascii="宋体" w:hAnsi="宋体" w:cs="宋体"/>
                <w:sz w:val="24"/>
                <w:szCs w:val="24"/>
              </w:rPr>
              <w:t xml:space="preserve">（精确到小数点后两位，可编辑） </w:t>
            </w:r>
          </w:p>
          <w:p w14:paraId="474AD525">
            <w:pPr>
              <w:spacing w:line="360" w:lineRule="auto"/>
              <w:ind w:right="-670"/>
              <w:rPr>
                <w:rFonts w:ascii="宋体" w:hAnsi="宋体" w:cs="宋体"/>
                <w:bCs/>
                <w:sz w:val="24"/>
              </w:rPr>
            </w:pPr>
          </w:p>
        </w:tc>
      </w:tr>
      <w:tr w14:paraId="1F81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4348B0BC">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14:paraId="15A71C40">
            <w:pPr>
              <w:spacing w:line="360" w:lineRule="auto"/>
              <w:rPr>
                <w:rFonts w:ascii="宋体" w:hAnsi="宋体" w:cs="宋体"/>
                <w:bCs/>
                <w:sz w:val="24"/>
              </w:rPr>
            </w:pPr>
          </w:p>
        </w:tc>
      </w:tr>
    </w:tbl>
    <w:p w14:paraId="0903C35F">
      <w:pPr>
        <w:rPr>
          <w:rFonts w:ascii="宋体" w:hAnsi="宋体" w:cs="宋体"/>
          <w:sz w:val="24"/>
          <w:szCs w:val="24"/>
        </w:rPr>
      </w:pPr>
    </w:p>
    <w:p w14:paraId="277D7E5C">
      <w:pPr>
        <w:pStyle w:val="20"/>
        <w:spacing w:line="360" w:lineRule="auto"/>
        <w:rPr>
          <w:rFonts w:ascii="宋体" w:hAnsi="宋体" w:eastAsia="宋体" w:cs="宋体"/>
          <w:b/>
          <w:bCs/>
          <w:sz w:val="24"/>
        </w:rPr>
      </w:pPr>
    </w:p>
    <w:p w14:paraId="662CA668">
      <w:pPr>
        <w:pStyle w:val="20"/>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lang w:eastAsia="zh-CN"/>
        </w:rPr>
        <w:t>供应商加盖电子签章</w:t>
      </w:r>
      <w:r>
        <w:rPr>
          <w:rFonts w:hint="eastAsia" w:ascii="宋体" w:hAnsi="宋体" w:eastAsia="宋体" w:cs="宋体"/>
          <w:b/>
          <w:bCs/>
          <w:sz w:val="24"/>
        </w:rPr>
        <w:t>：</w:t>
      </w:r>
    </w:p>
    <w:p w14:paraId="6938E5F1">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14:paraId="54AB9DBA">
      <w:pPr>
        <w:spacing w:line="360" w:lineRule="auto"/>
        <w:rPr>
          <w:rFonts w:ascii="宋体" w:hAnsi="宋体"/>
          <w:b/>
          <w:sz w:val="24"/>
          <w:szCs w:val="24"/>
        </w:rPr>
      </w:pPr>
    </w:p>
    <w:p w14:paraId="78EA60DC">
      <w:pPr>
        <w:pStyle w:val="7"/>
        <w:wordWrap w:val="0"/>
        <w:spacing w:before="0" w:after="0" w:line="520" w:lineRule="exact"/>
        <w:ind w:firstLine="482" w:firstLineChars="200"/>
        <w:rPr>
          <w:rFonts w:ascii="宋体" w:hAnsi="宋体" w:eastAsia="宋体" w:cs="宋体"/>
          <w:sz w:val="24"/>
          <w:szCs w:val="24"/>
        </w:rPr>
      </w:pPr>
    </w:p>
    <w:p w14:paraId="725DCA33">
      <w:pPr>
        <w:rPr>
          <w:rFonts w:ascii="宋体" w:hAnsi="宋体" w:cs="宋体"/>
          <w:sz w:val="24"/>
          <w:szCs w:val="24"/>
        </w:rPr>
      </w:pPr>
    </w:p>
    <w:p w14:paraId="166E2A93">
      <w:pPr>
        <w:pStyle w:val="7"/>
        <w:wordWrap w:val="0"/>
        <w:spacing w:before="0" w:after="0" w:line="52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14:paraId="61E71EE5">
      <w:pPr>
        <w:pStyle w:val="2"/>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14:paraId="5B2BEEB2">
      <w:pPr>
        <w:pStyle w:val="7"/>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88"/>
    </w:p>
    <w:p w14:paraId="5C480FBA">
      <w:pPr>
        <w:pStyle w:val="7"/>
        <w:wordWrap w:val="0"/>
        <w:spacing w:before="0" w:after="0" w:line="520" w:lineRule="exact"/>
        <w:jc w:val="center"/>
        <w:rPr>
          <w:rFonts w:hint="eastAsia" w:ascii="宋体" w:hAnsi="宋体" w:eastAsia="宋体" w:cs="宋体"/>
          <w:sz w:val="24"/>
          <w:szCs w:val="24"/>
        </w:rPr>
      </w:pPr>
      <w:bookmarkStart w:id="89" w:name="_Toc31020"/>
      <w:bookmarkStart w:id="90" w:name="_Toc17280"/>
      <w:r>
        <w:rPr>
          <w:rFonts w:hint="eastAsia" w:ascii="宋体" w:hAnsi="宋体" w:eastAsia="宋体" w:cs="宋体"/>
          <w:sz w:val="24"/>
          <w:szCs w:val="24"/>
        </w:rPr>
        <w:t>供应商基本信息</w:t>
      </w:r>
      <w:bookmarkEnd w:id="89"/>
      <w:bookmarkEnd w:id="90"/>
    </w:p>
    <w:p w14:paraId="0E80885C">
      <w:pPr>
        <w:pStyle w:val="2"/>
        <w:spacing w:line="520" w:lineRule="exact"/>
        <w:ind w:firstLine="480" w:firstLineChars="200"/>
        <w:rPr>
          <w:rFonts w:ascii="宋体" w:hAnsi="宋体"/>
          <w:szCs w:val="24"/>
        </w:rPr>
      </w:pPr>
      <w:r>
        <w:rPr>
          <w:rFonts w:hint="eastAsia" w:ascii="宋体" w:hAnsi="宋体"/>
          <w:szCs w:val="24"/>
        </w:rPr>
        <w:t>后附营业执照、资质证书、安全生产许可证、项目经理建造师证书、项目经理安全生产考核合格证书、技术负责人资格证书及社保、人员配备等资料原件复印件或</w:t>
      </w:r>
      <w:r>
        <w:rPr>
          <w:rFonts w:hint="eastAsia" w:ascii="宋体" w:hAnsi="宋体"/>
          <w:szCs w:val="24"/>
          <w:lang w:val="en-US" w:eastAsia="zh-CN"/>
        </w:rPr>
        <w:t>扫描</w:t>
      </w:r>
      <w:r>
        <w:rPr>
          <w:rFonts w:hint="eastAsia" w:ascii="宋体" w:hAnsi="宋体"/>
          <w:szCs w:val="24"/>
        </w:rPr>
        <w:t>件。</w:t>
      </w:r>
    </w:p>
    <w:p w14:paraId="73F55622">
      <w:pPr>
        <w:spacing w:line="360" w:lineRule="auto"/>
        <w:jc w:val="center"/>
      </w:pPr>
    </w:p>
    <w:p w14:paraId="6A1C20C0">
      <w:pPr>
        <w:pStyle w:val="7"/>
        <w:wordWrap w:val="0"/>
        <w:spacing w:before="0" w:after="0" w:line="560" w:lineRule="exact"/>
        <w:rPr>
          <w:rFonts w:ascii="宋体" w:hAnsi="宋体" w:eastAsia="宋体" w:cs="宋体"/>
          <w:sz w:val="24"/>
          <w:szCs w:val="24"/>
        </w:rPr>
      </w:pPr>
      <w:bookmarkStart w:id="91" w:name="_Toc30812"/>
      <w:r>
        <w:rPr>
          <w:rFonts w:hint="eastAsia" w:ascii="宋体" w:hAnsi="宋体" w:eastAsia="宋体" w:cs="宋体"/>
          <w:sz w:val="24"/>
          <w:szCs w:val="24"/>
        </w:rPr>
        <w:t>附件三</w:t>
      </w:r>
      <w:bookmarkEnd w:id="91"/>
    </w:p>
    <w:p w14:paraId="58B78471">
      <w:pPr>
        <w:pStyle w:val="7"/>
        <w:wordWrap w:val="0"/>
        <w:spacing w:before="0" w:after="0" w:line="520" w:lineRule="exact"/>
        <w:jc w:val="center"/>
        <w:rPr>
          <w:rFonts w:hint="eastAsia" w:ascii="宋体" w:hAnsi="宋体" w:eastAsia="宋体" w:cs="宋体"/>
          <w:sz w:val="24"/>
          <w:szCs w:val="24"/>
        </w:rPr>
      </w:pPr>
      <w:bookmarkStart w:id="92" w:name="_Toc3234"/>
      <w:bookmarkStart w:id="93" w:name="_Toc10696"/>
      <w:r>
        <w:rPr>
          <w:rFonts w:hint="eastAsia" w:ascii="宋体" w:hAnsi="宋体" w:eastAsia="宋体" w:cs="宋体"/>
          <w:sz w:val="24"/>
          <w:szCs w:val="24"/>
        </w:rPr>
        <w:t>谈判授权书</w:t>
      </w:r>
      <w:bookmarkEnd w:id="92"/>
      <w:bookmarkEnd w:id="93"/>
    </w:p>
    <w:p w14:paraId="13F79060">
      <w:pPr>
        <w:rPr>
          <w:rFonts w:ascii="宋体" w:hAnsi="宋体"/>
          <w:sz w:val="24"/>
          <w:szCs w:val="24"/>
        </w:rPr>
      </w:pPr>
    </w:p>
    <w:p w14:paraId="7A0F563F">
      <w:pPr>
        <w:spacing w:line="480" w:lineRule="auto"/>
        <w:jc w:val="left"/>
        <w:rPr>
          <w:rFonts w:ascii="宋体" w:hAnsi="宋体"/>
          <w:sz w:val="24"/>
          <w:szCs w:val="24"/>
        </w:rPr>
      </w:pPr>
      <w:r>
        <w:rPr>
          <w:rFonts w:hint="eastAsia" w:ascii="宋体" w:hAnsi="宋体"/>
          <w:sz w:val="24"/>
          <w:szCs w:val="24"/>
        </w:rPr>
        <w:t>致：_________________</w:t>
      </w:r>
    </w:p>
    <w:p w14:paraId="6BA54D99">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14:paraId="22EC4B4B">
      <w:pPr>
        <w:spacing w:line="480" w:lineRule="auto"/>
        <w:ind w:firstLine="480" w:firstLineChars="200"/>
        <w:jc w:val="left"/>
        <w:rPr>
          <w:rFonts w:ascii="宋体" w:hAnsi="宋体"/>
          <w:sz w:val="24"/>
          <w:szCs w:val="24"/>
        </w:rPr>
      </w:pPr>
      <w:r>
        <w:rPr>
          <w:rFonts w:hint="eastAsia" w:ascii="宋体" w:hAnsi="宋体"/>
          <w:sz w:val="24"/>
          <w:szCs w:val="24"/>
        </w:rPr>
        <w:t>特此声明。</w:t>
      </w:r>
    </w:p>
    <w:p w14:paraId="3FB6C2FC">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14:paraId="7C1A5423">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14:paraId="36E6F377">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7F4353BB">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0858FAAC">
      <w:pPr>
        <w:spacing w:line="360" w:lineRule="auto"/>
        <w:ind w:firstLine="1084" w:firstLineChars="450"/>
        <w:jc w:val="left"/>
        <w:rPr>
          <w:rFonts w:ascii="宋体" w:hAnsi="宋体"/>
          <w:b/>
          <w:bCs/>
          <w:sz w:val="24"/>
          <w:szCs w:val="24"/>
        </w:rPr>
      </w:pPr>
    </w:p>
    <w:p w14:paraId="3D93DB4E">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14:paraId="792326AE">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14:paraId="75C273F4">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3076B1D6">
      <w:pPr>
        <w:spacing w:line="360" w:lineRule="auto"/>
        <w:ind w:firstLine="1200" w:firstLineChars="500"/>
        <w:jc w:val="left"/>
        <w:rPr>
          <w:rFonts w:ascii="宋体" w:hAnsi="宋体"/>
          <w:sz w:val="24"/>
          <w:szCs w:val="24"/>
        </w:rPr>
      </w:pPr>
      <w:r>
        <w:rPr>
          <w:rFonts w:hint="eastAsia" w:ascii="宋体" w:hAnsi="宋体"/>
          <w:sz w:val="24"/>
          <w:szCs w:val="24"/>
        </w:rPr>
        <w:t>固定电话：</w:t>
      </w:r>
      <w:r>
        <w:rPr>
          <w:rFonts w:hint="eastAsia" w:ascii="宋体" w:hAnsi="宋体"/>
          <w:sz w:val="24"/>
          <w:szCs w:val="24"/>
          <w:u w:val="single"/>
        </w:rPr>
        <w:t xml:space="preserve">                          </w:t>
      </w:r>
      <w:r>
        <w:rPr>
          <w:rFonts w:hint="eastAsia" w:ascii="宋体" w:hAnsi="宋体"/>
          <w:sz w:val="24"/>
          <w:szCs w:val="24"/>
        </w:rPr>
        <w:t xml:space="preserve">                                                  </w:t>
      </w:r>
    </w:p>
    <w:p w14:paraId="07D81291">
      <w:pPr>
        <w:spacing w:line="360" w:lineRule="auto"/>
        <w:ind w:firstLine="4245" w:firstLineChars="1762"/>
        <w:rPr>
          <w:rFonts w:hint="eastAsia" w:ascii="宋体" w:hAnsi="宋体"/>
          <w:b/>
          <w:bCs/>
          <w:sz w:val="24"/>
          <w:szCs w:val="24"/>
        </w:rPr>
      </w:pPr>
      <w:r>
        <w:rPr>
          <w:rFonts w:hint="eastAsia" w:ascii="宋体" w:hAnsi="宋体"/>
          <w:b/>
          <w:bCs/>
          <w:sz w:val="24"/>
          <w:szCs w:val="24"/>
          <w:lang w:eastAsia="zh-CN"/>
        </w:rPr>
        <w:t>供应商加盖电子签章</w:t>
      </w:r>
      <w:r>
        <w:rPr>
          <w:rFonts w:hint="eastAsia" w:ascii="宋体" w:hAnsi="宋体"/>
          <w:b/>
          <w:bCs/>
          <w:sz w:val="24"/>
          <w:szCs w:val="24"/>
        </w:rPr>
        <w:t>：</w:t>
      </w:r>
    </w:p>
    <w:p w14:paraId="383DC3FF">
      <w:pPr>
        <w:spacing w:line="360" w:lineRule="auto"/>
        <w:ind w:firstLine="4245" w:firstLineChars="1762"/>
        <w:rPr>
          <w:rFonts w:ascii="宋体" w:hAnsi="宋体"/>
          <w:b/>
          <w:bCs/>
          <w:sz w:val="24"/>
          <w:szCs w:val="24"/>
        </w:rPr>
      </w:pPr>
      <w:r>
        <w:rPr>
          <w:rFonts w:hint="eastAsia" w:ascii="宋体" w:hAnsi="宋体"/>
          <w:b/>
          <w:bCs/>
          <w:sz w:val="24"/>
          <w:szCs w:val="24"/>
        </w:rPr>
        <w:t>日期：</w:t>
      </w:r>
    </w:p>
    <w:p w14:paraId="3427BD62">
      <w:pPr>
        <w:spacing w:line="360" w:lineRule="auto"/>
        <w:rPr>
          <w:rFonts w:hint="eastAsia" w:ascii="宋体" w:hAnsi="宋体" w:cs="宋体"/>
          <w:b/>
          <w:sz w:val="24"/>
          <w:szCs w:val="24"/>
        </w:rPr>
      </w:pPr>
      <w:bookmarkStart w:id="94" w:name="_Toc15172"/>
    </w:p>
    <w:p w14:paraId="3F00B583">
      <w:pPr>
        <w:spacing w:line="360" w:lineRule="auto"/>
        <w:rPr>
          <w:rFonts w:ascii="宋体" w:hAnsi="宋体" w:cs="宋体"/>
          <w:b/>
          <w:sz w:val="24"/>
          <w:szCs w:val="24"/>
        </w:rPr>
      </w:pPr>
      <w:r>
        <w:rPr>
          <w:rFonts w:hint="eastAsia" w:ascii="宋体" w:hAnsi="宋体" w:cs="宋体"/>
          <w:b/>
          <w:sz w:val="24"/>
          <w:szCs w:val="24"/>
        </w:rPr>
        <w:t>法定代表人身份证复印件</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57384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0FC6AF9B">
            <w:pPr>
              <w:spacing w:line="240" w:lineRule="atLeast"/>
              <w:rPr>
                <w:rFonts w:ascii="宋体" w:hAnsi="宋体" w:cs="宋体"/>
                <w:b/>
                <w:sz w:val="24"/>
                <w:szCs w:val="24"/>
              </w:rPr>
            </w:pPr>
          </w:p>
          <w:p w14:paraId="6AF4DAD8">
            <w:pPr>
              <w:spacing w:line="240" w:lineRule="atLeast"/>
              <w:rPr>
                <w:rFonts w:ascii="宋体" w:hAnsi="宋体" w:cs="宋体"/>
                <w:b/>
                <w:sz w:val="24"/>
                <w:szCs w:val="24"/>
              </w:rPr>
            </w:pPr>
            <w:r>
              <w:rPr>
                <w:rFonts w:hint="eastAsia" w:ascii="宋体" w:hAnsi="宋体" w:cs="宋体"/>
                <w:b/>
                <w:sz w:val="24"/>
                <w:szCs w:val="24"/>
              </w:rPr>
              <w:t>此处贴法人代表身份证正面</w:t>
            </w:r>
          </w:p>
          <w:p w14:paraId="1864327F">
            <w:pPr>
              <w:spacing w:line="240" w:lineRule="atLeast"/>
              <w:rPr>
                <w:rFonts w:ascii="宋体" w:hAnsi="宋体" w:cs="宋体"/>
                <w:b/>
                <w:sz w:val="24"/>
                <w:szCs w:val="24"/>
              </w:rPr>
            </w:pPr>
          </w:p>
          <w:p w14:paraId="75565B13">
            <w:pPr>
              <w:spacing w:line="240" w:lineRule="atLeast"/>
              <w:rPr>
                <w:rFonts w:ascii="宋体" w:hAnsi="宋体" w:cs="宋体"/>
                <w:b/>
                <w:sz w:val="24"/>
                <w:szCs w:val="24"/>
              </w:rPr>
            </w:pPr>
          </w:p>
          <w:p w14:paraId="488505ED">
            <w:pPr>
              <w:spacing w:line="240" w:lineRule="atLeast"/>
              <w:rPr>
                <w:rFonts w:ascii="宋体" w:hAnsi="宋体" w:cs="宋体"/>
                <w:b/>
                <w:sz w:val="24"/>
                <w:szCs w:val="24"/>
              </w:rPr>
            </w:pPr>
          </w:p>
        </w:tc>
      </w:tr>
    </w:tbl>
    <w:p w14:paraId="4A50C44B">
      <w:pPr>
        <w:spacing w:line="240" w:lineRule="atLeast"/>
        <w:rPr>
          <w:rFonts w:ascii="宋体" w:hAnsi="宋体" w:cs="宋体"/>
          <w:b/>
          <w:sz w:val="24"/>
          <w:szCs w:val="24"/>
        </w:rPr>
      </w:pP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2BD67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14:paraId="1DFDCBB7">
            <w:pPr>
              <w:spacing w:line="240" w:lineRule="atLeast"/>
              <w:rPr>
                <w:rFonts w:ascii="宋体" w:hAnsi="宋体" w:cs="宋体"/>
                <w:b/>
                <w:sz w:val="24"/>
                <w:szCs w:val="24"/>
              </w:rPr>
            </w:pPr>
          </w:p>
          <w:p w14:paraId="4FDEA9D7">
            <w:pPr>
              <w:spacing w:line="240" w:lineRule="atLeast"/>
              <w:rPr>
                <w:rFonts w:ascii="宋体" w:hAnsi="宋体" w:cs="宋体"/>
                <w:b/>
                <w:sz w:val="24"/>
                <w:szCs w:val="24"/>
              </w:rPr>
            </w:pPr>
            <w:r>
              <w:rPr>
                <w:rFonts w:hint="eastAsia" w:ascii="宋体" w:hAnsi="宋体" w:cs="宋体"/>
                <w:b/>
                <w:sz w:val="24"/>
                <w:szCs w:val="24"/>
              </w:rPr>
              <w:t>此处贴法人代表身份证背面</w:t>
            </w:r>
          </w:p>
          <w:p w14:paraId="6B5A951F">
            <w:pPr>
              <w:spacing w:line="240" w:lineRule="atLeast"/>
              <w:rPr>
                <w:rFonts w:ascii="宋体" w:hAnsi="宋体" w:cs="宋体"/>
                <w:b/>
                <w:sz w:val="24"/>
                <w:szCs w:val="24"/>
              </w:rPr>
            </w:pPr>
          </w:p>
          <w:p w14:paraId="03A10BDD">
            <w:pPr>
              <w:spacing w:line="240" w:lineRule="atLeast"/>
              <w:rPr>
                <w:rFonts w:ascii="宋体" w:hAnsi="宋体" w:cs="宋体"/>
                <w:b/>
                <w:sz w:val="24"/>
                <w:szCs w:val="24"/>
              </w:rPr>
            </w:pPr>
          </w:p>
          <w:p w14:paraId="2DCF07C0">
            <w:pPr>
              <w:spacing w:line="240" w:lineRule="atLeast"/>
              <w:rPr>
                <w:rFonts w:ascii="宋体" w:hAnsi="宋体" w:cs="宋体"/>
                <w:b/>
                <w:sz w:val="24"/>
                <w:szCs w:val="24"/>
              </w:rPr>
            </w:pPr>
          </w:p>
          <w:p w14:paraId="0E9991BC">
            <w:pPr>
              <w:spacing w:line="240" w:lineRule="atLeast"/>
              <w:rPr>
                <w:rFonts w:ascii="宋体" w:hAnsi="宋体" w:cs="宋体"/>
                <w:b/>
                <w:sz w:val="24"/>
                <w:szCs w:val="24"/>
              </w:rPr>
            </w:pPr>
          </w:p>
        </w:tc>
      </w:tr>
    </w:tbl>
    <w:p w14:paraId="50DCE147">
      <w:pPr>
        <w:spacing w:line="240" w:lineRule="atLeast"/>
        <w:rPr>
          <w:rFonts w:ascii="宋体" w:hAnsi="宋体" w:cs="宋体"/>
          <w:b/>
          <w:sz w:val="24"/>
          <w:szCs w:val="24"/>
        </w:rPr>
      </w:pPr>
    </w:p>
    <w:p w14:paraId="0C026848">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6F2964D9">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074BAD27">
      <w:pPr>
        <w:spacing w:line="360" w:lineRule="auto"/>
        <w:rPr>
          <w:rFonts w:ascii="宋体" w:hAnsi="宋体" w:cs="宋体"/>
          <w:b/>
          <w:sz w:val="24"/>
          <w:szCs w:val="24"/>
        </w:rPr>
      </w:pPr>
    </w:p>
    <w:p w14:paraId="63CE99A6">
      <w:pPr>
        <w:pStyle w:val="30"/>
      </w:pPr>
    </w:p>
    <w:p w14:paraId="4F737C9C">
      <w:pPr>
        <w:rPr>
          <w:rFonts w:ascii="宋体" w:hAnsi="宋体" w:cs="宋体"/>
          <w:sz w:val="24"/>
          <w:szCs w:val="24"/>
        </w:rPr>
      </w:pPr>
    </w:p>
    <w:p w14:paraId="39764E10">
      <w:pPr>
        <w:rPr>
          <w:rFonts w:ascii="宋体" w:hAnsi="宋体" w:cs="宋体"/>
          <w:sz w:val="24"/>
          <w:szCs w:val="24"/>
        </w:rPr>
      </w:pPr>
    </w:p>
    <w:p w14:paraId="17B07B79">
      <w:pPr>
        <w:rPr>
          <w:rFonts w:ascii="宋体" w:hAnsi="宋体" w:cs="宋体"/>
          <w:sz w:val="24"/>
          <w:szCs w:val="24"/>
        </w:rPr>
      </w:pPr>
    </w:p>
    <w:p w14:paraId="495D3032">
      <w:pPr>
        <w:rPr>
          <w:rFonts w:ascii="宋体" w:hAnsi="宋体" w:cs="宋体"/>
          <w:sz w:val="24"/>
          <w:szCs w:val="24"/>
        </w:rPr>
      </w:pPr>
    </w:p>
    <w:p w14:paraId="126ECAE7">
      <w:pPr>
        <w:spacing w:line="360" w:lineRule="auto"/>
        <w:rPr>
          <w:rFonts w:ascii="宋体" w:hAnsi="宋体" w:cs="宋体"/>
          <w:b/>
          <w:sz w:val="24"/>
          <w:szCs w:val="24"/>
        </w:rPr>
      </w:pPr>
    </w:p>
    <w:p w14:paraId="7A335F2F">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308F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14:paraId="050D18DF">
            <w:pPr>
              <w:spacing w:line="240" w:lineRule="atLeast"/>
              <w:rPr>
                <w:rFonts w:ascii="宋体" w:hAnsi="宋体" w:cs="宋体"/>
                <w:b/>
                <w:sz w:val="24"/>
                <w:szCs w:val="24"/>
              </w:rPr>
            </w:pPr>
          </w:p>
          <w:p w14:paraId="38BC142A">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14:paraId="5F537D74">
            <w:pPr>
              <w:spacing w:line="240" w:lineRule="atLeast"/>
              <w:rPr>
                <w:rFonts w:ascii="宋体" w:hAnsi="宋体" w:cs="宋体"/>
                <w:b/>
                <w:sz w:val="24"/>
                <w:szCs w:val="24"/>
              </w:rPr>
            </w:pPr>
          </w:p>
          <w:p w14:paraId="627DCC9B">
            <w:pPr>
              <w:spacing w:line="240" w:lineRule="atLeast"/>
              <w:rPr>
                <w:rFonts w:ascii="宋体" w:hAnsi="宋体" w:cs="宋体"/>
                <w:b/>
                <w:sz w:val="24"/>
                <w:szCs w:val="24"/>
              </w:rPr>
            </w:pPr>
          </w:p>
          <w:p w14:paraId="03CB9632">
            <w:pPr>
              <w:spacing w:line="240" w:lineRule="atLeast"/>
              <w:rPr>
                <w:rFonts w:ascii="宋体" w:hAnsi="宋体" w:cs="宋体"/>
                <w:b/>
                <w:sz w:val="24"/>
                <w:szCs w:val="24"/>
              </w:rPr>
            </w:pPr>
          </w:p>
        </w:tc>
      </w:tr>
    </w:tbl>
    <w:p w14:paraId="50C0DCB7">
      <w:pPr>
        <w:spacing w:line="240" w:lineRule="atLeast"/>
        <w:rPr>
          <w:rFonts w:ascii="宋体" w:hAnsi="宋体" w:cs="宋体"/>
          <w:b/>
          <w:sz w:val="24"/>
          <w:szCs w:val="24"/>
        </w:rPr>
      </w:pP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1498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14:paraId="6EEA4C6B">
            <w:pPr>
              <w:spacing w:line="240" w:lineRule="atLeast"/>
              <w:rPr>
                <w:rFonts w:ascii="宋体" w:hAnsi="宋体" w:cs="宋体"/>
                <w:b/>
                <w:sz w:val="24"/>
                <w:szCs w:val="24"/>
              </w:rPr>
            </w:pPr>
          </w:p>
          <w:p w14:paraId="398A2077">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14:paraId="5AC4BBB2">
            <w:pPr>
              <w:spacing w:line="240" w:lineRule="atLeast"/>
              <w:rPr>
                <w:rFonts w:ascii="宋体" w:hAnsi="宋体" w:cs="宋体"/>
                <w:b/>
                <w:sz w:val="24"/>
                <w:szCs w:val="24"/>
              </w:rPr>
            </w:pPr>
          </w:p>
          <w:p w14:paraId="4CA3A288">
            <w:pPr>
              <w:spacing w:line="240" w:lineRule="atLeast"/>
              <w:rPr>
                <w:rFonts w:ascii="宋体" w:hAnsi="宋体" w:cs="宋体"/>
                <w:b/>
                <w:sz w:val="24"/>
                <w:szCs w:val="24"/>
              </w:rPr>
            </w:pPr>
          </w:p>
          <w:p w14:paraId="7160E03F">
            <w:pPr>
              <w:spacing w:line="240" w:lineRule="atLeast"/>
              <w:rPr>
                <w:rFonts w:ascii="宋体" w:hAnsi="宋体" w:cs="宋体"/>
                <w:b/>
                <w:sz w:val="24"/>
                <w:szCs w:val="24"/>
              </w:rPr>
            </w:pPr>
          </w:p>
        </w:tc>
      </w:tr>
    </w:tbl>
    <w:p w14:paraId="2888684E">
      <w:pPr>
        <w:spacing w:line="240" w:lineRule="atLeast"/>
        <w:rPr>
          <w:rFonts w:ascii="宋体" w:hAnsi="宋体" w:cs="宋体"/>
          <w:b/>
          <w:sz w:val="24"/>
          <w:szCs w:val="24"/>
        </w:rPr>
      </w:pPr>
    </w:p>
    <w:p w14:paraId="58034028">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53948809">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71062EA8">
      <w:pPr>
        <w:pStyle w:val="18"/>
        <w:rPr>
          <w:rFonts w:hAnsi="宋体" w:cs="宋体"/>
          <w:sz w:val="24"/>
          <w:szCs w:val="24"/>
        </w:rPr>
      </w:pPr>
    </w:p>
    <w:p w14:paraId="16E9AD1F">
      <w:pPr>
        <w:spacing w:line="360" w:lineRule="auto"/>
        <w:rPr>
          <w:rFonts w:ascii="宋体" w:hAnsi="宋体" w:cs="宋体"/>
          <w:b/>
          <w:sz w:val="24"/>
          <w:szCs w:val="24"/>
        </w:rPr>
      </w:pPr>
      <w:r>
        <w:rPr>
          <w:rFonts w:hint="eastAsia" w:ascii="宋体" w:hAnsi="宋体" w:cs="宋体"/>
          <w:b/>
          <w:sz w:val="24"/>
          <w:szCs w:val="24"/>
        </w:rPr>
        <w:t>特殊说明：</w:t>
      </w:r>
    </w:p>
    <w:p w14:paraId="42E5F336">
      <w:pPr>
        <w:spacing w:line="360" w:lineRule="auto"/>
        <w:rPr>
          <w:rFonts w:ascii="宋体" w:hAnsi="宋体" w:cs="宋体"/>
          <w:b/>
          <w:sz w:val="24"/>
          <w:szCs w:val="24"/>
        </w:rPr>
      </w:pPr>
      <w:r>
        <w:rPr>
          <w:rFonts w:hint="eastAsia" w:ascii="宋体" w:hAnsi="宋体" w:cs="宋体"/>
          <w:b/>
          <w:sz w:val="24"/>
          <w:szCs w:val="24"/>
        </w:rPr>
        <w:t>1、上述身份证复印件必须清晰；</w:t>
      </w:r>
    </w:p>
    <w:p w14:paraId="23B1598F">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14:paraId="4069A496">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14:paraId="6869BC73">
      <w:pPr>
        <w:jc w:val="center"/>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法定代表人身份证明</w:t>
      </w:r>
    </w:p>
    <w:p w14:paraId="1BC7048F">
      <w:pPr>
        <w:spacing w:line="360" w:lineRule="auto"/>
        <w:rPr>
          <w:rFonts w:ascii="宋体" w:cs="仿宋_GB2312"/>
          <w:sz w:val="24"/>
          <w:szCs w:val="24"/>
        </w:rPr>
      </w:pPr>
    </w:p>
    <w:p w14:paraId="4023E45E">
      <w:pPr>
        <w:spacing w:line="360" w:lineRule="auto"/>
        <w:rPr>
          <w:rFonts w:ascii="宋体" w:cs="仿宋_GB2312"/>
          <w:sz w:val="24"/>
          <w:szCs w:val="24"/>
        </w:rPr>
      </w:pPr>
    </w:p>
    <w:p w14:paraId="0B1ECDBB">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14:paraId="3F015CDF">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14:paraId="60B76F63">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14:paraId="75AEB4CB">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14:paraId="2EC1F097">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14:paraId="1534E427">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14:paraId="205484E1">
      <w:pPr>
        <w:spacing w:line="360" w:lineRule="auto"/>
        <w:rPr>
          <w:rFonts w:ascii="宋体" w:hAnsi="宋体" w:cs="仿宋_GB2312"/>
          <w:sz w:val="24"/>
          <w:szCs w:val="24"/>
        </w:rPr>
      </w:pPr>
      <w:r>
        <w:rPr>
          <w:rFonts w:hint="eastAsia" w:ascii="宋体" w:hAnsi="宋体" w:cs="仿宋_GB2312"/>
          <w:sz w:val="24"/>
          <w:szCs w:val="24"/>
        </w:rPr>
        <w:t xml:space="preserve">联系手机：                        </w:t>
      </w:r>
    </w:p>
    <w:p w14:paraId="10A441F9">
      <w:pPr>
        <w:spacing w:line="360" w:lineRule="auto"/>
        <w:rPr>
          <w:rFonts w:ascii="宋体" w:hAnsi="宋体" w:cs="仿宋_GB2312"/>
          <w:sz w:val="24"/>
          <w:szCs w:val="24"/>
        </w:rPr>
      </w:pPr>
      <w:r>
        <w:rPr>
          <w:rFonts w:hint="eastAsia" w:ascii="宋体" w:hAnsi="宋体" w:cs="仿宋_GB2312"/>
          <w:sz w:val="24"/>
          <w:szCs w:val="24"/>
        </w:rPr>
        <w:t>固定电话：</w:t>
      </w:r>
    </w:p>
    <w:p w14:paraId="2DE3C603">
      <w:pPr>
        <w:spacing w:line="360" w:lineRule="auto"/>
        <w:rPr>
          <w:rFonts w:ascii="宋体" w:hAnsi="宋体" w:cs="仿宋_GB2312"/>
          <w:sz w:val="24"/>
          <w:szCs w:val="24"/>
        </w:rPr>
      </w:pPr>
      <w:r>
        <w:rPr>
          <w:rFonts w:hint="eastAsia" w:ascii="宋体" w:hAnsi="宋体" w:cs="仿宋_GB2312"/>
          <w:sz w:val="24"/>
          <w:szCs w:val="24"/>
        </w:rPr>
        <w:t>特此证明。</w:t>
      </w:r>
    </w:p>
    <w:p w14:paraId="134E336A">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14:paraId="58F88F86">
      <w:pPr>
        <w:spacing w:line="360" w:lineRule="auto"/>
        <w:rPr>
          <w:rFonts w:ascii="宋体" w:cs="仿宋_GB2312"/>
          <w:sz w:val="24"/>
          <w:szCs w:val="24"/>
        </w:rPr>
      </w:pPr>
    </w:p>
    <w:p w14:paraId="58CE7EA6">
      <w:pPr>
        <w:pStyle w:val="30"/>
      </w:pPr>
    </w:p>
    <w:p w14:paraId="2E2D5546">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14:paraId="12FB42B5">
      <w:pPr>
        <w:spacing w:line="360" w:lineRule="auto"/>
        <w:ind w:left="5399" w:leftChars="2571"/>
        <w:rPr>
          <w:rFonts w:ascii="宋体" w:cs="仿宋_GB2312"/>
          <w:sz w:val="24"/>
          <w:szCs w:val="24"/>
        </w:rPr>
      </w:pPr>
    </w:p>
    <w:p w14:paraId="4830041D">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14:paraId="489B8F8C">
      <w:pPr>
        <w:pStyle w:val="18"/>
        <w:rPr>
          <w:rFonts w:hAnsi="宋体" w:cs="宋体"/>
          <w:sz w:val="24"/>
          <w:szCs w:val="24"/>
        </w:rPr>
      </w:pPr>
    </w:p>
    <w:p w14:paraId="0212B5CA">
      <w:pPr>
        <w:pStyle w:val="7"/>
        <w:spacing w:before="0" w:after="0" w:line="560" w:lineRule="exact"/>
        <w:rPr>
          <w:rFonts w:ascii="宋体" w:hAnsi="宋体" w:eastAsia="宋体" w:cs="宋体"/>
          <w:sz w:val="24"/>
          <w:szCs w:val="24"/>
        </w:rPr>
      </w:pPr>
    </w:p>
    <w:p w14:paraId="67F9DD02">
      <w:pPr>
        <w:pStyle w:val="7"/>
        <w:spacing w:before="0" w:after="0" w:line="560" w:lineRule="exact"/>
        <w:rPr>
          <w:rFonts w:ascii="宋体" w:hAnsi="宋体" w:eastAsia="宋体" w:cs="宋体"/>
          <w:sz w:val="24"/>
          <w:szCs w:val="24"/>
        </w:rPr>
      </w:pPr>
    </w:p>
    <w:p w14:paraId="37E069BC">
      <w:pPr>
        <w:pStyle w:val="7"/>
        <w:spacing w:before="0" w:after="0" w:line="560" w:lineRule="exact"/>
        <w:rPr>
          <w:rFonts w:ascii="宋体" w:hAnsi="宋体" w:eastAsia="宋体" w:cs="宋体"/>
          <w:sz w:val="24"/>
          <w:szCs w:val="24"/>
        </w:rPr>
      </w:pPr>
    </w:p>
    <w:p w14:paraId="68B4B958">
      <w:pPr>
        <w:pStyle w:val="7"/>
        <w:spacing w:before="0" w:after="0" w:line="560" w:lineRule="exact"/>
        <w:rPr>
          <w:rFonts w:ascii="宋体" w:hAnsi="宋体" w:eastAsia="宋体" w:cs="宋体"/>
          <w:sz w:val="24"/>
          <w:szCs w:val="24"/>
        </w:rPr>
      </w:pPr>
    </w:p>
    <w:p w14:paraId="073F009A">
      <w:pPr>
        <w:pStyle w:val="7"/>
        <w:spacing w:before="0" w:after="0" w:line="560" w:lineRule="exact"/>
        <w:rPr>
          <w:rFonts w:ascii="宋体" w:hAnsi="宋体" w:eastAsia="宋体" w:cs="宋体"/>
          <w:sz w:val="24"/>
          <w:szCs w:val="24"/>
        </w:rPr>
      </w:pPr>
    </w:p>
    <w:p w14:paraId="3D53E400"/>
    <w:p w14:paraId="25A6451A"/>
    <w:p w14:paraId="48E69369">
      <w:pPr>
        <w:pStyle w:val="7"/>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94"/>
    </w:p>
    <w:p w14:paraId="63ADC15C">
      <w:pPr>
        <w:pStyle w:val="7"/>
        <w:wordWrap w:val="0"/>
        <w:spacing w:before="0" w:after="0" w:line="520" w:lineRule="exact"/>
        <w:jc w:val="center"/>
        <w:rPr>
          <w:rFonts w:hint="eastAsia" w:ascii="宋体" w:hAnsi="宋体" w:eastAsia="宋体" w:cs="宋体"/>
          <w:sz w:val="24"/>
          <w:szCs w:val="24"/>
        </w:rPr>
      </w:pPr>
      <w:bookmarkStart w:id="95" w:name="_Toc417045478"/>
      <w:r>
        <w:rPr>
          <w:rFonts w:hint="eastAsia" w:ascii="宋体" w:hAnsi="宋体" w:eastAsia="宋体" w:cs="宋体"/>
          <w:sz w:val="24"/>
          <w:szCs w:val="24"/>
        </w:rPr>
        <w:t>谈判响应函</w:t>
      </w:r>
    </w:p>
    <w:p w14:paraId="66D0600C">
      <w:pPr>
        <w:spacing w:line="360" w:lineRule="auto"/>
        <w:rPr>
          <w:rFonts w:ascii="宋体" w:hAnsi="宋体"/>
          <w:sz w:val="24"/>
          <w:szCs w:val="24"/>
        </w:rPr>
      </w:pPr>
      <w:r>
        <w:rPr>
          <w:rFonts w:hint="eastAsia" w:ascii="宋体" w:hAnsi="宋体"/>
          <w:sz w:val="24"/>
          <w:szCs w:val="24"/>
        </w:rPr>
        <w:t>致：XXX（代理机构名称）</w:t>
      </w:r>
    </w:p>
    <w:p w14:paraId="58AC1A02">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14:paraId="6D0572E5">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14:paraId="616A9CCF">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14:paraId="7C2AB459">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14:paraId="027F7F15">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14:paraId="6D898331">
      <w:pPr>
        <w:tabs>
          <w:tab w:val="left" w:pos="0"/>
          <w:tab w:val="left" w:pos="840"/>
        </w:tabs>
        <w:spacing w:line="360" w:lineRule="auto"/>
        <w:jc w:val="left"/>
        <w:rPr>
          <w:rFonts w:ascii="宋体" w:hAnsi="宋体"/>
          <w:sz w:val="24"/>
          <w:szCs w:val="24"/>
        </w:rPr>
      </w:pPr>
    </w:p>
    <w:p w14:paraId="2B8EF4D5">
      <w:pPr>
        <w:tabs>
          <w:tab w:val="left" w:pos="0"/>
          <w:tab w:val="left" w:pos="840"/>
        </w:tabs>
        <w:rPr>
          <w:rFonts w:ascii="宋体" w:hAnsi="宋体"/>
          <w:sz w:val="24"/>
          <w:szCs w:val="24"/>
        </w:rPr>
      </w:pPr>
    </w:p>
    <w:p w14:paraId="02757644">
      <w:pPr>
        <w:tabs>
          <w:tab w:val="left" w:pos="0"/>
          <w:tab w:val="left" w:pos="840"/>
        </w:tabs>
        <w:rPr>
          <w:rFonts w:ascii="宋体" w:hAnsi="宋体"/>
          <w:sz w:val="24"/>
          <w:szCs w:val="24"/>
        </w:rPr>
      </w:pPr>
    </w:p>
    <w:p w14:paraId="3C994191">
      <w:pPr>
        <w:tabs>
          <w:tab w:val="left" w:pos="0"/>
          <w:tab w:val="left" w:pos="840"/>
        </w:tabs>
        <w:rPr>
          <w:rFonts w:ascii="宋体" w:hAnsi="宋体"/>
          <w:sz w:val="24"/>
          <w:szCs w:val="24"/>
        </w:rPr>
      </w:pPr>
    </w:p>
    <w:p w14:paraId="1028568E">
      <w:pPr>
        <w:tabs>
          <w:tab w:val="left" w:pos="0"/>
          <w:tab w:val="left" w:pos="840"/>
        </w:tabs>
        <w:rPr>
          <w:rFonts w:ascii="宋体" w:hAnsi="宋体"/>
          <w:sz w:val="24"/>
          <w:szCs w:val="24"/>
        </w:rPr>
      </w:pPr>
    </w:p>
    <w:p w14:paraId="208BBD2E">
      <w:pPr>
        <w:spacing w:line="360" w:lineRule="auto"/>
        <w:ind w:firstLine="4245" w:firstLineChars="1762"/>
        <w:rPr>
          <w:rFonts w:ascii="宋体" w:hAnsi="宋体"/>
          <w:b/>
          <w:bCs/>
          <w:sz w:val="24"/>
          <w:szCs w:val="24"/>
          <w:u w:val="single"/>
        </w:rPr>
      </w:pPr>
      <w:r>
        <w:rPr>
          <w:rFonts w:hint="eastAsia" w:ascii="宋体" w:hAnsi="宋体"/>
          <w:b/>
          <w:bCs/>
          <w:sz w:val="24"/>
          <w:szCs w:val="24"/>
          <w:lang w:eastAsia="zh-CN"/>
        </w:rPr>
        <w:t>供应商加盖电子签章</w:t>
      </w:r>
      <w:r>
        <w:rPr>
          <w:rFonts w:hint="eastAsia" w:ascii="宋体" w:hAnsi="宋体"/>
          <w:b/>
          <w:bCs/>
          <w:sz w:val="24"/>
          <w:szCs w:val="24"/>
          <w:lang w:val="en-US" w:eastAsia="zh-CN"/>
        </w:rPr>
        <w:t xml:space="preserve"> </w:t>
      </w:r>
      <w:r>
        <w:rPr>
          <w:rFonts w:hint="eastAsia" w:ascii="宋体" w:hAnsi="宋体"/>
          <w:b/>
          <w:bCs/>
          <w:sz w:val="24"/>
          <w:szCs w:val="24"/>
        </w:rPr>
        <w:t>：</w:t>
      </w:r>
    </w:p>
    <w:p w14:paraId="10454138">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14:paraId="2E727FE0">
      <w:pPr>
        <w:pStyle w:val="8"/>
        <w:rPr>
          <w:sz w:val="24"/>
          <w:szCs w:val="24"/>
          <w:lang w:val="en-US"/>
        </w:rPr>
      </w:pPr>
    </w:p>
    <w:p w14:paraId="1BD0E1FC"/>
    <w:p w14:paraId="6C478248"/>
    <w:p w14:paraId="36676BB4">
      <w:pPr>
        <w:pStyle w:val="7"/>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14:paraId="5D8624E7">
      <w:pPr>
        <w:pStyle w:val="7"/>
        <w:spacing w:before="0" w:after="0" w:line="560" w:lineRule="exact"/>
        <w:rPr>
          <w:rFonts w:ascii="宋体" w:hAnsi="宋体" w:eastAsia="宋体" w:cs="宋体"/>
          <w:sz w:val="24"/>
          <w:szCs w:val="24"/>
        </w:rPr>
      </w:pPr>
      <w:bookmarkStart w:id="96" w:name="_Toc30069"/>
      <w:r>
        <w:rPr>
          <w:rFonts w:hint="eastAsia" w:ascii="宋体" w:hAnsi="宋体" w:eastAsia="宋体" w:cs="宋体"/>
          <w:sz w:val="24"/>
          <w:szCs w:val="24"/>
        </w:rPr>
        <w:t>附件</w:t>
      </w:r>
      <w:bookmarkEnd w:id="95"/>
      <w:r>
        <w:rPr>
          <w:rFonts w:hint="eastAsia" w:ascii="宋体" w:hAnsi="宋体" w:eastAsia="宋体" w:cs="宋体"/>
          <w:sz w:val="24"/>
          <w:szCs w:val="24"/>
        </w:rPr>
        <w:t>五</w:t>
      </w:r>
      <w:bookmarkEnd w:id="96"/>
    </w:p>
    <w:p w14:paraId="3294879D">
      <w:pPr>
        <w:pStyle w:val="2"/>
        <w:ind w:firstLine="2891" w:firstLineChars="1200"/>
        <w:rPr>
          <w:rFonts w:hint="eastAsia" w:ascii="宋体" w:hAnsi="宋体" w:eastAsia="宋体" w:cs="宋体"/>
          <w:b/>
          <w:kern w:val="0"/>
          <w:sz w:val="24"/>
          <w:szCs w:val="24"/>
          <w:lang w:val="zh-CN" w:eastAsia="zh-CN" w:bidi="ar-SA"/>
        </w:rPr>
      </w:pPr>
      <w:bookmarkStart w:id="97" w:name="_Hlk77794441"/>
      <w:bookmarkStart w:id="98" w:name="_Hlk77793942"/>
      <w:bookmarkStart w:id="99" w:name="_Toc363199274"/>
      <w:r>
        <w:rPr>
          <w:rFonts w:hint="eastAsia" w:ascii="宋体" w:hAnsi="宋体" w:eastAsia="宋体" w:cs="宋体"/>
          <w:b/>
          <w:kern w:val="0"/>
          <w:sz w:val="24"/>
          <w:szCs w:val="24"/>
          <w:lang w:val="zh-CN" w:eastAsia="zh-CN" w:bidi="ar-SA"/>
        </w:rPr>
        <w:t>无重大违法记录声明函</w:t>
      </w:r>
    </w:p>
    <w:p w14:paraId="2DD455D8">
      <w:pPr>
        <w:pStyle w:val="2"/>
        <w:ind w:firstLine="480" w:firstLineChars="200"/>
        <w:rPr>
          <w:rFonts w:ascii="宋体" w:hAnsi="宋体"/>
          <w:szCs w:val="24"/>
        </w:rPr>
      </w:pPr>
      <w:bookmarkStart w:id="100"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1ABC78E7">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14:paraId="2FD4E5B7">
      <w:pPr>
        <w:spacing w:line="360" w:lineRule="auto"/>
        <w:ind w:firstLine="435"/>
        <w:rPr>
          <w:rFonts w:ascii="宋体" w:hAnsi="宋体"/>
          <w:sz w:val="24"/>
          <w:szCs w:val="24"/>
        </w:rPr>
      </w:pPr>
    </w:p>
    <w:p w14:paraId="1728C19F">
      <w:pPr>
        <w:spacing w:line="360" w:lineRule="auto"/>
        <w:ind w:firstLine="5428" w:firstLineChars="2262"/>
        <w:rPr>
          <w:rFonts w:ascii="宋体" w:hAnsi="宋体"/>
          <w:bCs/>
          <w:sz w:val="24"/>
          <w:szCs w:val="24"/>
          <w:u w:val="single"/>
        </w:rPr>
      </w:pPr>
      <w:r>
        <w:rPr>
          <w:rFonts w:hint="eastAsia" w:ascii="宋体" w:hAnsi="宋体"/>
          <w:bCs/>
          <w:sz w:val="24"/>
          <w:szCs w:val="24"/>
          <w:lang w:eastAsia="zh-CN"/>
        </w:rPr>
        <w:t>供应商加盖电子签章</w:t>
      </w:r>
      <w:r>
        <w:rPr>
          <w:rFonts w:hint="eastAsia" w:ascii="宋体" w:hAnsi="宋体"/>
          <w:bCs/>
          <w:sz w:val="24"/>
          <w:szCs w:val="24"/>
        </w:rPr>
        <w:t>：</w:t>
      </w:r>
    </w:p>
    <w:p w14:paraId="432C33E9">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100"/>
    <w:p w14:paraId="387FCA89">
      <w:pPr>
        <w:pStyle w:val="2"/>
        <w:ind w:firstLine="210"/>
      </w:pPr>
    </w:p>
    <w:p w14:paraId="1FE09BD8">
      <w:pPr>
        <w:pStyle w:val="2"/>
        <w:ind w:firstLine="210"/>
      </w:pPr>
    </w:p>
    <w:p w14:paraId="5E6FB935">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14:paraId="271888BC">
      <w:pPr>
        <w:spacing w:line="360" w:lineRule="auto"/>
        <w:ind w:firstLine="435"/>
        <w:rPr>
          <w:rFonts w:ascii="宋体" w:hAnsi="宋体"/>
          <w:sz w:val="24"/>
          <w:szCs w:val="24"/>
        </w:rPr>
      </w:pPr>
      <w:bookmarkStart w:id="101" w:name="_Hlk77794010"/>
      <w:r>
        <w:rPr>
          <w:rFonts w:hint="eastAsia" w:ascii="宋体" w:hAnsi="宋体"/>
          <w:sz w:val="24"/>
          <w:szCs w:val="24"/>
        </w:rPr>
        <w:t>本公司郑重承诺，我公司无以下不良信用记录情形：</w:t>
      </w:r>
    </w:p>
    <w:p w14:paraId="186618F1">
      <w:pPr>
        <w:spacing w:line="360" w:lineRule="auto"/>
        <w:ind w:firstLine="435"/>
        <w:rPr>
          <w:rFonts w:ascii="宋体" w:hAnsi="宋体"/>
          <w:sz w:val="24"/>
          <w:szCs w:val="24"/>
        </w:rPr>
      </w:pPr>
      <w:r>
        <w:rPr>
          <w:rFonts w:hint="eastAsia" w:ascii="宋体" w:hAnsi="宋体"/>
          <w:sz w:val="24"/>
          <w:szCs w:val="24"/>
        </w:rPr>
        <w:t>1、公司被人民法院列入失信被执行人；</w:t>
      </w:r>
    </w:p>
    <w:p w14:paraId="5279E4F5">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14:paraId="5129C3CC">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14:paraId="1E0322EC">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14:paraId="749F5AB4">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14:paraId="1DE30E82">
      <w:pPr>
        <w:tabs>
          <w:tab w:val="left" w:pos="630"/>
        </w:tabs>
        <w:spacing w:line="360" w:lineRule="auto"/>
        <w:ind w:firstLine="630"/>
        <w:rPr>
          <w:rFonts w:ascii="宋体" w:hAnsi="宋体"/>
          <w:sz w:val="24"/>
          <w:szCs w:val="24"/>
        </w:rPr>
      </w:pPr>
    </w:p>
    <w:p w14:paraId="199A76D1">
      <w:pPr>
        <w:spacing w:line="360" w:lineRule="auto"/>
        <w:ind w:firstLine="5428" w:firstLineChars="2262"/>
        <w:rPr>
          <w:rFonts w:ascii="宋体" w:hAnsi="宋体"/>
          <w:bCs/>
          <w:sz w:val="24"/>
          <w:szCs w:val="24"/>
          <w:u w:val="single"/>
        </w:rPr>
      </w:pPr>
      <w:r>
        <w:rPr>
          <w:rFonts w:hint="eastAsia" w:ascii="宋体" w:hAnsi="宋体"/>
          <w:bCs/>
          <w:sz w:val="24"/>
          <w:szCs w:val="24"/>
          <w:lang w:eastAsia="zh-CN"/>
        </w:rPr>
        <w:t>供应商加盖电子签章</w:t>
      </w:r>
      <w:r>
        <w:rPr>
          <w:rFonts w:hint="eastAsia" w:ascii="宋体" w:hAnsi="宋体"/>
          <w:bCs/>
          <w:sz w:val="24"/>
          <w:szCs w:val="24"/>
        </w:rPr>
        <w:t>：</w:t>
      </w:r>
    </w:p>
    <w:p w14:paraId="4E5BC821">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7"/>
    <w:bookmarkEnd w:id="101"/>
    <w:p w14:paraId="05CCD31C">
      <w:pPr>
        <w:pStyle w:val="2"/>
        <w:ind w:firstLine="210"/>
      </w:pPr>
    </w:p>
    <w:bookmarkEnd w:id="98"/>
    <w:p w14:paraId="447AD397">
      <w:pPr>
        <w:pStyle w:val="2"/>
        <w:ind w:firstLine="210"/>
      </w:pPr>
    </w:p>
    <w:p w14:paraId="0E0A4F36">
      <w:pPr>
        <w:pStyle w:val="7"/>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14:paraId="7EB154B2">
      <w:pPr>
        <w:pStyle w:val="7"/>
        <w:spacing w:before="0" w:after="0" w:line="560" w:lineRule="exact"/>
        <w:rPr>
          <w:rFonts w:ascii="宋体" w:hAnsi="宋体" w:eastAsia="宋体" w:cs="宋体"/>
          <w:sz w:val="24"/>
          <w:szCs w:val="24"/>
        </w:rPr>
      </w:pPr>
      <w:bookmarkStart w:id="102" w:name="_Toc11207"/>
      <w:r>
        <w:rPr>
          <w:rFonts w:hint="eastAsia" w:ascii="宋体" w:hAnsi="宋体" w:eastAsia="宋体" w:cs="宋体"/>
          <w:sz w:val="24"/>
          <w:szCs w:val="24"/>
        </w:rPr>
        <w:t>附件</w:t>
      </w:r>
      <w:bookmarkEnd w:id="99"/>
      <w:r>
        <w:rPr>
          <w:rFonts w:hint="eastAsia" w:ascii="宋体" w:hAnsi="宋体" w:eastAsia="宋体" w:cs="宋体"/>
          <w:sz w:val="24"/>
          <w:szCs w:val="24"/>
        </w:rPr>
        <w:t>六</w:t>
      </w:r>
      <w:bookmarkEnd w:id="102"/>
    </w:p>
    <w:p w14:paraId="1E622E67">
      <w:pPr>
        <w:pStyle w:val="7"/>
        <w:wordWrap w:val="0"/>
        <w:spacing w:before="0" w:after="0" w:line="520" w:lineRule="exact"/>
        <w:jc w:val="center"/>
        <w:rPr>
          <w:rFonts w:hint="eastAsia" w:ascii="宋体" w:hAnsi="宋体" w:eastAsia="宋体" w:cs="宋体"/>
          <w:sz w:val="24"/>
          <w:szCs w:val="24"/>
          <w:lang w:val="zh-CN"/>
        </w:rPr>
      </w:pPr>
      <w:bookmarkStart w:id="103" w:name="_Toc11166"/>
      <w:bookmarkStart w:id="104" w:name="_Toc25238"/>
      <w:r>
        <w:rPr>
          <w:rFonts w:hint="eastAsia" w:ascii="宋体" w:hAnsi="宋体" w:eastAsia="宋体" w:cs="宋体"/>
          <w:sz w:val="24"/>
          <w:szCs w:val="24"/>
          <w:lang w:val="zh-CN"/>
        </w:rPr>
        <w:t>响应情况表</w:t>
      </w:r>
      <w:bookmarkEnd w:id="103"/>
      <w:bookmarkEnd w:id="104"/>
    </w:p>
    <w:p w14:paraId="3A760B05">
      <w:pPr>
        <w:jc w:val="center"/>
        <w:rPr>
          <w:bCs/>
          <w:sz w:val="24"/>
          <w:szCs w:val="24"/>
          <w:lang w:val="zh-CN"/>
        </w:rPr>
      </w:pPr>
    </w:p>
    <w:tbl>
      <w:tblPr>
        <w:tblStyle w:val="36"/>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41EC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5246049A">
            <w:pPr>
              <w:jc w:val="center"/>
              <w:rPr>
                <w:rFonts w:ascii="宋体" w:hAnsi="宋体" w:cs="宋体"/>
                <w:b/>
                <w:bCs/>
                <w:sz w:val="24"/>
                <w:szCs w:val="24"/>
              </w:rPr>
            </w:pPr>
            <w:bookmarkStart w:id="105" w:name="_Toc471299110"/>
            <w:r>
              <w:rPr>
                <w:rFonts w:hint="eastAsia" w:ascii="宋体" w:hAnsi="宋体" w:cs="宋体"/>
                <w:b/>
                <w:bCs/>
                <w:sz w:val="24"/>
                <w:szCs w:val="24"/>
              </w:rPr>
              <w:t>按谈判文件规定填写</w:t>
            </w:r>
          </w:p>
        </w:tc>
        <w:tc>
          <w:tcPr>
            <w:tcW w:w="3628" w:type="dxa"/>
            <w:vAlign w:val="center"/>
          </w:tcPr>
          <w:p w14:paraId="7BF5ED22">
            <w:pPr>
              <w:jc w:val="center"/>
              <w:rPr>
                <w:rFonts w:ascii="宋体" w:hAnsi="宋体" w:cs="宋体"/>
                <w:b/>
                <w:bCs/>
                <w:sz w:val="24"/>
                <w:szCs w:val="24"/>
              </w:rPr>
            </w:pPr>
            <w:r>
              <w:rPr>
                <w:rFonts w:hint="eastAsia" w:ascii="宋体" w:hAnsi="宋体" w:cs="宋体"/>
                <w:b/>
                <w:bCs/>
                <w:sz w:val="24"/>
                <w:szCs w:val="24"/>
              </w:rPr>
              <w:t>按供应商所投内容填写</w:t>
            </w:r>
          </w:p>
        </w:tc>
      </w:tr>
      <w:tr w14:paraId="6E8B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54577E8">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14:paraId="68E071F8">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14:paraId="3036B017">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14:paraId="202DE28A">
            <w:pPr>
              <w:jc w:val="center"/>
              <w:rPr>
                <w:rFonts w:ascii="宋体" w:hAnsi="宋体" w:cs="宋体"/>
                <w:sz w:val="24"/>
                <w:szCs w:val="24"/>
              </w:rPr>
            </w:pPr>
            <w:r>
              <w:rPr>
                <w:rFonts w:hint="eastAsia" w:ascii="宋体" w:hAnsi="宋体" w:cs="宋体"/>
                <w:sz w:val="24"/>
                <w:szCs w:val="24"/>
              </w:rPr>
              <w:t>响应承诺</w:t>
            </w:r>
          </w:p>
        </w:tc>
      </w:tr>
      <w:tr w14:paraId="55A3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7D4175">
            <w:pPr>
              <w:jc w:val="center"/>
              <w:rPr>
                <w:rFonts w:ascii="宋体" w:hAnsi="宋体" w:cs="宋体"/>
                <w:sz w:val="24"/>
                <w:szCs w:val="24"/>
              </w:rPr>
            </w:pPr>
            <w:r>
              <w:rPr>
                <w:rFonts w:hint="eastAsia" w:ascii="宋体" w:hAnsi="宋体" w:cs="宋体"/>
                <w:sz w:val="24"/>
                <w:szCs w:val="24"/>
              </w:rPr>
              <w:t>1</w:t>
            </w:r>
          </w:p>
        </w:tc>
        <w:tc>
          <w:tcPr>
            <w:tcW w:w="1470" w:type="dxa"/>
            <w:vAlign w:val="center"/>
          </w:tcPr>
          <w:p w14:paraId="760BE901">
            <w:pPr>
              <w:jc w:val="center"/>
              <w:rPr>
                <w:rFonts w:ascii="宋体" w:hAnsi="宋体" w:cs="宋体"/>
                <w:sz w:val="24"/>
                <w:szCs w:val="24"/>
              </w:rPr>
            </w:pPr>
            <w:r>
              <w:rPr>
                <w:rFonts w:hint="eastAsia" w:ascii="宋体" w:hAnsi="宋体" w:cs="宋体"/>
                <w:sz w:val="24"/>
                <w:szCs w:val="24"/>
              </w:rPr>
              <w:t>工期</w:t>
            </w:r>
          </w:p>
        </w:tc>
        <w:tc>
          <w:tcPr>
            <w:tcW w:w="3092" w:type="dxa"/>
          </w:tcPr>
          <w:p w14:paraId="4991C2E7">
            <w:pPr>
              <w:rPr>
                <w:rFonts w:ascii="宋体" w:hAnsi="宋体" w:cs="宋体"/>
                <w:sz w:val="24"/>
                <w:szCs w:val="24"/>
              </w:rPr>
            </w:pPr>
          </w:p>
        </w:tc>
        <w:tc>
          <w:tcPr>
            <w:tcW w:w="3628" w:type="dxa"/>
          </w:tcPr>
          <w:p w14:paraId="1A088D33">
            <w:pPr>
              <w:rPr>
                <w:rFonts w:ascii="宋体" w:hAnsi="宋体" w:cs="宋体"/>
                <w:sz w:val="24"/>
                <w:szCs w:val="24"/>
              </w:rPr>
            </w:pPr>
          </w:p>
        </w:tc>
      </w:tr>
      <w:tr w14:paraId="06B9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AB57775">
            <w:pPr>
              <w:jc w:val="center"/>
              <w:rPr>
                <w:rFonts w:ascii="宋体" w:hAnsi="宋体" w:cs="宋体"/>
                <w:sz w:val="24"/>
                <w:szCs w:val="24"/>
              </w:rPr>
            </w:pPr>
            <w:r>
              <w:rPr>
                <w:rFonts w:hint="eastAsia" w:ascii="宋体" w:hAnsi="宋体" w:cs="宋体"/>
                <w:sz w:val="24"/>
                <w:szCs w:val="24"/>
              </w:rPr>
              <w:t>2</w:t>
            </w:r>
          </w:p>
        </w:tc>
        <w:tc>
          <w:tcPr>
            <w:tcW w:w="1470" w:type="dxa"/>
            <w:vAlign w:val="center"/>
          </w:tcPr>
          <w:p w14:paraId="01AF7279">
            <w:pPr>
              <w:jc w:val="center"/>
              <w:rPr>
                <w:rFonts w:ascii="宋体" w:hAnsi="宋体" w:cs="宋体"/>
                <w:sz w:val="24"/>
                <w:szCs w:val="24"/>
              </w:rPr>
            </w:pPr>
            <w:r>
              <w:rPr>
                <w:rFonts w:hint="eastAsia" w:ascii="宋体" w:hAnsi="宋体" w:cs="宋体"/>
                <w:sz w:val="24"/>
                <w:szCs w:val="24"/>
              </w:rPr>
              <w:t>质保期</w:t>
            </w:r>
          </w:p>
        </w:tc>
        <w:tc>
          <w:tcPr>
            <w:tcW w:w="3092" w:type="dxa"/>
          </w:tcPr>
          <w:p w14:paraId="5C494847">
            <w:pPr>
              <w:rPr>
                <w:rFonts w:ascii="宋体" w:hAnsi="宋体" w:cs="宋体"/>
                <w:sz w:val="24"/>
                <w:szCs w:val="24"/>
              </w:rPr>
            </w:pPr>
          </w:p>
        </w:tc>
        <w:tc>
          <w:tcPr>
            <w:tcW w:w="3628" w:type="dxa"/>
          </w:tcPr>
          <w:p w14:paraId="41CC2D31">
            <w:pPr>
              <w:rPr>
                <w:rFonts w:ascii="宋体" w:hAnsi="宋体" w:cs="宋体"/>
                <w:sz w:val="24"/>
                <w:szCs w:val="24"/>
              </w:rPr>
            </w:pPr>
          </w:p>
        </w:tc>
      </w:tr>
      <w:tr w14:paraId="4DF9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03D674">
            <w:pPr>
              <w:jc w:val="center"/>
              <w:rPr>
                <w:rFonts w:ascii="宋体" w:hAnsi="宋体" w:cs="宋体"/>
                <w:sz w:val="24"/>
                <w:szCs w:val="24"/>
              </w:rPr>
            </w:pPr>
            <w:r>
              <w:rPr>
                <w:rFonts w:hint="eastAsia" w:ascii="宋体" w:hAnsi="宋体" w:cs="宋体"/>
                <w:sz w:val="24"/>
                <w:szCs w:val="24"/>
              </w:rPr>
              <w:t>3</w:t>
            </w:r>
          </w:p>
        </w:tc>
        <w:tc>
          <w:tcPr>
            <w:tcW w:w="1470" w:type="dxa"/>
            <w:vAlign w:val="center"/>
          </w:tcPr>
          <w:p w14:paraId="53D51EE2">
            <w:pPr>
              <w:jc w:val="center"/>
              <w:rPr>
                <w:rFonts w:ascii="宋体" w:hAnsi="宋体" w:cs="宋体"/>
                <w:sz w:val="24"/>
                <w:szCs w:val="24"/>
              </w:rPr>
            </w:pPr>
            <w:r>
              <w:rPr>
                <w:rFonts w:hint="eastAsia" w:ascii="宋体" w:hAnsi="宋体" w:cs="宋体"/>
                <w:sz w:val="24"/>
                <w:szCs w:val="24"/>
              </w:rPr>
              <w:t>付款方式</w:t>
            </w:r>
          </w:p>
        </w:tc>
        <w:tc>
          <w:tcPr>
            <w:tcW w:w="3092" w:type="dxa"/>
          </w:tcPr>
          <w:p w14:paraId="26DCAED5">
            <w:pPr>
              <w:rPr>
                <w:rFonts w:ascii="宋体" w:hAnsi="宋体" w:cs="宋体"/>
                <w:sz w:val="24"/>
                <w:szCs w:val="24"/>
              </w:rPr>
            </w:pPr>
          </w:p>
        </w:tc>
        <w:tc>
          <w:tcPr>
            <w:tcW w:w="3628" w:type="dxa"/>
          </w:tcPr>
          <w:p w14:paraId="2E6B32C7">
            <w:pPr>
              <w:rPr>
                <w:rFonts w:ascii="宋体" w:hAnsi="宋体" w:cs="宋体"/>
                <w:sz w:val="24"/>
                <w:szCs w:val="24"/>
              </w:rPr>
            </w:pPr>
          </w:p>
        </w:tc>
      </w:tr>
      <w:tr w14:paraId="0253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66C8948">
            <w:pPr>
              <w:jc w:val="center"/>
              <w:rPr>
                <w:rFonts w:ascii="宋体" w:hAnsi="宋体" w:cs="宋体"/>
                <w:sz w:val="24"/>
                <w:szCs w:val="24"/>
              </w:rPr>
            </w:pPr>
            <w:r>
              <w:rPr>
                <w:rFonts w:hint="eastAsia" w:ascii="宋体" w:hAnsi="宋体" w:cs="宋体"/>
                <w:sz w:val="24"/>
                <w:szCs w:val="24"/>
              </w:rPr>
              <w:t>4</w:t>
            </w:r>
          </w:p>
        </w:tc>
        <w:tc>
          <w:tcPr>
            <w:tcW w:w="1470" w:type="dxa"/>
            <w:vAlign w:val="center"/>
          </w:tcPr>
          <w:p w14:paraId="18D3D3B9">
            <w:pPr>
              <w:jc w:val="center"/>
              <w:rPr>
                <w:rFonts w:ascii="宋体" w:hAnsi="宋体" w:cs="宋体"/>
                <w:sz w:val="24"/>
                <w:szCs w:val="24"/>
              </w:rPr>
            </w:pPr>
            <w:r>
              <w:rPr>
                <w:rFonts w:hint="eastAsia" w:ascii="宋体" w:hAnsi="宋体" w:cs="宋体"/>
                <w:sz w:val="24"/>
                <w:szCs w:val="24"/>
              </w:rPr>
              <w:t>其他</w:t>
            </w:r>
          </w:p>
        </w:tc>
        <w:tc>
          <w:tcPr>
            <w:tcW w:w="3092" w:type="dxa"/>
          </w:tcPr>
          <w:p w14:paraId="352CB779">
            <w:pPr>
              <w:rPr>
                <w:rFonts w:ascii="宋体" w:hAnsi="宋体" w:cs="宋体"/>
                <w:sz w:val="24"/>
                <w:szCs w:val="24"/>
              </w:rPr>
            </w:pPr>
          </w:p>
        </w:tc>
        <w:tc>
          <w:tcPr>
            <w:tcW w:w="3628" w:type="dxa"/>
          </w:tcPr>
          <w:p w14:paraId="27CCBED9">
            <w:pPr>
              <w:rPr>
                <w:rFonts w:ascii="宋体" w:hAnsi="宋体" w:cs="宋体"/>
                <w:sz w:val="24"/>
                <w:szCs w:val="24"/>
              </w:rPr>
            </w:pPr>
          </w:p>
        </w:tc>
      </w:tr>
    </w:tbl>
    <w:p w14:paraId="10473345">
      <w:pPr>
        <w:snapToGrid w:val="0"/>
        <w:spacing w:line="360" w:lineRule="auto"/>
        <w:rPr>
          <w:rFonts w:ascii="宋体" w:hAnsi="宋体" w:cs="宋体"/>
          <w:sz w:val="24"/>
          <w:szCs w:val="24"/>
        </w:rPr>
      </w:pPr>
    </w:p>
    <w:p w14:paraId="0A50A269">
      <w:pPr>
        <w:snapToGrid w:val="0"/>
        <w:spacing w:line="360" w:lineRule="auto"/>
        <w:jc w:val="left"/>
        <w:rPr>
          <w:rFonts w:ascii="宋体" w:hAnsi="宋体" w:cs="宋体"/>
          <w:b/>
          <w:bCs/>
          <w:sz w:val="24"/>
          <w:szCs w:val="24"/>
        </w:rPr>
      </w:pPr>
      <w:r>
        <w:rPr>
          <w:rFonts w:hint="eastAsia" w:ascii="宋体" w:hAnsi="宋体" w:cs="宋体"/>
          <w:b/>
          <w:bCs/>
          <w:sz w:val="24"/>
          <w:szCs w:val="24"/>
          <w:lang w:eastAsia="zh-CN"/>
        </w:rPr>
        <w:t>供应商加盖电子签章</w:t>
      </w:r>
      <w:r>
        <w:rPr>
          <w:rFonts w:hint="eastAsia" w:ascii="宋体" w:hAnsi="宋体" w:cs="宋体"/>
          <w:b/>
          <w:bCs/>
          <w:sz w:val="24"/>
          <w:szCs w:val="24"/>
        </w:rPr>
        <w:t>：</w:t>
      </w:r>
    </w:p>
    <w:p w14:paraId="79E2CFCD">
      <w:pPr>
        <w:spacing w:line="360" w:lineRule="auto"/>
        <w:jc w:val="left"/>
        <w:rPr>
          <w:rFonts w:ascii="宋体" w:hAnsi="宋体" w:cs="宋体"/>
          <w:b/>
          <w:bCs/>
          <w:sz w:val="24"/>
          <w:szCs w:val="24"/>
        </w:rPr>
      </w:pPr>
      <w:r>
        <w:rPr>
          <w:rFonts w:hint="eastAsia" w:ascii="宋体" w:hAnsi="宋体" w:cs="宋体"/>
          <w:b/>
          <w:bCs/>
          <w:sz w:val="24"/>
          <w:szCs w:val="24"/>
        </w:rPr>
        <w:t>日期：   年  月  日</w:t>
      </w:r>
    </w:p>
    <w:p w14:paraId="7F300FDC">
      <w:pPr>
        <w:spacing w:before="156" w:beforeLines="50" w:after="156" w:afterLines="50" w:line="360" w:lineRule="auto"/>
        <w:jc w:val="left"/>
        <w:rPr>
          <w:rFonts w:ascii="宋体" w:hAnsi="宋体" w:cs="宋体"/>
          <w:sz w:val="24"/>
          <w:szCs w:val="24"/>
        </w:rPr>
      </w:pPr>
      <w:r>
        <w:rPr>
          <w:rFonts w:hint="eastAsia" w:ascii="宋体" w:hAnsi="宋体" w:cs="宋体"/>
          <w:sz w:val="24"/>
          <w:szCs w:val="24"/>
        </w:rPr>
        <w:t>本项目不接受负偏离。</w:t>
      </w:r>
    </w:p>
    <w:p w14:paraId="6C91C43A">
      <w:pPr>
        <w:pStyle w:val="8"/>
        <w:spacing w:before="0" w:after="0"/>
        <w:rPr>
          <w:sz w:val="24"/>
          <w:szCs w:val="24"/>
        </w:rPr>
      </w:pPr>
      <w:r>
        <w:rPr>
          <w:rFonts w:hint="eastAsia"/>
          <w:sz w:val="24"/>
          <w:szCs w:val="24"/>
        </w:rPr>
        <w:br w:type="page"/>
      </w:r>
    </w:p>
    <w:p w14:paraId="48EFFC6E">
      <w:pPr>
        <w:pStyle w:val="7"/>
        <w:spacing w:before="0" w:after="0" w:line="360" w:lineRule="exact"/>
        <w:jc w:val="both"/>
        <w:rPr>
          <w:rFonts w:hint="eastAsia" w:ascii="宋体" w:hAnsi="宋体" w:eastAsia="宋体" w:cs="宋体"/>
          <w:sz w:val="24"/>
          <w:szCs w:val="24"/>
        </w:rPr>
      </w:pPr>
      <w:bookmarkStart w:id="106" w:name="_Toc12917"/>
      <w:r>
        <w:rPr>
          <w:rFonts w:hint="eastAsia" w:ascii="宋体" w:hAnsi="宋体" w:eastAsia="宋体" w:cs="宋体"/>
          <w:sz w:val="24"/>
          <w:szCs w:val="24"/>
        </w:rPr>
        <w:t>附件</w:t>
      </w:r>
      <w:bookmarkEnd w:id="105"/>
      <w:r>
        <w:rPr>
          <w:rFonts w:hint="eastAsia" w:ascii="宋体" w:hAnsi="宋体" w:eastAsia="宋体" w:cs="宋体"/>
          <w:sz w:val="24"/>
          <w:szCs w:val="24"/>
        </w:rPr>
        <w:t>七</w:t>
      </w:r>
      <w:bookmarkEnd w:id="106"/>
      <w:bookmarkStart w:id="107" w:name="_Toc26763"/>
      <w:bookmarkStart w:id="108" w:name="_Toc18625"/>
      <w:r>
        <w:rPr>
          <w:rFonts w:hint="eastAsia" w:ascii="宋体" w:hAnsi="宋体" w:eastAsia="宋体" w:cs="宋体"/>
          <w:sz w:val="24"/>
          <w:szCs w:val="24"/>
        </w:rPr>
        <w:t xml:space="preserve">                      </w:t>
      </w:r>
    </w:p>
    <w:p w14:paraId="5471AA76">
      <w:pPr>
        <w:pStyle w:val="7"/>
        <w:spacing w:before="0" w:after="0" w:line="36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承诺函</w:t>
      </w:r>
    </w:p>
    <w:p w14:paraId="6FFDB83F">
      <w:pPr>
        <w:pStyle w:val="7"/>
        <w:spacing w:before="0" w:after="0" w:line="360" w:lineRule="exact"/>
        <w:jc w:val="center"/>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（一）相关服务承诺函</w:t>
      </w:r>
      <w:bookmarkEnd w:id="107"/>
      <w:bookmarkEnd w:id="108"/>
    </w:p>
    <w:tbl>
      <w:tblPr>
        <w:tblStyle w:val="36"/>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4062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14:paraId="0871EB2F">
            <w:pPr>
              <w:spacing w:line="360" w:lineRule="exact"/>
              <w:rPr>
                <w:rFonts w:ascii="仿宋" w:hAnsi="仿宋" w:eastAsia="仿宋" w:cs="仿宋"/>
                <w:sz w:val="24"/>
              </w:rPr>
            </w:pPr>
            <w:bookmarkStart w:id="109" w:name="_Toc3177"/>
            <w:r>
              <w:rPr>
                <w:rFonts w:hint="eastAsia" w:ascii="仿宋" w:hAnsi="仿宋" w:eastAsia="仿宋" w:cs="仿宋"/>
                <w:sz w:val="24"/>
              </w:rPr>
              <w:t>项目名称</w:t>
            </w:r>
          </w:p>
        </w:tc>
        <w:tc>
          <w:tcPr>
            <w:tcW w:w="7208" w:type="dxa"/>
            <w:vAlign w:val="center"/>
          </w:tcPr>
          <w:p w14:paraId="7D9B1E88">
            <w:pPr>
              <w:spacing w:line="360" w:lineRule="exact"/>
              <w:rPr>
                <w:rFonts w:ascii="仿宋" w:hAnsi="仿宋" w:eastAsia="仿宋" w:cs="仿宋"/>
                <w:sz w:val="24"/>
              </w:rPr>
            </w:pPr>
          </w:p>
        </w:tc>
      </w:tr>
      <w:tr w14:paraId="0CE7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14:paraId="05FD51E4">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14:paraId="33DD7E75">
            <w:pPr>
              <w:spacing w:line="360" w:lineRule="exact"/>
              <w:rPr>
                <w:rFonts w:ascii="仿宋" w:hAnsi="仿宋" w:eastAsia="仿宋" w:cs="仿宋"/>
                <w:sz w:val="24"/>
              </w:rPr>
            </w:pPr>
          </w:p>
        </w:tc>
      </w:tr>
      <w:tr w14:paraId="4A5C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14:paraId="618FA337">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14:paraId="5323E8FE">
            <w:pPr>
              <w:spacing w:line="360" w:lineRule="exact"/>
              <w:rPr>
                <w:rFonts w:ascii="仿宋" w:hAnsi="仿宋" w:eastAsia="仿宋" w:cs="仿宋"/>
                <w:sz w:val="24"/>
              </w:rPr>
            </w:pPr>
          </w:p>
        </w:tc>
      </w:tr>
      <w:tr w14:paraId="0519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14:paraId="7363AF6A">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的全部内容（含图纸、工程量清单、预算价、合同条款等），项目成交后，若有转包、违法分包以及未按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14:paraId="0404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14:paraId="4BEDA6C0">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14:paraId="62FDD13F">
            <w:pPr>
              <w:spacing w:line="360" w:lineRule="exact"/>
              <w:rPr>
                <w:rFonts w:ascii="仿宋" w:hAnsi="仿宋" w:eastAsia="仿宋" w:cs="仿宋"/>
                <w:sz w:val="24"/>
              </w:rPr>
            </w:pPr>
          </w:p>
        </w:tc>
      </w:tr>
      <w:tr w14:paraId="3BF0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14:paraId="50FF40DB">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14:paraId="698411D6">
            <w:pPr>
              <w:keepNext w:val="0"/>
              <w:keepLines w:val="0"/>
              <w:pageBreakBefore w:val="0"/>
              <w:widowControl w:val="0"/>
              <w:kinsoku/>
              <w:overflowPunct/>
              <w:topLinePunct w:val="0"/>
              <w:autoSpaceDE/>
              <w:autoSpaceDN/>
              <w:bidi w:val="0"/>
              <w:adjustRightInd/>
              <w:snapToGrid/>
              <w:spacing w:line="500" w:lineRule="exact"/>
              <w:jc w:val="center"/>
              <w:textAlignment w:val="auto"/>
            </w:pPr>
            <w:r>
              <w:rPr>
                <w:rFonts w:hint="eastAsia"/>
              </w:rPr>
              <w:t xml:space="preserve">                     供应商（盖章）：           </w:t>
            </w:r>
          </w:p>
          <w:p w14:paraId="0171B562">
            <w:pPr>
              <w:keepNext w:val="0"/>
              <w:keepLines w:val="0"/>
              <w:pageBreakBefore w:val="0"/>
              <w:widowControl w:val="0"/>
              <w:kinsoku/>
              <w:overflowPunct/>
              <w:topLinePunct w:val="0"/>
              <w:autoSpaceDE/>
              <w:autoSpaceDN/>
              <w:bidi w:val="0"/>
              <w:adjustRightInd/>
              <w:snapToGrid/>
              <w:spacing w:line="500" w:lineRule="exact"/>
              <w:ind w:firstLine="5040" w:firstLineChars="2400"/>
              <w:textAlignment w:val="auto"/>
            </w:pPr>
            <w:r>
              <w:rPr>
                <w:rFonts w:hint="eastAsia"/>
              </w:rPr>
              <w:t>供应商法定代表人（签名）：</w:t>
            </w:r>
          </w:p>
          <w:p w14:paraId="4F081CEC">
            <w:pPr>
              <w:pStyle w:val="55"/>
              <w:keepNext w:val="0"/>
              <w:keepLines w:val="0"/>
              <w:pageBreakBefore w:val="0"/>
              <w:widowControl w:val="0"/>
              <w:kinsoku/>
              <w:wordWrap w:val="0"/>
              <w:overflowPunct/>
              <w:topLinePunct w:val="0"/>
              <w:autoSpaceDE/>
              <w:autoSpaceDN/>
              <w:bidi w:val="0"/>
              <w:adjustRightInd/>
              <w:snapToGrid/>
              <w:spacing w:line="500" w:lineRule="exact"/>
              <w:ind w:firstLine="480"/>
              <w:jc w:val="center"/>
              <w:textAlignment w:val="auto"/>
            </w:pPr>
            <w:r>
              <w:rPr>
                <w:rFonts w:hint="eastAsia" w:ascii="仿宋" w:hAnsi="仿宋" w:eastAsia="仿宋" w:cs="仿宋"/>
                <w:sz w:val="24"/>
                <w:szCs w:val="24"/>
              </w:rPr>
              <w:t xml:space="preserve">                                     日      期：                         </w:t>
            </w:r>
          </w:p>
        </w:tc>
      </w:tr>
    </w:tbl>
    <w:p w14:paraId="2F69BB72">
      <w:pPr>
        <w:spacing w:line="360" w:lineRule="auto"/>
        <w:jc w:val="center"/>
        <w:rPr>
          <w:rFonts w:hint="eastAsia" w:ascii="宋体" w:hAnsi="宋体"/>
          <w:b/>
          <w:color w:val="auto"/>
          <w:sz w:val="28"/>
          <w:szCs w:val="28"/>
          <w:lang w:eastAsia="zh-CN"/>
        </w:rPr>
      </w:pPr>
    </w:p>
    <w:p w14:paraId="42E017F8">
      <w:pPr>
        <w:jc w:val="center"/>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（二）无在建承诺函</w:t>
      </w:r>
    </w:p>
    <w:p w14:paraId="5C7CD77F">
      <w:pPr>
        <w:widowControl/>
        <w:adjustRightInd w:val="0"/>
        <w:snapToGrid w:val="0"/>
        <w:spacing w:line="500" w:lineRule="exact"/>
        <w:jc w:val="left"/>
        <w:rPr>
          <w:rFonts w:hint="eastAsia" w:ascii="宋体" w:hAnsi="宋体" w:eastAsia="宋体" w:cs="宋体"/>
          <w:color w:val="auto"/>
          <w:kern w:val="0"/>
          <w:szCs w:val="21"/>
          <w:lang w:val="en-US" w:eastAsia="zh-CN"/>
        </w:rPr>
      </w:pPr>
      <w:r>
        <w:rPr>
          <w:rFonts w:hint="eastAsia" w:ascii="宋体" w:hAnsi="宋体" w:cs="宋体"/>
          <w:color w:val="auto"/>
          <w:kern w:val="0"/>
          <w:szCs w:val="21"/>
        </w:rPr>
        <w:t>致：</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eastAsia="zh-CN"/>
        </w:rPr>
        <w:t>（采购人）</w:t>
      </w:r>
    </w:p>
    <w:p w14:paraId="75289601">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Cs w:val="21"/>
        </w:rPr>
      </w:pP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我单位参加你方发包项目编号为（项目编号）的（发包项目名称）项目的发包活动，现郑重承诺如下：</w:t>
      </w:r>
    </w:p>
    <w:p w14:paraId="01B7EADA">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Cs w:val="21"/>
        </w:rPr>
      </w:pP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我单位承包项目</w:t>
      </w:r>
      <w:r>
        <w:rPr>
          <w:rFonts w:hint="eastAsia" w:ascii="宋体" w:hAnsi="宋体" w:cs="宋体"/>
          <w:color w:val="auto"/>
          <w:kern w:val="0"/>
          <w:szCs w:val="21"/>
          <w:lang w:eastAsia="zh-CN"/>
        </w:rPr>
        <w:t>经理</w:t>
      </w:r>
      <w:r>
        <w:rPr>
          <w:rFonts w:hint="eastAsia" w:ascii="宋体" w:hAnsi="宋体" w:cs="宋体"/>
          <w:color w:val="auto"/>
          <w:kern w:val="0"/>
          <w:szCs w:val="21"/>
        </w:rPr>
        <w:t>参与本项目承包之前无在建工程（含已成交的待建工程）或已按照相关法律法规办理了有效的项目</w:t>
      </w:r>
      <w:r>
        <w:rPr>
          <w:rFonts w:hint="eastAsia" w:ascii="宋体" w:hAnsi="宋体" w:cs="宋体"/>
          <w:color w:val="auto"/>
          <w:kern w:val="0"/>
          <w:szCs w:val="21"/>
          <w:lang w:eastAsia="zh-CN"/>
        </w:rPr>
        <w:t>经理</w:t>
      </w:r>
      <w:r>
        <w:rPr>
          <w:rFonts w:hint="eastAsia" w:ascii="宋体" w:hAnsi="宋体" w:cs="宋体"/>
          <w:color w:val="auto"/>
          <w:kern w:val="0"/>
          <w:szCs w:val="21"/>
        </w:rPr>
        <w:t>变更手续，如发现有在建工程（含已成交的待建工程）经查证属实即构成以虚假信息（事实）承包，我单位自愿接受发包人及公共资源交易监督管理部门按照《中华人民共和国招标投标法》及其实施条例规定给予的处理，包括成交无效，赔偿发包人损失，接受罚款以及承包资格限制等。</w:t>
      </w:r>
    </w:p>
    <w:p w14:paraId="226D2057">
      <w:pPr>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 xml:space="preserve"> </w:t>
      </w:r>
    </w:p>
    <w:p w14:paraId="2FD4C906">
      <w:pPr>
        <w:jc w:val="right"/>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供应商（盖章）：</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p>
    <w:p w14:paraId="0DA270CF">
      <w:pPr>
        <w:jc w:val="right"/>
        <w:rPr>
          <w:rFonts w:hint="eastAsia" w:ascii="宋体" w:hAnsi="宋体" w:cs="宋体"/>
          <w:color w:val="auto"/>
          <w:kern w:val="0"/>
          <w:szCs w:val="21"/>
        </w:rPr>
      </w:pPr>
    </w:p>
    <w:p w14:paraId="7719F693">
      <w:pPr>
        <w:jc w:val="right"/>
        <w:rPr>
          <w:rFonts w:hint="eastAsia" w:ascii="宋体" w:hAnsi="宋体" w:cs="宋体"/>
          <w:color w:val="auto"/>
          <w:kern w:val="0"/>
          <w:szCs w:val="21"/>
        </w:rPr>
      </w:pPr>
      <w:r>
        <w:rPr>
          <w:rFonts w:hint="eastAsia" w:ascii="宋体" w:hAnsi="宋体" w:cs="宋体"/>
          <w:color w:val="auto"/>
          <w:kern w:val="0"/>
          <w:szCs w:val="21"/>
        </w:rPr>
        <w:t>供应商法定代表人（签名）：</w:t>
      </w:r>
    </w:p>
    <w:p w14:paraId="1E925268">
      <w:pPr>
        <w:ind w:firstLine="4620" w:firstLineChars="2200"/>
        <w:jc w:val="right"/>
        <w:rPr>
          <w:rFonts w:hint="eastAsia" w:ascii="宋体" w:hAnsi="宋体" w:cs="宋体"/>
          <w:color w:val="auto"/>
          <w:kern w:val="0"/>
          <w:szCs w:val="21"/>
        </w:rPr>
      </w:pPr>
    </w:p>
    <w:p w14:paraId="24E081B4">
      <w:pPr>
        <w:ind w:firstLine="4620" w:firstLineChars="2200"/>
        <w:jc w:val="right"/>
        <w:rPr>
          <w:rFonts w:hint="eastAsia" w:ascii="宋体" w:hAnsi="宋体" w:cs="宋体"/>
          <w:color w:val="auto"/>
          <w:kern w:val="0"/>
          <w:szCs w:val="21"/>
        </w:rPr>
      </w:pPr>
      <w:r>
        <w:rPr>
          <w:rFonts w:hint="eastAsia" w:ascii="宋体" w:hAnsi="宋体" w:cs="宋体"/>
          <w:color w:val="auto"/>
          <w:kern w:val="0"/>
          <w:szCs w:val="21"/>
        </w:rPr>
        <w:t xml:space="preserve">日      期： </w:t>
      </w:r>
    </w:p>
    <w:p w14:paraId="1290982B">
      <w:pPr>
        <w:jc w:val="both"/>
        <w:rPr>
          <w:rFonts w:hint="eastAsia" w:ascii="宋体" w:hAnsi="宋体" w:cs="宋体"/>
          <w:color w:val="auto"/>
          <w:kern w:val="0"/>
          <w:szCs w:val="21"/>
        </w:rPr>
      </w:pPr>
    </w:p>
    <w:p w14:paraId="5A8D0DFF">
      <w:pPr>
        <w:jc w:val="both"/>
        <w:rPr>
          <w:rFonts w:hint="eastAsia" w:ascii="宋体" w:hAnsi="宋体" w:cs="宋体"/>
          <w:color w:val="auto"/>
          <w:kern w:val="0"/>
          <w:szCs w:val="21"/>
        </w:rPr>
      </w:pPr>
    </w:p>
    <w:p w14:paraId="6D9F6BDA">
      <w:pPr>
        <w:ind w:firstLine="5542" w:firstLineChars="2300"/>
        <w:jc w:val="right"/>
        <w:rPr>
          <w:rStyle w:val="60"/>
          <w:rFonts w:ascii="宋体" w:hAnsi="宋体" w:eastAsia="宋体" w:cs="宋体"/>
          <w:sz w:val="24"/>
          <w:szCs w:val="24"/>
        </w:rPr>
      </w:pPr>
      <w:r>
        <w:rPr>
          <w:rStyle w:val="60"/>
          <w:rFonts w:hint="eastAsia" w:ascii="宋体" w:hAnsi="宋体" w:eastAsia="宋体" w:cs="宋体"/>
          <w:sz w:val="24"/>
          <w:szCs w:val="24"/>
        </w:rPr>
        <w:br w:type="page"/>
      </w:r>
    </w:p>
    <w:p w14:paraId="15584939">
      <w:pPr>
        <w:pStyle w:val="7"/>
        <w:spacing w:before="0" w:after="0" w:line="560" w:lineRule="exact"/>
        <w:rPr>
          <w:rFonts w:hint="eastAsia" w:ascii="宋体" w:hAnsi="宋体" w:eastAsia="宋体" w:cs="宋体"/>
          <w:sz w:val="24"/>
          <w:szCs w:val="24"/>
          <w:lang w:val="en-US" w:eastAsia="zh-CN"/>
        </w:rPr>
      </w:pPr>
      <w:bookmarkStart w:id="110" w:name="_Toc3426"/>
      <w:r>
        <w:rPr>
          <w:rFonts w:hint="eastAsia" w:ascii="宋体" w:hAnsi="宋体" w:eastAsia="宋体" w:cs="宋体"/>
          <w:sz w:val="24"/>
          <w:szCs w:val="24"/>
        </w:rPr>
        <w:t>附件八</w:t>
      </w:r>
      <w:bookmarkEnd w:id="110"/>
      <w:r>
        <w:rPr>
          <w:rFonts w:hint="eastAsia" w:ascii="宋体" w:hAnsi="宋体" w:eastAsia="宋体" w:cs="宋体"/>
          <w:sz w:val="24"/>
          <w:szCs w:val="24"/>
          <w:lang w:val="en-US" w:eastAsia="zh-CN"/>
        </w:rPr>
        <w:t xml:space="preserve">  </w:t>
      </w:r>
    </w:p>
    <w:p w14:paraId="4CD9BF90">
      <w:pPr>
        <w:jc w:val="center"/>
        <w:rPr>
          <w:rFonts w:hint="eastAsia" w:ascii="宋体" w:hAnsi="宋体" w:eastAsia="宋体" w:cs="宋体"/>
          <w:b w:val="0"/>
          <w:bCs/>
          <w:kern w:val="0"/>
          <w:sz w:val="24"/>
          <w:szCs w:val="24"/>
          <w:lang w:val="en-US" w:eastAsia="zh-CN" w:bidi="ar-SA"/>
        </w:rPr>
      </w:pPr>
      <w:bookmarkStart w:id="111" w:name="_Toc28850"/>
      <w:bookmarkStart w:id="112" w:name="_Toc19723"/>
      <w:r>
        <w:rPr>
          <w:rFonts w:hint="eastAsia" w:ascii="宋体" w:hAnsi="宋体" w:eastAsia="宋体" w:cs="宋体"/>
          <w:b w:val="0"/>
          <w:bCs/>
          <w:kern w:val="0"/>
          <w:sz w:val="24"/>
          <w:szCs w:val="24"/>
          <w:lang w:val="en-US" w:eastAsia="zh-CN" w:bidi="ar-SA"/>
        </w:rPr>
        <w:t>谈判文件要求和供应商认为需要提供的其它说明和资料</w:t>
      </w:r>
      <w:bookmarkEnd w:id="111"/>
      <w:bookmarkEnd w:id="112"/>
    </w:p>
    <w:p w14:paraId="0E90C8C8">
      <w:pPr>
        <w:rPr>
          <w:rFonts w:hint="default"/>
          <w:lang w:val="en-US" w:eastAsia="zh-CN"/>
        </w:rPr>
      </w:pPr>
    </w:p>
    <w:bookmarkEnd w:id="109"/>
    <w:p w14:paraId="33B37390">
      <w:pPr>
        <w:pStyle w:val="7"/>
        <w:spacing w:before="0" w:after="0" w:line="560" w:lineRule="exact"/>
        <w:rPr>
          <w:rStyle w:val="115"/>
          <w:rFonts w:ascii="宋体" w:hAnsi="宋体" w:eastAsia="宋体" w:cs="宋体"/>
          <w:b/>
          <w:sz w:val="24"/>
          <w:szCs w:val="24"/>
        </w:rPr>
      </w:pPr>
      <w:bookmarkStart w:id="113" w:name="_Toc5314"/>
      <w:bookmarkStart w:id="114" w:name="_Toc23763"/>
      <w:r>
        <w:rPr>
          <w:rFonts w:hint="eastAsia" w:ascii="宋体" w:hAnsi="宋体" w:eastAsia="宋体" w:cs="宋体"/>
          <w:sz w:val="24"/>
          <w:szCs w:val="24"/>
        </w:rPr>
        <w:t>附件九</w:t>
      </w:r>
      <w:bookmarkEnd w:id="113"/>
      <w:bookmarkEnd w:id="114"/>
      <w:r>
        <w:rPr>
          <w:rFonts w:hint="eastAsia" w:ascii="宋体" w:hAnsi="宋体" w:eastAsia="宋体" w:cs="宋体"/>
          <w:sz w:val="24"/>
          <w:szCs w:val="24"/>
          <w:lang w:val="en-US" w:eastAsia="zh-CN"/>
        </w:rPr>
        <w:t xml:space="preserve">                      </w:t>
      </w:r>
    </w:p>
    <w:p w14:paraId="74DDFF29">
      <w:pPr>
        <w:spacing w:line="440" w:lineRule="exact"/>
        <w:jc w:val="center"/>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最终承包报价书</w:t>
      </w:r>
    </w:p>
    <w:p w14:paraId="436A7A06">
      <w:pPr>
        <w:widowControl w:val="0"/>
        <w:tabs>
          <w:tab w:val="left" w:pos="1663"/>
        </w:tabs>
        <w:autoSpaceDE w:val="0"/>
        <w:autoSpaceDN w:val="0"/>
        <w:spacing w:before="0" w:after="0" w:line="240" w:lineRule="auto"/>
        <w:ind w:left="96" w:right="0"/>
        <w:jc w:val="center"/>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（某项目第</w:t>
      </w:r>
      <w:r>
        <w:rPr>
          <w:rFonts w:ascii="宋体" w:hAnsi="宋体" w:eastAsia="宋体" w:cs="宋体"/>
          <w:b/>
          <w:bCs/>
          <w:sz w:val="24"/>
          <w:szCs w:val="24"/>
          <w:u w:val="single"/>
          <w:lang w:val="zh-CN" w:eastAsia="zh-CN" w:bidi="zh-CN"/>
        </w:rPr>
        <w:t xml:space="preserve"> </w:t>
      </w:r>
      <w:r>
        <w:rPr>
          <w:rFonts w:ascii="宋体" w:hAnsi="宋体" w:eastAsia="宋体" w:cs="宋体"/>
          <w:b/>
          <w:bCs/>
          <w:sz w:val="24"/>
          <w:szCs w:val="24"/>
          <w:u w:val="single"/>
          <w:lang w:val="zh-CN" w:eastAsia="zh-CN" w:bidi="zh-CN"/>
        </w:rPr>
        <w:tab/>
      </w:r>
      <w:r>
        <w:rPr>
          <w:rFonts w:ascii="宋体" w:hAnsi="宋体" w:eastAsia="宋体" w:cs="宋体"/>
          <w:b/>
          <w:bCs/>
          <w:sz w:val="24"/>
          <w:szCs w:val="24"/>
          <w:lang w:val="zh-CN" w:eastAsia="zh-CN" w:bidi="zh-CN"/>
        </w:rPr>
        <w:t>次报价书）</w:t>
      </w:r>
    </w:p>
    <w:p w14:paraId="4D9554C8">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14:paraId="6B35BBED">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r>
        <w:rPr>
          <w:rFonts w:ascii="宋体" w:hAnsi="宋体" w:eastAsia="宋体" w:cs="宋体"/>
          <w:b/>
          <w:bCs/>
          <w:sz w:val="24"/>
          <w:szCs w:val="24"/>
          <w:u w:val="single"/>
          <w:lang w:val="zh-CN" w:eastAsia="zh-CN" w:bidi="zh-CN"/>
        </w:rPr>
        <w:t xml:space="preserve">    </w:t>
      </w: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14:paraId="07E32802">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6"/>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2DC81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64DB786B">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14:paraId="731D6ED9">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14:paraId="31110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4F6F9800">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14:paraId="2A3F0FBC">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14:paraId="34874438">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14:paraId="265771DF">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14:paraId="0F5EE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0" w:hRule="atLeast"/>
        </w:trPr>
        <w:tc>
          <w:tcPr>
            <w:tcW w:w="2461" w:type="dxa"/>
            <w:noWrap w:val="0"/>
            <w:vAlign w:val="top"/>
          </w:tcPr>
          <w:p w14:paraId="1083ED4D">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14:paraId="2F737F86">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14:paraId="72425142">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14:paraId="65D6759D">
            <w:pPr>
              <w:spacing w:line="560" w:lineRule="exact"/>
              <w:rPr>
                <w:rFonts w:hint="eastAsia" w:ascii="宋体" w:hAnsi="宋体" w:cs="宋体"/>
                <w:sz w:val="24"/>
                <w:szCs w:val="24"/>
              </w:rPr>
            </w:pPr>
          </w:p>
          <w:p w14:paraId="622A57A0">
            <w:pPr>
              <w:spacing w:line="560" w:lineRule="exact"/>
              <w:rPr>
                <w:rFonts w:hint="eastAsia" w:ascii="宋体" w:hAnsi="宋体" w:cs="宋体"/>
                <w:sz w:val="24"/>
                <w:szCs w:val="24"/>
              </w:rPr>
            </w:pPr>
            <w:r>
              <w:rPr>
                <w:rFonts w:hint="eastAsia" w:ascii="宋体" w:hAnsi="宋体" w:cs="宋体"/>
                <w:sz w:val="24"/>
                <w:szCs w:val="24"/>
              </w:rPr>
              <w:t>大写：</w:t>
            </w:r>
            <w:r>
              <w:rPr>
                <w:rFonts w:hint="eastAsia" w:ascii="宋体" w:hAnsi="宋体" w:cs="宋体"/>
                <w:sz w:val="24"/>
                <w:szCs w:val="24"/>
                <w:u w:val="none"/>
              </w:rPr>
              <w:t xml:space="preserve">         </w:t>
            </w:r>
          </w:p>
          <w:p w14:paraId="1AFD66F1">
            <w:pPr>
              <w:spacing w:line="560" w:lineRule="exact"/>
              <w:rPr>
                <w:rFonts w:ascii="Calibri" w:hAnsi="Calibri"/>
                <w:sz w:val="24"/>
                <w:szCs w:val="24"/>
              </w:rPr>
            </w:pPr>
            <w:r>
              <w:rPr>
                <w:rFonts w:hint="eastAsia" w:ascii="宋体" w:hAnsi="宋体" w:cs="宋体"/>
                <w:sz w:val="24"/>
                <w:szCs w:val="24"/>
                <w:lang w:val="en-US" w:eastAsia="zh-CN"/>
              </w:rPr>
              <w:t>小写：</w:t>
            </w:r>
            <w:r>
              <w:rPr>
                <w:rFonts w:hint="eastAsia" w:ascii="宋体" w:hAnsi="宋体" w:cs="宋体"/>
                <w:sz w:val="24"/>
                <w:szCs w:val="24"/>
                <w:u w:val="single"/>
                <w:lang w:val="en-US" w:eastAsia="zh-CN"/>
              </w:rPr>
              <w:t xml:space="preserve">           </w:t>
            </w:r>
            <w:r>
              <w:rPr>
                <w:rFonts w:hint="eastAsia" w:ascii="宋体" w:hAnsi="宋体" w:cs="宋体"/>
                <w:sz w:val="24"/>
                <w:szCs w:val="24"/>
              </w:rPr>
              <w:t xml:space="preserve">（精确到小数点后两位，可编辑） </w:t>
            </w:r>
          </w:p>
          <w:p w14:paraId="4CAE57D4">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p>
        </w:tc>
      </w:tr>
      <w:tr w14:paraId="1D288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223247FA">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14:paraId="0D10A985">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14:paraId="2AEBACE9">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14:paraId="0C2DE304">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14:paraId="028FBACF">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14:paraId="329CCCBA">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14:paraId="3EE5E363">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14:paraId="09D4F59D">
      <w:pPr>
        <w:bidi w:val="0"/>
        <w:spacing w:line="360" w:lineRule="auto"/>
        <w:jc w:val="left"/>
        <w:rPr>
          <w:rFonts w:hint="eastAsia" w:asciiTheme="minorEastAsia" w:hAnsiTheme="minorEastAsia" w:eastAsiaTheme="minorEastAsia" w:cstheme="minorEastAsia"/>
          <w:b/>
          <w:bCs/>
          <w:color w:val="auto"/>
          <w:sz w:val="24"/>
          <w:szCs w:val="22"/>
          <w:lang w:val="zh-CN" w:eastAsia="zh-CN"/>
        </w:rPr>
      </w:pPr>
      <w:r>
        <w:rPr>
          <w:rFonts w:hint="eastAsia" w:asciiTheme="minorEastAsia" w:hAnsiTheme="minorEastAsia" w:eastAsiaTheme="minorEastAsia" w:cstheme="minorEastAsia"/>
          <w:b/>
          <w:bCs/>
          <w:color w:val="auto"/>
          <w:sz w:val="24"/>
          <w:szCs w:val="22"/>
          <w:lang w:val="zh-CN" w:eastAsia="zh-CN"/>
        </w:rPr>
        <w:t>注：1、本页《最终承包报价书》由供应商在依谈判情况填写，填好后传至系统。考虑谈判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7DB1627B">
      <w:pPr>
        <w:numPr>
          <w:ilvl w:val="0"/>
          <w:numId w:val="0"/>
        </w:numPr>
        <w:rPr>
          <w:bCs/>
          <w:color w:val="auto"/>
        </w:rPr>
      </w:pPr>
      <w:r>
        <w:rPr>
          <w:rFonts w:hint="eastAsia" w:ascii="宋体" w:hAnsi="宋体" w:eastAsia="宋体" w:cs="宋体"/>
          <w:b/>
          <w:color w:val="FF0000"/>
          <w:kern w:val="2"/>
          <w:sz w:val="24"/>
          <w:szCs w:val="24"/>
          <w:highlight w:val="none"/>
          <w:lang w:val="en-US" w:eastAsia="zh-CN" w:bidi="ar-SA"/>
        </w:rPr>
        <w:t>2、最终报价单位为元，最多保留两位小数。</w:t>
      </w:r>
    </w:p>
    <w:p w14:paraId="0C22F288">
      <w:pPr>
        <w:numPr>
          <w:ilvl w:val="0"/>
          <w:numId w:val="0"/>
        </w:numPr>
        <w:rPr>
          <w:bCs/>
          <w:color w:val="auto"/>
        </w:rPr>
      </w:pPr>
      <w:r>
        <w:rPr>
          <w:rFonts w:hint="eastAsia" w:ascii="宋体" w:hAnsi="宋体" w:cs="宋体"/>
          <w:b/>
          <w:color w:val="auto"/>
          <w:kern w:val="2"/>
          <w:sz w:val="24"/>
          <w:szCs w:val="24"/>
          <w:highlight w:val="none"/>
          <w:lang w:val="en-US" w:eastAsia="zh-CN" w:bidi="ar-SA"/>
        </w:rPr>
        <w:t>3、具体格式可根据系统要求。</w:t>
      </w:r>
    </w:p>
    <w:p w14:paraId="79CAD384">
      <w:pPr>
        <w:pStyle w:val="2"/>
        <w:ind w:left="0" w:leftChars="0" w:firstLine="0" w:firstLineChars="0"/>
      </w:pPr>
    </w:p>
    <w:sectPr>
      <w:headerReference r:id="rId5" w:type="default"/>
      <w:footerReference r:id="rId7" w:type="default"/>
      <w:headerReference r:id="rId6" w:type="even"/>
      <w:footerReference r:id="rId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DB21ECB-E0C1-44C6-B276-A96F3D14D30C}"/>
  </w:font>
  <w:font w:name="黑体">
    <w:panose1 w:val="02010609060101010101"/>
    <w:charset w:val="86"/>
    <w:family w:val="auto"/>
    <w:pitch w:val="default"/>
    <w:sig w:usb0="800002BF" w:usb1="38CF7CFA" w:usb2="00000016" w:usb3="00000000" w:csb0="00040001" w:csb1="00000000"/>
    <w:embedRegular r:id="rId2" w:fontKey="{263FC98A-EAAE-4F04-BA39-B9579188A7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7C647021-3CDF-4A2E-A4F7-02A012CF0D70}"/>
  </w:font>
  <w:font w:name="仿宋_GB2312">
    <w:panose1 w:val="02010609030101010101"/>
    <w:charset w:val="86"/>
    <w:family w:val="auto"/>
    <w:pitch w:val="default"/>
    <w:sig w:usb0="00000001" w:usb1="080E0000" w:usb2="00000000" w:usb3="00000000" w:csb0="00040000" w:csb1="00000000"/>
    <w:embedRegular r:id="rId4" w:fontKey="{4196942F-96C0-499E-BE68-EC24ECA89CF4}"/>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embedRegular r:id="rId5" w:fontKey="{4E1A6806-0837-413A-8B56-E94F45C09FC2}"/>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3CB7DB4B-17D8-47B8-BFAD-485876BC84F7}"/>
  </w:font>
  <w:font w:name="华文中宋">
    <w:panose1 w:val="02010600040101010101"/>
    <w:charset w:val="86"/>
    <w:family w:val="auto"/>
    <w:pitch w:val="default"/>
    <w:sig w:usb0="00000287" w:usb1="080F0000" w:usb2="00000000" w:usb3="00000000" w:csb0="0004009F" w:csb1="DFD70000"/>
    <w:embedRegular r:id="rId7" w:fontKey="{6191C793-D114-4093-8764-4CB720DBE7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D9FE0">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0AF7F5">
                          <w:pPr>
                            <w:pStyle w:val="23"/>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10AF7F5">
                    <w:pPr>
                      <w:pStyle w:val="2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C914D">
    <w:pPr>
      <w:pStyle w:val="23"/>
      <w:framePr w:wrap="around" w:vAnchor="text" w:hAnchor="margin" w:xAlign="center" w:y="1"/>
      <w:rPr>
        <w:rStyle w:val="40"/>
      </w:rPr>
    </w:pPr>
    <w:r>
      <w:rPr>
        <w:rStyle w:val="40"/>
      </w:rPr>
      <w:fldChar w:fldCharType="begin"/>
    </w:r>
    <w:r>
      <w:rPr>
        <w:rStyle w:val="40"/>
      </w:rPr>
      <w:instrText xml:space="preserve">PAGE  </w:instrText>
    </w:r>
    <w:r>
      <w:rPr>
        <w:rStyle w:val="40"/>
      </w:rPr>
      <w:fldChar w:fldCharType="separate"/>
    </w:r>
    <w:r>
      <w:rPr>
        <w:rStyle w:val="40"/>
      </w:rPr>
      <w:t>30</w:t>
    </w:r>
    <w:r>
      <w:rPr>
        <w:rStyle w:val="40"/>
      </w:rPr>
      <w:fldChar w:fldCharType="end"/>
    </w:r>
  </w:p>
  <w:p w14:paraId="2154CFB3">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DD95A">
    <w:pPr>
      <w:pStyle w:val="23"/>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25215295">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3136E">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829E5">
    <w:pPr>
      <w:pStyle w:val="24"/>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B26A3">
    <w:pPr>
      <w:pStyle w:val="24"/>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612FE335">
    <w:pPr>
      <w:pStyle w:val="2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2A2540"/>
    <w:multiLevelType w:val="singleLevel"/>
    <w:tmpl w:val="C42A2540"/>
    <w:lvl w:ilvl="0" w:tentative="0">
      <w:start w:val="1"/>
      <w:numFmt w:val="decimal"/>
      <w:suff w:val="nothing"/>
      <w:lvlText w:val="（%1）"/>
      <w:lvlJc w:val="left"/>
    </w:lvl>
  </w:abstractNum>
  <w:abstractNum w:abstractNumId="1">
    <w:nsid w:val="CA921B7E"/>
    <w:multiLevelType w:val="singleLevel"/>
    <w:tmpl w:val="CA921B7E"/>
    <w:lvl w:ilvl="0" w:tentative="0">
      <w:start w:val="3"/>
      <w:numFmt w:val="chineseCounting"/>
      <w:suff w:val="nothing"/>
      <w:lvlText w:val="%1、"/>
      <w:lvlJc w:val="left"/>
      <w:rPr>
        <w:rFonts w:hint="eastAsia"/>
      </w:rPr>
    </w:lvl>
  </w:abstractNum>
  <w:abstractNum w:abstractNumId="2">
    <w:nsid w:val="00000005"/>
    <w:multiLevelType w:val="multilevel"/>
    <w:tmpl w:val="00000005"/>
    <w:lvl w:ilvl="0" w:tentative="0">
      <w:start w:val="1"/>
      <w:numFmt w:val="decimal"/>
      <w:pStyle w:val="67"/>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141CC4FB"/>
    <w:multiLevelType w:val="singleLevel"/>
    <w:tmpl w:val="141CC4FB"/>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2Y2I4ZTQ1YjAxMzBjM2UzZDZjMGJkY2U3OTQ2NjA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52D8"/>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1EF"/>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01676B"/>
    <w:rsid w:val="01320FBC"/>
    <w:rsid w:val="014944FD"/>
    <w:rsid w:val="017E1B19"/>
    <w:rsid w:val="01C506B1"/>
    <w:rsid w:val="01DD0E32"/>
    <w:rsid w:val="01ED3B47"/>
    <w:rsid w:val="025739FF"/>
    <w:rsid w:val="026B700F"/>
    <w:rsid w:val="02734D70"/>
    <w:rsid w:val="03052939"/>
    <w:rsid w:val="03062E20"/>
    <w:rsid w:val="0311396F"/>
    <w:rsid w:val="039C3B2E"/>
    <w:rsid w:val="03B22505"/>
    <w:rsid w:val="03D23972"/>
    <w:rsid w:val="03FE01E1"/>
    <w:rsid w:val="04067181"/>
    <w:rsid w:val="041D73D5"/>
    <w:rsid w:val="046E3E44"/>
    <w:rsid w:val="047F6792"/>
    <w:rsid w:val="04AB1DE0"/>
    <w:rsid w:val="04D344B6"/>
    <w:rsid w:val="04EE7346"/>
    <w:rsid w:val="05045387"/>
    <w:rsid w:val="05104E6D"/>
    <w:rsid w:val="053346E9"/>
    <w:rsid w:val="0573286F"/>
    <w:rsid w:val="05764F65"/>
    <w:rsid w:val="058F34B0"/>
    <w:rsid w:val="05CD4D4D"/>
    <w:rsid w:val="05ED76CD"/>
    <w:rsid w:val="06047263"/>
    <w:rsid w:val="06262FF6"/>
    <w:rsid w:val="062766E1"/>
    <w:rsid w:val="065F13E0"/>
    <w:rsid w:val="068A111A"/>
    <w:rsid w:val="06B306D8"/>
    <w:rsid w:val="06C701F0"/>
    <w:rsid w:val="07267565"/>
    <w:rsid w:val="074A602C"/>
    <w:rsid w:val="07893F2F"/>
    <w:rsid w:val="078C18B4"/>
    <w:rsid w:val="07A20F5E"/>
    <w:rsid w:val="07F0468C"/>
    <w:rsid w:val="08316AA1"/>
    <w:rsid w:val="0834567D"/>
    <w:rsid w:val="085E5B1B"/>
    <w:rsid w:val="08735873"/>
    <w:rsid w:val="08B903E4"/>
    <w:rsid w:val="08B975E0"/>
    <w:rsid w:val="08D76796"/>
    <w:rsid w:val="094A1A48"/>
    <w:rsid w:val="095F7F4C"/>
    <w:rsid w:val="09A60123"/>
    <w:rsid w:val="09AE75F4"/>
    <w:rsid w:val="09B95F2A"/>
    <w:rsid w:val="0A051F93"/>
    <w:rsid w:val="0A0C7574"/>
    <w:rsid w:val="0A424E4D"/>
    <w:rsid w:val="0A911A78"/>
    <w:rsid w:val="0AB47D8E"/>
    <w:rsid w:val="0AC00A68"/>
    <w:rsid w:val="0AD876A7"/>
    <w:rsid w:val="0AD90520"/>
    <w:rsid w:val="0AF82AC1"/>
    <w:rsid w:val="0B304DED"/>
    <w:rsid w:val="0B66533A"/>
    <w:rsid w:val="0B84414D"/>
    <w:rsid w:val="0BA43D81"/>
    <w:rsid w:val="0BD46BAD"/>
    <w:rsid w:val="0BE120B2"/>
    <w:rsid w:val="0C19181C"/>
    <w:rsid w:val="0CA050D9"/>
    <w:rsid w:val="0CAA47CE"/>
    <w:rsid w:val="0CEC43CA"/>
    <w:rsid w:val="0D50431A"/>
    <w:rsid w:val="0D6921B0"/>
    <w:rsid w:val="0DD74F5A"/>
    <w:rsid w:val="0DEB2D61"/>
    <w:rsid w:val="0DF624E0"/>
    <w:rsid w:val="0E050A19"/>
    <w:rsid w:val="0E21417E"/>
    <w:rsid w:val="0E346850"/>
    <w:rsid w:val="0E404088"/>
    <w:rsid w:val="0EA113FA"/>
    <w:rsid w:val="0ECA11CC"/>
    <w:rsid w:val="0EE028AD"/>
    <w:rsid w:val="0EE7610B"/>
    <w:rsid w:val="0F00057F"/>
    <w:rsid w:val="0F0019B5"/>
    <w:rsid w:val="0F390E8E"/>
    <w:rsid w:val="0F574044"/>
    <w:rsid w:val="0F8F57EF"/>
    <w:rsid w:val="0FF7412C"/>
    <w:rsid w:val="0FF97625"/>
    <w:rsid w:val="0FFA6300"/>
    <w:rsid w:val="10044E18"/>
    <w:rsid w:val="1018304A"/>
    <w:rsid w:val="104D6442"/>
    <w:rsid w:val="10722611"/>
    <w:rsid w:val="10765998"/>
    <w:rsid w:val="1094029F"/>
    <w:rsid w:val="10A818CA"/>
    <w:rsid w:val="10A85300"/>
    <w:rsid w:val="10B97633"/>
    <w:rsid w:val="10C761F4"/>
    <w:rsid w:val="110475FD"/>
    <w:rsid w:val="11200448"/>
    <w:rsid w:val="112E0021"/>
    <w:rsid w:val="11845080"/>
    <w:rsid w:val="11845E93"/>
    <w:rsid w:val="119066D9"/>
    <w:rsid w:val="11A335B5"/>
    <w:rsid w:val="11AE35E8"/>
    <w:rsid w:val="11DD1222"/>
    <w:rsid w:val="11FC4CE3"/>
    <w:rsid w:val="1219428E"/>
    <w:rsid w:val="12C42FA9"/>
    <w:rsid w:val="1303465D"/>
    <w:rsid w:val="132E255A"/>
    <w:rsid w:val="13451652"/>
    <w:rsid w:val="13490C7D"/>
    <w:rsid w:val="135C3D02"/>
    <w:rsid w:val="135D4BEE"/>
    <w:rsid w:val="137115CA"/>
    <w:rsid w:val="13C5790E"/>
    <w:rsid w:val="13D432A8"/>
    <w:rsid w:val="14B60A59"/>
    <w:rsid w:val="14D507B4"/>
    <w:rsid w:val="14E27C21"/>
    <w:rsid w:val="151770AE"/>
    <w:rsid w:val="153B2049"/>
    <w:rsid w:val="15614DA8"/>
    <w:rsid w:val="15A5659A"/>
    <w:rsid w:val="15AD79BC"/>
    <w:rsid w:val="15B565F2"/>
    <w:rsid w:val="16066864"/>
    <w:rsid w:val="16300397"/>
    <w:rsid w:val="163D0A87"/>
    <w:rsid w:val="16784A64"/>
    <w:rsid w:val="16907088"/>
    <w:rsid w:val="16991EF7"/>
    <w:rsid w:val="170F0CFF"/>
    <w:rsid w:val="17263210"/>
    <w:rsid w:val="173850A7"/>
    <w:rsid w:val="173B6FF4"/>
    <w:rsid w:val="174C0AC9"/>
    <w:rsid w:val="175D6D93"/>
    <w:rsid w:val="177B4CDC"/>
    <w:rsid w:val="179A4A43"/>
    <w:rsid w:val="17BA7FA6"/>
    <w:rsid w:val="182C23A8"/>
    <w:rsid w:val="184A679B"/>
    <w:rsid w:val="18544623"/>
    <w:rsid w:val="18C878F2"/>
    <w:rsid w:val="18CE5F64"/>
    <w:rsid w:val="18D31697"/>
    <w:rsid w:val="18FB18A3"/>
    <w:rsid w:val="192B2CC7"/>
    <w:rsid w:val="19524AC9"/>
    <w:rsid w:val="197D3E49"/>
    <w:rsid w:val="198B1495"/>
    <w:rsid w:val="1A0725B2"/>
    <w:rsid w:val="1A630ED2"/>
    <w:rsid w:val="1A6C248D"/>
    <w:rsid w:val="1AD23FC4"/>
    <w:rsid w:val="1AE747FC"/>
    <w:rsid w:val="1AF45622"/>
    <w:rsid w:val="1B087292"/>
    <w:rsid w:val="1B23671D"/>
    <w:rsid w:val="1B5A7D5C"/>
    <w:rsid w:val="1B730DBF"/>
    <w:rsid w:val="1B7B26E1"/>
    <w:rsid w:val="1B8A33D7"/>
    <w:rsid w:val="1BBE2ACB"/>
    <w:rsid w:val="1C1A0C17"/>
    <w:rsid w:val="1C32741A"/>
    <w:rsid w:val="1C405AE5"/>
    <w:rsid w:val="1C577EAD"/>
    <w:rsid w:val="1CD3192F"/>
    <w:rsid w:val="1D0C75F3"/>
    <w:rsid w:val="1D960483"/>
    <w:rsid w:val="1DC13400"/>
    <w:rsid w:val="1DC817B3"/>
    <w:rsid w:val="1DE43A4A"/>
    <w:rsid w:val="1DE5157B"/>
    <w:rsid w:val="1DF15284"/>
    <w:rsid w:val="1E071163"/>
    <w:rsid w:val="1E0A2DCB"/>
    <w:rsid w:val="1E5F77E6"/>
    <w:rsid w:val="1E6746D1"/>
    <w:rsid w:val="1ED653AA"/>
    <w:rsid w:val="1F171CFB"/>
    <w:rsid w:val="1F3C13B6"/>
    <w:rsid w:val="1F4B49D6"/>
    <w:rsid w:val="1FCB070D"/>
    <w:rsid w:val="1FD06805"/>
    <w:rsid w:val="1FF85069"/>
    <w:rsid w:val="200E7FC4"/>
    <w:rsid w:val="20AC2D10"/>
    <w:rsid w:val="20E916A5"/>
    <w:rsid w:val="20F41885"/>
    <w:rsid w:val="2163607F"/>
    <w:rsid w:val="21913271"/>
    <w:rsid w:val="21993B18"/>
    <w:rsid w:val="22230DB0"/>
    <w:rsid w:val="224135A4"/>
    <w:rsid w:val="22464B8D"/>
    <w:rsid w:val="22606154"/>
    <w:rsid w:val="229A201B"/>
    <w:rsid w:val="22AF6AE8"/>
    <w:rsid w:val="22B67E76"/>
    <w:rsid w:val="233A2855"/>
    <w:rsid w:val="23771CF3"/>
    <w:rsid w:val="239101D9"/>
    <w:rsid w:val="239974D6"/>
    <w:rsid w:val="23E266D0"/>
    <w:rsid w:val="23E4618A"/>
    <w:rsid w:val="23F2091A"/>
    <w:rsid w:val="244E3D8C"/>
    <w:rsid w:val="24880227"/>
    <w:rsid w:val="248F056D"/>
    <w:rsid w:val="24B335CE"/>
    <w:rsid w:val="24F009A8"/>
    <w:rsid w:val="256C0CC0"/>
    <w:rsid w:val="259E42F0"/>
    <w:rsid w:val="25EF0E4B"/>
    <w:rsid w:val="26022C7A"/>
    <w:rsid w:val="26326C48"/>
    <w:rsid w:val="26690388"/>
    <w:rsid w:val="26774B65"/>
    <w:rsid w:val="26784054"/>
    <w:rsid w:val="26865DB2"/>
    <w:rsid w:val="269C26E3"/>
    <w:rsid w:val="26F97002"/>
    <w:rsid w:val="270D6E87"/>
    <w:rsid w:val="272E2D63"/>
    <w:rsid w:val="27410CB9"/>
    <w:rsid w:val="276D441A"/>
    <w:rsid w:val="27DC212D"/>
    <w:rsid w:val="27EF2972"/>
    <w:rsid w:val="28195B76"/>
    <w:rsid w:val="281F2D40"/>
    <w:rsid w:val="284E2B9A"/>
    <w:rsid w:val="285A5748"/>
    <w:rsid w:val="2861396F"/>
    <w:rsid w:val="28AF6A0B"/>
    <w:rsid w:val="28B44010"/>
    <w:rsid w:val="29044E0B"/>
    <w:rsid w:val="29347D47"/>
    <w:rsid w:val="29384EA8"/>
    <w:rsid w:val="295039A3"/>
    <w:rsid w:val="296F3EFA"/>
    <w:rsid w:val="298A5BB9"/>
    <w:rsid w:val="29CE019B"/>
    <w:rsid w:val="29D84906"/>
    <w:rsid w:val="29E26463"/>
    <w:rsid w:val="29F00BBE"/>
    <w:rsid w:val="2A07065D"/>
    <w:rsid w:val="2A0A08C3"/>
    <w:rsid w:val="2A534564"/>
    <w:rsid w:val="2A573A70"/>
    <w:rsid w:val="2ACF5F79"/>
    <w:rsid w:val="2AFD6FA9"/>
    <w:rsid w:val="2B404B09"/>
    <w:rsid w:val="2B77216D"/>
    <w:rsid w:val="2B930796"/>
    <w:rsid w:val="2BB73FED"/>
    <w:rsid w:val="2BFA65A3"/>
    <w:rsid w:val="2C101F53"/>
    <w:rsid w:val="2C8F0922"/>
    <w:rsid w:val="2CBD48CE"/>
    <w:rsid w:val="2CE211B2"/>
    <w:rsid w:val="2D1E497A"/>
    <w:rsid w:val="2D4227EC"/>
    <w:rsid w:val="2D657944"/>
    <w:rsid w:val="2D6A3FD8"/>
    <w:rsid w:val="2D8B7A0C"/>
    <w:rsid w:val="2DB21269"/>
    <w:rsid w:val="2DEB0970"/>
    <w:rsid w:val="2E015B36"/>
    <w:rsid w:val="2E275F81"/>
    <w:rsid w:val="2E28730F"/>
    <w:rsid w:val="2E2F7FD3"/>
    <w:rsid w:val="2E4E51C2"/>
    <w:rsid w:val="2E520EAC"/>
    <w:rsid w:val="2E77681E"/>
    <w:rsid w:val="2F2F1519"/>
    <w:rsid w:val="2F4B2B19"/>
    <w:rsid w:val="2F6246CC"/>
    <w:rsid w:val="2F9F5447"/>
    <w:rsid w:val="2FC53683"/>
    <w:rsid w:val="2FD8767E"/>
    <w:rsid w:val="2FE97A5F"/>
    <w:rsid w:val="2FFE4B1D"/>
    <w:rsid w:val="300B44EE"/>
    <w:rsid w:val="303074BA"/>
    <w:rsid w:val="305A47DE"/>
    <w:rsid w:val="30626A70"/>
    <w:rsid w:val="30671D75"/>
    <w:rsid w:val="307E2317"/>
    <w:rsid w:val="309E348C"/>
    <w:rsid w:val="30C01AC8"/>
    <w:rsid w:val="30CB35CF"/>
    <w:rsid w:val="30E31097"/>
    <w:rsid w:val="30EB7C3C"/>
    <w:rsid w:val="31394322"/>
    <w:rsid w:val="3184082E"/>
    <w:rsid w:val="32214672"/>
    <w:rsid w:val="323668DE"/>
    <w:rsid w:val="32583B43"/>
    <w:rsid w:val="32617B06"/>
    <w:rsid w:val="328304A8"/>
    <w:rsid w:val="32BC5F4D"/>
    <w:rsid w:val="32FD11AA"/>
    <w:rsid w:val="33154A22"/>
    <w:rsid w:val="33FE364D"/>
    <w:rsid w:val="3429115A"/>
    <w:rsid w:val="34F2580B"/>
    <w:rsid w:val="351C22A2"/>
    <w:rsid w:val="353059E1"/>
    <w:rsid w:val="354A5F40"/>
    <w:rsid w:val="35611775"/>
    <w:rsid w:val="357B0EFD"/>
    <w:rsid w:val="35803C3D"/>
    <w:rsid w:val="35976F45"/>
    <w:rsid w:val="35F42A51"/>
    <w:rsid w:val="35F745D6"/>
    <w:rsid w:val="35FFEC5E"/>
    <w:rsid w:val="36024564"/>
    <w:rsid w:val="361F260A"/>
    <w:rsid w:val="36276335"/>
    <w:rsid w:val="36981B5D"/>
    <w:rsid w:val="36A9634B"/>
    <w:rsid w:val="36BA61F4"/>
    <w:rsid w:val="36D079C8"/>
    <w:rsid w:val="36EB7CE0"/>
    <w:rsid w:val="36FD3E6E"/>
    <w:rsid w:val="377D1279"/>
    <w:rsid w:val="37D716E7"/>
    <w:rsid w:val="37DD4AD6"/>
    <w:rsid w:val="38631B53"/>
    <w:rsid w:val="386D5472"/>
    <w:rsid w:val="38C904AC"/>
    <w:rsid w:val="390327BB"/>
    <w:rsid w:val="39203E44"/>
    <w:rsid w:val="394E33E8"/>
    <w:rsid w:val="39555F8E"/>
    <w:rsid w:val="396C6CF4"/>
    <w:rsid w:val="398E6F62"/>
    <w:rsid w:val="39A46823"/>
    <w:rsid w:val="3A290002"/>
    <w:rsid w:val="3A2E128F"/>
    <w:rsid w:val="3A5B63A2"/>
    <w:rsid w:val="3A880372"/>
    <w:rsid w:val="3A8F3EBA"/>
    <w:rsid w:val="3AB10259"/>
    <w:rsid w:val="3ABA6222"/>
    <w:rsid w:val="3AD674BD"/>
    <w:rsid w:val="3B1B510F"/>
    <w:rsid w:val="3B301F44"/>
    <w:rsid w:val="3B3716DA"/>
    <w:rsid w:val="3B597089"/>
    <w:rsid w:val="3B9373E6"/>
    <w:rsid w:val="3BAE4829"/>
    <w:rsid w:val="3BBC42F8"/>
    <w:rsid w:val="3BDF73C5"/>
    <w:rsid w:val="3C05453A"/>
    <w:rsid w:val="3C34130B"/>
    <w:rsid w:val="3C4C39CC"/>
    <w:rsid w:val="3C8856A4"/>
    <w:rsid w:val="3D0E69C4"/>
    <w:rsid w:val="3D743CDB"/>
    <w:rsid w:val="3D902D22"/>
    <w:rsid w:val="3DF4021A"/>
    <w:rsid w:val="3E047963"/>
    <w:rsid w:val="3E8E5BBA"/>
    <w:rsid w:val="3ED2227F"/>
    <w:rsid w:val="3EDC10FF"/>
    <w:rsid w:val="3EF01892"/>
    <w:rsid w:val="3EFA42ED"/>
    <w:rsid w:val="3F091E7F"/>
    <w:rsid w:val="3F0A5E23"/>
    <w:rsid w:val="3F3F2FD1"/>
    <w:rsid w:val="3F520FBF"/>
    <w:rsid w:val="3F9803DD"/>
    <w:rsid w:val="3FE57CA4"/>
    <w:rsid w:val="3FF17F6E"/>
    <w:rsid w:val="402E1B38"/>
    <w:rsid w:val="40384169"/>
    <w:rsid w:val="405A4873"/>
    <w:rsid w:val="406022E2"/>
    <w:rsid w:val="407B3EBF"/>
    <w:rsid w:val="40905D53"/>
    <w:rsid w:val="40C6655A"/>
    <w:rsid w:val="40D64F73"/>
    <w:rsid w:val="40DF693D"/>
    <w:rsid w:val="40F16A8E"/>
    <w:rsid w:val="41051602"/>
    <w:rsid w:val="411C5418"/>
    <w:rsid w:val="412545BE"/>
    <w:rsid w:val="4162324B"/>
    <w:rsid w:val="4184340D"/>
    <w:rsid w:val="41C77552"/>
    <w:rsid w:val="41E21275"/>
    <w:rsid w:val="42DD5DB3"/>
    <w:rsid w:val="42F6152E"/>
    <w:rsid w:val="42FF6CFF"/>
    <w:rsid w:val="43075E6E"/>
    <w:rsid w:val="43771108"/>
    <w:rsid w:val="438C4E1A"/>
    <w:rsid w:val="44174028"/>
    <w:rsid w:val="441746B8"/>
    <w:rsid w:val="446523D2"/>
    <w:rsid w:val="44765180"/>
    <w:rsid w:val="447A7A51"/>
    <w:rsid w:val="44BB500C"/>
    <w:rsid w:val="44DA0696"/>
    <w:rsid w:val="44E346A3"/>
    <w:rsid w:val="44E45943"/>
    <w:rsid w:val="453C4349"/>
    <w:rsid w:val="457172B0"/>
    <w:rsid w:val="4583380E"/>
    <w:rsid w:val="45993146"/>
    <w:rsid w:val="459E79F0"/>
    <w:rsid w:val="45CB11F7"/>
    <w:rsid w:val="45E6039F"/>
    <w:rsid w:val="45EB3538"/>
    <w:rsid w:val="46440499"/>
    <w:rsid w:val="466F03AF"/>
    <w:rsid w:val="46771AC0"/>
    <w:rsid w:val="46AD15ED"/>
    <w:rsid w:val="47347438"/>
    <w:rsid w:val="47867C8A"/>
    <w:rsid w:val="479B001B"/>
    <w:rsid w:val="479B5ECC"/>
    <w:rsid w:val="47A55E85"/>
    <w:rsid w:val="47D21CE6"/>
    <w:rsid w:val="47E26DCF"/>
    <w:rsid w:val="47F70466"/>
    <w:rsid w:val="4820145E"/>
    <w:rsid w:val="48313978"/>
    <w:rsid w:val="486274F2"/>
    <w:rsid w:val="48876507"/>
    <w:rsid w:val="48A14890"/>
    <w:rsid w:val="48BD0CBA"/>
    <w:rsid w:val="48C37CC6"/>
    <w:rsid w:val="49443F56"/>
    <w:rsid w:val="4A142EB0"/>
    <w:rsid w:val="4A4C0CEF"/>
    <w:rsid w:val="4A67403B"/>
    <w:rsid w:val="4A734E79"/>
    <w:rsid w:val="4A8F4985"/>
    <w:rsid w:val="4AD27698"/>
    <w:rsid w:val="4ADD4458"/>
    <w:rsid w:val="4AF45F45"/>
    <w:rsid w:val="4B0A12D5"/>
    <w:rsid w:val="4B1B114F"/>
    <w:rsid w:val="4B250368"/>
    <w:rsid w:val="4B7F6C9B"/>
    <w:rsid w:val="4B857DCA"/>
    <w:rsid w:val="4BB01238"/>
    <w:rsid w:val="4C0D0258"/>
    <w:rsid w:val="4C2F1AF1"/>
    <w:rsid w:val="4C3F1A69"/>
    <w:rsid w:val="4C4C7D4D"/>
    <w:rsid w:val="4C692E82"/>
    <w:rsid w:val="4C8E6053"/>
    <w:rsid w:val="4C9B795E"/>
    <w:rsid w:val="4CA216B0"/>
    <w:rsid w:val="4CA7336B"/>
    <w:rsid w:val="4CC44084"/>
    <w:rsid w:val="4CE216E4"/>
    <w:rsid w:val="4CEF5BAF"/>
    <w:rsid w:val="4D001539"/>
    <w:rsid w:val="4D060FF1"/>
    <w:rsid w:val="4D714797"/>
    <w:rsid w:val="4D9F0EEA"/>
    <w:rsid w:val="4DA207D0"/>
    <w:rsid w:val="4DA60964"/>
    <w:rsid w:val="4E3C703C"/>
    <w:rsid w:val="4E92026E"/>
    <w:rsid w:val="4F095D32"/>
    <w:rsid w:val="4F1A4882"/>
    <w:rsid w:val="4F2F71CE"/>
    <w:rsid w:val="4F3B1580"/>
    <w:rsid w:val="4F3C4DEC"/>
    <w:rsid w:val="4F585C8E"/>
    <w:rsid w:val="4F7C5051"/>
    <w:rsid w:val="4F860A4D"/>
    <w:rsid w:val="4FDB2778"/>
    <w:rsid w:val="501A5CDD"/>
    <w:rsid w:val="504900D3"/>
    <w:rsid w:val="50653B4A"/>
    <w:rsid w:val="50AA1BE6"/>
    <w:rsid w:val="50EA2B95"/>
    <w:rsid w:val="516620A8"/>
    <w:rsid w:val="5175589A"/>
    <w:rsid w:val="517F7502"/>
    <w:rsid w:val="52892F5B"/>
    <w:rsid w:val="52F61709"/>
    <w:rsid w:val="535B543D"/>
    <w:rsid w:val="53605111"/>
    <w:rsid w:val="53BC2C8F"/>
    <w:rsid w:val="54073585"/>
    <w:rsid w:val="543453A5"/>
    <w:rsid w:val="54843BCA"/>
    <w:rsid w:val="549459BA"/>
    <w:rsid w:val="54A13C33"/>
    <w:rsid w:val="54D275F5"/>
    <w:rsid w:val="54DB7C79"/>
    <w:rsid w:val="54E74E26"/>
    <w:rsid w:val="54F93A6F"/>
    <w:rsid w:val="55313209"/>
    <w:rsid w:val="55580A4D"/>
    <w:rsid w:val="558B7070"/>
    <w:rsid w:val="55B45B96"/>
    <w:rsid w:val="55DA38A0"/>
    <w:rsid w:val="55DC1770"/>
    <w:rsid w:val="55EB22AC"/>
    <w:rsid w:val="561133F2"/>
    <w:rsid w:val="561F5757"/>
    <w:rsid w:val="56401CD5"/>
    <w:rsid w:val="56571FFA"/>
    <w:rsid w:val="56660C90"/>
    <w:rsid w:val="568B33C0"/>
    <w:rsid w:val="56A92CC7"/>
    <w:rsid w:val="56D204E6"/>
    <w:rsid w:val="57441969"/>
    <w:rsid w:val="575061B3"/>
    <w:rsid w:val="5772766D"/>
    <w:rsid w:val="57EB50BF"/>
    <w:rsid w:val="57F56770"/>
    <w:rsid w:val="581D5AED"/>
    <w:rsid w:val="586D09FC"/>
    <w:rsid w:val="58BD10F2"/>
    <w:rsid w:val="58CB127E"/>
    <w:rsid w:val="58CD33C2"/>
    <w:rsid w:val="595C598B"/>
    <w:rsid w:val="596469D4"/>
    <w:rsid w:val="596811C3"/>
    <w:rsid w:val="59BD375F"/>
    <w:rsid w:val="59E85E60"/>
    <w:rsid w:val="5A435D8A"/>
    <w:rsid w:val="5A455FF9"/>
    <w:rsid w:val="5AB45C15"/>
    <w:rsid w:val="5B062A42"/>
    <w:rsid w:val="5B47134C"/>
    <w:rsid w:val="5BBC1D09"/>
    <w:rsid w:val="5BDB3215"/>
    <w:rsid w:val="5C34380B"/>
    <w:rsid w:val="5C441E45"/>
    <w:rsid w:val="5C73638E"/>
    <w:rsid w:val="5CBA4C19"/>
    <w:rsid w:val="5D194289"/>
    <w:rsid w:val="5D852344"/>
    <w:rsid w:val="5D8C2B4C"/>
    <w:rsid w:val="5DA66850"/>
    <w:rsid w:val="5DC32E71"/>
    <w:rsid w:val="5DDB4E6C"/>
    <w:rsid w:val="5DDF0287"/>
    <w:rsid w:val="5DF70E54"/>
    <w:rsid w:val="5E402B64"/>
    <w:rsid w:val="5E875879"/>
    <w:rsid w:val="5E94654C"/>
    <w:rsid w:val="5F001951"/>
    <w:rsid w:val="5F006759"/>
    <w:rsid w:val="5F2237A7"/>
    <w:rsid w:val="5F225A0F"/>
    <w:rsid w:val="5F912AC4"/>
    <w:rsid w:val="5FA35FE5"/>
    <w:rsid w:val="5FD14724"/>
    <w:rsid w:val="600C4824"/>
    <w:rsid w:val="60153D3C"/>
    <w:rsid w:val="602F50D5"/>
    <w:rsid w:val="60700F30"/>
    <w:rsid w:val="607B7DDA"/>
    <w:rsid w:val="608869E5"/>
    <w:rsid w:val="60B62E5B"/>
    <w:rsid w:val="60E87B88"/>
    <w:rsid w:val="60F36AC5"/>
    <w:rsid w:val="613A3445"/>
    <w:rsid w:val="619B0953"/>
    <w:rsid w:val="61A76748"/>
    <w:rsid w:val="61D91A2E"/>
    <w:rsid w:val="61DC44FC"/>
    <w:rsid w:val="62900431"/>
    <w:rsid w:val="62B45479"/>
    <w:rsid w:val="62B731FE"/>
    <w:rsid w:val="62C52E85"/>
    <w:rsid w:val="62DC368C"/>
    <w:rsid w:val="62F87114"/>
    <w:rsid w:val="63023C80"/>
    <w:rsid w:val="630C0161"/>
    <w:rsid w:val="63584057"/>
    <w:rsid w:val="63685D38"/>
    <w:rsid w:val="636D3AA1"/>
    <w:rsid w:val="639D3D91"/>
    <w:rsid w:val="642A1415"/>
    <w:rsid w:val="64650F40"/>
    <w:rsid w:val="649B203D"/>
    <w:rsid w:val="64F22548"/>
    <w:rsid w:val="64FD4EB5"/>
    <w:rsid w:val="65033676"/>
    <w:rsid w:val="65442BCD"/>
    <w:rsid w:val="655C29BA"/>
    <w:rsid w:val="65610558"/>
    <w:rsid w:val="659106E2"/>
    <w:rsid w:val="65AB236D"/>
    <w:rsid w:val="65B8080F"/>
    <w:rsid w:val="65E46075"/>
    <w:rsid w:val="66032238"/>
    <w:rsid w:val="662276B1"/>
    <w:rsid w:val="66483EC5"/>
    <w:rsid w:val="66704DB4"/>
    <w:rsid w:val="66A04F95"/>
    <w:rsid w:val="66B26720"/>
    <w:rsid w:val="67080599"/>
    <w:rsid w:val="67102453"/>
    <w:rsid w:val="67120A9E"/>
    <w:rsid w:val="6734799D"/>
    <w:rsid w:val="67D201EB"/>
    <w:rsid w:val="67E01163"/>
    <w:rsid w:val="680622D3"/>
    <w:rsid w:val="686C2F70"/>
    <w:rsid w:val="688573AD"/>
    <w:rsid w:val="68A67F29"/>
    <w:rsid w:val="68C15CCA"/>
    <w:rsid w:val="68CA1553"/>
    <w:rsid w:val="68DC7567"/>
    <w:rsid w:val="68F62689"/>
    <w:rsid w:val="69001944"/>
    <w:rsid w:val="69350DCE"/>
    <w:rsid w:val="697D619C"/>
    <w:rsid w:val="697E5CFD"/>
    <w:rsid w:val="699456BD"/>
    <w:rsid w:val="69EE3D79"/>
    <w:rsid w:val="6A0E091D"/>
    <w:rsid w:val="6A260A0B"/>
    <w:rsid w:val="6A807108"/>
    <w:rsid w:val="6AB674FF"/>
    <w:rsid w:val="6ABA50AD"/>
    <w:rsid w:val="6ABC175A"/>
    <w:rsid w:val="6B006918"/>
    <w:rsid w:val="6B537588"/>
    <w:rsid w:val="6B58725B"/>
    <w:rsid w:val="6BA94127"/>
    <w:rsid w:val="6BD5690D"/>
    <w:rsid w:val="6BE57EBD"/>
    <w:rsid w:val="6BFE46EA"/>
    <w:rsid w:val="6C691082"/>
    <w:rsid w:val="6C7F53F2"/>
    <w:rsid w:val="6C8B20CC"/>
    <w:rsid w:val="6CC4275D"/>
    <w:rsid w:val="6D1927C4"/>
    <w:rsid w:val="6D616AB2"/>
    <w:rsid w:val="6D725D15"/>
    <w:rsid w:val="6DC9002B"/>
    <w:rsid w:val="6DD54955"/>
    <w:rsid w:val="6DE4548A"/>
    <w:rsid w:val="6E2D5373"/>
    <w:rsid w:val="6E406222"/>
    <w:rsid w:val="6E8F400F"/>
    <w:rsid w:val="6EB71B5D"/>
    <w:rsid w:val="6F0B4673"/>
    <w:rsid w:val="6F447A17"/>
    <w:rsid w:val="6F773253"/>
    <w:rsid w:val="704217E5"/>
    <w:rsid w:val="7076354C"/>
    <w:rsid w:val="707E56F3"/>
    <w:rsid w:val="70B054D2"/>
    <w:rsid w:val="70EB4BF5"/>
    <w:rsid w:val="70F6444B"/>
    <w:rsid w:val="71152000"/>
    <w:rsid w:val="7121017E"/>
    <w:rsid w:val="71951D13"/>
    <w:rsid w:val="71DD22F7"/>
    <w:rsid w:val="720E5CBA"/>
    <w:rsid w:val="721376E2"/>
    <w:rsid w:val="721756F7"/>
    <w:rsid w:val="72224ADC"/>
    <w:rsid w:val="7231680E"/>
    <w:rsid w:val="72731B2F"/>
    <w:rsid w:val="727B38BE"/>
    <w:rsid w:val="72BD5AD1"/>
    <w:rsid w:val="72C87BB3"/>
    <w:rsid w:val="735465E8"/>
    <w:rsid w:val="735F6117"/>
    <w:rsid w:val="73A40AD9"/>
    <w:rsid w:val="73BC3875"/>
    <w:rsid w:val="73FC40C7"/>
    <w:rsid w:val="743106D8"/>
    <w:rsid w:val="745D4D21"/>
    <w:rsid w:val="74DB6895"/>
    <w:rsid w:val="74E952AD"/>
    <w:rsid w:val="752F342A"/>
    <w:rsid w:val="75C509F0"/>
    <w:rsid w:val="760C31AA"/>
    <w:rsid w:val="76CB6D18"/>
    <w:rsid w:val="76E41A31"/>
    <w:rsid w:val="76ED37EF"/>
    <w:rsid w:val="770F21D1"/>
    <w:rsid w:val="773A3D47"/>
    <w:rsid w:val="77BF7315"/>
    <w:rsid w:val="77D5581E"/>
    <w:rsid w:val="78532959"/>
    <w:rsid w:val="786C5C4B"/>
    <w:rsid w:val="78871402"/>
    <w:rsid w:val="789B6A68"/>
    <w:rsid w:val="78A7019A"/>
    <w:rsid w:val="78DF6F7C"/>
    <w:rsid w:val="790A6E9A"/>
    <w:rsid w:val="791870B6"/>
    <w:rsid w:val="796D5B63"/>
    <w:rsid w:val="798D055E"/>
    <w:rsid w:val="79B2097F"/>
    <w:rsid w:val="79BA3B0E"/>
    <w:rsid w:val="79D706F5"/>
    <w:rsid w:val="7A287679"/>
    <w:rsid w:val="7ABB6962"/>
    <w:rsid w:val="7AC940EF"/>
    <w:rsid w:val="7AF4539C"/>
    <w:rsid w:val="7B4F7695"/>
    <w:rsid w:val="7B9C6D7F"/>
    <w:rsid w:val="7BBFE36C"/>
    <w:rsid w:val="7BFE17E7"/>
    <w:rsid w:val="7C013D85"/>
    <w:rsid w:val="7C426179"/>
    <w:rsid w:val="7C662C4B"/>
    <w:rsid w:val="7CB32C8C"/>
    <w:rsid w:val="7D1239EA"/>
    <w:rsid w:val="7D1B3671"/>
    <w:rsid w:val="7D241628"/>
    <w:rsid w:val="7D733ECF"/>
    <w:rsid w:val="7D9F3F13"/>
    <w:rsid w:val="7DAD1215"/>
    <w:rsid w:val="7DB40A20"/>
    <w:rsid w:val="7DC2451F"/>
    <w:rsid w:val="7DE7143A"/>
    <w:rsid w:val="7E136A50"/>
    <w:rsid w:val="7E49765A"/>
    <w:rsid w:val="7E4C0FEB"/>
    <w:rsid w:val="7EA857C5"/>
    <w:rsid w:val="7EBE0C5A"/>
    <w:rsid w:val="7EFB3C47"/>
    <w:rsid w:val="7F6271D2"/>
    <w:rsid w:val="7F850ECB"/>
    <w:rsid w:val="7F9E2999"/>
    <w:rsid w:val="7FAA2F0C"/>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8"/>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link w:val="59"/>
    <w:autoRedefine/>
    <w:qFormat/>
    <w:uiPriority w:val="0"/>
    <w:pPr>
      <w:keepNext/>
      <w:outlineLvl w:val="0"/>
    </w:pPr>
    <w:rPr>
      <w:sz w:val="28"/>
      <w:szCs w:val="24"/>
    </w:rPr>
  </w:style>
  <w:style w:type="paragraph" w:styleId="7">
    <w:name w:val="heading 2"/>
    <w:basedOn w:val="1"/>
    <w:next w:val="1"/>
    <w:link w:val="115"/>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61"/>
    <w:autoRedefine/>
    <w:qFormat/>
    <w:uiPriority w:val="0"/>
    <w:pPr>
      <w:keepNext/>
      <w:keepLines/>
      <w:spacing w:before="260" w:after="260" w:line="416" w:lineRule="auto"/>
      <w:outlineLvl w:val="2"/>
    </w:pPr>
    <w:rPr>
      <w:b/>
      <w:bCs/>
      <w:sz w:val="32"/>
      <w:szCs w:val="32"/>
      <w:lang w:val="zh-CN"/>
    </w:rPr>
  </w:style>
  <w:style w:type="paragraph" w:styleId="9">
    <w:name w:val="heading 4"/>
    <w:basedOn w:val="1"/>
    <w:next w:val="1"/>
    <w:link w:val="62"/>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5"/>
    <w:autoRedefine/>
    <w:unhideWhenUsed/>
    <w:qFormat/>
    <w:uiPriority w:val="99"/>
    <w:pPr>
      <w:spacing w:line="400" w:lineRule="atLeast"/>
      <w:ind w:firstLine="426"/>
    </w:pPr>
    <w:rPr>
      <w:sz w:val="24"/>
      <w:szCs w:val="20"/>
    </w:rPr>
  </w:style>
  <w:style w:type="paragraph" w:styleId="3">
    <w:name w:val="Body Text"/>
    <w:basedOn w:val="1"/>
    <w:next w:val="4"/>
    <w:link w:val="75"/>
    <w:autoRedefine/>
    <w:qFormat/>
    <w:uiPriority w:val="0"/>
    <w:pPr>
      <w:spacing w:after="120"/>
    </w:pPr>
    <w:rPr>
      <w:szCs w:val="24"/>
    </w:rPr>
  </w:style>
  <w:style w:type="paragraph" w:customStyle="1" w:styleId="4">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5">
    <w:name w:val="toc 6"/>
    <w:basedOn w:val="1"/>
    <w:next w:val="1"/>
    <w:autoRedefine/>
    <w:qFormat/>
    <w:uiPriority w:val="0"/>
    <w:pPr>
      <w:ind w:left="2100" w:leftChars="1000"/>
    </w:pPr>
  </w:style>
  <w:style w:type="paragraph" w:styleId="10">
    <w:name w:val="toc 7"/>
    <w:basedOn w:val="1"/>
    <w:next w:val="1"/>
    <w:autoRedefine/>
    <w:qFormat/>
    <w:uiPriority w:val="0"/>
    <w:pPr>
      <w:ind w:left="2520" w:leftChars="1200"/>
    </w:pPr>
  </w:style>
  <w:style w:type="paragraph" w:styleId="11">
    <w:name w:val="Document Map"/>
    <w:basedOn w:val="1"/>
    <w:link w:val="86"/>
    <w:autoRedefine/>
    <w:qFormat/>
    <w:uiPriority w:val="0"/>
    <w:pPr>
      <w:shd w:val="clear" w:color="auto" w:fill="000080"/>
    </w:pPr>
  </w:style>
  <w:style w:type="paragraph" w:styleId="12">
    <w:name w:val="annotation text"/>
    <w:basedOn w:val="1"/>
    <w:link w:val="80"/>
    <w:autoRedefine/>
    <w:semiHidden/>
    <w:qFormat/>
    <w:uiPriority w:val="99"/>
    <w:pPr>
      <w:jc w:val="left"/>
    </w:pPr>
  </w:style>
  <w:style w:type="paragraph" w:styleId="13">
    <w:name w:val="Body Text 3"/>
    <w:basedOn w:val="1"/>
    <w:link w:val="100"/>
    <w:autoRedefine/>
    <w:unhideWhenUsed/>
    <w:qFormat/>
    <w:uiPriority w:val="99"/>
    <w:pPr>
      <w:spacing w:after="120"/>
    </w:pPr>
    <w:rPr>
      <w:rFonts w:ascii="Calibri" w:hAnsi="Calibri"/>
      <w:sz w:val="16"/>
      <w:szCs w:val="16"/>
      <w:lang w:val="zh-CN"/>
    </w:rPr>
  </w:style>
  <w:style w:type="paragraph" w:styleId="14">
    <w:name w:val="Body Text Indent"/>
    <w:basedOn w:val="1"/>
    <w:next w:val="15"/>
    <w:link w:val="64"/>
    <w:autoRedefine/>
    <w:qFormat/>
    <w:uiPriority w:val="0"/>
    <w:pPr>
      <w:ind w:firstLine="540"/>
    </w:pPr>
    <w:rPr>
      <w:rFonts w:eastAsia="仿宋_GB2312"/>
      <w:sz w:val="28"/>
    </w:rPr>
  </w:style>
  <w:style w:type="paragraph" w:styleId="15">
    <w:name w:val="envelope return"/>
    <w:basedOn w:val="1"/>
    <w:autoRedefine/>
    <w:unhideWhenUsed/>
    <w:qFormat/>
    <w:uiPriority w:val="99"/>
    <w:pPr>
      <w:snapToGrid w:val="0"/>
      <w:spacing w:line="360" w:lineRule="auto"/>
    </w:pPr>
    <w:rPr>
      <w:rFonts w:ascii="Arial" w:hAnsi="Arial" w:cs="Arial"/>
    </w:rPr>
  </w:style>
  <w:style w:type="paragraph" w:styleId="16">
    <w:name w:val="toc 5"/>
    <w:basedOn w:val="1"/>
    <w:next w:val="1"/>
    <w:autoRedefine/>
    <w:qFormat/>
    <w:uiPriority w:val="0"/>
    <w:pPr>
      <w:ind w:left="1680" w:leftChars="800"/>
    </w:pPr>
  </w:style>
  <w:style w:type="paragraph" w:styleId="17">
    <w:name w:val="toc 3"/>
    <w:basedOn w:val="1"/>
    <w:next w:val="1"/>
    <w:autoRedefine/>
    <w:qFormat/>
    <w:uiPriority w:val="39"/>
    <w:pPr>
      <w:ind w:left="840" w:leftChars="400"/>
    </w:pPr>
  </w:style>
  <w:style w:type="paragraph" w:styleId="18">
    <w:name w:val="Plain Text"/>
    <w:basedOn w:val="1"/>
    <w:link w:val="83"/>
    <w:autoRedefine/>
    <w:qFormat/>
    <w:uiPriority w:val="0"/>
    <w:rPr>
      <w:rFonts w:ascii="宋体" w:hAnsi="Courier New" w:cstheme="minorBidi"/>
      <w:szCs w:val="22"/>
    </w:rPr>
  </w:style>
  <w:style w:type="paragraph" w:styleId="19">
    <w:name w:val="toc 8"/>
    <w:basedOn w:val="1"/>
    <w:next w:val="1"/>
    <w:autoRedefine/>
    <w:qFormat/>
    <w:uiPriority w:val="0"/>
    <w:pPr>
      <w:ind w:left="2940" w:leftChars="1400"/>
    </w:pPr>
  </w:style>
  <w:style w:type="paragraph" w:styleId="20">
    <w:name w:val="Date"/>
    <w:basedOn w:val="1"/>
    <w:next w:val="1"/>
    <w:link w:val="63"/>
    <w:autoRedefine/>
    <w:qFormat/>
    <w:uiPriority w:val="0"/>
    <w:rPr>
      <w:rFonts w:ascii="Arial" w:hAnsi="Arial" w:eastAsia="楷体_GB2312"/>
      <w:sz w:val="28"/>
    </w:rPr>
  </w:style>
  <w:style w:type="paragraph" w:styleId="21">
    <w:name w:val="Body Text Indent 2"/>
    <w:basedOn w:val="1"/>
    <w:link w:val="66"/>
    <w:autoRedefine/>
    <w:qFormat/>
    <w:uiPriority w:val="0"/>
    <w:pPr>
      <w:tabs>
        <w:tab w:val="left" w:pos="720"/>
      </w:tabs>
      <w:ind w:right="-506" w:rightChars="-241" w:firstLine="538" w:firstLineChars="192"/>
    </w:pPr>
    <w:rPr>
      <w:rFonts w:eastAsia="仿宋_GB2312"/>
      <w:sz w:val="28"/>
    </w:rPr>
  </w:style>
  <w:style w:type="paragraph" w:styleId="22">
    <w:name w:val="Balloon Text"/>
    <w:basedOn w:val="1"/>
    <w:link w:val="77"/>
    <w:autoRedefine/>
    <w:qFormat/>
    <w:uiPriority w:val="0"/>
    <w:rPr>
      <w:sz w:val="18"/>
      <w:szCs w:val="18"/>
    </w:rPr>
  </w:style>
  <w:style w:type="paragraph" w:styleId="23">
    <w:name w:val="footer"/>
    <w:basedOn w:val="1"/>
    <w:link w:val="58"/>
    <w:autoRedefine/>
    <w:unhideWhenUsed/>
    <w:qFormat/>
    <w:uiPriority w:val="99"/>
    <w:pPr>
      <w:tabs>
        <w:tab w:val="center" w:pos="4153"/>
        <w:tab w:val="right" w:pos="8306"/>
      </w:tabs>
      <w:snapToGrid w:val="0"/>
      <w:jc w:val="left"/>
    </w:pPr>
    <w:rPr>
      <w:sz w:val="18"/>
      <w:szCs w:val="18"/>
    </w:rPr>
  </w:style>
  <w:style w:type="paragraph" w:styleId="24">
    <w:name w:val="header"/>
    <w:basedOn w:val="1"/>
    <w:link w:val="5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autoRedefine/>
    <w:qFormat/>
    <w:uiPriority w:val="0"/>
  </w:style>
  <w:style w:type="paragraph" w:styleId="26">
    <w:name w:val="toc 4"/>
    <w:basedOn w:val="1"/>
    <w:next w:val="1"/>
    <w:autoRedefine/>
    <w:qFormat/>
    <w:uiPriority w:val="0"/>
    <w:pPr>
      <w:ind w:left="1260" w:leftChars="600"/>
    </w:pPr>
  </w:style>
  <w:style w:type="paragraph" w:styleId="27">
    <w:name w:val="Body Text Indent 3"/>
    <w:basedOn w:val="1"/>
    <w:link w:val="72"/>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12"/>
    <w:next w:val="12"/>
    <w:link w:val="81"/>
    <w:autoRedefine/>
    <w:semiHidden/>
    <w:qFormat/>
    <w:uiPriority w:val="99"/>
    <w:rPr>
      <w:b/>
      <w:bCs/>
    </w:rPr>
  </w:style>
  <w:style w:type="paragraph" w:styleId="35">
    <w:name w:val="Body Text First Indent 2"/>
    <w:basedOn w:val="14"/>
    <w:next w:val="1"/>
    <w:autoRedefine/>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autoRedefine/>
    <w:qFormat/>
    <w:uiPriority w:val="0"/>
    <w:rPr>
      <w:b/>
      <w:bCs/>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Emphasis"/>
    <w:basedOn w:val="38"/>
    <w:autoRedefine/>
    <w:qFormat/>
    <w:uiPriority w:val="20"/>
    <w:rPr>
      <w:b/>
      <w:bCs/>
    </w:rPr>
  </w:style>
  <w:style w:type="character" w:styleId="43">
    <w:name w:val="HTML Definition"/>
    <w:basedOn w:val="38"/>
    <w:autoRedefine/>
    <w:semiHidden/>
    <w:unhideWhenUsed/>
    <w:qFormat/>
    <w:uiPriority w:val="99"/>
  </w:style>
  <w:style w:type="character" w:styleId="44">
    <w:name w:val="HTML Typewriter"/>
    <w:basedOn w:val="38"/>
    <w:autoRedefine/>
    <w:semiHidden/>
    <w:unhideWhenUsed/>
    <w:qFormat/>
    <w:uiPriority w:val="99"/>
    <w:rPr>
      <w:rFonts w:hint="default" w:ascii="monospace" w:hAnsi="monospace" w:eastAsia="monospace" w:cs="monospace"/>
      <w:sz w:val="20"/>
    </w:rPr>
  </w:style>
  <w:style w:type="character" w:styleId="45">
    <w:name w:val="HTML Acronym"/>
    <w:basedOn w:val="38"/>
    <w:autoRedefine/>
    <w:semiHidden/>
    <w:unhideWhenUsed/>
    <w:qFormat/>
    <w:uiPriority w:val="99"/>
  </w:style>
  <w:style w:type="character" w:styleId="46">
    <w:name w:val="HTML Variable"/>
    <w:basedOn w:val="38"/>
    <w:autoRedefine/>
    <w:semiHidden/>
    <w:unhideWhenUsed/>
    <w:qFormat/>
    <w:uiPriority w:val="99"/>
  </w:style>
  <w:style w:type="character" w:styleId="47">
    <w:name w:val="Hyperlink"/>
    <w:basedOn w:val="38"/>
    <w:autoRedefine/>
    <w:qFormat/>
    <w:uiPriority w:val="99"/>
    <w:rPr>
      <w:color w:val="333333"/>
      <w:u w:val="none"/>
    </w:rPr>
  </w:style>
  <w:style w:type="character" w:styleId="48">
    <w:name w:val="HTML Code"/>
    <w:basedOn w:val="38"/>
    <w:autoRedefine/>
    <w:semiHidden/>
    <w:unhideWhenUsed/>
    <w:qFormat/>
    <w:uiPriority w:val="99"/>
    <w:rPr>
      <w:rFonts w:hint="default" w:ascii="monospace" w:hAnsi="monospace" w:eastAsia="monospace" w:cs="monospace"/>
      <w:sz w:val="20"/>
    </w:rPr>
  </w:style>
  <w:style w:type="character" w:styleId="49">
    <w:name w:val="annotation reference"/>
    <w:autoRedefine/>
    <w:semiHidden/>
    <w:qFormat/>
    <w:uiPriority w:val="99"/>
    <w:rPr>
      <w:sz w:val="21"/>
      <w:szCs w:val="21"/>
    </w:rPr>
  </w:style>
  <w:style w:type="character" w:styleId="50">
    <w:name w:val="HTML Cite"/>
    <w:basedOn w:val="38"/>
    <w:autoRedefine/>
    <w:semiHidden/>
    <w:unhideWhenUsed/>
    <w:qFormat/>
    <w:uiPriority w:val="99"/>
  </w:style>
  <w:style w:type="character" w:styleId="51">
    <w:name w:val="HTML Keyboard"/>
    <w:basedOn w:val="38"/>
    <w:autoRedefine/>
    <w:semiHidden/>
    <w:unhideWhenUsed/>
    <w:qFormat/>
    <w:uiPriority w:val="99"/>
    <w:rPr>
      <w:rFonts w:ascii="monospace" w:hAnsi="monospace" w:eastAsia="monospace" w:cs="monospace"/>
      <w:sz w:val="20"/>
    </w:rPr>
  </w:style>
  <w:style w:type="character" w:styleId="52">
    <w:name w:val="HTML Sample"/>
    <w:basedOn w:val="38"/>
    <w:autoRedefine/>
    <w:semiHidden/>
    <w:unhideWhenUsed/>
    <w:qFormat/>
    <w:uiPriority w:val="99"/>
    <w:rPr>
      <w:rFonts w:hint="default" w:ascii="monospace" w:hAnsi="monospace" w:eastAsia="monospace" w:cs="monospace"/>
    </w:rPr>
  </w:style>
  <w:style w:type="paragraph" w:customStyle="1" w:styleId="53">
    <w:name w:val="style4"/>
    <w:basedOn w:val="1"/>
    <w:next w:val="54"/>
    <w:autoRedefine/>
    <w:qFormat/>
    <w:uiPriority w:val="0"/>
    <w:pPr>
      <w:widowControl/>
      <w:spacing w:before="280" w:after="280"/>
    </w:pPr>
    <w:rPr>
      <w:rFonts w:ascii="宋体"/>
      <w:sz w:val="18"/>
    </w:rPr>
  </w:style>
  <w:style w:type="paragraph" w:customStyle="1" w:styleId="54">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5">
    <w:name w:val="列出段落1"/>
    <w:basedOn w:val="1"/>
    <w:autoRedefine/>
    <w:qFormat/>
    <w:uiPriority w:val="0"/>
    <w:pPr>
      <w:ind w:firstLine="420" w:firstLineChars="200"/>
    </w:pPr>
    <w:rPr>
      <w:rFonts w:ascii="Calibri" w:hAnsi="Calibri"/>
      <w:szCs w:val="22"/>
    </w:rPr>
  </w:style>
  <w:style w:type="paragraph" w:customStyle="1" w:styleId="56">
    <w:name w:val="目录 71"/>
    <w:basedOn w:val="1"/>
    <w:next w:val="1"/>
    <w:autoRedefine/>
    <w:qFormat/>
    <w:uiPriority w:val="0"/>
    <w:pPr>
      <w:ind w:left="2520"/>
    </w:pPr>
    <w:rPr>
      <w:rFonts w:ascii="Calibri"/>
    </w:rPr>
  </w:style>
  <w:style w:type="character" w:customStyle="1" w:styleId="57">
    <w:name w:val="页眉 字符"/>
    <w:basedOn w:val="38"/>
    <w:link w:val="24"/>
    <w:autoRedefine/>
    <w:qFormat/>
    <w:uiPriority w:val="0"/>
    <w:rPr>
      <w:sz w:val="18"/>
      <w:szCs w:val="18"/>
    </w:rPr>
  </w:style>
  <w:style w:type="character" w:customStyle="1" w:styleId="58">
    <w:name w:val="页脚 字符"/>
    <w:basedOn w:val="38"/>
    <w:link w:val="23"/>
    <w:autoRedefine/>
    <w:qFormat/>
    <w:uiPriority w:val="0"/>
    <w:rPr>
      <w:sz w:val="18"/>
      <w:szCs w:val="18"/>
    </w:rPr>
  </w:style>
  <w:style w:type="character" w:customStyle="1" w:styleId="59">
    <w:name w:val="标题 1 字符"/>
    <w:basedOn w:val="38"/>
    <w:link w:val="6"/>
    <w:autoRedefine/>
    <w:qFormat/>
    <w:uiPriority w:val="0"/>
    <w:rPr>
      <w:rFonts w:ascii="Times New Roman" w:hAnsi="Times New Roman" w:eastAsia="宋体" w:cs="Times New Roman"/>
      <w:sz w:val="28"/>
      <w:szCs w:val="24"/>
    </w:rPr>
  </w:style>
  <w:style w:type="character" w:customStyle="1" w:styleId="60">
    <w:name w:val="标题 2 Char"/>
    <w:basedOn w:val="38"/>
    <w:autoRedefine/>
    <w:qFormat/>
    <w:uiPriority w:val="0"/>
    <w:rPr>
      <w:rFonts w:ascii="Arial" w:hAnsi="Arial" w:eastAsia="黑体" w:cs="Times New Roman"/>
      <w:b/>
      <w:kern w:val="0"/>
      <w:sz w:val="32"/>
      <w:szCs w:val="20"/>
    </w:rPr>
  </w:style>
  <w:style w:type="character" w:customStyle="1" w:styleId="61">
    <w:name w:val="标题 3 字符"/>
    <w:basedOn w:val="38"/>
    <w:link w:val="8"/>
    <w:autoRedefine/>
    <w:qFormat/>
    <w:uiPriority w:val="0"/>
    <w:rPr>
      <w:rFonts w:ascii="Times New Roman" w:hAnsi="Times New Roman" w:eastAsia="宋体" w:cs="Times New Roman"/>
      <w:b/>
      <w:bCs/>
      <w:sz w:val="32"/>
      <w:szCs w:val="32"/>
      <w:lang w:val="zh-CN" w:eastAsia="zh-CN"/>
    </w:rPr>
  </w:style>
  <w:style w:type="character" w:customStyle="1" w:styleId="62">
    <w:name w:val="标题 4 字符"/>
    <w:basedOn w:val="38"/>
    <w:link w:val="9"/>
    <w:autoRedefine/>
    <w:qFormat/>
    <w:uiPriority w:val="0"/>
    <w:rPr>
      <w:rFonts w:ascii="Arial" w:hAnsi="Arial" w:eastAsia="黑体" w:cs="Times New Roman"/>
      <w:b/>
      <w:kern w:val="0"/>
      <w:sz w:val="28"/>
      <w:szCs w:val="20"/>
    </w:rPr>
  </w:style>
  <w:style w:type="character" w:customStyle="1" w:styleId="63">
    <w:name w:val="日期 字符"/>
    <w:basedOn w:val="38"/>
    <w:link w:val="20"/>
    <w:autoRedefine/>
    <w:qFormat/>
    <w:uiPriority w:val="0"/>
    <w:rPr>
      <w:rFonts w:ascii="Arial" w:hAnsi="Arial" w:eastAsia="楷体_GB2312" w:cs="Times New Roman"/>
      <w:sz w:val="28"/>
      <w:szCs w:val="20"/>
    </w:rPr>
  </w:style>
  <w:style w:type="character" w:customStyle="1" w:styleId="64">
    <w:name w:val="正文文本缩进 字符"/>
    <w:basedOn w:val="38"/>
    <w:link w:val="14"/>
    <w:autoRedefine/>
    <w:qFormat/>
    <w:uiPriority w:val="0"/>
    <w:rPr>
      <w:rFonts w:ascii="Times New Roman" w:hAnsi="Times New Roman" w:eastAsia="仿宋_GB2312" w:cs="Times New Roman"/>
      <w:sz w:val="28"/>
      <w:szCs w:val="20"/>
    </w:rPr>
  </w:style>
  <w:style w:type="paragraph" w:customStyle="1" w:styleId="65">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6">
    <w:name w:val="正文文本缩进 2 字符"/>
    <w:basedOn w:val="38"/>
    <w:link w:val="21"/>
    <w:autoRedefine/>
    <w:qFormat/>
    <w:uiPriority w:val="0"/>
    <w:rPr>
      <w:rFonts w:ascii="Times New Roman" w:hAnsi="Times New Roman" w:eastAsia="仿宋_GB2312" w:cs="Times New Roman"/>
      <w:sz w:val="28"/>
      <w:szCs w:val="20"/>
    </w:rPr>
  </w:style>
  <w:style w:type="paragraph" w:customStyle="1" w:styleId="67">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8">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69">
    <w:name w:val="样式 标题 2 + 宋体 五号 行距: 单倍行距"/>
    <w:basedOn w:val="7"/>
    <w:autoRedefine/>
    <w:qFormat/>
    <w:uiPriority w:val="0"/>
    <w:pPr>
      <w:spacing w:line="240" w:lineRule="auto"/>
    </w:pPr>
    <w:rPr>
      <w:rFonts w:ascii="宋体" w:hAnsi="宋体" w:eastAsia="宋体"/>
      <w:sz w:val="21"/>
    </w:rPr>
  </w:style>
  <w:style w:type="paragraph" w:customStyle="1" w:styleId="70">
    <w:name w:val="Char Char Char Char Char"/>
    <w:basedOn w:val="1"/>
    <w:autoRedefine/>
    <w:qFormat/>
    <w:uiPriority w:val="0"/>
    <w:rPr>
      <w:rFonts w:ascii="Tahoma" w:hAnsi="Tahoma"/>
      <w:sz w:val="24"/>
    </w:rPr>
  </w:style>
  <w:style w:type="paragraph" w:customStyle="1" w:styleId="71">
    <w:name w:val="Char"/>
    <w:basedOn w:val="1"/>
    <w:autoRedefine/>
    <w:qFormat/>
    <w:uiPriority w:val="0"/>
    <w:rPr>
      <w:rFonts w:ascii="Tahoma" w:hAnsi="Tahoma"/>
      <w:sz w:val="24"/>
    </w:rPr>
  </w:style>
  <w:style w:type="character" w:customStyle="1" w:styleId="72">
    <w:name w:val="正文文本缩进 3 字符"/>
    <w:basedOn w:val="38"/>
    <w:link w:val="27"/>
    <w:autoRedefine/>
    <w:qFormat/>
    <w:uiPriority w:val="0"/>
    <w:rPr>
      <w:rFonts w:ascii="仿宋_GB2312" w:hAnsi="Arial" w:eastAsia="仿宋_GB2312" w:cs="Times New Roman"/>
      <w:sz w:val="28"/>
      <w:szCs w:val="24"/>
    </w:rPr>
  </w:style>
  <w:style w:type="paragraph" w:customStyle="1" w:styleId="73">
    <w:name w:val="Char1"/>
    <w:basedOn w:val="1"/>
    <w:autoRedefine/>
    <w:qFormat/>
    <w:uiPriority w:val="0"/>
    <w:rPr>
      <w:rFonts w:ascii="Tahoma" w:hAnsi="Tahoma" w:eastAsia="仿宋_GB2312"/>
      <w:sz w:val="24"/>
    </w:rPr>
  </w:style>
  <w:style w:type="paragraph" w:customStyle="1" w:styleId="74">
    <w:name w:val="Char Char Char Char Char Char Char1 Char"/>
    <w:basedOn w:val="1"/>
    <w:autoRedefine/>
    <w:qFormat/>
    <w:uiPriority w:val="0"/>
    <w:rPr>
      <w:rFonts w:ascii="Tahoma" w:hAnsi="Tahoma"/>
      <w:sz w:val="24"/>
    </w:rPr>
  </w:style>
  <w:style w:type="character" w:customStyle="1" w:styleId="75">
    <w:name w:val="正文文本 字符"/>
    <w:basedOn w:val="38"/>
    <w:link w:val="3"/>
    <w:autoRedefine/>
    <w:qFormat/>
    <w:uiPriority w:val="0"/>
    <w:rPr>
      <w:rFonts w:ascii="Times New Roman" w:hAnsi="Times New Roman" w:eastAsia="宋体" w:cs="Times New Roman"/>
      <w:szCs w:val="24"/>
    </w:rPr>
  </w:style>
  <w:style w:type="paragraph" w:customStyle="1" w:styleId="76">
    <w:name w:val="Char Char Char Char"/>
    <w:basedOn w:val="1"/>
    <w:next w:val="1"/>
    <w:autoRedefine/>
    <w:qFormat/>
    <w:uiPriority w:val="0"/>
    <w:pPr>
      <w:widowControl/>
      <w:spacing w:line="360" w:lineRule="auto"/>
      <w:jc w:val="left"/>
    </w:pPr>
  </w:style>
  <w:style w:type="character" w:customStyle="1" w:styleId="77">
    <w:name w:val="批注框文本 字符"/>
    <w:basedOn w:val="38"/>
    <w:link w:val="22"/>
    <w:autoRedefine/>
    <w:qFormat/>
    <w:uiPriority w:val="0"/>
    <w:rPr>
      <w:rFonts w:ascii="Times New Roman" w:hAnsi="Times New Roman" w:eastAsia="宋体" w:cs="Times New Roman"/>
      <w:sz w:val="18"/>
      <w:szCs w:val="18"/>
    </w:rPr>
  </w:style>
  <w:style w:type="paragraph" w:customStyle="1" w:styleId="78">
    <w:name w:val="Char Char Char"/>
    <w:basedOn w:val="1"/>
    <w:autoRedefine/>
    <w:qFormat/>
    <w:uiPriority w:val="0"/>
    <w:rPr>
      <w:rFonts w:ascii="Tahoma" w:hAnsi="Tahoma"/>
      <w:sz w:val="24"/>
    </w:rPr>
  </w:style>
  <w:style w:type="paragraph" w:customStyle="1" w:styleId="79">
    <w:name w:val="Char Char Char Char Char Char Char Char Char Char"/>
    <w:basedOn w:val="1"/>
    <w:autoRedefine/>
    <w:qFormat/>
    <w:uiPriority w:val="0"/>
    <w:rPr>
      <w:rFonts w:ascii="Tahoma" w:hAnsi="Tahoma" w:cs="仿宋_GB2312"/>
      <w:sz w:val="24"/>
    </w:rPr>
  </w:style>
  <w:style w:type="character" w:customStyle="1" w:styleId="80">
    <w:name w:val="批注文字 字符"/>
    <w:basedOn w:val="38"/>
    <w:link w:val="12"/>
    <w:autoRedefine/>
    <w:semiHidden/>
    <w:qFormat/>
    <w:uiPriority w:val="99"/>
    <w:rPr>
      <w:rFonts w:ascii="Times New Roman" w:hAnsi="Times New Roman" w:eastAsia="宋体" w:cs="Times New Roman"/>
      <w:szCs w:val="20"/>
    </w:rPr>
  </w:style>
  <w:style w:type="character" w:customStyle="1" w:styleId="81">
    <w:name w:val="批注主题 字符"/>
    <w:basedOn w:val="80"/>
    <w:link w:val="34"/>
    <w:autoRedefine/>
    <w:semiHidden/>
    <w:qFormat/>
    <w:uiPriority w:val="99"/>
    <w:rPr>
      <w:rFonts w:ascii="Times New Roman" w:hAnsi="Times New Roman" w:eastAsia="宋体" w:cs="Times New Roman"/>
      <w:b/>
      <w:bCs/>
      <w:szCs w:val="20"/>
    </w:rPr>
  </w:style>
  <w:style w:type="paragraph" w:customStyle="1" w:styleId="82">
    <w:name w:val="Char Char Char Char Char Char"/>
    <w:basedOn w:val="1"/>
    <w:autoRedefine/>
    <w:qFormat/>
    <w:uiPriority w:val="0"/>
  </w:style>
  <w:style w:type="character" w:customStyle="1" w:styleId="83">
    <w:name w:val="纯文本 字符"/>
    <w:link w:val="18"/>
    <w:autoRedefine/>
    <w:qFormat/>
    <w:uiPriority w:val="0"/>
    <w:rPr>
      <w:rFonts w:ascii="宋体" w:hAnsi="Courier New" w:eastAsia="宋体"/>
    </w:rPr>
  </w:style>
  <w:style w:type="character" w:customStyle="1" w:styleId="84">
    <w:name w:val="纯文本 Char1"/>
    <w:basedOn w:val="38"/>
    <w:autoRedefine/>
    <w:semiHidden/>
    <w:qFormat/>
    <w:uiPriority w:val="99"/>
    <w:rPr>
      <w:rFonts w:ascii="宋体" w:hAnsi="Courier New" w:eastAsia="宋体" w:cs="Courier New"/>
      <w:szCs w:val="21"/>
    </w:rPr>
  </w:style>
  <w:style w:type="paragraph" w:customStyle="1" w:styleId="85">
    <w:name w:val="Char12 Char Char Char"/>
    <w:basedOn w:val="1"/>
    <w:autoRedefine/>
    <w:qFormat/>
    <w:uiPriority w:val="0"/>
  </w:style>
  <w:style w:type="character" w:customStyle="1" w:styleId="86">
    <w:name w:val="文档结构图 字符"/>
    <w:basedOn w:val="38"/>
    <w:link w:val="11"/>
    <w:autoRedefine/>
    <w:qFormat/>
    <w:uiPriority w:val="0"/>
    <w:rPr>
      <w:rFonts w:ascii="Times New Roman" w:hAnsi="Times New Roman" w:eastAsia="宋体" w:cs="Times New Roman"/>
      <w:szCs w:val="20"/>
      <w:shd w:val="clear" w:color="auto" w:fill="000080"/>
    </w:rPr>
  </w:style>
  <w:style w:type="character" w:customStyle="1" w:styleId="87">
    <w:name w:val="style29"/>
    <w:autoRedefine/>
    <w:qFormat/>
    <w:uiPriority w:val="0"/>
  </w:style>
  <w:style w:type="character" w:customStyle="1" w:styleId="88">
    <w:name w:val="正文1"/>
    <w:autoRedefine/>
    <w:qFormat/>
    <w:uiPriority w:val="0"/>
  </w:style>
  <w:style w:type="character" w:customStyle="1" w:styleId="89">
    <w:name w:val="font11"/>
    <w:autoRedefine/>
    <w:qFormat/>
    <w:uiPriority w:val="0"/>
    <w:rPr>
      <w:rFonts w:hint="default" w:ascii="Times New Roman" w:hAnsi="Times New Roman" w:cs="Times New Roman"/>
      <w:color w:val="3366FF"/>
      <w:sz w:val="24"/>
      <w:szCs w:val="24"/>
      <w:u w:val="none"/>
    </w:rPr>
  </w:style>
  <w:style w:type="character" w:customStyle="1" w:styleId="90">
    <w:name w:val="font21"/>
    <w:autoRedefine/>
    <w:qFormat/>
    <w:uiPriority w:val="0"/>
    <w:rPr>
      <w:rFonts w:hint="eastAsia" w:ascii="宋体" w:hAnsi="宋体" w:eastAsia="宋体"/>
      <w:color w:val="3366FF"/>
      <w:sz w:val="24"/>
      <w:szCs w:val="24"/>
      <w:u w:val="none"/>
    </w:rPr>
  </w:style>
  <w:style w:type="paragraph" w:customStyle="1" w:styleId="91">
    <w:name w:val="Char Char15"/>
    <w:basedOn w:val="1"/>
    <w:autoRedefine/>
    <w:qFormat/>
    <w:uiPriority w:val="0"/>
    <w:rPr>
      <w:rFonts w:ascii="Tahoma" w:hAnsi="Tahoma" w:eastAsia="仿宋_GB2312"/>
      <w:sz w:val="24"/>
    </w:rPr>
  </w:style>
  <w:style w:type="paragraph" w:customStyle="1" w:styleId="92">
    <w:name w:val="Char2"/>
    <w:basedOn w:val="1"/>
    <w:autoRedefine/>
    <w:qFormat/>
    <w:uiPriority w:val="0"/>
    <w:pPr>
      <w:tabs>
        <w:tab w:val="left" w:pos="360"/>
      </w:tabs>
    </w:pPr>
    <w:rPr>
      <w:sz w:val="24"/>
      <w:szCs w:val="24"/>
    </w:rPr>
  </w:style>
  <w:style w:type="paragraph" w:customStyle="1" w:styleId="93">
    <w:name w:val="Char16"/>
    <w:basedOn w:val="1"/>
    <w:autoRedefine/>
    <w:qFormat/>
    <w:uiPriority w:val="0"/>
    <w:rPr>
      <w:rFonts w:ascii="Tahoma" w:hAnsi="Tahoma" w:eastAsia="仿宋_GB2312"/>
      <w:sz w:val="24"/>
    </w:rPr>
  </w:style>
  <w:style w:type="paragraph" w:customStyle="1" w:styleId="94">
    <w:name w:val="Char Char1"/>
    <w:basedOn w:val="1"/>
    <w:autoRedefine/>
    <w:qFormat/>
    <w:uiPriority w:val="0"/>
    <w:rPr>
      <w:rFonts w:ascii="Tahoma" w:hAnsi="Tahoma"/>
      <w:sz w:val="24"/>
    </w:rPr>
  </w:style>
  <w:style w:type="paragraph" w:customStyle="1" w:styleId="95">
    <w:name w:val="Char Char Char Char Char Char Char"/>
    <w:basedOn w:val="1"/>
    <w:autoRedefine/>
    <w:qFormat/>
    <w:uiPriority w:val="0"/>
    <w:rPr>
      <w:szCs w:val="24"/>
    </w:rPr>
  </w:style>
  <w:style w:type="paragraph" w:customStyle="1" w:styleId="96">
    <w:name w:val="Char Char"/>
    <w:basedOn w:val="1"/>
    <w:autoRedefine/>
    <w:qFormat/>
    <w:uiPriority w:val="0"/>
    <w:rPr>
      <w:rFonts w:ascii="Tahoma" w:hAnsi="Tahoma" w:cs="仿宋_GB2312"/>
      <w:sz w:val="24"/>
    </w:rPr>
  </w:style>
  <w:style w:type="paragraph" w:customStyle="1" w:styleId="97">
    <w:name w:val="Char Char2"/>
    <w:basedOn w:val="1"/>
    <w:autoRedefine/>
    <w:qFormat/>
    <w:uiPriority w:val="0"/>
    <w:rPr>
      <w:rFonts w:ascii="Tahoma" w:hAnsi="Tahoma" w:cs="仿宋_GB2312"/>
      <w:sz w:val="24"/>
    </w:rPr>
  </w:style>
  <w:style w:type="paragraph" w:customStyle="1" w:styleId="98">
    <w:name w:val="Char Char Char1"/>
    <w:basedOn w:val="1"/>
    <w:autoRedefine/>
    <w:qFormat/>
    <w:uiPriority w:val="0"/>
    <w:rPr>
      <w:rFonts w:ascii="Tahoma" w:hAnsi="Tahoma"/>
      <w:sz w:val="24"/>
    </w:rPr>
  </w:style>
  <w:style w:type="paragraph" w:customStyle="1" w:styleId="99">
    <w:name w:val="D&amp;L"/>
    <w:basedOn w:val="24"/>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0">
    <w:name w:val="正文文本 3 字符"/>
    <w:basedOn w:val="38"/>
    <w:link w:val="13"/>
    <w:autoRedefine/>
    <w:qFormat/>
    <w:uiPriority w:val="99"/>
    <w:rPr>
      <w:rFonts w:ascii="Calibri" w:hAnsi="Calibri" w:eastAsia="宋体" w:cs="Times New Roman"/>
      <w:sz w:val="16"/>
      <w:szCs w:val="16"/>
      <w:lang w:val="zh-CN" w:eastAsia="zh-CN"/>
    </w:rPr>
  </w:style>
  <w:style w:type="paragraph" w:customStyle="1" w:styleId="101">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2">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3">
    <w:name w:val="style23"/>
    <w:autoRedefine/>
    <w:qFormat/>
    <w:uiPriority w:val="0"/>
    <w:rPr>
      <w:rFonts w:ascii="Times New Roman" w:hAnsi="Times New Roman" w:eastAsia="宋体"/>
    </w:rPr>
  </w:style>
  <w:style w:type="paragraph" w:customStyle="1" w:styleId="104">
    <w:name w:val="p0"/>
    <w:basedOn w:val="1"/>
    <w:autoRedefine/>
    <w:qFormat/>
    <w:uiPriority w:val="0"/>
    <w:pPr>
      <w:widowControl/>
      <w:jc w:val="left"/>
    </w:pPr>
    <w:rPr>
      <w:rFonts w:ascii="等线" w:hAnsi="等线" w:eastAsia="等线" w:cs="等线"/>
      <w:kern w:val="0"/>
      <w:sz w:val="20"/>
      <w:szCs w:val="22"/>
    </w:rPr>
  </w:style>
  <w:style w:type="paragraph" w:customStyle="1" w:styleId="105">
    <w:name w:val="列表段落1"/>
    <w:basedOn w:val="1"/>
    <w:autoRedefine/>
    <w:qFormat/>
    <w:uiPriority w:val="34"/>
    <w:pPr>
      <w:ind w:firstLine="420" w:firstLineChars="200"/>
    </w:pPr>
    <w:rPr>
      <w:szCs w:val="24"/>
    </w:rPr>
  </w:style>
  <w:style w:type="paragraph" w:customStyle="1" w:styleId="106">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7">
    <w:name w:val="List Paragraph"/>
    <w:basedOn w:val="1"/>
    <w:autoRedefine/>
    <w:qFormat/>
    <w:uiPriority w:val="99"/>
    <w:pPr>
      <w:ind w:firstLine="420" w:firstLineChars="200"/>
    </w:pPr>
  </w:style>
  <w:style w:type="table" w:customStyle="1" w:styleId="108">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9">
    <w:name w:val="first-child3"/>
    <w:basedOn w:val="38"/>
    <w:autoRedefine/>
    <w:qFormat/>
    <w:uiPriority w:val="0"/>
  </w:style>
  <w:style w:type="character" w:customStyle="1" w:styleId="110">
    <w:name w:val="layui-this"/>
    <w:basedOn w:val="38"/>
    <w:autoRedefine/>
    <w:qFormat/>
    <w:uiPriority w:val="0"/>
    <w:rPr>
      <w:bdr w:val="single" w:color="EEEEEE" w:sz="4" w:space="0"/>
      <w:shd w:val="clear" w:color="auto" w:fill="FFFFFF"/>
    </w:rPr>
  </w:style>
  <w:style w:type="character" w:customStyle="1" w:styleId="111">
    <w:name w:val="first-child2"/>
    <w:basedOn w:val="38"/>
    <w:autoRedefine/>
    <w:qFormat/>
    <w:uiPriority w:val="0"/>
  </w:style>
  <w:style w:type="character" w:customStyle="1" w:styleId="112">
    <w:name w:val="first-child"/>
    <w:basedOn w:val="38"/>
    <w:autoRedefine/>
    <w:qFormat/>
    <w:uiPriority w:val="0"/>
  </w:style>
  <w:style w:type="character" w:customStyle="1" w:styleId="113">
    <w:name w:val="first-child1"/>
    <w:basedOn w:val="38"/>
    <w:autoRedefine/>
    <w:qFormat/>
    <w:uiPriority w:val="0"/>
  </w:style>
  <w:style w:type="paragraph" w:customStyle="1" w:styleId="114">
    <w:name w:val="Table Paragraph"/>
    <w:basedOn w:val="1"/>
    <w:autoRedefine/>
    <w:qFormat/>
    <w:uiPriority w:val="99"/>
    <w:pPr>
      <w:jc w:val="left"/>
    </w:pPr>
    <w:rPr>
      <w:rFonts w:ascii="宋体" w:hAnsi="宋体" w:cs="宋体"/>
      <w:kern w:val="0"/>
      <w:sz w:val="22"/>
      <w:szCs w:val="22"/>
      <w:lang w:eastAsia="en-US"/>
    </w:rPr>
  </w:style>
  <w:style w:type="character" w:customStyle="1" w:styleId="115">
    <w:name w:val="标题 2 字符"/>
    <w:link w:val="7"/>
    <w:autoRedefine/>
    <w:qFormat/>
    <w:uiPriority w:val="0"/>
    <w:rPr>
      <w:rFonts w:ascii="Arial" w:hAnsi="Arial" w:eastAsia="黑体"/>
      <w:b/>
      <w:bCs/>
      <w:sz w:val="32"/>
      <w:szCs w:val="32"/>
    </w:rPr>
  </w:style>
  <w:style w:type="character" w:customStyle="1" w:styleId="116">
    <w:name w:val="place"/>
    <w:basedOn w:val="38"/>
    <w:autoRedefine/>
    <w:qFormat/>
    <w:uiPriority w:val="0"/>
  </w:style>
  <w:style w:type="character" w:customStyle="1" w:styleId="117">
    <w:name w:val="place1"/>
    <w:basedOn w:val="38"/>
    <w:autoRedefine/>
    <w:qFormat/>
    <w:uiPriority w:val="0"/>
  </w:style>
  <w:style w:type="character" w:customStyle="1" w:styleId="118">
    <w:name w:val="place2"/>
    <w:basedOn w:val="38"/>
    <w:autoRedefine/>
    <w:qFormat/>
    <w:uiPriority w:val="0"/>
    <w:rPr>
      <w:rFonts w:ascii="微软雅黑" w:hAnsi="微软雅黑" w:eastAsia="微软雅黑" w:cs="微软雅黑"/>
      <w:color w:val="888888"/>
      <w:sz w:val="20"/>
      <w:szCs w:val="20"/>
    </w:rPr>
  </w:style>
  <w:style w:type="character" w:customStyle="1" w:styleId="119">
    <w:name w:val="place3"/>
    <w:basedOn w:val="38"/>
    <w:autoRedefine/>
    <w:qFormat/>
    <w:uiPriority w:val="0"/>
  </w:style>
  <w:style w:type="character" w:customStyle="1" w:styleId="120">
    <w:name w:val="font"/>
    <w:basedOn w:val="38"/>
    <w:autoRedefine/>
    <w:qFormat/>
    <w:uiPriority w:val="0"/>
  </w:style>
  <w:style w:type="character" w:customStyle="1" w:styleId="121">
    <w:name w:val="font1"/>
    <w:basedOn w:val="38"/>
    <w:autoRedefine/>
    <w:qFormat/>
    <w:uiPriority w:val="0"/>
  </w:style>
  <w:style w:type="character" w:customStyle="1" w:styleId="122">
    <w:name w:val="gwds_nopic"/>
    <w:basedOn w:val="38"/>
    <w:autoRedefine/>
    <w:qFormat/>
    <w:uiPriority w:val="0"/>
  </w:style>
  <w:style w:type="character" w:customStyle="1" w:styleId="123">
    <w:name w:val="gwds_nopic1"/>
    <w:basedOn w:val="38"/>
    <w:autoRedefine/>
    <w:qFormat/>
    <w:uiPriority w:val="0"/>
  </w:style>
  <w:style w:type="character" w:customStyle="1" w:styleId="124">
    <w:name w:val="gwds_nopic2"/>
    <w:basedOn w:val="38"/>
    <w:autoRedefine/>
    <w:qFormat/>
    <w:uiPriority w:val="0"/>
  </w:style>
  <w:style w:type="character" w:customStyle="1" w:styleId="125">
    <w:name w:val="noline"/>
    <w:basedOn w:val="38"/>
    <w:autoRedefine/>
    <w:qFormat/>
    <w:uiPriority w:val="0"/>
  </w:style>
  <w:style w:type="character" w:customStyle="1" w:styleId="126">
    <w:name w:val="hover17"/>
    <w:basedOn w:val="38"/>
    <w:autoRedefine/>
    <w:qFormat/>
    <w:uiPriority w:val="0"/>
    <w:rPr>
      <w:color w:val="025291"/>
    </w:rPr>
  </w:style>
  <w:style w:type="character" w:customStyle="1" w:styleId="127">
    <w:name w:val="Unresolved Mention"/>
    <w:basedOn w:val="38"/>
    <w:autoRedefine/>
    <w:semiHidden/>
    <w:unhideWhenUsed/>
    <w:qFormat/>
    <w:uiPriority w:val="99"/>
    <w:rPr>
      <w:color w:val="605E5C"/>
      <w:shd w:val="clear" w:color="auto" w:fill="E1DFDD"/>
    </w:rPr>
  </w:style>
  <w:style w:type="character" w:customStyle="1" w:styleId="128">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29">
    <w:name w:val="hover1"/>
    <w:basedOn w:val="38"/>
    <w:autoRedefine/>
    <w:qFormat/>
    <w:uiPriority w:val="0"/>
    <w:rPr>
      <w:color w:val="2590EB"/>
      <w:shd w:val="clear" w:fill="E9F4FD"/>
    </w:rPr>
  </w:style>
  <w:style w:type="character" w:customStyle="1" w:styleId="130">
    <w:name w:val="hover2"/>
    <w:basedOn w:val="38"/>
    <w:autoRedefine/>
    <w:qFormat/>
    <w:uiPriority w:val="0"/>
    <w:rPr>
      <w:color w:val="2590EB"/>
    </w:rPr>
  </w:style>
  <w:style w:type="character" w:customStyle="1" w:styleId="131">
    <w:name w:val="hover3"/>
    <w:basedOn w:val="38"/>
    <w:autoRedefine/>
    <w:qFormat/>
    <w:uiPriority w:val="0"/>
    <w:rPr>
      <w:color w:val="2590EB"/>
    </w:rPr>
  </w:style>
  <w:style w:type="character" w:customStyle="1" w:styleId="132">
    <w:name w:val="hover4"/>
    <w:basedOn w:val="38"/>
    <w:autoRedefine/>
    <w:qFormat/>
    <w:uiPriority w:val="0"/>
  </w:style>
  <w:style w:type="character" w:customStyle="1" w:styleId="133">
    <w:name w:val="hover"/>
    <w:basedOn w:val="38"/>
    <w:autoRedefine/>
    <w:qFormat/>
    <w:uiPriority w:val="0"/>
  </w:style>
  <w:style w:type="paragraph" w:customStyle="1" w:styleId="134">
    <w:name w:val="WPSOffice手动目录 1"/>
    <w:autoRedefine/>
    <w:qFormat/>
    <w:uiPriority w:val="0"/>
    <w:pPr>
      <w:ind w:leftChars="0"/>
    </w:pPr>
    <w:rPr>
      <w:rFonts w:ascii="Times New Roman" w:hAnsi="Times New Roman" w:eastAsia="宋体" w:cs="Times New Roman"/>
      <w:sz w:val="20"/>
      <w:szCs w:val="20"/>
    </w:rPr>
  </w:style>
  <w:style w:type="character" w:customStyle="1" w:styleId="135">
    <w:name w:val="hover7"/>
    <w:basedOn w:val="38"/>
    <w:autoRedefine/>
    <w:qFormat/>
    <w:uiPriority w:val="0"/>
    <w:rPr>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13726</Words>
  <Characters>14513</Characters>
  <Lines>294</Lines>
  <Paragraphs>82</Paragraphs>
  <TotalTime>8</TotalTime>
  <ScaleCrop>false</ScaleCrop>
  <LinksUpToDate>false</LinksUpToDate>
  <CharactersWithSpaces>15865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小ద短న腿</cp:lastModifiedBy>
  <cp:lastPrinted>2025-04-01T05:59:00Z</cp:lastPrinted>
  <dcterms:modified xsi:type="dcterms:W3CDTF">2025-04-02T02:35:43Z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89BBD6A0719545FE835B2A39CC7A3960_13</vt:lpwstr>
  </property>
  <property fmtid="{D5CDD505-2E9C-101B-9397-08002B2CF9AE}" pid="4" name="KSOTemplateDocerSaveRecord">
    <vt:lpwstr>eyJoZGlkIjoiM2UwMDk1YjU1YzZkYTcxYzdhYWFhMjIwMGMyZTM5MjgiLCJ1c2VySWQiOiI1MjYzNTI0ODQifQ==</vt:lpwstr>
  </property>
</Properties>
</file>